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4CE1A" w14:textId="43EE25AD" w:rsidR="0065073E" w:rsidRDefault="00EB694A" w:rsidP="00EB694A">
      <w:pPr>
        <w:pStyle w:val="Pagedecouverture"/>
        <w:rPr>
          <w:noProof/>
        </w:rPr>
      </w:pPr>
      <w:bookmarkStart w:id="0" w:name="DW_BM_COVERPAGE"/>
      <w:bookmarkStart w:id="1" w:name="LW_BM_COVERPAGE"/>
      <w:r>
        <w:rPr>
          <w:noProof/>
        </w:rPr>
        <w:pict w14:anchorId="67FB6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17225BC9-61B1-483A-9206-C49FC62183DD" style="width:455.25pt;height:425.25pt">
            <v:imagedata r:id="rId11" o:title=""/>
          </v:shape>
        </w:pict>
      </w:r>
    </w:p>
    <w:bookmarkEnd w:id="1"/>
    <w:p w14:paraId="526C6B7F" w14:textId="77777777" w:rsidR="0065073E" w:rsidRDefault="0065073E">
      <w:pPr>
        <w:rPr>
          <w:noProof/>
        </w:rPr>
        <w:sectPr w:rsidR="0065073E" w:rsidSect="00EB694A">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7FA88332" w14:textId="770697C0" w:rsidR="0065073E" w:rsidRDefault="000A0998">
      <w:pPr>
        <w:spacing w:before="120" w:after="120" w:line="240" w:lineRule="auto"/>
        <w:jc w:val="center"/>
        <w:rPr>
          <w:rFonts w:ascii="Times New Roman" w:hAnsi="Times New Roman" w:cs="Times New Roman"/>
          <w:b/>
          <w:noProof/>
          <w:sz w:val="28"/>
        </w:rPr>
      </w:pPr>
      <w:bookmarkStart w:id="2" w:name="_GoBack"/>
      <w:bookmarkEnd w:id="0"/>
      <w:bookmarkEnd w:id="2"/>
      <w:r>
        <w:rPr>
          <w:rFonts w:ascii="Times New Roman" w:hAnsi="Times New Roman"/>
          <w:b/>
          <w:noProof/>
          <w:sz w:val="28"/>
        </w:rPr>
        <w:lastRenderedPageBreak/>
        <w:t>LIITTEESSÄ</w:t>
      </w:r>
      <w:r>
        <w:rPr>
          <w:noProof/>
        </w:rPr>
        <w:t xml:space="preserve"> </w:t>
      </w:r>
      <w:r>
        <w:rPr>
          <w:noProof/>
        </w:rPr>
        <w:br/>
      </w:r>
    </w:p>
    <w:p w14:paraId="21F95161" w14:textId="77777777" w:rsidR="0065073E" w:rsidRDefault="000A0998">
      <w:pPr>
        <w:pStyle w:val="P68B1DB1-Normal1"/>
        <w:spacing w:before="120" w:after="120" w:line="240" w:lineRule="auto"/>
        <w:jc w:val="both"/>
        <w:rPr>
          <w:rFonts w:cs="Times New Roman"/>
          <w:noProof/>
        </w:rPr>
      </w:pPr>
      <w:r>
        <w:rPr>
          <w:noProof/>
        </w:rPr>
        <w:t>1 JAKSO: ELPYMIS- JA PALAUTUMISSUUNNITELMAN MUKAISET UUDISTUKSET JA INVESTOINNIT</w:t>
      </w:r>
    </w:p>
    <w:p w14:paraId="5DAB6C7B" w14:textId="77777777" w:rsidR="0065073E" w:rsidRDefault="0065073E">
      <w:pPr>
        <w:spacing w:before="120" w:after="120" w:line="240" w:lineRule="auto"/>
        <w:jc w:val="both"/>
        <w:rPr>
          <w:rFonts w:ascii="Times New Roman" w:hAnsi="Times New Roman" w:cs="Times New Roman"/>
          <w:noProof/>
          <w:sz w:val="28"/>
        </w:rPr>
      </w:pPr>
    </w:p>
    <w:p w14:paraId="7965D8B9" w14:textId="77777777" w:rsidR="0065073E" w:rsidRDefault="000A0998">
      <w:pPr>
        <w:pStyle w:val="P68B1DB1-Normal1"/>
        <w:numPr>
          <w:ilvl w:val="0"/>
          <w:numId w:val="191"/>
        </w:numPr>
        <w:spacing w:before="120" w:after="120" w:line="240" w:lineRule="auto"/>
        <w:jc w:val="both"/>
        <w:rPr>
          <w:rFonts w:cs="Times New Roman"/>
          <w:noProof/>
        </w:rPr>
      </w:pPr>
      <w:r>
        <w:rPr>
          <w:noProof/>
        </w:rPr>
        <w:t xml:space="preserve">Uudistusten ja investointien kuvaus </w:t>
      </w:r>
    </w:p>
    <w:p w14:paraId="60E6C9D1" w14:textId="77777777" w:rsidR="0065073E" w:rsidRDefault="000A0998">
      <w:pPr>
        <w:pStyle w:val="P68B1DB1-Heading12"/>
        <w:rPr>
          <w:rFonts w:cs="Times New Roman"/>
          <w:noProof/>
        </w:rPr>
      </w:pPr>
      <w:r>
        <w:rPr>
          <w:noProof/>
        </w:rPr>
        <w:t xml:space="preserve">A. OSA 01: KESTÄVÄN, TURVALLISEN JA VERKOTTUNEEN LIIKENTEEN HÄIRIÖSUUNNITELMA KAUPUNKI- JA SUURKAUPUNKIYMPÄRISTÖISSÄ </w:t>
      </w:r>
    </w:p>
    <w:p w14:paraId="155EA4AC" w14:textId="77777777" w:rsidR="0065073E" w:rsidRDefault="000A0998">
      <w:pPr>
        <w:pStyle w:val="P68B1DB1-Normal4"/>
        <w:spacing w:before="120" w:after="120" w:line="240" w:lineRule="auto"/>
        <w:jc w:val="both"/>
        <w:rPr>
          <w:rFonts w:cs="Times New Roman"/>
          <w:noProof/>
        </w:rPr>
      </w:pPr>
      <w:r>
        <w:rPr>
          <w:noProof/>
        </w:rPr>
        <w:t>Tällä Espanjan elpymis- ja palautumissuunnitelman osa-alueella vastataan ilmanlaatuun liittyviin haasteisiin, jotka vaikuttavat pääasiassa suuriin suurkaupunkialueisiin ja jotka ovat aiheuttaneet Espanjassa yli 20000 ennenaikaista kuolemaa vuonna 2018. Tämän komponentin uudistusten ja investointien yleisenä tavoitteena on siirtyä kohti puhdasta, turvallista ja älykästä kaupunkiliikennettä. Tämän osa-alueen erityistavoitteet ovat seuraavat:</w:t>
      </w:r>
    </w:p>
    <w:p w14:paraId="7292808A" w14:textId="3FB5A64D"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nopeutetaan vähäpäästöisten vyöhykkeiden toteuttamista kaikissa yli 50000 asukkaan kunnissa ja maakuntien pääkaupungeissa sekä sähköisen liikkuvuuden yleistymistä;</w:t>
      </w:r>
    </w:p>
    <w:p w14:paraId="795A19F4"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edistetään aktiivista liikkuvuutta sekä muita toimenpiteitä, joilla vähennetään yksityisautojen käyttöä; </w:t>
      </w:r>
    </w:p>
    <w:p w14:paraId="10A28E2B"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julkisen liikenteen digitaalinen ja kestävä muutos todellisena vaihtoehtona yksityisajoneuvojen käytölle;</w:t>
      </w:r>
    </w:p>
    <w:p w14:paraId="4734CA15"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lyhyen matkan rautatiepalvelujen laadun ja luotettavuuden parantaminen, jotta voidaan lisätä niiden tehokasta käyttöä suurkaupunkialueilla yksityisen kalustoyksikön vahingoksi;</w:t>
      </w:r>
    </w:p>
    <w:p w14:paraId="2AE469A1"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liikenteen hallinnan optimointi ja päätöksenteon helpottaminen puhtaamman liikkuvuuden edistämiseksi.</w:t>
      </w:r>
    </w:p>
    <w:p w14:paraId="21A64CB2" w14:textId="6060F0E6" w:rsidR="0065073E" w:rsidRDefault="000A0998">
      <w:pPr>
        <w:pStyle w:val="P68B1DB1-Normal4"/>
        <w:spacing w:before="120" w:after="120" w:line="240" w:lineRule="auto"/>
        <w:jc w:val="both"/>
        <w:rPr>
          <w:rFonts w:cs="Times New Roman"/>
          <w:noProof/>
        </w:rPr>
      </w:pPr>
      <w:r>
        <w:rPr>
          <w:noProof/>
        </w:rPr>
        <w:t>Komponentissa käsitellään maakohtaisia suosituksia, jotka koskevat vihreää ja digitaalista siirtymää ja kestävää liikennettä edistävien julkisten ja yksityisten investointien edistämistä (maakohtainen suositus 3 2020), innovointiin, energiatehokkuuteen ja rautateiden tavaraliikenteen infrastruktuuriin tehtävien investointien edistämistä (maakohtainen suositus 3 2019) sekä hallintotasojen välisen yhteistyön vahvistamista (maakohtainen suositus 4 2019).</w:t>
      </w:r>
    </w:p>
    <w:p w14:paraId="5E64A5E4" w14:textId="77E09C16" w:rsidR="0065073E" w:rsidRDefault="000A0998">
      <w:pPr>
        <w:pStyle w:val="P68B1DB1-Normal4"/>
        <w:spacing w:before="120" w:after="120" w:line="240" w:lineRule="auto"/>
        <w:jc w:val="both"/>
        <w:rPr>
          <w:rFonts w:cs="Times New Roman"/>
          <w:noProof/>
        </w:rPr>
      </w:pPr>
      <w:r>
        <w:rPr>
          <w:noProof/>
        </w:rPr>
        <w:t xml:space="preserve">On odotettavissa, että mikään tämän komponentin toimenpide ei aiheuta asetuksen (EU) 2020/852 17 artiklassa tarkoitettua merkittävää haittaa ympäristötavoitteille, kun otetaan huomioon elpymis- ja palautumissuunnitelmassa ”ei merkittävää haittaa” -periaatteen mukaisten teknisten ohjeiden (2021/C58/01) mukainen kuvaus toimenpiteistä ja lieventävistä toimista.  </w:t>
      </w:r>
    </w:p>
    <w:p w14:paraId="0C520A87" w14:textId="7CC6A4CA" w:rsidR="0065073E" w:rsidRDefault="0065073E">
      <w:pPr>
        <w:spacing w:before="120" w:after="120" w:line="240" w:lineRule="auto"/>
        <w:jc w:val="both"/>
        <w:rPr>
          <w:rFonts w:ascii="Times New Roman" w:hAnsi="Times New Roman" w:cs="Times New Roman"/>
          <w:noProof/>
          <w:sz w:val="24"/>
        </w:rPr>
      </w:pPr>
    </w:p>
    <w:p w14:paraId="047A2FE4" w14:textId="77777777" w:rsidR="0065073E" w:rsidRDefault="000A0998">
      <w:pPr>
        <w:spacing w:before="120" w:after="120" w:line="240" w:lineRule="auto"/>
        <w:ind w:left="709"/>
        <w:jc w:val="both"/>
        <w:rPr>
          <w:rFonts w:ascii="Times New Roman" w:hAnsi="Times New Roman" w:cs="Times New Roman"/>
          <w:b/>
          <w:i/>
          <w:noProof/>
          <w:sz w:val="24"/>
        </w:rPr>
      </w:pPr>
      <w:bookmarkStart w:id="3" w:name="_Hlk138340506"/>
      <w:r>
        <w:rPr>
          <w:rFonts w:ascii="Times New Roman" w:hAnsi="Times New Roman"/>
          <w:b/>
          <w:noProof/>
          <w:sz w:val="24"/>
          <w:u w:val="single"/>
        </w:rPr>
        <w:t xml:space="preserve">A.1 </w:t>
      </w:r>
      <w:r>
        <w:rPr>
          <w:noProof/>
        </w:rPr>
        <w:t xml:space="preserve"> </w:t>
      </w:r>
      <w:r>
        <w:rPr>
          <w:rFonts w:ascii="Times New Roman" w:hAnsi="Times New Roman"/>
          <w:b/>
          <w:noProof/>
          <w:sz w:val="24"/>
          <w:u w:val="single"/>
        </w:rPr>
        <w:t>Kuvaus uudistuksista ja investoinneista, joita rahoitetaan rahoitustuella, jota ei makseta takaisin</w:t>
      </w:r>
    </w:p>
    <w:p w14:paraId="483637DE" w14:textId="77777777" w:rsidR="0065073E" w:rsidRDefault="000A0998">
      <w:pPr>
        <w:pStyle w:val="P68B1DB1-Normal5"/>
        <w:spacing w:before="120" w:after="120" w:line="240" w:lineRule="auto"/>
        <w:jc w:val="both"/>
        <w:rPr>
          <w:rFonts w:cs="Times New Roman"/>
          <w:noProof/>
        </w:rPr>
      </w:pPr>
      <w:r>
        <w:rPr>
          <w:noProof/>
        </w:rPr>
        <w:t>Uudistus 1 (C1.R1) – Sähköajoneuvoinfrastruktuurin lataus- ja käyttöönottosuunnitelma</w:t>
      </w:r>
      <w:bookmarkEnd w:id="3"/>
      <w:r>
        <w:rPr>
          <w:noProof/>
        </w:rPr>
        <w:t xml:space="preserve"> </w:t>
      </w:r>
    </w:p>
    <w:p w14:paraId="5613BC71" w14:textId="3E92A87B" w:rsidR="0065073E" w:rsidRDefault="000A0998">
      <w:pPr>
        <w:pStyle w:val="P68B1DB1-Normal4"/>
        <w:spacing w:before="120" w:after="120" w:line="240" w:lineRule="auto"/>
        <w:jc w:val="both"/>
        <w:rPr>
          <w:rFonts w:cs="Times New Roman"/>
          <w:noProof/>
        </w:rPr>
      </w:pPr>
      <w:r>
        <w:rPr>
          <w:noProof/>
        </w:rPr>
        <w:t xml:space="preserve">Tämän toimenpiteen tavoitteena on vahvistaa latausinfrastruktuurin käyttöönottoa helpottavaa toiminta- ja sääntelykehystä sähköajoneuvojen käytön lisäämiseksi. </w:t>
      </w:r>
    </w:p>
    <w:p w14:paraId="385D7B78" w14:textId="77777777" w:rsidR="0065073E" w:rsidRDefault="000A0998">
      <w:pPr>
        <w:pStyle w:val="P68B1DB1-Normal4"/>
        <w:spacing w:before="120" w:after="120" w:line="240" w:lineRule="auto"/>
        <w:jc w:val="both"/>
        <w:rPr>
          <w:rFonts w:cs="Times New Roman"/>
          <w:noProof/>
        </w:rPr>
      </w:pPr>
      <w:r>
        <w:rPr>
          <w:noProof/>
        </w:rPr>
        <w:t xml:space="preserve">Uudistus koostuu seuraavan sääntelykehyksen hyväksymisestä, jolla pyritään poistamaan latauspisteiden leviämistä tällä hetkellä haittaavat esteet: </w:t>
      </w:r>
    </w:p>
    <w:p w14:paraId="41C362C6" w14:textId="77777777" w:rsidR="0065073E" w:rsidRDefault="000A0998">
      <w:pPr>
        <w:pStyle w:val="P68B1DB1-Normal4"/>
        <w:numPr>
          <w:ilvl w:val="0"/>
          <w:numId w:val="296"/>
        </w:numPr>
        <w:spacing w:before="120" w:after="120" w:line="240" w:lineRule="auto"/>
        <w:jc w:val="both"/>
        <w:rPr>
          <w:rFonts w:cs="Times New Roman"/>
          <w:noProof/>
        </w:rPr>
      </w:pPr>
      <w:r>
        <w:rPr>
          <w:noProof/>
        </w:rPr>
        <w:t>Kuninkaallinen asetus, jolla säännellään yleisesti saatavilla olevia latauspalveluja ja varmistetaan asennettujen pisteiden asianmukainen ja luotettava toiminta;</w:t>
      </w:r>
    </w:p>
    <w:p w14:paraId="3C6F59B2" w14:textId="77777777" w:rsidR="0065073E" w:rsidRDefault="000A0998">
      <w:pPr>
        <w:pStyle w:val="P68B1DB1-Normal4"/>
        <w:numPr>
          <w:ilvl w:val="0"/>
          <w:numId w:val="296"/>
        </w:numPr>
        <w:spacing w:before="120" w:after="120" w:line="240" w:lineRule="auto"/>
        <w:jc w:val="both"/>
        <w:rPr>
          <w:rFonts w:cs="Times New Roman"/>
          <w:noProof/>
        </w:rPr>
      </w:pPr>
      <w:r>
        <w:rPr>
          <w:noProof/>
        </w:rPr>
        <w:t xml:space="preserve">23 päivänä kesäkuuta 2020 annettu kuninkaan asetus 23/2020, jolla nopeutetaan latausinfrastruktuurin käsittelyä ilmoittamalla yli 250 kW:n teholtaan yli 250 kW:n lataustoiminnot yleishyödyllisiksi; </w:t>
      </w:r>
    </w:p>
    <w:p w14:paraId="0FFB3C08" w14:textId="77777777" w:rsidR="0065073E" w:rsidRDefault="000A0998">
      <w:pPr>
        <w:pStyle w:val="P68B1DB1-Normal4"/>
        <w:numPr>
          <w:ilvl w:val="0"/>
          <w:numId w:val="296"/>
        </w:numPr>
        <w:spacing w:before="120" w:after="120" w:line="240" w:lineRule="auto"/>
        <w:jc w:val="both"/>
        <w:rPr>
          <w:rFonts w:eastAsia="Arial" w:cs="Times New Roman"/>
          <w:noProof/>
        </w:rPr>
      </w:pPr>
      <w:r>
        <w:rPr>
          <w:noProof/>
        </w:rPr>
        <w:t>Määräys TMA/178/2020, jolla vähennetään polttoaineen tankkausasemien sähkölatauslaitteistojen hyväksymisestä ja käyttöönotosta aiheutuvaa hallinnollista taakkaa;</w:t>
      </w:r>
    </w:p>
    <w:p w14:paraId="7822F39A" w14:textId="77777777" w:rsidR="0065073E" w:rsidRDefault="000A0998">
      <w:pPr>
        <w:pStyle w:val="P68B1DB1-Normal4"/>
        <w:numPr>
          <w:ilvl w:val="0"/>
          <w:numId w:val="296"/>
        </w:numPr>
        <w:spacing w:before="120" w:after="120" w:line="240" w:lineRule="auto"/>
        <w:jc w:val="both"/>
        <w:rPr>
          <w:rFonts w:cs="Times New Roman"/>
          <w:noProof/>
        </w:rPr>
      </w:pPr>
      <w:r>
        <w:rPr>
          <w:noProof/>
        </w:rPr>
        <w:t>Muutettu tekninen rakennussäännöstö, jolla nostetaan sähköajoneuvojen latausinfrastruktuurin vähimmäismäärää sekä asuin- että palvelupysäköintialueilla, mikä ylittää rakennusten energiatehokkuutta koskevan direktiivin vähimmäisvaatimukset; ja</w:t>
      </w:r>
    </w:p>
    <w:p w14:paraId="45BFDD5B" w14:textId="77777777" w:rsidR="0065073E" w:rsidRDefault="000A0998">
      <w:pPr>
        <w:pStyle w:val="P68B1DB1-Normal4"/>
        <w:numPr>
          <w:ilvl w:val="0"/>
          <w:numId w:val="296"/>
        </w:numPr>
        <w:spacing w:before="120" w:after="120" w:line="240" w:lineRule="auto"/>
        <w:jc w:val="both"/>
        <w:rPr>
          <w:rFonts w:cs="Times New Roman"/>
          <w:noProof/>
        </w:rPr>
      </w:pPr>
      <w:r>
        <w:rPr>
          <w:noProof/>
        </w:rPr>
        <w:t>Muutettu pienjännitesähköteknistä asetusta, johon sisältyy velvoitteita latausinfrastruktuurille pysäköintialueilla, jotka eivät ole yhteydessä rakennukseen.</w:t>
      </w:r>
    </w:p>
    <w:p w14:paraId="2C641F87" w14:textId="77777777" w:rsidR="0065073E" w:rsidRDefault="000A0998">
      <w:pPr>
        <w:pStyle w:val="P68B1DB1-Normal4"/>
        <w:spacing w:before="120" w:after="120" w:line="240" w:lineRule="auto"/>
        <w:jc w:val="both"/>
        <w:rPr>
          <w:rFonts w:cs="Times New Roman"/>
          <w:noProof/>
        </w:rPr>
      </w:pPr>
      <w:r>
        <w:rPr>
          <w:noProof/>
        </w:rPr>
        <w:t>Uudistuksen toteutus on määrä saattaa päätökseen 30. kesäkuuta 2022 mennessä.</w:t>
      </w:r>
    </w:p>
    <w:p w14:paraId="6C6834B7" w14:textId="02067FD3" w:rsidR="0065073E" w:rsidRDefault="000A0998">
      <w:pPr>
        <w:pStyle w:val="P68B1DB1-Normal5"/>
        <w:spacing w:before="120" w:after="120" w:line="240" w:lineRule="auto"/>
        <w:jc w:val="both"/>
        <w:rPr>
          <w:rFonts w:cs="Times New Roman"/>
          <w:noProof/>
        </w:rPr>
      </w:pPr>
      <w:r>
        <w:rPr>
          <w:noProof/>
        </w:rPr>
        <w:t xml:space="preserve">Uudistus 2 (C1.R2) – Liikkuvuuslaki </w:t>
      </w:r>
    </w:p>
    <w:p w14:paraId="4FCCBF4A" w14:textId="7E46C380" w:rsidR="0065073E" w:rsidRDefault="000A0998">
      <w:pPr>
        <w:pStyle w:val="P68B1DB1-Normal4"/>
        <w:spacing w:before="120" w:after="120" w:line="240" w:lineRule="auto"/>
        <w:jc w:val="both"/>
        <w:rPr>
          <w:rFonts w:cs="Times New Roman"/>
          <w:noProof/>
        </w:rPr>
      </w:pPr>
      <w:r>
        <w:rPr>
          <w:noProof/>
        </w:rPr>
        <w:t xml:space="preserve">Tämän lailla täytäntöönpantavan toimenpiteen tavoitteena on luoda sääntelykehys Espanjan uudistetulle liikkuvuuspolitiikalle, joka perustuu parempaan kestävyyteen ja digitaaliseen ulottuvuuteen. </w:t>
      </w:r>
    </w:p>
    <w:p w14:paraId="740490EB" w14:textId="31AF4E87" w:rsidR="0065073E" w:rsidRDefault="000A0998">
      <w:pPr>
        <w:pStyle w:val="P68B1DB1-Normal4"/>
        <w:spacing w:before="120" w:after="120" w:line="240" w:lineRule="auto"/>
        <w:jc w:val="both"/>
        <w:rPr>
          <w:rFonts w:cs="Times New Roman"/>
          <w:noProof/>
        </w:rPr>
      </w:pPr>
      <w:r>
        <w:rPr>
          <w:noProof/>
        </w:rPr>
        <w:t>Laissa on säädettävä ainakin seuraavista:</w:t>
      </w:r>
    </w:p>
    <w:p w14:paraId="58678A40" w14:textId="40259FFD" w:rsidR="0065073E" w:rsidRDefault="000A0998">
      <w:pPr>
        <w:pStyle w:val="P68B1DB1-ListParagraph6"/>
        <w:numPr>
          <w:ilvl w:val="0"/>
          <w:numId w:val="5"/>
        </w:numPr>
        <w:spacing w:before="120" w:after="120" w:line="240" w:lineRule="auto"/>
        <w:jc w:val="both"/>
        <w:rPr>
          <w:rFonts w:cs="Times New Roman"/>
          <w:noProof/>
          <w:sz w:val="18"/>
        </w:rPr>
      </w:pPr>
      <w:r>
        <w:rPr>
          <w:noProof/>
        </w:rPr>
        <w:t xml:space="preserve">Rautateiden tavaraliikenteen edistämiseksi toteutettavat erityistoimenpiteet, joilla edistetään maarahtiliikenteen maailmanlaajuisten päästöjen vähentämistä, mukaan lukien </w:t>
      </w:r>
    </w:p>
    <w:p w14:paraId="0AF94759" w14:textId="14048C2A" w:rsidR="0065073E" w:rsidRDefault="000A0998">
      <w:pPr>
        <w:pStyle w:val="P68B1DB1-ListParagraph6"/>
        <w:numPr>
          <w:ilvl w:val="1"/>
          <w:numId w:val="5"/>
        </w:numPr>
        <w:spacing w:before="120" w:after="120" w:line="240" w:lineRule="auto"/>
        <w:jc w:val="both"/>
        <w:rPr>
          <w:rFonts w:eastAsia="Times New Roman" w:cs="Times New Roman"/>
          <w:noProof/>
        </w:rPr>
      </w:pPr>
      <w:r>
        <w:rPr>
          <w:noProof/>
        </w:rPr>
        <w:t>velvollisuus laatia ohjelma moottoriteiden toteuttamiseksi niillä liikennekäytävillä, joilla se on elinkelpoinen ja joilla sen kehittäminen on liiketoiminnallista etua;</w:t>
      </w:r>
    </w:p>
    <w:p w14:paraId="3460F64C" w14:textId="2F8DCDE7" w:rsidR="0065073E" w:rsidRDefault="000A0998">
      <w:pPr>
        <w:pStyle w:val="P68B1DB1-ListParagraph6"/>
        <w:numPr>
          <w:ilvl w:val="1"/>
          <w:numId w:val="5"/>
        </w:numPr>
        <w:spacing w:before="120" w:after="120" w:line="240" w:lineRule="auto"/>
        <w:jc w:val="both"/>
        <w:rPr>
          <w:rFonts w:eastAsia="Times New Roman" w:cs="Times New Roman"/>
          <w:noProof/>
        </w:rPr>
      </w:pPr>
      <w:r>
        <w:rPr>
          <w:noProof/>
        </w:rPr>
        <w:t>rautatiemaksujen korotukset tavaraliikenteessä vähintään viiden vuoden ajalta;</w:t>
      </w:r>
    </w:p>
    <w:p w14:paraId="39B7275B" w14:textId="7858A0AE" w:rsidR="0065073E" w:rsidRDefault="000A0998">
      <w:pPr>
        <w:pStyle w:val="P68B1DB1-ListParagraph6"/>
        <w:numPr>
          <w:ilvl w:val="1"/>
          <w:numId w:val="5"/>
        </w:numPr>
        <w:spacing w:before="120" w:after="120" w:line="240" w:lineRule="auto"/>
        <w:jc w:val="both"/>
        <w:rPr>
          <w:rFonts w:cs="Times New Roman"/>
          <w:noProof/>
        </w:rPr>
      </w:pPr>
      <w:r>
        <w:rPr>
          <w:noProof/>
        </w:rPr>
        <w:t>rautateiden tavaraliikenteen tukiohjelma, mukaan lukien kannustimet, joilla edistetään liikennemuotosiirtymää maanteiltä rautateille sekä rautatieliikenteen nykyaikaistamista ja innovointia;</w:t>
      </w:r>
    </w:p>
    <w:p w14:paraId="29C468E9" w14:textId="58B44112" w:rsidR="0065073E" w:rsidRDefault="000A0998">
      <w:pPr>
        <w:pStyle w:val="P68B1DB1-ListParagraph6"/>
        <w:numPr>
          <w:ilvl w:val="0"/>
          <w:numId w:val="5"/>
        </w:numPr>
        <w:spacing w:before="120" w:after="120" w:line="240" w:lineRule="auto"/>
        <w:jc w:val="both"/>
        <w:rPr>
          <w:rFonts w:cs="Times New Roman"/>
          <w:noProof/>
        </w:rPr>
      </w:pPr>
      <w:r>
        <w:rPr>
          <w:noProof/>
        </w:rPr>
        <w:t xml:space="preserve">joukko velvoitteita ja menetelmiä koskevia oppaita, joita sovelletaan tietynkokoisiin kuntiin ja yrityksiin ja joilla kannustetaan kestävän kaupunkiliikenteen suunnitelman ja kestävien työhön liittyvien liikkuvuusjärjestelyjen täytäntöönpanoon; </w:t>
      </w:r>
    </w:p>
    <w:p w14:paraId="570063C2" w14:textId="33E02F6F" w:rsidR="0065073E" w:rsidRDefault="000A0998">
      <w:pPr>
        <w:pStyle w:val="P68B1DB1-ListParagraph6"/>
        <w:numPr>
          <w:ilvl w:val="0"/>
          <w:numId w:val="5"/>
        </w:numPr>
        <w:spacing w:before="120" w:after="120" w:line="240" w:lineRule="auto"/>
        <w:jc w:val="both"/>
        <w:rPr>
          <w:rFonts w:cs="Times New Roman"/>
          <w:noProof/>
        </w:rPr>
      </w:pPr>
      <w:r>
        <w:rPr>
          <w:noProof/>
        </w:rPr>
        <w:t xml:space="preserve">sellaisen mekanismin perustaminen, jolla lisätään infrastruktuurin suunnittelun tarkkuutta riippumattoman finanssiviranomaisen (Autoridad Independiente de Responsabilidad Fiscal, AIReF) suositusten mukaisesti ja jossa otetaan huomioon kestävyysnäkökohdat ja sosiaaliset kustannus-hyötyanalyysit; </w:t>
      </w:r>
    </w:p>
    <w:p w14:paraId="08E8E098" w14:textId="32C3B305" w:rsidR="0065073E" w:rsidRDefault="000A0998">
      <w:pPr>
        <w:pStyle w:val="P68B1DB1-ListParagraph6"/>
        <w:numPr>
          <w:ilvl w:val="0"/>
          <w:numId w:val="5"/>
        </w:numPr>
        <w:spacing w:before="120" w:after="120" w:line="240" w:lineRule="auto"/>
        <w:jc w:val="both"/>
        <w:rPr>
          <w:rFonts w:cs="Times New Roman"/>
          <w:noProof/>
        </w:rPr>
      </w:pPr>
      <w:r>
        <w:rPr>
          <w:noProof/>
        </w:rPr>
        <w:t xml:space="preserve">sellaisen ennustettavan kaupunkiliikenteen rahoitusjärjestelmän perustaminen maan kunnissa, joka perustuu valtion varojen yhdenmukaisiin jakoperusteisiin; </w:t>
      </w:r>
    </w:p>
    <w:p w14:paraId="4C0DDC69" w14:textId="06685730" w:rsidR="0065073E" w:rsidRDefault="000A0998">
      <w:pPr>
        <w:pStyle w:val="P68B1DB1-ListParagraph6"/>
        <w:numPr>
          <w:ilvl w:val="0"/>
          <w:numId w:val="5"/>
        </w:numPr>
        <w:spacing w:before="120" w:after="120" w:line="240" w:lineRule="auto"/>
        <w:jc w:val="both"/>
        <w:rPr>
          <w:rFonts w:cs="Times New Roman"/>
          <w:noProof/>
        </w:rPr>
      </w:pPr>
      <w:r>
        <w:rPr>
          <w:noProof/>
        </w:rPr>
        <w:t>otetaan käyttöön sääntelyn testiympäristö, joka helpottaa liikkuvuuden ja liikenteen alan innovaatioita ja niiden markkinoille tuloa;</w:t>
      </w:r>
    </w:p>
    <w:p w14:paraId="58B38EEC" w14:textId="262E1CD2" w:rsidR="0065073E" w:rsidRDefault="000A0998">
      <w:pPr>
        <w:pStyle w:val="P68B1DB1-ListParagraph6"/>
        <w:numPr>
          <w:ilvl w:val="0"/>
          <w:numId w:val="5"/>
        </w:numPr>
        <w:spacing w:before="120" w:after="120" w:line="240" w:lineRule="auto"/>
        <w:jc w:val="both"/>
        <w:rPr>
          <w:rFonts w:cs="Times New Roman"/>
          <w:noProof/>
        </w:rPr>
      </w:pPr>
      <w:r>
        <w:rPr>
          <w:noProof/>
        </w:rPr>
        <w:t xml:space="preserve">hallinnon parantaminen AIReF:n suositusten mukaisesti vahvistamalla I) kansallinen liikkuvuusjärjestelmä, jolla edistetään kolmen liikenteestä ja liikkuvuudesta vastaavan aluehallinnon välistä koordinointia ja yhteistyötä; II) ylemmällä liikenne- ja liikkuvuusneuvostolla, joka on elin, joka neuvoo, keskustelee ja ottaa tuotantoalat, tiedeyhteisö ja kansalaisyhteiskunta mukaan liikenne- ja liikkuvuuspolitiikan määrittelyyn; ja iii) integroitu liikenne- ja liikkuvuustietoalusta, johon kootaan eri hallintoviranomaisilta ja ulkoisista lähteistä saatuja tietoja liikenteestä ja liikkuvuudesta. Näin hallinnot voivat optimoida julkisten politiikkojen suunnittelun ja parantaa valmiuksiaan reagoida kriiseihin ja hätätilanteisiin. </w:t>
      </w:r>
    </w:p>
    <w:p w14:paraId="2E45AE45" w14:textId="7B1926D2" w:rsidR="0065073E" w:rsidRDefault="000A0998">
      <w:pPr>
        <w:pStyle w:val="P68B1DB1-Normal4"/>
        <w:spacing w:after="0" w:line="240" w:lineRule="auto"/>
        <w:jc w:val="both"/>
        <w:rPr>
          <w:rFonts w:cs="Times New Roman"/>
          <w:noProof/>
        </w:rPr>
      </w:pPr>
      <w:r>
        <w:rPr>
          <w:noProof/>
        </w:rPr>
        <w:t>Edellä kuvatun uuden lain lisäksi toimenpiteeseen on sisällyttävä a) ohjelmistosovelluksen kehittäminen eri liikennemuotojen infrastruktuuri-investointien kustannus-hyötyanalyysien täytäntöönpanoa varten kestävää liikkuvuutta koskevassa laissa säädetyissä virallisissa menetelmissä esitettyjen kestävyys-, sosiaali- ja ympäristönäkökohtien mukaisesti; ja b) sellaisen kuninkaallisen asetuksen voimaantulo ja julkaiseminen, jolla kehitetään liikennealan toimivaltaan kuuluvan ministeriön organisaatiorakennetta ja jossa määritellään Sandboxin erityistoimivalta.</w:t>
      </w:r>
    </w:p>
    <w:p w14:paraId="3924B57A" w14:textId="77777777" w:rsidR="0065073E" w:rsidRDefault="0065073E">
      <w:pPr>
        <w:spacing w:after="0" w:line="240" w:lineRule="auto"/>
        <w:jc w:val="both"/>
        <w:rPr>
          <w:rFonts w:ascii="Times New Roman" w:hAnsi="Times New Roman" w:cs="Times New Roman"/>
          <w:noProof/>
          <w:sz w:val="24"/>
        </w:rPr>
      </w:pPr>
    </w:p>
    <w:p w14:paraId="1831BE70" w14:textId="2B7F3139" w:rsidR="0065073E" w:rsidRDefault="000A0998">
      <w:pPr>
        <w:pStyle w:val="P68B1DB1-Normal4"/>
        <w:spacing w:after="0" w:line="240" w:lineRule="auto"/>
        <w:jc w:val="both"/>
        <w:rPr>
          <w:rFonts w:cs="Times New Roman"/>
          <w:noProof/>
        </w:rPr>
      </w:pPr>
      <w:r>
        <w:rPr>
          <w:noProof/>
        </w:rPr>
        <w:t>Uudistuksen toteutus on määrä saattaa päätökseen 30. kesäkuuta 2026 mennessä.</w:t>
      </w:r>
    </w:p>
    <w:p w14:paraId="276691B0" w14:textId="65262441" w:rsidR="0065073E" w:rsidRDefault="0065073E">
      <w:pPr>
        <w:spacing w:before="120" w:after="120" w:line="240" w:lineRule="auto"/>
        <w:jc w:val="both"/>
        <w:rPr>
          <w:rFonts w:ascii="Times New Roman" w:hAnsi="Times New Roman" w:cs="Times New Roman"/>
          <w:noProof/>
          <w:sz w:val="24"/>
        </w:rPr>
      </w:pPr>
    </w:p>
    <w:p w14:paraId="69ACC4C4" w14:textId="77777777" w:rsidR="0065073E" w:rsidRDefault="000A0998">
      <w:pPr>
        <w:pStyle w:val="P68B1DB1-Normal5"/>
        <w:spacing w:line="240" w:lineRule="auto"/>
        <w:rPr>
          <w:rFonts w:cs="Times New Roman"/>
          <w:noProof/>
        </w:rPr>
      </w:pPr>
      <w:r>
        <w:rPr>
          <w:noProof/>
        </w:rPr>
        <w:t>Investointi 1 (C1.I1) – Vähäpäästöiset alueet sekä kaupunki- ja suurkaupunkiliikenteen muutos</w:t>
      </w:r>
    </w:p>
    <w:p w14:paraId="10BD2E5A"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edistää liikennepalvelujen kestävää ja digitaalista muutosta, jotta voidaan vähentää yksityisajoneuvojen käyttöä kaupunkiympäristössä 35 prosentilla vuoteen 2030 mennessä. Toimenpiteen on katettava myös kannustimet liikennepalveluja tarjoavien yritysten siirtymiseksi puhtaampiin henkilö- ja tavaraliikenteen kalustoihin. Investoinnin toteuttavat paikallisviranomaiset, itsehallintoalueet ja liikenne-, liikenne- ja kaupunkiagendasta vastaava ministeriö (MITMA). </w:t>
      </w:r>
    </w:p>
    <w:p w14:paraId="08D5899F" w14:textId="5990C230" w:rsidR="0065073E" w:rsidRDefault="000A0998">
      <w:pPr>
        <w:pStyle w:val="P68B1DB1-Normal7"/>
        <w:spacing w:before="120" w:after="120" w:line="240" w:lineRule="auto"/>
        <w:jc w:val="both"/>
        <w:rPr>
          <w:rFonts w:cs="Times New Roman"/>
          <w:noProof/>
          <w:sz w:val="24"/>
        </w:rPr>
      </w:pPr>
      <w:r>
        <w:rPr>
          <w:noProof/>
          <w:sz w:val="24"/>
        </w:rPr>
        <w:t>Investointihankkeet, joita itsehallintoalueet aikovat toteuttaa, voivat koskea a) julkisen liikenteen kaluston muuntaminen puhtaita ajoneuvoja koskevan direktiivin tavoitteiden saavuttamiseksi ja ”ei merkittävää haittaa” -periaatteen</w:t>
      </w:r>
      <w:r>
        <w:rPr>
          <w:noProof/>
          <w:sz w:val="20"/>
        </w:rPr>
        <w:t xml:space="preserve"> </w:t>
      </w:r>
      <w:r>
        <w:rPr>
          <w:noProof/>
          <w:sz w:val="24"/>
        </w:rPr>
        <w:t>mukaisesti (2021/C58/01); b) vähäpäästöisten alueiden täytäntöönpano ja hallinta; C) julkisen liikenteen digitalisointi, sen hallinto ja sen saavutettavuuden parantaminen; toimenpiteet joukkoliikenteen ja aktiivisen liikkuvuuden priorisoimiseksi, mukaan lukien pyöräilyinfrastruktuuri ja jalankulkuväylät; e) kannustaminen uusien päästöttömien teknologioiden yleistymiseen Espanjassa liikenteen alalla; F) näiden kuntien ja provinssien pääkaupunkien ulkopuolella sijaitsevat pysäköintialueet, joilla vähennetään kaupunkikeskukseen saapuvaa liikennettä, ja g) rautatieliikennejärjestelmän (esim. metrot tai rautatiet) laajentaminen tai parantaminen; H) digitalisaatiohankkeet, joilla täydennetään toimenpiteitä kestävän liikkuvuuden tukemiseksi, mukaan lukien reaaliaikaiset tietojärjestelmät julkisista liikennepalveluista, liikkuvuus palveluna, hankkeet intermodaalisen tai palvelujen välisen lipunmyynnin parantamiseksi, liikenteen ja liikkuvuuden hallintaa tukevat hankkeet ja tietojen analysointi liikennejärjestelmän tehokkuuden lisäämiseksi; ja I) mikä tahansa muu hanke, i. edistää ilmanlaadun parantamista erityisesti kaupunkialueilla ii. kannustaa vähentämään yksityisen liikenteen käyttöä kaupunki- ja suurkaupunkialueilla iii. kannustaa julkisen liikenteen käyttöön tai iv) kannustaa aktiiviseen ja terveelliseen liikkuvuuteen.</w:t>
      </w:r>
    </w:p>
    <w:p w14:paraId="0DC7F4CD" w14:textId="7E76A81A" w:rsidR="0065073E" w:rsidRDefault="000A0998">
      <w:pPr>
        <w:pStyle w:val="P68B1DB1-Normal4"/>
        <w:spacing w:before="120" w:after="120" w:line="240" w:lineRule="auto"/>
        <w:jc w:val="both"/>
        <w:rPr>
          <w:rFonts w:cs="Times New Roman"/>
          <w:noProof/>
        </w:rPr>
      </w:pPr>
      <w:r>
        <w:rPr>
          <w:noProof/>
        </w:rPr>
        <w:t xml:space="preserve">Paikallisviranomaisten hankkeiden </w:t>
      </w:r>
      <w:r>
        <w:rPr>
          <w:noProof/>
          <w:shd w:val="clear" w:color="auto" w:fill="FFFFFF" w:themeFill="background1"/>
        </w:rPr>
        <w:t>on koostuttava</w:t>
      </w:r>
      <w:r>
        <w:rPr>
          <w:noProof/>
        </w:rPr>
        <w:t xml:space="preserve"> esimerkiksi seuraavista: a) julkisen liikenteen kaluston muuntaminen puhtaita ajoneuvoja koskevan direktiivin tavoitteiden saavuttamiseksi ja ”ei merkittävää haittaa” -periaatteen mukaisesti (2021/C58/01); b) vähäpäästöisten alueiden täytäntöönpano ja hallinta; C) julkisen liikenteen digitalisointi, sen hallinto ja sen saavutettavuuden parantaminen; ja d) toimenpiteet, joilla kannustetaan ja priorisoidaan joukkoliikennettä ja aktiivista liikkuvuutta </w:t>
      </w:r>
    </w:p>
    <w:p w14:paraId="1EAD0E8C" w14:textId="77777777" w:rsidR="0065073E" w:rsidRDefault="000A0998">
      <w:pPr>
        <w:pStyle w:val="P68B1DB1-Normal4"/>
        <w:spacing w:before="120" w:after="120" w:line="240" w:lineRule="auto"/>
        <w:jc w:val="both"/>
        <w:rPr>
          <w:rFonts w:cs="Times New Roman"/>
          <w:noProof/>
        </w:rPr>
      </w:pPr>
      <w:r>
        <w:rPr>
          <w:noProof/>
        </w:rPr>
        <w:t xml:space="preserve">Tuki myönnetään yli 50000 asukkaan kunnille ja maakuntien pääkaupungeille, ja se voidaan tietyin edellytyksin myöntää myös 20000–50000 asukkaan kunnille. </w:t>
      </w:r>
    </w:p>
    <w:p w14:paraId="24027B18" w14:textId="77777777" w:rsidR="0065073E" w:rsidRDefault="000A0998">
      <w:pPr>
        <w:pStyle w:val="P68B1DB1-Normal4"/>
        <w:spacing w:after="160" w:line="259" w:lineRule="auto"/>
        <w:ind w:left="2"/>
        <w:jc w:val="both"/>
        <w:rPr>
          <w:rFonts w:cs="Times New Roman"/>
          <w:noProof/>
        </w:rPr>
      </w:pPr>
      <w:r>
        <w:rPr>
          <w:noProof/>
        </w:rPr>
        <w:t xml:space="preserve">MITMA-investointihankkeet koskevat sen vastuulla olevien kaupunkiteiden inhimillistämistä ja liikenteen organisointia. Investoinneilla edistetään jalankulkijoiden ja pyöräilijöiden ja muiden uusien liikkumismuotojen (potkulautojen) liikkuvuutta tai vähennetään autotiloja ja vähennetään ajoneuvojen nopeutta, jotta voidaan vähentää sekä ilmaan joutuvia päästöjä että melusaastetta. </w:t>
      </w:r>
    </w:p>
    <w:p w14:paraId="3BB8BED0" w14:textId="77777777" w:rsidR="0065073E" w:rsidRDefault="000A0998">
      <w:pPr>
        <w:pStyle w:val="P68B1DB1-Normal4"/>
        <w:spacing w:after="160" w:line="259" w:lineRule="auto"/>
        <w:ind w:left="2"/>
        <w:jc w:val="both"/>
        <w:rPr>
          <w:rFonts w:cs="Times New Roman"/>
          <w:noProof/>
        </w:rPr>
      </w:pPr>
      <w:r>
        <w:rPr>
          <w:noProof/>
        </w:rPr>
        <w:t xml:space="preserve">Kuljetusyritysten matkustaja- ja rahtikaluston muuttamista koskevat kannustimet koostuvat seuraavista tukilinjoista: a) tuki päästöttömien ja vähäpäästöisten henkilö- ja rahtiajoneuvojen hankintaan; b) tuki hyötyajoneuvojen tankkausinfrastruktuurin käyttöönottoon vaihtoehtoisilla polttoaineilla (sähkö, nesteytetty maakaasu, paineistettu maakaasu ja biometaani); tuki yrityksille perävaunujen ja puoliperävaunujen hankkimiseksi tai mukauttamiseksi intermodaalikuljetuksiin; ja d) tuki yrityksille vanhojen ajoneuvojen romuttamiseen. </w:t>
      </w:r>
    </w:p>
    <w:p w14:paraId="457BA409" w14:textId="77777777" w:rsidR="0065073E" w:rsidRDefault="000A0998">
      <w:pPr>
        <w:pStyle w:val="P68B1DB1-Normal4"/>
        <w:spacing w:after="160" w:line="259" w:lineRule="auto"/>
        <w:ind w:left="2"/>
        <w:jc w:val="both"/>
        <w:rPr>
          <w:rFonts w:cs="Times New Roman"/>
          <w:noProof/>
        </w:rPr>
      </w:pPr>
      <w:r>
        <w:rPr>
          <w:noProof/>
        </w:rPr>
        <w:t>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tukilinjan a) tuki kattaa ainoastaan matalalattiaiset sähkö- ja vetybussit (luokat M2 ja M3, tyypillisesti kaupunki- ja esikaupunkiliikenteen linja-autot); ”korkealattiaiset” linja-autot, mukaan lukien nesteytetty maakaasu/CNG, hybridi-, sähkö- ja vetylinja-autot (luokat M2 ja M3, tyypillisesti kaupunkien väliset linja-autot), jotka ovat Euro VI-E -luokan mukaisia (luokat M2 ja M3, tyypillisesti kaupunkien väliset linja-autot); sekä päästöttömiä, vähäpäästöisiä</w:t>
      </w:r>
      <w:r>
        <w:rPr>
          <w:noProof/>
        </w:rPr>
        <w:footnoteReference w:id="2"/>
      </w:r>
      <w:r>
        <w:rPr>
          <w:noProof/>
        </w:rPr>
        <w:t>ja nesteytettyä maakaasua</w:t>
      </w:r>
      <w:r>
        <w:rPr>
          <w:noProof/>
        </w:rPr>
        <w:footnoteReference w:id="3"/>
      </w:r>
      <w:r>
        <w:rPr>
          <w:noProof/>
        </w:rPr>
        <w:t xml:space="preserve"> ja paineistettua maakaasua käyttäviä kuorma-autoja, joissa käytetään biopolttoaineita, bionesteitä ja biomassapolttoaineita</w:t>
      </w:r>
      <w:r>
        <w:rPr>
          <w:noProof/>
        </w:rPr>
        <w:footnoteReference w:id="4"/>
      </w:r>
      <w:r>
        <w:rPr>
          <w:noProof/>
        </w:rPr>
        <w:t>. Tukikohdan b osalta hyötyajoneuvojen tankkausinfrastruktuurin on täytettävä biopolttoaineita, bionesteitä ja biomassapolttoaineita koskevat ehdot</w:t>
      </w:r>
      <w:r>
        <w:rPr>
          <w:noProof/>
        </w:rPr>
        <w:footnoteReference w:id="5"/>
      </w:r>
      <w:r>
        <w:rPr>
          <w:noProof/>
        </w:rPr>
        <w:t>.</w:t>
      </w:r>
    </w:p>
    <w:p w14:paraId="1D6D1FC1" w14:textId="77777777" w:rsidR="0065073E" w:rsidRDefault="000A0998">
      <w:pPr>
        <w:pStyle w:val="P68B1DB1-Normal4"/>
        <w:spacing w:after="160" w:line="259" w:lineRule="auto"/>
        <w:ind w:left="2"/>
        <w:jc w:val="both"/>
        <w:rPr>
          <w:rFonts w:cs="Times New Roman"/>
          <w:noProof/>
        </w:rPr>
      </w:pPr>
      <w:r>
        <w:rPr>
          <w:noProof/>
        </w:rPr>
        <w:t xml:space="preserve">Valintaperusteilla varmistetaan, että vähintään 310000000 eurolla edistetään ilmastonmuutostavoitteita, joiden ilmastokerroin on 100 prosenttia ja vähintään 2195000000 euroa ja ilmastokerroin 40 prosenttia, elpymis- ja palautumistukivälineestä annetun asetuksen (EU) 2021/241 liitteen VI mukaisesti. </w:t>
      </w:r>
    </w:p>
    <w:p w14:paraId="43F0DAF8" w14:textId="77777777" w:rsidR="0065073E" w:rsidRDefault="000A0998">
      <w:pPr>
        <w:pStyle w:val="P68B1DB1-Normal4"/>
        <w:spacing w:before="120" w:after="120" w:line="240" w:lineRule="auto"/>
        <w:jc w:val="both"/>
        <w:rPr>
          <w:rFonts w:cs="Times New Roman"/>
          <w:noProof/>
        </w:rPr>
      </w:pPr>
      <w:r>
        <w:rPr>
          <w:noProof/>
        </w:rPr>
        <w:t>Tämän toimenpiteen mukaiset investoinnit on toteutettava 31 päivään joulukuuta 2025 mennessä.</w:t>
      </w:r>
    </w:p>
    <w:p w14:paraId="778F7F4E" w14:textId="77777777" w:rsidR="0065073E" w:rsidRDefault="000A0998">
      <w:pPr>
        <w:pStyle w:val="P68B1DB1-Normal5"/>
        <w:spacing w:before="120" w:after="120" w:line="240" w:lineRule="auto"/>
        <w:jc w:val="both"/>
        <w:rPr>
          <w:rFonts w:cs="Times New Roman"/>
          <w:noProof/>
        </w:rPr>
      </w:pPr>
      <w:r>
        <w:rPr>
          <w:noProof/>
        </w:rPr>
        <w:t>Investointi 2 (C1.I2) – Latauspisteiden asentamista, sähkö- ja polttokennoajoneuvojen hankintaa sekä sähköistä liikkuvuutta, latausta ja vihreää vetyä koskeva innovaatiojärjestelmä</w:t>
      </w:r>
    </w:p>
    <w:p w14:paraId="28FDED2F" w14:textId="325FB056" w:rsidR="0065073E" w:rsidRDefault="000A0998">
      <w:pPr>
        <w:pStyle w:val="P68B1DB1-Normal4"/>
        <w:spacing w:before="120" w:after="120" w:line="240" w:lineRule="auto"/>
        <w:jc w:val="both"/>
        <w:rPr>
          <w:rFonts w:cs="Times New Roman"/>
          <w:noProof/>
        </w:rPr>
      </w:pPr>
      <w:r>
        <w:rPr>
          <w:noProof/>
        </w:rPr>
        <w:t>Tällä toimenpiteellä pyritään tukemaan liikenteen vaihtoehtoista energiaa koskevan Espanjan kansallisen kehyksen noudattamista, nopeuttamaan yhdennetyn kansallisen energia- ja ilmastosuunnitelman täytäntöönpanoa ja tukemaan alueellista yhteenkuuluvuutta sähköistämällä liikkuvuutta maaseutualueilla. Investointi on yhdistetty eri tukijärjestelmiin, joilla kannustetaan sähköajoneuvojen ja polttokennoajoneuvojen käyttöönottoon samalla kun kannustetaan yksittäisiin innovaatiohankkeisiin, jotka liittyvät sähköiseen liikkuvuuteen, arvoketjuun ja ajoneuvokannan uudistamiseen yleensä, mukaan lukien vihreän vetyteknologian hyödyntäminen. Investointiin on sisällyttävä myös yleiseen käyttöön tarkoitettujen latausasemien asentaminen asuinalueille ja kansalliseen tieverkkoon. Tukijärjestelmien kohdentamista koskevissa ehdotuspyynnöissä käytettäviin valintaperusteisiin on sisällyttävä seuraavat: I) ympäristövaikutusten vähentäminen, ii) tekninen ja taloudellinen elinkelpoisuus, iii) teknologisen kehityksen ja innovoinnin taso, iv) toistettavuus ja skaalautuvuus, v) hankkeeseen liittyvä työpaikkojen luominen, suorat ja välilliset vaikutukset arvoketjuun ja synergiaan muiden alojen, pääasiassa teollisuuden, kanssa.</w:t>
      </w:r>
    </w:p>
    <w:p w14:paraId="2238E079" w14:textId="00792EB5" w:rsidR="0065073E" w:rsidRDefault="000A0998">
      <w:pPr>
        <w:pStyle w:val="P68B1DB1-Normal4"/>
        <w:spacing w:before="120" w:after="120" w:line="240" w:lineRule="auto"/>
        <w:jc w:val="both"/>
        <w:rPr>
          <w:rFonts w:cs="Times New Roman"/>
          <w:noProof/>
        </w:rPr>
      </w:pPr>
      <w:r>
        <w:rPr>
          <w:noProof/>
        </w:rPr>
        <w:t xml:space="preserve">Tämä investointi on toteutettava 31 päivään joulukuuta 2025 mennessä. </w:t>
      </w:r>
    </w:p>
    <w:p w14:paraId="26190310" w14:textId="77777777" w:rsidR="0065073E" w:rsidRDefault="000A0998">
      <w:pPr>
        <w:pStyle w:val="P68B1DB1-Normal5"/>
        <w:keepNext/>
        <w:spacing w:before="120" w:after="120" w:line="240" w:lineRule="auto"/>
        <w:jc w:val="both"/>
        <w:rPr>
          <w:rFonts w:cs="Times New Roman"/>
          <w:noProof/>
        </w:rPr>
      </w:pPr>
      <w:r>
        <w:rPr>
          <w:noProof/>
        </w:rPr>
        <w:t xml:space="preserve">Investointi 3 (C1.I3) – Toimenpiteet rautatieliikennepalvelujen laadun ja luotettavuuden parantamiseksi </w:t>
      </w:r>
    </w:p>
    <w:p w14:paraId="267B0B95" w14:textId="77777777" w:rsidR="0065073E" w:rsidRDefault="000A0998">
      <w:pPr>
        <w:pStyle w:val="P68B1DB1-Normal4"/>
        <w:keepNext/>
        <w:spacing w:before="120" w:after="120" w:line="240" w:lineRule="auto"/>
        <w:jc w:val="both"/>
        <w:rPr>
          <w:rFonts w:cs="Times New Roman"/>
          <w:noProof/>
        </w:rPr>
      </w:pPr>
      <w:r>
        <w:rPr>
          <w:noProof/>
        </w:rPr>
        <w:t xml:space="preserve">Tämän toimenpiteen tavoitteena on parantaa julkisen lyhyen matkan rautatieverkon (nk. Cercanías) houkuttelevuutta ja saavutettavuutta </w:t>
      </w:r>
      <w:r>
        <w:rPr>
          <w:i/>
          <w:noProof/>
        </w:rPr>
        <w:t>niin</w:t>
      </w:r>
      <w:r>
        <w:rPr>
          <w:noProof/>
        </w:rPr>
        <w:t>, että siitä tulee kaupunkialueiden liikenteen selkäranka ja korvataan yksityisten ajoneuvojen käyttö suurkaupunkialueilla. Hankkeiden toteuttamisesta vastaavat ADIF (rautatieinfrastruktuurin haltija) ja RENFE (julkisen palvelun velvoitteiden alainen rautatieliikenteen harjoittaja).</w:t>
      </w:r>
    </w:p>
    <w:p w14:paraId="2836AAAE" w14:textId="77777777" w:rsidR="0065073E" w:rsidRDefault="000A0998">
      <w:pPr>
        <w:pStyle w:val="P68B1DB1-Normal4"/>
        <w:spacing w:before="120" w:after="120" w:line="240" w:lineRule="auto"/>
        <w:jc w:val="both"/>
        <w:rPr>
          <w:rFonts w:cs="Times New Roman"/>
          <w:noProof/>
        </w:rPr>
      </w:pPr>
      <w:r>
        <w:rPr>
          <w:noProof/>
        </w:rPr>
        <w:t xml:space="preserve">ADIF toteuttaa infrastruktuuri-investointeja </w:t>
      </w:r>
      <w:r>
        <w:rPr>
          <w:i/>
          <w:noProof/>
        </w:rPr>
        <w:t>Cercaníasin</w:t>
      </w:r>
      <w:r>
        <w:rPr>
          <w:noProof/>
        </w:rPr>
        <w:t xml:space="preserve"> rautateillä, mukaan lukien radan uudistaminen, asemien parantaminen sekä sähköistämis- ja merkinantojärjestelmän parannukset. Lisäksi RENFE vastaa julkisen rautatieliikenteen hallinnon nykyaikaistamiseen tehtävien investointien toteuttamisesta. Investointien on kohdistuttava pääasiassa viiteen ulottuvuuteen: a) asemien turvajärjestelmien digitalisointi; b) matkustajien tietojärjestelmät; C) pääsynvalvonnan parantaminen; itsemyyvien koneiden mukauttaminen uusiin teknologioihin; ja e) Cercanías- </w:t>
      </w:r>
      <w:r>
        <w:rPr>
          <w:i/>
          <w:noProof/>
        </w:rPr>
        <w:t>verkon</w:t>
      </w:r>
      <w:r>
        <w:rPr>
          <w:noProof/>
        </w:rPr>
        <w:t xml:space="preserve"> asemilla olevien tilojen varustaminen. </w:t>
      </w:r>
    </w:p>
    <w:p w14:paraId="221B1391" w14:textId="77777777" w:rsidR="0065073E" w:rsidRDefault="000A0998">
      <w:pPr>
        <w:pStyle w:val="P68B1DB1-Normal4"/>
        <w:spacing w:before="120" w:after="120" w:line="240" w:lineRule="auto"/>
        <w:jc w:val="both"/>
        <w:rPr>
          <w:rFonts w:cs="Times New Roman"/>
          <w:noProof/>
        </w:rPr>
      </w:pPr>
      <w:r>
        <w:rPr>
          <w:noProof/>
        </w:rPr>
        <w:t xml:space="preserve">Täytäntöönpano on saatettava päätökseen 30 päivään kesäkuuta 2026 mennessä. </w:t>
      </w:r>
    </w:p>
    <w:p w14:paraId="1195E51F" w14:textId="77777777" w:rsidR="0065073E" w:rsidRDefault="0065073E">
      <w:pPr>
        <w:spacing w:before="120" w:after="120" w:line="240" w:lineRule="auto"/>
        <w:jc w:val="both"/>
        <w:rPr>
          <w:rFonts w:ascii="Times New Roman" w:hAnsi="Times New Roman" w:cs="Times New Roman"/>
          <w:noProof/>
          <w:sz w:val="24"/>
        </w:rPr>
      </w:pPr>
    </w:p>
    <w:p w14:paraId="3C632623" w14:textId="5A815EEC" w:rsidR="0065073E" w:rsidRDefault="000A0998">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A.2.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6DED728A"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02EB378F" w14:textId="77777777" w:rsidR="0065073E" w:rsidRDefault="0065073E">
      <w:pPr>
        <w:spacing w:before="120" w:after="120" w:line="240" w:lineRule="auto"/>
        <w:jc w:val="both"/>
        <w:rPr>
          <w:rFonts w:ascii="Times New Roman" w:hAnsi="Times New Roman" w:cs="Times New Roman"/>
          <w:noProof/>
          <w:sz w:val="24"/>
        </w:rPr>
      </w:pPr>
    </w:p>
    <w:p w14:paraId="6A05A809"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835"/>
        <w:gridCol w:w="833"/>
        <w:gridCol w:w="2914"/>
        <w:gridCol w:w="1111"/>
        <w:gridCol w:w="834"/>
        <w:gridCol w:w="972"/>
        <w:gridCol w:w="728"/>
        <w:gridCol w:w="417"/>
        <w:gridCol w:w="556"/>
        <w:gridCol w:w="5272"/>
      </w:tblGrid>
      <w:tr w:rsidR="0065073E" w14:paraId="1C90EE20" w14:textId="77777777">
        <w:trPr>
          <w:trHeight w:val="309"/>
          <w:tblHeader/>
        </w:trPr>
        <w:tc>
          <w:tcPr>
            <w:tcW w:w="709" w:type="dxa"/>
            <w:tcBorders>
              <w:bottom w:val="nil"/>
            </w:tcBorders>
            <w:shd w:val="clear" w:color="auto" w:fill="C6D9F1" w:themeFill="text2" w:themeFillTint="33"/>
            <w:noWrap/>
            <w:vAlign w:val="center"/>
          </w:tcPr>
          <w:p w14:paraId="616C3DC1"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108A00CA"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194CF989"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977" w:type="dxa"/>
            <w:tcBorders>
              <w:bottom w:val="nil"/>
            </w:tcBorders>
            <w:shd w:val="clear" w:color="auto" w:fill="C6D9F1" w:themeFill="text2" w:themeFillTint="33"/>
            <w:noWrap/>
            <w:vAlign w:val="center"/>
          </w:tcPr>
          <w:p w14:paraId="390DC06E" w14:textId="77777777" w:rsidR="0065073E" w:rsidRDefault="000A0998">
            <w:pPr>
              <w:pStyle w:val="P68B1DB1-Normal8"/>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5F9C169F"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268" w:type="dxa"/>
            <w:gridSpan w:val="3"/>
            <w:shd w:val="clear" w:color="auto" w:fill="C6D9F1" w:themeFill="text2" w:themeFillTint="33"/>
            <w:noWrap/>
            <w:vAlign w:val="center"/>
          </w:tcPr>
          <w:p w14:paraId="021CC9BA"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257390A1" w14:textId="77777777" w:rsidR="0065073E" w:rsidRDefault="000A0998">
            <w:pPr>
              <w:pStyle w:val="P68B1DB1-Normal8"/>
              <w:spacing w:after="0" w:line="240" w:lineRule="auto"/>
              <w:jc w:val="center"/>
              <w:rPr>
                <w:rFonts w:cs="Times New Roman"/>
                <w:noProof/>
              </w:rPr>
            </w:pPr>
            <w:r>
              <w:rPr>
                <w:noProof/>
              </w:rPr>
              <w:t>Aika</w:t>
            </w:r>
          </w:p>
        </w:tc>
        <w:tc>
          <w:tcPr>
            <w:tcW w:w="5387" w:type="dxa"/>
            <w:tcBorders>
              <w:bottom w:val="nil"/>
            </w:tcBorders>
            <w:shd w:val="clear" w:color="auto" w:fill="C6D9F1" w:themeFill="text2" w:themeFillTint="33"/>
            <w:noWrap/>
            <w:vAlign w:val="center"/>
          </w:tcPr>
          <w:p w14:paraId="5D8042D6"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32FCF7DB" w14:textId="77777777">
        <w:trPr>
          <w:trHeight w:val="309"/>
          <w:tblHeader/>
        </w:trPr>
        <w:tc>
          <w:tcPr>
            <w:tcW w:w="709" w:type="dxa"/>
            <w:tcBorders>
              <w:top w:val="nil"/>
            </w:tcBorders>
            <w:shd w:val="clear" w:color="auto" w:fill="C6D9F1" w:themeFill="text2" w:themeFillTint="33"/>
            <w:noWrap/>
          </w:tcPr>
          <w:p w14:paraId="7F0C080E"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B9DF767"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628D6B3" w14:textId="77777777" w:rsidR="0065073E" w:rsidRDefault="0065073E">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27C17848" w14:textId="77777777" w:rsidR="0065073E" w:rsidRDefault="0065073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430212C" w14:textId="77777777" w:rsidR="0065073E" w:rsidRDefault="0065073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0575659C"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tcPr>
          <w:p w14:paraId="03C7D63C" w14:textId="3EB3D036" w:rsidR="0065073E" w:rsidRDefault="000A0998">
            <w:pPr>
              <w:pStyle w:val="P68B1DB1-Normal8"/>
              <w:spacing w:after="0" w:line="240" w:lineRule="auto"/>
              <w:jc w:val="center"/>
              <w:rPr>
                <w:rFonts w:cs="Times New Roman"/>
                <w:noProof/>
              </w:rPr>
            </w:pPr>
            <w:r>
              <w:rPr>
                <w:noProof/>
              </w:rPr>
              <w:t>Lähtötaso</w:t>
            </w:r>
          </w:p>
        </w:tc>
        <w:tc>
          <w:tcPr>
            <w:tcW w:w="742" w:type="dxa"/>
            <w:shd w:val="clear" w:color="auto" w:fill="C6D9F1" w:themeFill="text2" w:themeFillTint="33"/>
            <w:noWrap/>
          </w:tcPr>
          <w:p w14:paraId="247276FE" w14:textId="77777777" w:rsidR="0065073E" w:rsidRDefault="000A0998">
            <w:pPr>
              <w:pStyle w:val="P68B1DB1-Normal8"/>
              <w:spacing w:after="0" w:line="240" w:lineRule="auto"/>
              <w:jc w:val="center"/>
              <w:rPr>
                <w:rFonts w:cs="Times New Roman"/>
                <w:noProof/>
              </w:rPr>
            </w:pPr>
            <w:r>
              <w:rPr>
                <w:noProof/>
              </w:rPr>
              <w:t>Päämäärä</w:t>
            </w:r>
          </w:p>
        </w:tc>
        <w:tc>
          <w:tcPr>
            <w:tcW w:w="425" w:type="dxa"/>
            <w:shd w:val="clear" w:color="auto" w:fill="C6D9F1" w:themeFill="text2" w:themeFillTint="33"/>
            <w:noWrap/>
          </w:tcPr>
          <w:p w14:paraId="564BB4C8"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31633393" w14:textId="77777777" w:rsidR="0065073E" w:rsidRDefault="000A0998">
            <w:pPr>
              <w:pStyle w:val="P68B1DB1-Normal8"/>
              <w:spacing w:after="0" w:line="240" w:lineRule="auto"/>
              <w:jc w:val="center"/>
              <w:rPr>
                <w:rFonts w:cs="Times New Roman"/>
                <w:noProof/>
              </w:rPr>
            </w:pPr>
            <w:r>
              <w:rPr>
                <w:noProof/>
              </w:rPr>
              <w:t>Vuosi</w:t>
            </w:r>
          </w:p>
        </w:tc>
        <w:tc>
          <w:tcPr>
            <w:tcW w:w="5387" w:type="dxa"/>
            <w:tcBorders>
              <w:top w:val="nil"/>
            </w:tcBorders>
            <w:shd w:val="clear" w:color="auto" w:fill="C6D9F1" w:themeFill="text2" w:themeFillTint="33"/>
            <w:noWrap/>
          </w:tcPr>
          <w:p w14:paraId="45BE5CDA" w14:textId="77777777" w:rsidR="0065073E" w:rsidRDefault="0065073E">
            <w:pPr>
              <w:spacing w:after="0" w:line="240" w:lineRule="auto"/>
              <w:rPr>
                <w:rFonts w:ascii="Times New Roman" w:hAnsi="Times New Roman" w:cs="Times New Roman"/>
                <w:b/>
                <w:noProof/>
                <w:sz w:val="18"/>
              </w:rPr>
            </w:pPr>
          </w:p>
        </w:tc>
      </w:tr>
      <w:tr w:rsidR="0065073E" w14:paraId="22538EF1" w14:textId="77777777">
        <w:trPr>
          <w:trHeight w:val="309"/>
        </w:trPr>
        <w:tc>
          <w:tcPr>
            <w:tcW w:w="709" w:type="dxa"/>
            <w:shd w:val="clear" w:color="auto" w:fill="C6EFCE"/>
            <w:noWrap/>
          </w:tcPr>
          <w:p w14:paraId="2DBD4C2D" w14:textId="77777777" w:rsidR="0065073E" w:rsidRDefault="000A0998">
            <w:pPr>
              <w:pStyle w:val="P68B1DB1-Normal12"/>
              <w:spacing w:after="0" w:line="240" w:lineRule="auto"/>
              <w:jc w:val="center"/>
              <w:rPr>
                <w:rFonts w:eastAsia="MS Mincho" w:cs="Times New Roman"/>
                <w:noProof/>
              </w:rPr>
            </w:pPr>
            <w:r>
              <w:rPr>
                <w:noProof/>
              </w:rPr>
              <w:t>1</w:t>
            </w:r>
          </w:p>
        </w:tc>
        <w:tc>
          <w:tcPr>
            <w:tcW w:w="851" w:type="dxa"/>
            <w:shd w:val="clear" w:color="auto" w:fill="C6EFCE"/>
            <w:noWrap/>
          </w:tcPr>
          <w:p w14:paraId="522015FD" w14:textId="77777777" w:rsidR="0065073E" w:rsidRDefault="000A0998">
            <w:pPr>
              <w:pStyle w:val="P68B1DB1-Normal12"/>
              <w:spacing w:after="0" w:line="240" w:lineRule="auto"/>
              <w:jc w:val="center"/>
              <w:rPr>
                <w:rFonts w:eastAsia="MS Mincho" w:cs="Times New Roman"/>
                <w:noProof/>
              </w:rPr>
            </w:pPr>
            <w:r>
              <w:rPr>
                <w:noProof/>
              </w:rPr>
              <w:t>C1.R1</w:t>
            </w:r>
          </w:p>
        </w:tc>
        <w:tc>
          <w:tcPr>
            <w:tcW w:w="850" w:type="dxa"/>
            <w:shd w:val="clear" w:color="auto" w:fill="C6EFCE"/>
            <w:noWrap/>
          </w:tcPr>
          <w:p w14:paraId="33F87B3B" w14:textId="77777777" w:rsidR="0065073E" w:rsidRDefault="000A0998">
            <w:pPr>
              <w:pStyle w:val="P68B1DB1-Normal12"/>
              <w:spacing w:after="0" w:line="240" w:lineRule="auto"/>
              <w:jc w:val="center"/>
              <w:rPr>
                <w:rFonts w:eastAsia="MS Mincho" w:cs="Times New Roman"/>
                <w:noProof/>
              </w:rPr>
            </w:pPr>
            <w:r>
              <w:rPr>
                <w:noProof/>
              </w:rPr>
              <w:t>M</w:t>
            </w:r>
          </w:p>
        </w:tc>
        <w:tc>
          <w:tcPr>
            <w:tcW w:w="2977" w:type="dxa"/>
            <w:shd w:val="clear" w:color="auto" w:fill="C6EFCE"/>
            <w:noWrap/>
          </w:tcPr>
          <w:p w14:paraId="5E9C449F" w14:textId="77777777" w:rsidR="0065073E" w:rsidRDefault="000A0998">
            <w:pPr>
              <w:pStyle w:val="P68B1DB1-Normal12"/>
              <w:spacing w:after="0" w:line="240" w:lineRule="auto"/>
              <w:rPr>
                <w:rFonts w:eastAsia="MS Mincho" w:cs="Times New Roman"/>
                <w:noProof/>
              </w:rPr>
            </w:pPr>
            <w:r>
              <w:rPr>
                <w:noProof/>
              </w:rPr>
              <w:t>Määräys TMA/178/2020 ja kuninkaan asetus 23/2020</w:t>
            </w:r>
          </w:p>
        </w:tc>
        <w:tc>
          <w:tcPr>
            <w:tcW w:w="1134" w:type="dxa"/>
            <w:shd w:val="clear" w:color="auto" w:fill="C6EFCE"/>
            <w:noWrap/>
          </w:tcPr>
          <w:p w14:paraId="2C017ED3" w14:textId="77777777" w:rsidR="0065073E" w:rsidRDefault="000A0998">
            <w:pPr>
              <w:pStyle w:val="P68B1DB1-Normal12"/>
              <w:spacing w:after="0" w:line="240" w:lineRule="auto"/>
              <w:jc w:val="center"/>
              <w:rPr>
                <w:rFonts w:eastAsia="MS Mincho" w:cs="Times New Roman"/>
                <w:noProof/>
              </w:rPr>
            </w:pPr>
            <w:r>
              <w:rPr>
                <w:noProof/>
              </w:rPr>
              <w:t xml:space="preserve">Määräykseen ja kuninkaan asetukseen sisältyvä säännös, josta käy ilmi niiden voimaantulo </w:t>
            </w:r>
          </w:p>
        </w:tc>
        <w:tc>
          <w:tcPr>
            <w:tcW w:w="851" w:type="dxa"/>
            <w:shd w:val="clear" w:color="auto" w:fill="C6EFCE"/>
            <w:noWrap/>
          </w:tcPr>
          <w:p w14:paraId="506B302E"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3B243226"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42" w:type="dxa"/>
            <w:shd w:val="clear" w:color="auto" w:fill="C6EFCE"/>
            <w:noWrap/>
          </w:tcPr>
          <w:p w14:paraId="76A4A2AF"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25020D56"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5AC65629" w14:textId="77777777" w:rsidR="0065073E" w:rsidRDefault="000A0998">
            <w:pPr>
              <w:pStyle w:val="P68B1DB1-Normal12"/>
              <w:spacing w:after="0" w:line="240" w:lineRule="auto"/>
              <w:jc w:val="center"/>
              <w:rPr>
                <w:rFonts w:eastAsia="MS Mincho" w:cs="Times New Roman"/>
                <w:noProof/>
              </w:rPr>
            </w:pPr>
            <w:r>
              <w:rPr>
                <w:noProof/>
              </w:rPr>
              <w:t>2020</w:t>
            </w:r>
          </w:p>
        </w:tc>
        <w:tc>
          <w:tcPr>
            <w:tcW w:w="5387" w:type="dxa"/>
            <w:shd w:val="clear" w:color="auto" w:fill="C6EFCE"/>
            <w:noWrap/>
          </w:tcPr>
          <w:p w14:paraId="05E44C66" w14:textId="44018555" w:rsidR="0065073E" w:rsidRDefault="000A0998">
            <w:pPr>
              <w:pStyle w:val="P68B1DB1-Normal12"/>
              <w:spacing w:after="0" w:line="240" w:lineRule="auto"/>
              <w:rPr>
                <w:rFonts w:eastAsia="MS Mincho" w:cs="Times New Roman"/>
                <w:noProof/>
              </w:rPr>
            </w:pPr>
            <w:r>
              <w:rPr>
                <w:noProof/>
              </w:rPr>
              <w:t>Voimaan tulee i) määräys TMA/178/2020 sähkölatauspaikkojen asentamiseen polttoainehuoltoasemille liittyvän hallinnollisen taakan keventämisestä ja infrastruktuurin hävittämiseen tarvittavan ajan määrittelemisestä, ii) 23 päivänä kesäkuuta 2020 annettu kuninkaan asetus 23/2020, jolla julistetaan yli 250 kW:n teholtaan yli 250 kW:n latausinfrastruktuuri julkiseksi palveluinfrastruktuuriksi tämäntyyppisten järjestelmien käyttöönoton nopeuttamiseksi.</w:t>
            </w:r>
          </w:p>
        </w:tc>
      </w:tr>
      <w:tr w:rsidR="0065073E" w14:paraId="197A472F" w14:textId="77777777">
        <w:trPr>
          <w:trHeight w:val="309"/>
        </w:trPr>
        <w:tc>
          <w:tcPr>
            <w:tcW w:w="709" w:type="dxa"/>
            <w:shd w:val="clear" w:color="auto" w:fill="C6EFCE"/>
            <w:noWrap/>
          </w:tcPr>
          <w:p w14:paraId="7A9F7BA1" w14:textId="77777777" w:rsidR="0065073E" w:rsidRDefault="000A0998">
            <w:pPr>
              <w:pStyle w:val="P68B1DB1-Normal12"/>
              <w:spacing w:after="0" w:line="240" w:lineRule="auto"/>
              <w:jc w:val="center"/>
              <w:rPr>
                <w:rFonts w:eastAsia="MS Mincho" w:cs="Times New Roman"/>
                <w:noProof/>
              </w:rPr>
            </w:pPr>
            <w:r>
              <w:rPr>
                <w:noProof/>
              </w:rPr>
              <w:t>2</w:t>
            </w:r>
          </w:p>
        </w:tc>
        <w:tc>
          <w:tcPr>
            <w:tcW w:w="851" w:type="dxa"/>
            <w:shd w:val="clear" w:color="auto" w:fill="C6EFCE"/>
            <w:noWrap/>
          </w:tcPr>
          <w:p w14:paraId="5356C5A6" w14:textId="77777777" w:rsidR="0065073E" w:rsidRDefault="000A0998">
            <w:pPr>
              <w:pStyle w:val="P68B1DB1-Normal12"/>
              <w:spacing w:after="0" w:line="240" w:lineRule="auto"/>
              <w:jc w:val="center"/>
              <w:rPr>
                <w:rFonts w:eastAsia="MS Mincho" w:cs="Times New Roman"/>
                <w:noProof/>
              </w:rPr>
            </w:pPr>
            <w:r>
              <w:rPr>
                <w:noProof/>
              </w:rPr>
              <w:t>C1.R1</w:t>
            </w:r>
          </w:p>
        </w:tc>
        <w:tc>
          <w:tcPr>
            <w:tcW w:w="850" w:type="dxa"/>
            <w:shd w:val="clear" w:color="auto" w:fill="C6EFCE"/>
            <w:noWrap/>
          </w:tcPr>
          <w:p w14:paraId="42E95C61" w14:textId="77777777" w:rsidR="0065073E" w:rsidRDefault="000A0998">
            <w:pPr>
              <w:pStyle w:val="P68B1DB1-Normal12"/>
              <w:spacing w:after="0" w:line="240" w:lineRule="auto"/>
              <w:jc w:val="center"/>
              <w:rPr>
                <w:rFonts w:eastAsia="MS Mincho" w:cs="Times New Roman"/>
                <w:noProof/>
              </w:rPr>
            </w:pPr>
            <w:r>
              <w:rPr>
                <w:noProof/>
              </w:rPr>
              <w:t>M</w:t>
            </w:r>
          </w:p>
        </w:tc>
        <w:tc>
          <w:tcPr>
            <w:tcW w:w="2977" w:type="dxa"/>
            <w:shd w:val="clear" w:color="auto" w:fill="C6EFCE"/>
            <w:noWrap/>
          </w:tcPr>
          <w:p w14:paraId="0D89BE5F" w14:textId="0964F4D6" w:rsidR="0065073E" w:rsidRDefault="000A0998">
            <w:pPr>
              <w:pStyle w:val="P68B1DB1-Normal12"/>
              <w:spacing w:after="0" w:line="240" w:lineRule="auto"/>
              <w:rPr>
                <w:rFonts w:eastAsia="MS Mincho" w:cs="Times New Roman"/>
                <w:noProof/>
              </w:rPr>
            </w:pPr>
            <w:r>
              <w:rPr>
                <w:noProof/>
              </w:rPr>
              <w:t>Muutokset tekniseen rakennuslakiin (vahvistetaan myöhemmin), pienjännitesähkötekniseen asetukseen (LVER) ja julkisia latauspalveluja koskevan kuninkaan asetuksen hyväksyminen</w:t>
            </w:r>
          </w:p>
        </w:tc>
        <w:tc>
          <w:tcPr>
            <w:tcW w:w="1134" w:type="dxa"/>
            <w:shd w:val="clear" w:color="auto" w:fill="C6EFCE"/>
            <w:noWrap/>
          </w:tcPr>
          <w:p w14:paraId="785900C6" w14:textId="77777777" w:rsidR="0065073E" w:rsidRDefault="000A0998">
            <w:pPr>
              <w:pStyle w:val="P68B1DB1-Normal12"/>
              <w:spacing w:after="0" w:line="240" w:lineRule="auto"/>
              <w:jc w:val="center"/>
              <w:rPr>
                <w:rFonts w:eastAsia="MS Mincho" w:cs="Times New Roman"/>
                <w:noProof/>
              </w:rPr>
            </w:pPr>
            <w:r>
              <w:rPr>
                <w:noProof/>
              </w:rPr>
              <w:t xml:space="preserve">Koodeksin, asetuksen ja kuninkaan asetuksen säännös, josta käy ilmi niiden voimaantulo </w:t>
            </w:r>
          </w:p>
        </w:tc>
        <w:tc>
          <w:tcPr>
            <w:tcW w:w="851" w:type="dxa"/>
            <w:shd w:val="clear" w:color="auto" w:fill="C6EFCE"/>
            <w:noWrap/>
          </w:tcPr>
          <w:p w14:paraId="097FA9F6"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01A809EE"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42" w:type="dxa"/>
            <w:shd w:val="clear" w:color="auto" w:fill="C6EFCE"/>
            <w:noWrap/>
          </w:tcPr>
          <w:p w14:paraId="26918E7C"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3913E62B"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4B71CAA9" w14:textId="77777777" w:rsidR="0065073E" w:rsidRDefault="000A0998">
            <w:pPr>
              <w:pStyle w:val="P68B1DB1-Normal12"/>
              <w:spacing w:after="0" w:line="240" w:lineRule="auto"/>
              <w:jc w:val="center"/>
              <w:rPr>
                <w:rFonts w:eastAsia="MS Mincho" w:cs="Times New Roman"/>
                <w:noProof/>
              </w:rPr>
            </w:pPr>
            <w:r>
              <w:rPr>
                <w:noProof/>
              </w:rPr>
              <w:t>2022</w:t>
            </w:r>
          </w:p>
        </w:tc>
        <w:tc>
          <w:tcPr>
            <w:tcW w:w="5387" w:type="dxa"/>
            <w:shd w:val="clear" w:color="auto" w:fill="C6EFCE"/>
            <w:noWrap/>
          </w:tcPr>
          <w:p w14:paraId="67789F0B" w14:textId="77777777" w:rsidR="0065073E" w:rsidRDefault="000A0998">
            <w:pPr>
              <w:spacing w:after="0" w:line="240" w:lineRule="auto"/>
              <w:rPr>
                <w:rFonts w:ascii="Times New Roman" w:eastAsia="MS Mincho" w:hAnsi="Times New Roman" w:cs="Times New Roman"/>
                <w:noProof/>
                <w:sz w:val="18"/>
              </w:rPr>
            </w:pPr>
            <w:r>
              <w:rPr>
                <w:rFonts w:ascii="Times New Roman" w:hAnsi="Times New Roman"/>
                <w:noProof/>
                <w:sz w:val="18"/>
              </w:rPr>
              <w:t>Seuraavien säädösten voimaantulo:</w:t>
            </w:r>
            <w:r>
              <w:rPr>
                <w:noProof/>
              </w:rPr>
              <w:t xml:space="preserve"> </w:t>
            </w:r>
            <w:r>
              <w:rPr>
                <w:noProof/>
              </w:rPr>
              <w:br/>
            </w:r>
            <w:r>
              <w:rPr>
                <w:rFonts w:ascii="Times New Roman" w:hAnsi="Times New Roman"/>
                <w:noProof/>
                <w:sz w:val="18"/>
              </w:rPr>
              <w:t>I) teknisen rakennuskoodeksin muuttaminen (vahvistetaan myöhemmin) siten, että siinä säädetään a) velvoitteesta tarjota latauspisteiden esiasennus asuinrakennusten 100 prosenttiin uusista pysäköintipaikoista ja 20 prosenttiin uusista pysäköintipaikoista liikerakennuksissa ja muissa rakennuksissa, b) asentaa yksi latauspiste jokaista 40:tä uutta pysäköintipaikkaa kohti (ja yksi jokaista 20:tä valtionhallinnon rakennusten pysäköintipaikkaa kohti) ja c) velvoite, joka koskee aiemmin olemassa olevia, yli 20 pysäköintipaikkaa olevia muita kuin asuinpysäköintipaikkoja, jotta ne voivat mukautua edellä mainittuun vaatimukseen (eli yhden latauspisteen asentaminen jokaista 40 pysäköintipaikkaa kohti) vuoteen 2023 mennessä;</w:t>
            </w:r>
            <w:r>
              <w:rPr>
                <w:noProof/>
              </w:rPr>
              <w:t xml:space="preserve"> </w:t>
            </w:r>
            <w:r>
              <w:rPr>
                <w:noProof/>
              </w:rPr>
              <w:br/>
            </w:r>
            <w:r>
              <w:rPr>
                <w:rFonts w:ascii="Times New Roman" w:hAnsi="Times New Roman"/>
                <w:noProof/>
                <w:sz w:val="18"/>
              </w:rPr>
              <w:t>II) pienjännitesähköteknisen asetuksen (LVER) muuttaminen siten, että siihen sisällytetään velvoitteet, jotka koskevat sellaisten pysäköintialueiden latausinfrastruktuuria, jotka eivät ole yhteydessä rakennukseen, ja</w:t>
            </w:r>
            <w:r>
              <w:rPr>
                <w:noProof/>
              </w:rPr>
              <w:t xml:space="preserve"> </w:t>
            </w:r>
            <w:r>
              <w:rPr>
                <w:noProof/>
              </w:rPr>
              <w:br/>
            </w:r>
            <w:r>
              <w:rPr>
                <w:rFonts w:ascii="Times New Roman" w:hAnsi="Times New Roman"/>
                <w:noProof/>
                <w:sz w:val="18"/>
              </w:rPr>
              <w:t>III) kuninkaallinen asetus julkisten latauspalvelujen sääntelystä, mukaan lukien palvelun tarjoamiseen osallistuvien henkilöiden (latauspisteiden ylläpitäjät, sähköisen liikkumisen palvelujen tarjoajat) suhde ja niiden oikeuksien ja velvollisuuksien vahvistaminen</w:t>
            </w:r>
          </w:p>
        </w:tc>
      </w:tr>
      <w:tr w:rsidR="0065073E" w14:paraId="6BCD592A" w14:textId="77777777">
        <w:trPr>
          <w:trHeight w:val="309"/>
        </w:trPr>
        <w:tc>
          <w:tcPr>
            <w:tcW w:w="709" w:type="dxa"/>
            <w:shd w:val="clear" w:color="auto" w:fill="C6EFCE"/>
            <w:noWrap/>
          </w:tcPr>
          <w:p w14:paraId="030995EB" w14:textId="77777777" w:rsidR="0065073E" w:rsidRDefault="000A0998">
            <w:pPr>
              <w:pStyle w:val="P68B1DB1-Normal12"/>
              <w:spacing w:after="0" w:line="240" w:lineRule="auto"/>
              <w:jc w:val="center"/>
              <w:rPr>
                <w:rFonts w:eastAsia="MS Mincho" w:cs="Times New Roman"/>
                <w:noProof/>
              </w:rPr>
            </w:pPr>
            <w:r>
              <w:rPr>
                <w:noProof/>
              </w:rPr>
              <w:t>3</w:t>
            </w:r>
          </w:p>
        </w:tc>
        <w:tc>
          <w:tcPr>
            <w:tcW w:w="851" w:type="dxa"/>
            <w:shd w:val="clear" w:color="auto" w:fill="C6EFCE"/>
            <w:noWrap/>
          </w:tcPr>
          <w:p w14:paraId="21C9028F" w14:textId="77777777" w:rsidR="0065073E" w:rsidRDefault="000A0998">
            <w:pPr>
              <w:pStyle w:val="P68B1DB1-Normal12"/>
              <w:spacing w:after="0" w:line="240" w:lineRule="auto"/>
              <w:jc w:val="center"/>
              <w:rPr>
                <w:rFonts w:eastAsia="MS Mincho" w:cs="Times New Roman"/>
                <w:noProof/>
              </w:rPr>
            </w:pPr>
            <w:r>
              <w:rPr>
                <w:noProof/>
              </w:rPr>
              <w:t>C1.R2</w:t>
            </w:r>
          </w:p>
        </w:tc>
        <w:tc>
          <w:tcPr>
            <w:tcW w:w="850" w:type="dxa"/>
            <w:shd w:val="clear" w:color="auto" w:fill="C6EFCE"/>
            <w:noWrap/>
          </w:tcPr>
          <w:p w14:paraId="3773E58B" w14:textId="77777777" w:rsidR="0065073E" w:rsidRDefault="000A0998">
            <w:pPr>
              <w:pStyle w:val="P68B1DB1-Normal12"/>
              <w:spacing w:after="0" w:line="240" w:lineRule="auto"/>
              <w:jc w:val="center"/>
              <w:rPr>
                <w:rFonts w:eastAsia="MS Mincho" w:cs="Times New Roman"/>
                <w:noProof/>
              </w:rPr>
            </w:pPr>
            <w:r>
              <w:rPr>
                <w:noProof/>
              </w:rPr>
              <w:t>M</w:t>
            </w:r>
          </w:p>
        </w:tc>
        <w:tc>
          <w:tcPr>
            <w:tcW w:w="2977" w:type="dxa"/>
            <w:shd w:val="clear" w:color="auto" w:fill="C6EFCE"/>
            <w:noWrap/>
          </w:tcPr>
          <w:p w14:paraId="7439DBD0" w14:textId="0111645A" w:rsidR="0065073E" w:rsidRDefault="000A0998">
            <w:pPr>
              <w:pStyle w:val="P68B1DB1-Normal12"/>
              <w:spacing w:after="0" w:line="240" w:lineRule="auto"/>
              <w:rPr>
                <w:rFonts w:eastAsia="MS Mincho" w:cs="Times New Roman"/>
                <w:noProof/>
              </w:rPr>
            </w:pPr>
            <w:r>
              <w:rPr>
                <w:noProof/>
              </w:rPr>
              <w:t xml:space="preserve">Kestävää liikkuvuutta koskevan lain hyväksyminen </w:t>
            </w:r>
          </w:p>
        </w:tc>
        <w:tc>
          <w:tcPr>
            <w:tcW w:w="1134" w:type="dxa"/>
            <w:shd w:val="clear" w:color="auto" w:fill="C6EFCE"/>
            <w:noWrap/>
          </w:tcPr>
          <w:p w14:paraId="6AB29DFD" w14:textId="77777777" w:rsidR="0065073E" w:rsidRDefault="000A0998">
            <w:pPr>
              <w:pStyle w:val="P68B1DB1-Normal12"/>
              <w:spacing w:after="0" w:line="240" w:lineRule="auto"/>
              <w:jc w:val="center"/>
              <w:rPr>
                <w:rFonts w:eastAsia="MS Mincho" w:cs="Times New Roman"/>
                <w:noProof/>
              </w:rPr>
            </w:pPr>
            <w:r>
              <w:rPr>
                <w:noProof/>
              </w:rPr>
              <w:t>Lain voimaantuloon viittaava säännös</w:t>
            </w:r>
          </w:p>
        </w:tc>
        <w:tc>
          <w:tcPr>
            <w:tcW w:w="851" w:type="dxa"/>
            <w:shd w:val="clear" w:color="auto" w:fill="C6EFCE"/>
            <w:noWrap/>
          </w:tcPr>
          <w:p w14:paraId="6163F49C"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52ABEE9F"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42" w:type="dxa"/>
            <w:shd w:val="clear" w:color="auto" w:fill="C6EFCE"/>
            <w:noWrap/>
          </w:tcPr>
          <w:p w14:paraId="28EE1D7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51ECE739"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086F47C2" w14:textId="1343836D" w:rsidR="0065073E" w:rsidRDefault="000A0998">
            <w:pPr>
              <w:pStyle w:val="P68B1DB1-Normal12"/>
              <w:spacing w:after="0" w:line="240" w:lineRule="auto"/>
              <w:jc w:val="center"/>
              <w:rPr>
                <w:rFonts w:eastAsia="MS Mincho" w:cs="Times New Roman"/>
                <w:noProof/>
              </w:rPr>
            </w:pPr>
            <w:r>
              <w:rPr>
                <w:noProof/>
              </w:rPr>
              <w:t>2024</w:t>
            </w:r>
          </w:p>
        </w:tc>
        <w:tc>
          <w:tcPr>
            <w:tcW w:w="5387" w:type="dxa"/>
            <w:shd w:val="clear" w:color="auto" w:fill="C6EFCE"/>
            <w:noWrap/>
          </w:tcPr>
          <w:p w14:paraId="76486FD9" w14:textId="2780E8EF" w:rsidR="0065073E" w:rsidRDefault="000A0998">
            <w:pPr>
              <w:pStyle w:val="P68B1DB1-Normal12"/>
              <w:spacing w:after="0" w:line="240" w:lineRule="auto"/>
              <w:rPr>
                <w:rFonts w:cs="Times New Roman"/>
                <w:noProof/>
              </w:rPr>
            </w:pPr>
            <w:r>
              <w:rPr>
                <w:noProof/>
              </w:rPr>
              <w:t>Kestävää liikkuvuutta koskevan lain voimaantulo, jolla parannetaan julkisen liikenteen politiikan suunnittelua, koordinointia ja tehokkuutta sekä tuetaan liikenteen digitalisointia ja julkisen liikenteen käyttöä.  Siihen sisältyy myös erityistoimenpiteitä, joilla edistetään rautateiden tavaraliikennettä, jolla edistetään maarahtiliikenteen maailmanlaajuisten päästöjen vähentämistä, mukaan lukien</w:t>
            </w:r>
          </w:p>
          <w:p w14:paraId="4D910211" w14:textId="145DEA7E" w:rsidR="0065073E" w:rsidRDefault="0065073E">
            <w:pPr>
              <w:spacing w:after="0" w:line="240" w:lineRule="auto"/>
              <w:rPr>
                <w:rFonts w:ascii="Times New Roman" w:hAnsi="Times New Roman" w:cs="Times New Roman"/>
                <w:noProof/>
                <w:sz w:val="18"/>
              </w:rPr>
            </w:pPr>
          </w:p>
          <w:p w14:paraId="4393133D" w14:textId="056F8717" w:rsidR="0065073E" w:rsidRDefault="000A0998">
            <w:pPr>
              <w:pStyle w:val="P68B1DB1-ListParagraph13"/>
              <w:numPr>
                <w:ilvl w:val="0"/>
                <w:numId w:val="4"/>
              </w:numPr>
              <w:spacing w:after="0" w:line="240" w:lineRule="auto"/>
              <w:rPr>
                <w:rFonts w:eastAsia="Times New Roman" w:cs="Times New Roman"/>
                <w:noProof/>
              </w:rPr>
            </w:pPr>
            <w:r>
              <w:rPr>
                <w:noProof/>
              </w:rPr>
              <w:t>Velvollisuus laatia ohjelma moottoriteiden toteuttamiseksi niillä liikennekäytävillä, joilla se on elinkelpoinen ja joilla sen kehittäminen on liiketoiminnallista etua.</w:t>
            </w:r>
          </w:p>
          <w:p w14:paraId="7E82E417" w14:textId="3F60EBCC" w:rsidR="0065073E" w:rsidRDefault="000A0998">
            <w:pPr>
              <w:pStyle w:val="P68B1DB1-ListParagraph13"/>
              <w:numPr>
                <w:ilvl w:val="0"/>
                <w:numId w:val="4"/>
              </w:numPr>
              <w:spacing w:after="0" w:line="240" w:lineRule="auto"/>
              <w:rPr>
                <w:rFonts w:eastAsia="Times New Roman" w:cs="Times New Roman"/>
                <w:noProof/>
              </w:rPr>
            </w:pPr>
            <w:r>
              <w:rPr>
                <w:noProof/>
              </w:rPr>
              <w:t>Rautatiemaksujen korotukset tavaraliikenteessä vähintään viiden vuoden ajan.</w:t>
            </w:r>
          </w:p>
          <w:p w14:paraId="30208CFB" w14:textId="26F2AD83" w:rsidR="0065073E" w:rsidRDefault="000A0998">
            <w:pPr>
              <w:pStyle w:val="P68B1DB1-ListParagraph13"/>
              <w:numPr>
                <w:ilvl w:val="0"/>
                <w:numId w:val="4"/>
              </w:numPr>
              <w:spacing w:after="0" w:line="240" w:lineRule="auto"/>
              <w:rPr>
                <w:rFonts w:cs="Times New Roman"/>
                <w:noProof/>
              </w:rPr>
            </w:pPr>
            <w:r>
              <w:rPr>
                <w:noProof/>
              </w:rPr>
              <w:t>Rautateiden tavaraliikenteen tukiohjelma, mukaan lukien kannustimet, joilla edistetään liikennemuotosiirtymää maanteiltä rautateille sekä rautatieliikenteen nykyaikaistamista ja innovointia.</w:t>
            </w:r>
          </w:p>
        </w:tc>
      </w:tr>
      <w:tr w:rsidR="0065073E" w14:paraId="6F2EDAC1" w14:textId="77777777">
        <w:trPr>
          <w:trHeight w:val="309"/>
        </w:trPr>
        <w:tc>
          <w:tcPr>
            <w:tcW w:w="709" w:type="dxa"/>
            <w:shd w:val="clear" w:color="auto" w:fill="C6EFCE"/>
            <w:noWrap/>
          </w:tcPr>
          <w:p w14:paraId="4632EFF2" w14:textId="7CC22680" w:rsidR="0065073E" w:rsidRDefault="000A0998">
            <w:pPr>
              <w:pStyle w:val="P68B1DB1-Normal12"/>
              <w:spacing w:after="0" w:line="240" w:lineRule="auto"/>
              <w:jc w:val="center"/>
              <w:rPr>
                <w:rFonts w:cs="Times New Roman"/>
                <w:noProof/>
              </w:rPr>
            </w:pPr>
            <w:r>
              <w:rPr>
                <w:noProof/>
              </w:rPr>
              <w:t>417</w:t>
            </w:r>
          </w:p>
        </w:tc>
        <w:tc>
          <w:tcPr>
            <w:tcW w:w="851" w:type="dxa"/>
            <w:shd w:val="clear" w:color="auto" w:fill="C6EFCE"/>
            <w:noWrap/>
          </w:tcPr>
          <w:p w14:paraId="2B2BEF68" w14:textId="12EE464D" w:rsidR="0065073E" w:rsidRDefault="000A0998">
            <w:pPr>
              <w:pStyle w:val="P68B1DB1-Normal12"/>
              <w:spacing w:after="0" w:line="240" w:lineRule="auto"/>
              <w:jc w:val="center"/>
              <w:rPr>
                <w:rFonts w:cs="Times New Roman"/>
                <w:noProof/>
              </w:rPr>
            </w:pPr>
            <w:r>
              <w:rPr>
                <w:noProof/>
              </w:rPr>
              <w:t>C1.R2</w:t>
            </w:r>
          </w:p>
        </w:tc>
        <w:tc>
          <w:tcPr>
            <w:tcW w:w="850" w:type="dxa"/>
            <w:shd w:val="clear" w:color="auto" w:fill="C6EFCE"/>
            <w:noWrap/>
          </w:tcPr>
          <w:p w14:paraId="4F8C301D" w14:textId="0098C8C5" w:rsidR="0065073E" w:rsidRDefault="000A0998">
            <w:pPr>
              <w:pStyle w:val="P68B1DB1-Normal12"/>
              <w:spacing w:after="0" w:line="240" w:lineRule="auto"/>
              <w:jc w:val="center"/>
              <w:rPr>
                <w:rFonts w:cs="Times New Roman"/>
                <w:noProof/>
              </w:rPr>
            </w:pPr>
            <w:r>
              <w:rPr>
                <w:noProof/>
              </w:rPr>
              <w:t>M</w:t>
            </w:r>
          </w:p>
        </w:tc>
        <w:tc>
          <w:tcPr>
            <w:tcW w:w="2977" w:type="dxa"/>
            <w:shd w:val="clear" w:color="auto" w:fill="C6EFCE"/>
            <w:noWrap/>
          </w:tcPr>
          <w:p w14:paraId="1272B76D" w14:textId="1BE6B932" w:rsidR="0065073E" w:rsidRDefault="000A0998">
            <w:pPr>
              <w:pStyle w:val="P68B1DB1-Normal12"/>
              <w:spacing w:after="0" w:line="240" w:lineRule="auto"/>
              <w:rPr>
                <w:rFonts w:cs="Times New Roman"/>
                <w:noProof/>
              </w:rPr>
            </w:pPr>
            <w:r>
              <w:rPr>
                <w:noProof/>
              </w:rPr>
              <w:t xml:space="preserve">Ohjelmistosovelluksen kehittäminen liikenneinfrastruktuuri-investointien kustannus-hyötyanalyysin toteuttamiseksi </w:t>
            </w:r>
          </w:p>
          <w:p w14:paraId="501E9F60" w14:textId="77777777" w:rsidR="0065073E" w:rsidRDefault="0065073E">
            <w:pPr>
              <w:spacing w:after="0" w:line="240" w:lineRule="auto"/>
              <w:rPr>
                <w:rFonts w:ascii="Times New Roman" w:hAnsi="Times New Roman" w:cs="Times New Roman"/>
                <w:noProof/>
                <w:sz w:val="18"/>
              </w:rPr>
            </w:pPr>
          </w:p>
        </w:tc>
        <w:tc>
          <w:tcPr>
            <w:tcW w:w="1134" w:type="dxa"/>
            <w:shd w:val="clear" w:color="auto" w:fill="C6EFCE"/>
            <w:noWrap/>
          </w:tcPr>
          <w:p w14:paraId="41D513B8" w14:textId="46F7528E" w:rsidR="0065073E" w:rsidRDefault="000A0998">
            <w:pPr>
              <w:pStyle w:val="P68B1DB1-Normal12"/>
              <w:spacing w:after="0" w:line="240" w:lineRule="auto"/>
              <w:jc w:val="center"/>
              <w:rPr>
                <w:rFonts w:cs="Times New Roman"/>
                <w:noProof/>
              </w:rPr>
            </w:pPr>
            <w:r>
              <w:rPr>
                <w:noProof/>
              </w:rPr>
              <w:t xml:space="preserve">Työkalun saatavuus virallisella verkkosivustolla </w:t>
            </w:r>
          </w:p>
        </w:tc>
        <w:tc>
          <w:tcPr>
            <w:tcW w:w="851" w:type="dxa"/>
            <w:shd w:val="clear" w:color="auto" w:fill="C6EFCE"/>
            <w:noWrap/>
          </w:tcPr>
          <w:p w14:paraId="26625EA0" w14:textId="77777777"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26D4DF5E" w14:textId="77777777" w:rsidR="0065073E" w:rsidRDefault="0065073E">
            <w:pPr>
              <w:spacing w:after="0" w:line="240" w:lineRule="auto"/>
              <w:jc w:val="right"/>
              <w:rPr>
                <w:rFonts w:ascii="Times New Roman" w:hAnsi="Times New Roman" w:cs="Times New Roman"/>
                <w:noProof/>
                <w:sz w:val="18"/>
              </w:rPr>
            </w:pPr>
          </w:p>
        </w:tc>
        <w:tc>
          <w:tcPr>
            <w:tcW w:w="742" w:type="dxa"/>
            <w:shd w:val="clear" w:color="auto" w:fill="C6EFCE"/>
            <w:noWrap/>
          </w:tcPr>
          <w:p w14:paraId="4F89D850" w14:textId="77777777" w:rsidR="0065073E" w:rsidRDefault="0065073E">
            <w:pPr>
              <w:spacing w:after="0" w:line="240" w:lineRule="auto"/>
              <w:jc w:val="right"/>
              <w:rPr>
                <w:rFonts w:ascii="Times New Roman" w:hAnsi="Times New Roman" w:cs="Times New Roman"/>
                <w:noProof/>
                <w:sz w:val="18"/>
              </w:rPr>
            </w:pPr>
          </w:p>
        </w:tc>
        <w:tc>
          <w:tcPr>
            <w:tcW w:w="425" w:type="dxa"/>
            <w:shd w:val="clear" w:color="auto" w:fill="C6EFCE"/>
            <w:noWrap/>
          </w:tcPr>
          <w:p w14:paraId="763C539E" w14:textId="22B7C416"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0360DD72" w14:textId="2A04E70D" w:rsidR="0065073E" w:rsidRDefault="000A0998">
            <w:pPr>
              <w:pStyle w:val="P68B1DB1-Normal12"/>
              <w:spacing w:after="0" w:line="240" w:lineRule="auto"/>
              <w:jc w:val="center"/>
              <w:rPr>
                <w:rFonts w:cs="Times New Roman"/>
                <w:noProof/>
              </w:rPr>
            </w:pPr>
            <w:r>
              <w:rPr>
                <w:noProof/>
              </w:rPr>
              <w:t>2025</w:t>
            </w:r>
          </w:p>
        </w:tc>
        <w:tc>
          <w:tcPr>
            <w:tcW w:w="5387" w:type="dxa"/>
            <w:shd w:val="clear" w:color="auto" w:fill="C6EFCE"/>
            <w:noWrap/>
          </w:tcPr>
          <w:p w14:paraId="361C1A6F" w14:textId="7887931C" w:rsidR="0065073E" w:rsidRDefault="000A0998">
            <w:pPr>
              <w:pStyle w:val="P68B1DB1-Normal12"/>
              <w:spacing w:after="0" w:line="240" w:lineRule="auto"/>
              <w:rPr>
                <w:rFonts w:cs="Times New Roman"/>
                <w:noProof/>
              </w:rPr>
            </w:pPr>
            <w:r>
              <w:rPr>
                <w:noProof/>
              </w:rPr>
              <w:t xml:space="preserve">Ohjelmistosovelluksen kehittäminen ja saatavuus virallisella verkkosivustolla eri liikennemuotojen infrastruktuuri-investointien kustannus-hyötyanalyysien toteuttamista varten kestävää liikkuvuutta koskevassa laissa säädetyn virallisen menetelmän mukaisten kestävyys-, sosiaali- ja ympäristönäkökohtien mukaisesti. </w:t>
            </w:r>
          </w:p>
        </w:tc>
      </w:tr>
      <w:tr w:rsidR="0065073E" w14:paraId="7331B854" w14:textId="77777777">
        <w:trPr>
          <w:trHeight w:val="309"/>
        </w:trPr>
        <w:tc>
          <w:tcPr>
            <w:tcW w:w="709" w:type="dxa"/>
            <w:shd w:val="clear" w:color="auto" w:fill="C6EFCE"/>
            <w:noWrap/>
          </w:tcPr>
          <w:p w14:paraId="1DF356B6" w14:textId="61411F79" w:rsidR="0065073E" w:rsidRDefault="000A0998">
            <w:pPr>
              <w:pStyle w:val="P68B1DB1-Normal12"/>
              <w:spacing w:after="0" w:line="240" w:lineRule="auto"/>
              <w:jc w:val="center"/>
              <w:rPr>
                <w:rFonts w:cs="Times New Roman"/>
                <w:noProof/>
              </w:rPr>
            </w:pPr>
            <w:r>
              <w:rPr>
                <w:noProof/>
              </w:rPr>
              <w:t>418</w:t>
            </w:r>
          </w:p>
        </w:tc>
        <w:tc>
          <w:tcPr>
            <w:tcW w:w="851" w:type="dxa"/>
            <w:shd w:val="clear" w:color="auto" w:fill="C6EFCE"/>
            <w:noWrap/>
          </w:tcPr>
          <w:p w14:paraId="1B523965" w14:textId="6C36E10A" w:rsidR="0065073E" w:rsidRDefault="000A0998">
            <w:pPr>
              <w:pStyle w:val="P68B1DB1-Normal12"/>
              <w:spacing w:after="0" w:line="240" w:lineRule="auto"/>
              <w:jc w:val="center"/>
              <w:rPr>
                <w:rFonts w:cs="Times New Roman"/>
                <w:noProof/>
              </w:rPr>
            </w:pPr>
            <w:r>
              <w:rPr>
                <w:noProof/>
              </w:rPr>
              <w:t>C1.R2</w:t>
            </w:r>
          </w:p>
        </w:tc>
        <w:tc>
          <w:tcPr>
            <w:tcW w:w="850" w:type="dxa"/>
            <w:shd w:val="clear" w:color="auto" w:fill="C6EFCE"/>
            <w:noWrap/>
          </w:tcPr>
          <w:p w14:paraId="3C7090CA" w14:textId="019ED562" w:rsidR="0065073E" w:rsidRDefault="000A0998">
            <w:pPr>
              <w:pStyle w:val="P68B1DB1-Normal12"/>
              <w:spacing w:after="0" w:line="240" w:lineRule="auto"/>
              <w:jc w:val="center"/>
              <w:rPr>
                <w:rFonts w:cs="Times New Roman"/>
                <w:noProof/>
              </w:rPr>
            </w:pPr>
            <w:r>
              <w:rPr>
                <w:noProof/>
              </w:rPr>
              <w:t>M</w:t>
            </w:r>
          </w:p>
        </w:tc>
        <w:tc>
          <w:tcPr>
            <w:tcW w:w="2977" w:type="dxa"/>
            <w:shd w:val="clear" w:color="auto" w:fill="C6EFCE"/>
            <w:noWrap/>
          </w:tcPr>
          <w:p w14:paraId="456F5898" w14:textId="3BD09882" w:rsidR="0065073E" w:rsidRDefault="000A0998">
            <w:pPr>
              <w:pStyle w:val="P68B1DB1-Normal12"/>
              <w:spacing w:after="0" w:line="240" w:lineRule="auto"/>
              <w:rPr>
                <w:rFonts w:cs="Times New Roman"/>
                <w:noProof/>
              </w:rPr>
            </w:pPr>
            <w:r>
              <w:rPr>
                <w:noProof/>
              </w:rPr>
              <w:t>Testiympäristötoimisto</w:t>
            </w:r>
          </w:p>
        </w:tc>
        <w:tc>
          <w:tcPr>
            <w:tcW w:w="1134" w:type="dxa"/>
            <w:shd w:val="clear" w:color="auto" w:fill="C6EFCE"/>
            <w:noWrap/>
          </w:tcPr>
          <w:p w14:paraId="5BA6966F" w14:textId="59EFBF3B" w:rsidR="0065073E" w:rsidRDefault="000A0998">
            <w:pPr>
              <w:pStyle w:val="P68B1DB1-Normal12"/>
              <w:spacing w:after="0" w:line="240" w:lineRule="auto"/>
              <w:jc w:val="center"/>
              <w:rPr>
                <w:rFonts w:cs="Times New Roman"/>
                <w:noProof/>
              </w:rPr>
            </w:pPr>
            <w:r>
              <w:rPr>
                <w:noProof/>
              </w:rPr>
              <w:t>Voimaantuloa koskevat säännökset</w:t>
            </w:r>
          </w:p>
        </w:tc>
        <w:tc>
          <w:tcPr>
            <w:tcW w:w="851" w:type="dxa"/>
            <w:shd w:val="clear" w:color="auto" w:fill="C6EFCE"/>
            <w:noWrap/>
          </w:tcPr>
          <w:p w14:paraId="20E60AA6" w14:textId="77777777"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3433527B" w14:textId="77777777" w:rsidR="0065073E" w:rsidRDefault="0065073E">
            <w:pPr>
              <w:spacing w:after="0" w:line="240" w:lineRule="auto"/>
              <w:jc w:val="right"/>
              <w:rPr>
                <w:rFonts w:ascii="Times New Roman" w:hAnsi="Times New Roman" w:cs="Times New Roman"/>
                <w:noProof/>
                <w:sz w:val="18"/>
              </w:rPr>
            </w:pPr>
          </w:p>
        </w:tc>
        <w:tc>
          <w:tcPr>
            <w:tcW w:w="742" w:type="dxa"/>
            <w:shd w:val="clear" w:color="auto" w:fill="C6EFCE"/>
            <w:noWrap/>
          </w:tcPr>
          <w:p w14:paraId="2FEFF9CC" w14:textId="77777777" w:rsidR="0065073E" w:rsidRDefault="0065073E">
            <w:pPr>
              <w:spacing w:after="0" w:line="240" w:lineRule="auto"/>
              <w:jc w:val="right"/>
              <w:rPr>
                <w:rFonts w:ascii="Times New Roman" w:hAnsi="Times New Roman" w:cs="Times New Roman"/>
                <w:noProof/>
                <w:sz w:val="18"/>
              </w:rPr>
            </w:pPr>
          </w:p>
        </w:tc>
        <w:tc>
          <w:tcPr>
            <w:tcW w:w="425" w:type="dxa"/>
            <w:shd w:val="clear" w:color="auto" w:fill="C6EFCE"/>
            <w:noWrap/>
          </w:tcPr>
          <w:p w14:paraId="244EDB08" w14:textId="7E667CC6"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0035862C" w14:textId="37E7F7F9" w:rsidR="0065073E" w:rsidRDefault="000A0998">
            <w:pPr>
              <w:pStyle w:val="P68B1DB1-Normal12"/>
              <w:spacing w:after="0" w:line="240" w:lineRule="auto"/>
              <w:jc w:val="center"/>
              <w:rPr>
                <w:rFonts w:cs="Times New Roman"/>
                <w:noProof/>
              </w:rPr>
            </w:pPr>
            <w:r>
              <w:rPr>
                <w:noProof/>
              </w:rPr>
              <w:t>2026</w:t>
            </w:r>
          </w:p>
        </w:tc>
        <w:tc>
          <w:tcPr>
            <w:tcW w:w="5387" w:type="dxa"/>
            <w:shd w:val="clear" w:color="auto" w:fill="C6EFCE"/>
            <w:noWrap/>
          </w:tcPr>
          <w:p w14:paraId="2068E54F" w14:textId="79EBA46A" w:rsidR="0065073E" w:rsidRDefault="000A0998">
            <w:pPr>
              <w:pStyle w:val="P68B1DB1-Normal12"/>
              <w:spacing w:after="0" w:line="240" w:lineRule="auto"/>
              <w:rPr>
                <w:rFonts w:eastAsia="Times New Roman" w:cs="Times New Roman"/>
                <w:noProof/>
              </w:rPr>
            </w:pPr>
            <w:r>
              <w:rPr>
                <w:noProof/>
              </w:rPr>
              <w:t>Liikenneasioista vastaavan ministeriön organisaatiorakenteen kehittämisestä annetun kuninkaallisen asetuksen julkaiseminen ja voimaantulo, jossa määritellään Sandbox-toimiston erityistoimialat.</w:t>
            </w:r>
          </w:p>
        </w:tc>
      </w:tr>
      <w:tr w:rsidR="0065073E" w14:paraId="08D28B29" w14:textId="77777777">
        <w:trPr>
          <w:trHeight w:val="309"/>
        </w:trPr>
        <w:tc>
          <w:tcPr>
            <w:tcW w:w="709" w:type="dxa"/>
            <w:shd w:val="clear" w:color="auto" w:fill="C6EFCE"/>
            <w:noWrap/>
          </w:tcPr>
          <w:p w14:paraId="3FE2943F" w14:textId="4632317B" w:rsidR="0065073E" w:rsidRDefault="000A0998">
            <w:pPr>
              <w:pStyle w:val="P68B1DB1-Normal12"/>
              <w:spacing w:after="0" w:line="240" w:lineRule="auto"/>
              <w:jc w:val="center"/>
              <w:rPr>
                <w:rFonts w:eastAsia="MS Mincho" w:cs="Times New Roman"/>
                <w:noProof/>
              </w:rPr>
            </w:pPr>
            <w:r>
              <w:rPr>
                <w:noProof/>
              </w:rPr>
              <w:t>4</w:t>
            </w:r>
          </w:p>
        </w:tc>
        <w:tc>
          <w:tcPr>
            <w:tcW w:w="851" w:type="dxa"/>
            <w:shd w:val="clear" w:color="auto" w:fill="C6EFCE"/>
            <w:noWrap/>
          </w:tcPr>
          <w:p w14:paraId="725E159E"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1E703B59"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52A17D01" w14:textId="77777777" w:rsidR="0065073E" w:rsidRDefault="000A0998">
            <w:pPr>
              <w:pStyle w:val="P68B1DB1-Normal12"/>
              <w:spacing w:after="0" w:line="240" w:lineRule="auto"/>
              <w:rPr>
                <w:rFonts w:eastAsia="MS Mincho" w:cs="Times New Roman"/>
                <w:noProof/>
              </w:rPr>
            </w:pPr>
            <w:r>
              <w:rPr>
                <w:noProof/>
              </w:rPr>
              <w:t>Kestävän liikkuvuuden edistämiseen tähtääviin hankintoihin tai kuntien myöntämiin hankintoihin käytetyt määrärahat</w:t>
            </w:r>
          </w:p>
        </w:tc>
        <w:tc>
          <w:tcPr>
            <w:tcW w:w="1134" w:type="dxa"/>
            <w:shd w:val="clear" w:color="auto" w:fill="C6EFCE"/>
            <w:noWrap/>
          </w:tcPr>
          <w:p w14:paraId="184567A2" w14:textId="77777777" w:rsidR="0065073E" w:rsidRDefault="000A0998">
            <w:pPr>
              <w:pStyle w:val="P68B1DB1-Normal12"/>
              <w:spacing w:after="0" w:line="240" w:lineRule="auto"/>
              <w:jc w:val="center"/>
              <w:rPr>
                <w:rFonts w:eastAsia="MS Mincho" w:cs="Times New Roman"/>
                <w:noProof/>
              </w:rPr>
            </w:pPr>
            <w:r>
              <w:rPr>
                <w:noProof/>
              </w:rPr>
              <w:t xml:space="preserve"> </w:t>
            </w:r>
          </w:p>
        </w:tc>
        <w:tc>
          <w:tcPr>
            <w:tcW w:w="851" w:type="dxa"/>
            <w:shd w:val="clear" w:color="auto" w:fill="C6EFCE"/>
            <w:noWrap/>
          </w:tcPr>
          <w:p w14:paraId="39A56447" w14:textId="77777777" w:rsidR="0065073E" w:rsidRDefault="000A0998">
            <w:pPr>
              <w:pStyle w:val="P68B1DB1-Normal12"/>
              <w:spacing w:after="0" w:line="240" w:lineRule="auto"/>
              <w:jc w:val="right"/>
              <w:rPr>
                <w:rFonts w:eastAsia="MS Mincho" w:cs="Times New Roman"/>
                <w:noProof/>
              </w:rPr>
            </w:pPr>
            <w:r>
              <w:rPr>
                <w:noProof/>
              </w:rPr>
              <w:t>Miljoonaa euroa</w:t>
            </w:r>
          </w:p>
        </w:tc>
        <w:tc>
          <w:tcPr>
            <w:tcW w:w="992" w:type="dxa"/>
            <w:shd w:val="clear" w:color="auto" w:fill="C6EFCE"/>
            <w:noWrap/>
          </w:tcPr>
          <w:p w14:paraId="1904DB00"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6A52555B" w14:textId="77777777" w:rsidR="0065073E" w:rsidRDefault="000A0998">
            <w:pPr>
              <w:pStyle w:val="P68B1DB1-Normal12"/>
              <w:spacing w:after="0" w:line="240" w:lineRule="auto"/>
              <w:jc w:val="right"/>
              <w:rPr>
                <w:rFonts w:eastAsia="MS Mincho" w:cs="Times New Roman"/>
                <w:noProof/>
              </w:rPr>
            </w:pPr>
            <w:r>
              <w:rPr>
                <w:noProof/>
              </w:rPr>
              <w:t>400</w:t>
            </w:r>
          </w:p>
        </w:tc>
        <w:tc>
          <w:tcPr>
            <w:tcW w:w="425" w:type="dxa"/>
            <w:shd w:val="clear" w:color="auto" w:fill="C6EFCE"/>
            <w:noWrap/>
          </w:tcPr>
          <w:p w14:paraId="73A17366"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13D50D1D" w14:textId="77777777" w:rsidR="0065073E" w:rsidRDefault="000A0998">
            <w:pPr>
              <w:pStyle w:val="P68B1DB1-Normal12"/>
              <w:spacing w:after="0" w:line="240" w:lineRule="auto"/>
              <w:jc w:val="center"/>
              <w:rPr>
                <w:rFonts w:eastAsia="MS Mincho" w:cs="Times New Roman"/>
                <w:noProof/>
              </w:rPr>
            </w:pPr>
            <w:r>
              <w:rPr>
                <w:noProof/>
              </w:rPr>
              <w:t>2022</w:t>
            </w:r>
          </w:p>
        </w:tc>
        <w:tc>
          <w:tcPr>
            <w:tcW w:w="5387" w:type="dxa"/>
            <w:shd w:val="clear" w:color="auto" w:fill="C6EFCE"/>
            <w:noWrap/>
          </w:tcPr>
          <w:p w14:paraId="6F64CB27" w14:textId="77777777" w:rsidR="0065073E" w:rsidRDefault="000A0998">
            <w:pPr>
              <w:spacing w:after="0" w:line="240" w:lineRule="auto"/>
              <w:rPr>
                <w:rFonts w:ascii="Times New Roman" w:eastAsia="MS Mincho" w:hAnsi="Times New Roman" w:cs="Times New Roman"/>
                <w:noProof/>
                <w:sz w:val="18"/>
              </w:rPr>
            </w:pPr>
            <w:r>
              <w:rPr>
                <w:noProof/>
              </w:rPr>
              <w:t>Hankkeen tai tukien myöntämisen</w:t>
            </w:r>
            <w:r>
              <w:rPr>
                <w:rFonts w:ascii="Times New Roman" w:hAnsi="Times New Roman"/>
                <w:noProof/>
                <w:sz w:val="18"/>
              </w:rPr>
              <w:t>julkaiseminen EUVL:ssä tai julkisten hankintojen foorumissa tai sellaisten kuntien hankintoihin liittyvien menojen toteuttaminen, jotka edistävät kestävää liikkuvuutta yli 50000 asukkaan kunnissa ja pääkaupungissa maakunnassa ja jotka voidaan tietyin edellytyksin osoittaa myös 20000–50000 asukkaan kunnille. Hankkeilla tuetaan tapauksia, joissa a) julkisen liikenteen kaluston muuntaminen puhtaita ajoneuvoja koskevan direktiivin tavoitteiden saavuttamiseksi ja ”ei merkittävää haittaa” -periaatteen mukaisesti (2021/C58/01); b) vähäpäästöisten alueiden täytäntöönpano ja hallinta; C) julkisen liikenteen digitalisointi, sen hallinto ja sen saavutettavuuden parantaminen; d) toimenpiteet, joilla kannustetaan ja priorisoidaan joukkoliikennettä ja aktiivista liikkuvuutta.</w:t>
            </w:r>
            <w:r>
              <w:rPr>
                <w:noProof/>
              </w:rPr>
              <w:t xml:space="preserve"> </w:t>
            </w:r>
            <w:r>
              <w:rPr>
                <w:noProof/>
              </w:rPr>
              <w:br/>
            </w:r>
            <w:r>
              <w:rPr>
                <w:rFonts w:ascii="Times New Roman" w:hAnsi="Times New Roman"/>
                <w:noProof/>
                <w:sz w:val="18"/>
              </w:rPr>
              <w:t xml:space="preserve">Valintaperusteilla varmistetaan, että 1500000000 euron lopullisesta kokonaistalousarviosta vähintään 310000000 eurolla edistetään ilmastonmuutostavoitteita, joiden ilmastokerroin on 100 prosenttia ja vähintään 1190000000 euroa ja ilmastokerroin 40 prosenttia, elpymis- ja palautumistukivälineestä annetun asetuksen (EU) 2021/241 liitteen VI mukaisesti. </w:t>
            </w:r>
          </w:p>
        </w:tc>
      </w:tr>
      <w:tr w:rsidR="0065073E" w14:paraId="6450CA45" w14:textId="77777777">
        <w:trPr>
          <w:trHeight w:val="309"/>
        </w:trPr>
        <w:tc>
          <w:tcPr>
            <w:tcW w:w="709" w:type="dxa"/>
            <w:shd w:val="clear" w:color="auto" w:fill="C6EFCE"/>
            <w:noWrap/>
          </w:tcPr>
          <w:p w14:paraId="10315E44" w14:textId="77777777" w:rsidR="0065073E" w:rsidRDefault="000A0998">
            <w:pPr>
              <w:pStyle w:val="P68B1DB1-Normal12"/>
              <w:spacing w:after="0" w:line="240" w:lineRule="auto"/>
              <w:jc w:val="center"/>
              <w:rPr>
                <w:rFonts w:eastAsia="MS Mincho" w:cs="Times New Roman"/>
                <w:noProof/>
              </w:rPr>
            </w:pPr>
            <w:r>
              <w:rPr>
                <w:noProof/>
              </w:rPr>
              <w:t>5</w:t>
            </w:r>
          </w:p>
        </w:tc>
        <w:tc>
          <w:tcPr>
            <w:tcW w:w="851" w:type="dxa"/>
            <w:shd w:val="clear" w:color="auto" w:fill="C6EFCE"/>
            <w:noWrap/>
          </w:tcPr>
          <w:p w14:paraId="50FA1D49"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26425768"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5A1FFB1C" w14:textId="77777777" w:rsidR="0065073E" w:rsidRDefault="000A0998">
            <w:pPr>
              <w:pStyle w:val="P68B1DB1-Normal12"/>
              <w:spacing w:after="0" w:line="240" w:lineRule="auto"/>
              <w:rPr>
                <w:rFonts w:eastAsia="MS Mincho" w:cs="Times New Roman"/>
                <w:noProof/>
              </w:rPr>
            </w:pPr>
            <w:r>
              <w:rPr>
                <w:noProof/>
              </w:rPr>
              <w:t xml:space="preserve">Itsehallintoalueiden hankintoihin tai myöntämiin hankintoihin käytetyt määrärahat vähintään 900 miljoonaa euroa kestävän liikkuvuuden edistämiseksi </w:t>
            </w:r>
          </w:p>
        </w:tc>
        <w:tc>
          <w:tcPr>
            <w:tcW w:w="1134" w:type="dxa"/>
            <w:shd w:val="clear" w:color="auto" w:fill="C6EFCE"/>
            <w:noWrap/>
          </w:tcPr>
          <w:p w14:paraId="17F14235" w14:textId="77777777" w:rsidR="0065073E" w:rsidRDefault="0065073E">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85A759" w14:textId="77777777" w:rsidR="0065073E" w:rsidRDefault="000A0998">
            <w:pPr>
              <w:pStyle w:val="P68B1DB1-Normal12"/>
              <w:spacing w:after="0" w:line="240" w:lineRule="auto"/>
              <w:jc w:val="right"/>
              <w:rPr>
                <w:rFonts w:eastAsia="MS Mincho" w:cs="Times New Roman"/>
                <w:noProof/>
              </w:rPr>
            </w:pPr>
            <w:r>
              <w:rPr>
                <w:noProof/>
              </w:rPr>
              <w:t>Miljoonaa euroa</w:t>
            </w:r>
          </w:p>
        </w:tc>
        <w:tc>
          <w:tcPr>
            <w:tcW w:w="992" w:type="dxa"/>
            <w:shd w:val="clear" w:color="auto" w:fill="C6EFCE"/>
            <w:noWrap/>
          </w:tcPr>
          <w:p w14:paraId="2B71CEBC"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4814CE20" w14:textId="77777777" w:rsidR="0065073E" w:rsidRDefault="000A0998">
            <w:pPr>
              <w:pStyle w:val="P68B1DB1-Normal12"/>
              <w:spacing w:after="0" w:line="240" w:lineRule="auto"/>
              <w:jc w:val="right"/>
              <w:rPr>
                <w:rFonts w:eastAsia="MS Mincho" w:cs="Times New Roman"/>
                <w:noProof/>
              </w:rPr>
            </w:pPr>
            <w:r>
              <w:rPr>
                <w:noProof/>
              </w:rPr>
              <w:t>900</w:t>
            </w:r>
          </w:p>
        </w:tc>
        <w:tc>
          <w:tcPr>
            <w:tcW w:w="425" w:type="dxa"/>
            <w:shd w:val="clear" w:color="auto" w:fill="C6EFCE"/>
            <w:noWrap/>
          </w:tcPr>
          <w:p w14:paraId="61347492"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3468E1CD" w14:textId="77777777" w:rsidR="0065073E" w:rsidRDefault="000A0998">
            <w:pPr>
              <w:pStyle w:val="P68B1DB1-Normal12"/>
              <w:spacing w:after="0" w:line="240" w:lineRule="auto"/>
              <w:jc w:val="center"/>
              <w:rPr>
                <w:rFonts w:eastAsia="MS Mincho" w:cs="Times New Roman"/>
                <w:noProof/>
              </w:rPr>
            </w:pPr>
            <w:r>
              <w:rPr>
                <w:noProof/>
              </w:rPr>
              <w:t>2023</w:t>
            </w:r>
          </w:p>
        </w:tc>
        <w:tc>
          <w:tcPr>
            <w:tcW w:w="5387" w:type="dxa"/>
            <w:shd w:val="clear" w:color="auto" w:fill="C6EFCE"/>
            <w:noWrap/>
          </w:tcPr>
          <w:p w14:paraId="36AB4A5E" w14:textId="77777777" w:rsidR="0065073E" w:rsidRDefault="000A0998">
            <w:pPr>
              <w:spacing w:after="0" w:line="240" w:lineRule="auto"/>
              <w:rPr>
                <w:rFonts w:ascii="Times New Roman" w:eastAsia="MS Mincho" w:hAnsi="Times New Roman" w:cs="Times New Roman"/>
                <w:noProof/>
                <w:sz w:val="18"/>
              </w:rPr>
            </w:pPr>
            <w:r>
              <w:rPr>
                <w:noProof/>
              </w:rPr>
              <w:t>Hankkeen tai tukien myöntämisen</w:t>
            </w:r>
            <w:r>
              <w:rPr>
                <w:rFonts w:ascii="Times New Roman" w:hAnsi="Times New Roman"/>
                <w:noProof/>
                <w:sz w:val="18"/>
              </w:rPr>
              <w:t>julkaiseminen EUVL:ssä tai julkisten hankintojen foorumissa tai itsehallintoalueiden hankintoihin liittyvien menojen toteuttaminen. Itsehallintoalueiden myöntämien hankkeiden ja tukien sekä niiden toteuttamien hankintojen on</w:t>
            </w:r>
            <w:r>
              <w:rPr>
                <w:noProof/>
              </w:rPr>
              <w:t xml:space="preserve"> </w:t>
            </w:r>
            <w:r>
              <w:rPr>
                <w:noProof/>
              </w:rPr>
              <w:br/>
            </w:r>
            <w:r>
              <w:rPr>
                <w:rFonts w:ascii="Times New Roman" w:hAnsi="Times New Roman"/>
                <w:noProof/>
                <w:sz w:val="18"/>
              </w:rPr>
              <w:t xml:space="preserve">1) edistää kestävää liikkuvuutta tukemalla yksityisiä yrityksiä a) romuttaa vanhoja raskaita ajoneuvoja, b) uudistaa raskaat henkilö- ja rahtikantansa puhtaammilla ajoneuvoilla, c) ostaa tai mukauttaa perävaununsa tai puoliperävaununsa intermodaaliliikennettä varten tai d) asentaa lataus- ja tankkauspisteitä vaihtoehtoisilla polttoaineilla (sähkö, nesteytetty maakaasu, paineistettu maakaasu ja biometaani); Tukia olisi myönnettävä ”ei merkittävää haittaa” -periaatetta koskevien teknisten ohjeiden (2021/C58/01) mukaisesti; </w:t>
            </w:r>
            <w:r>
              <w:rPr>
                <w:noProof/>
              </w:rPr>
              <w:t xml:space="preserve"> </w:t>
            </w:r>
            <w:r>
              <w:rPr>
                <w:noProof/>
              </w:rPr>
              <w:br/>
            </w:r>
            <w:r>
              <w:rPr>
                <w:rFonts w:ascii="Times New Roman" w:hAnsi="Times New Roman"/>
                <w:noProof/>
                <w:sz w:val="18"/>
              </w:rPr>
              <w:t>tai</w:t>
            </w:r>
            <w:r>
              <w:rPr>
                <w:noProof/>
              </w:rPr>
              <w:t xml:space="preserve"> </w:t>
            </w:r>
            <w:r>
              <w:rPr>
                <w:noProof/>
              </w:rPr>
              <w:br/>
              <w:t xml:space="preserve"> </w:t>
            </w:r>
            <w:r>
              <w:rPr>
                <w:rFonts w:ascii="Times New Roman" w:hAnsi="Times New Roman"/>
                <w:noProof/>
                <w:sz w:val="18"/>
              </w:rPr>
              <w:t xml:space="preserve">2) edistetään kestävää liikkuvuutta yli 50000 asukkaan ja pääkaupungin kunnissa maakunnassa tukemalla a) julkisen liikenteen kaluston muuttamista puhtaita ajoneuvoja koskevan direktiivin tavoitteiden saavuttamiseksi ja noudattaen ”ei merkittävää haittaa” -periaatetta (2021/C58/01); b) vähäpäästöisten alueiden täytäntöönpano ja hallinta; C) julkisen liikenteen digitalisointi, sen hallinto ja sen saavutettavuuden parantaminen; toimenpiteet joukkoliikenteen ja aktiivisen liikkuvuuden priorisoimiseksi, mukaan lukien pyöräilyinfrastruktuuri ja jalankulkuväylät; e) kannustaminen uusien päästöttömien teknologioiden yleistymiseen Espanjassa liikenteen alalla; F) pysäköiminen näiden kuntien ja provinssien pääkaupunkien ulkopuolella kaupunkikeskukseen tulevan liikenteen vähentämiseksi; g) rautatieliikennejärjestelmän, kuten metrojen tai rautateiden, laajentaminen tai parantaminen; h) digitalisaatiohankkeet, joilla täydennetään toimenpiteitä kestävän liikkuvuuden tukemiseksi, mukaan lukien reaaliaikaiset tietojärjestelmät julkisista liikennepalveluista, liikkuvuus palveluna, hankkeet, joilla parannetaan intermodaalista tai palvelujen välistä lipunmyyntiä, hankkeet, joilla tuetaan liikenteen ja liikkuvuuden hallintaa ja tietojen analysointia liikennejärjestelmän tehokkuuden lisäämiseksi, ja i) muut hankkeet, jotka I. Osallistetaan ilmanlaadun parantamiseen erityisesti kaupunkialueilla ii. Kannustetaan vähentämään yksityisen liikenteen käyttöä kaupunki- ja suurkaupunkialueilla iii. Kannustetaan julkisen liikenteen käyttöön tai iv. Aktiivisen ja terveen liikkuvuuden kannustimet.  </w:t>
            </w:r>
            <w:r>
              <w:rPr>
                <w:noProof/>
              </w:rPr>
              <w:t xml:space="preserve"> </w:t>
            </w:r>
            <w:r>
              <w:rPr>
                <w:noProof/>
              </w:rPr>
              <w:br/>
            </w:r>
            <w:r>
              <w:rPr>
                <w:rFonts w:ascii="Times New Roman" w:hAnsi="Times New Roman"/>
                <w:noProof/>
                <w:sz w:val="18"/>
              </w:rPr>
              <w:t>Valintaperusteilla varmistetaan, että vähintään 900000000 eurolla edistetään ilmastonmuutostavoitteita siten, että ilmastokerroin on 40 prosenttia elpymis- ja palautumistukivälineestä annetun asetuksen (EU) 2021/241 liitteen VI mukaisesti.</w:t>
            </w:r>
          </w:p>
        </w:tc>
      </w:tr>
      <w:tr w:rsidR="0065073E" w14:paraId="437C6033" w14:textId="77777777">
        <w:trPr>
          <w:trHeight w:val="309"/>
        </w:trPr>
        <w:tc>
          <w:tcPr>
            <w:tcW w:w="709" w:type="dxa"/>
            <w:shd w:val="clear" w:color="auto" w:fill="C6EFCE"/>
            <w:noWrap/>
          </w:tcPr>
          <w:p w14:paraId="0A6C95E8" w14:textId="77777777" w:rsidR="0065073E" w:rsidRDefault="000A0998">
            <w:pPr>
              <w:pStyle w:val="P68B1DB1-Normal12"/>
              <w:spacing w:after="0" w:line="240" w:lineRule="auto"/>
              <w:jc w:val="center"/>
              <w:rPr>
                <w:rFonts w:eastAsia="MS Mincho" w:cs="Times New Roman"/>
                <w:noProof/>
              </w:rPr>
            </w:pPr>
            <w:r>
              <w:rPr>
                <w:noProof/>
              </w:rPr>
              <w:t>6</w:t>
            </w:r>
          </w:p>
        </w:tc>
        <w:tc>
          <w:tcPr>
            <w:tcW w:w="851" w:type="dxa"/>
            <w:shd w:val="clear" w:color="auto" w:fill="C6EFCE"/>
            <w:noWrap/>
          </w:tcPr>
          <w:p w14:paraId="02BF9AC9"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0BA1B8A9"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5635E23E" w14:textId="5F2DFCAE" w:rsidR="0065073E" w:rsidRDefault="000A0998">
            <w:pPr>
              <w:pStyle w:val="P68B1DB1-Normal12"/>
              <w:spacing w:after="0" w:line="240" w:lineRule="auto"/>
              <w:rPr>
                <w:rFonts w:eastAsia="MS Mincho" w:cs="Times New Roman"/>
                <w:noProof/>
              </w:rPr>
            </w:pPr>
            <w:r>
              <w:rPr>
                <w:noProof/>
              </w:rPr>
              <w:t xml:space="preserve">Kestävän liikkuvuuden edistämiseksi päätökseen saatetut hankkeet, myös kaupunki- ja suurkaupunkialueilla </w:t>
            </w:r>
          </w:p>
        </w:tc>
        <w:tc>
          <w:tcPr>
            <w:tcW w:w="1134" w:type="dxa"/>
            <w:shd w:val="clear" w:color="auto" w:fill="C6EFCE"/>
            <w:noWrap/>
          </w:tcPr>
          <w:p w14:paraId="6C3553DB" w14:textId="77777777" w:rsidR="0065073E" w:rsidRDefault="0065073E">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54DEE654"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06370268"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0763F3C0" w14:textId="77777777" w:rsidR="0065073E" w:rsidRDefault="000A0998">
            <w:pPr>
              <w:pStyle w:val="P68B1DB1-Normal12"/>
              <w:spacing w:after="0" w:line="240" w:lineRule="auto"/>
              <w:jc w:val="right"/>
              <w:rPr>
                <w:rFonts w:eastAsia="MS Mincho" w:cs="Times New Roman"/>
                <w:noProof/>
              </w:rPr>
            </w:pPr>
            <w:r>
              <w:rPr>
                <w:noProof/>
              </w:rPr>
              <w:t>25</w:t>
            </w:r>
          </w:p>
        </w:tc>
        <w:tc>
          <w:tcPr>
            <w:tcW w:w="425" w:type="dxa"/>
            <w:shd w:val="clear" w:color="auto" w:fill="C6EFCE"/>
            <w:noWrap/>
          </w:tcPr>
          <w:p w14:paraId="208AC76C"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07113655" w14:textId="77777777" w:rsidR="0065073E" w:rsidRDefault="000A0998">
            <w:pPr>
              <w:pStyle w:val="P68B1DB1-Normal12"/>
              <w:spacing w:after="0" w:line="240" w:lineRule="auto"/>
              <w:jc w:val="center"/>
              <w:rPr>
                <w:rFonts w:eastAsia="MS Mincho" w:cs="Times New Roman"/>
                <w:noProof/>
              </w:rPr>
            </w:pPr>
            <w:r>
              <w:rPr>
                <w:noProof/>
              </w:rPr>
              <w:t>2023</w:t>
            </w:r>
          </w:p>
        </w:tc>
        <w:tc>
          <w:tcPr>
            <w:tcW w:w="5387" w:type="dxa"/>
            <w:shd w:val="clear" w:color="auto" w:fill="C6EFCE"/>
            <w:noWrap/>
          </w:tcPr>
          <w:p w14:paraId="3A5E01EB" w14:textId="77777777" w:rsidR="0065073E" w:rsidRDefault="000A0998">
            <w:pPr>
              <w:spacing w:after="0" w:line="240" w:lineRule="auto"/>
              <w:rPr>
                <w:rFonts w:ascii="Times New Roman" w:eastAsia="MS Mincho" w:hAnsi="Times New Roman" w:cs="Times New Roman"/>
                <w:noProof/>
                <w:sz w:val="18"/>
              </w:rPr>
            </w:pPr>
            <w:r>
              <w:rPr>
                <w:rFonts w:ascii="Times New Roman" w:hAnsi="Times New Roman"/>
                <w:noProof/>
                <w:sz w:val="18"/>
              </w:rPr>
              <w:t>Vähintään 25 hanketta kestävän liikkuvuuden edistämiseksi on saatettu päätökseen 150 kaupunki- ja suurkaupunkialueella, joissa on yli 50000 asukasta, ja tietyin edellytyksin 20000–50000 asukkaan kaupunkialueilla.</w:t>
            </w:r>
            <w:r>
              <w:rPr>
                <w:noProof/>
              </w:rPr>
              <w:t xml:space="preserve"> </w:t>
            </w:r>
            <w:r>
              <w:rPr>
                <w:noProof/>
              </w:rPr>
              <w:br/>
            </w:r>
            <w:r>
              <w:rPr>
                <w:rFonts w:ascii="Times New Roman" w:hAnsi="Times New Roman"/>
                <w:noProof/>
                <w:sz w:val="18"/>
              </w:rPr>
              <w:t>Kestävää liikkuvuutta edistävät hankkeet ovat seuraavat:</w:t>
            </w:r>
            <w:r>
              <w:rPr>
                <w:noProof/>
              </w:rPr>
              <w:t xml:space="preserve"> </w:t>
            </w:r>
            <w:r>
              <w:rPr>
                <w:noProof/>
              </w:rPr>
              <w:br/>
            </w:r>
            <w:r>
              <w:rPr>
                <w:rFonts w:ascii="Times New Roman" w:hAnsi="Times New Roman"/>
                <w:noProof/>
                <w:sz w:val="18"/>
              </w:rPr>
              <w:t>I. Kuntien kehittämät hankkeet, joilla edistetään kestävää liikkuvuutta yli 50000 asukkaan kunnissa ja pääkaupungeissa maakunnassa ja jotka voidaan tietyin edellytyksin osoittaa myös 20000–50000 asukkaan kunnille. Hankkeilla tuetaan tapauksia, joissa a) julkisen liikenteen kaluston muuntaminen puhtaita ajoneuvoja koskevan direktiivin tavoitteiden saavuttamiseksi ja ”ei merkittävää haittaa” -periaatteen mukaisesti (2021/C58/01); b) vähäpäästöisten alueiden täytäntöönpano ja hallinta; C) julkisen liikenteen digitalisointi, sen hallinto ja sen saavutettavuuden parantaminen; d) toimenpiteet, joilla kannustetaan ja priorisoidaan joukkoliikennettä ja aktiivista liikkuvuutta. Hanke on joukko määriteltyjä, toisiinsa liittyviä ja koordinoituja toimia, joilla on yhteinen tavoite tietyissä aika- ja budjettirajoissa ja joita varten haetaan tukea. Yksi kunta voi kehittää useamman kuin yhden hankkeen.</w:t>
            </w:r>
            <w:r>
              <w:rPr>
                <w:noProof/>
              </w:rPr>
              <w:t xml:space="preserve"> </w:t>
            </w:r>
            <w:r>
              <w:rPr>
                <w:noProof/>
              </w:rPr>
              <w:br/>
            </w:r>
            <w:r>
              <w:rPr>
                <w:rFonts w:ascii="Times New Roman" w:hAnsi="Times New Roman"/>
                <w:noProof/>
                <w:sz w:val="18"/>
              </w:rPr>
              <w:t>II. Itsehallintoalueiden kehittämät hankkeet, joilla edistetään kestävää liikkuvuutta kaupunki- ja suurkaupunkialueilla. Tämä koskee investoinnin C1.I1 kohdassa määriteltyjä typologioita a-i. Kaupunki- ja suurkaupunkialueet määritellään yli 50000 asukkaan kunniksi, maakuntien pääkaupungeiksi ja tietyin edellytyksin yli 20000 asukkaan kunniksi. Kukin itsehallintoalue voi kehittää useamman kuin yhden hankkeen.</w:t>
            </w:r>
            <w:r>
              <w:rPr>
                <w:noProof/>
              </w:rPr>
              <w:t xml:space="preserve"> </w:t>
            </w:r>
            <w:r>
              <w:rPr>
                <w:noProof/>
              </w:rPr>
              <w:br/>
            </w:r>
            <w:r>
              <w:rPr>
                <w:rFonts w:ascii="Times New Roman" w:hAnsi="Times New Roman"/>
                <w:noProof/>
                <w:sz w:val="18"/>
              </w:rPr>
              <w:t>III. Hankkeet, joilla tuetaan yksityisiä yrityksiä a) vanhojen raskaiden ajoneuvojen romuttamiseksi, b) raskaan henkilö- ja tavaraliikenteen uudistamiseksi puhtaammilla ajoneuvoilla, c) ostaa tai mukauttaa perävaunujaan tai puoliperävaunujaan intermodaaliliikenteeseen tai d) asentaa tankkauspisteitä vaihtoehtoisilla polttoaineilla (sähkö, nesteytetty maakaasu, paineistettu maakaasu ja biometaani). Vähintään 3000 raskasta ajoneuvoa tai tankkauspistettä on tuettava, jotta voidaan katsoa, että yksi kestävää liikkuvuutta edistävä hanke on saatettu päätökseen. Tukia olisi myönnettävä ”ei merkittävää haittaa” -periaatetta koskevien teknisten ohjeiden (2021/C58/01) mukaisesti.</w:t>
            </w:r>
          </w:p>
        </w:tc>
      </w:tr>
      <w:tr w:rsidR="0065073E" w14:paraId="6CFEF6B8" w14:textId="77777777">
        <w:trPr>
          <w:trHeight w:val="309"/>
        </w:trPr>
        <w:tc>
          <w:tcPr>
            <w:tcW w:w="709" w:type="dxa"/>
            <w:shd w:val="clear" w:color="auto" w:fill="C6EFCE"/>
            <w:noWrap/>
          </w:tcPr>
          <w:p w14:paraId="1583577A" w14:textId="77777777" w:rsidR="0065073E" w:rsidRDefault="000A0998">
            <w:pPr>
              <w:pStyle w:val="P68B1DB1-Normal12"/>
              <w:spacing w:after="0" w:line="240" w:lineRule="auto"/>
              <w:jc w:val="center"/>
              <w:rPr>
                <w:rFonts w:eastAsia="MS Mincho" w:cs="Times New Roman"/>
                <w:noProof/>
              </w:rPr>
            </w:pPr>
            <w:r>
              <w:rPr>
                <w:noProof/>
              </w:rPr>
              <w:t>7</w:t>
            </w:r>
          </w:p>
        </w:tc>
        <w:tc>
          <w:tcPr>
            <w:tcW w:w="851" w:type="dxa"/>
            <w:shd w:val="clear" w:color="auto" w:fill="C6EFCE"/>
            <w:noWrap/>
          </w:tcPr>
          <w:p w14:paraId="6ABF99B7"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5378FCBD"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6384B0C8" w14:textId="77777777" w:rsidR="0065073E" w:rsidRDefault="000A0998">
            <w:pPr>
              <w:pStyle w:val="P68B1DB1-Normal12"/>
              <w:spacing w:after="0" w:line="240" w:lineRule="auto"/>
              <w:rPr>
                <w:rFonts w:eastAsia="MS Mincho" w:cs="Times New Roman"/>
                <w:noProof/>
              </w:rPr>
            </w:pPr>
            <w:r>
              <w:rPr>
                <w:noProof/>
              </w:rPr>
              <w:t>Kestävän liikkuvuuden edistämiseen tähtääviin hankintoihin tai kuntien myöntämiin hankintoihin käytetyt määrärahat</w:t>
            </w:r>
          </w:p>
        </w:tc>
        <w:tc>
          <w:tcPr>
            <w:tcW w:w="1134" w:type="dxa"/>
            <w:shd w:val="clear" w:color="auto" w:fill="C6EFCE"/>
            <w:noWrap/>
          </w:tcPr>
          <w:p w14:paraId="747EC57D" w14:textId="77777777" w:rsidR="0065073E" w:rsidRDefault="000A0998">
            <w:pPr>
              <w:pStyle w:val="P68B1DB1-Normal12"/>
              <w:spacing w:after="0" w:line="240" w:lineRule="auto"/>
              <w:jc w:val="center"/>
              <w:rPr>
                <w:rFonts w:eastAsia="MS Mincho" w:cs="Times New Roman"/>
                <w:noProof/>
              </w:rPr>
            </w:pPr>
            <w:r>
              <w:rPr>
                <w:noProof/>
              </w:rPr>
              <w:t xml:space="preserve"> </w:t>
            </w:r>
          </w:p>
        </w:tc>
        <w:tc>
          <w:tcPr>
            <w:tcW w:w="851" w:type="dxa"/>
            <w:shd w:val="clear" w:color="auto" w:fill="C6EFCE"/>
            <w:noWrap/>
          </w:tcPr>
          <w:p w14:paraId="3E6B4EA3" w14:textId="77777777" w:rsidR="0065073E" w:rsidRDefault="000A0998">
            <w:pPr>
              <w:pStyle w:val="P68B1DB1-Normal12"/>
              <w:spacing w:after="0" w:line="240" w:lineRule="auto"/>
              <w:jc w:val="right"/>
              <w:rPr>
                <w:rFonts w:eastAsia="MS Mincho" w:cs="Times New Roman"/>
                <w:noProof/>
              </w:rPr>
            </w:pPr>
            <w:r>
              <w:rPr>
                <w:noProof/>
              </w:rPr>
              <w:t>Miljoonaa euroa</w:t>
            </w:r>
          </w:p>
        </w:tc>
        <w:tc>
          <w:tcPr>
            <w:tcW w:w="992" w:type="dxa"/>
            <w:shd w:val="clear" w:color="auto" w:fill="C6EFCE"/>
            <w:noWrap/>
          </w:tcPr>
          <w:p w14:paraId="35B4915E" w14:textId="77777777" w:rsidR="0065073E" w:rsidRDefault="000A0998">
            <w:pPr>
              <w:pStyle w:val="P68B1DB1-Normal12"/>
              <w:spacing w:after="0" w:line="240" w:lineRule="auto"/>
              <w:jc w:val="right"/>
              <w:rPr>
                <w:rFonts w:eastAsia="MS Mincho" w:cs="Times New Roman"/>
                <w:noProof/>
              </w:rPr>
            </w:pPr>
            <w:r>
              <w:rPr>
                <w:noProof/>
              </w:rPr>
              <w:t>400</w:t>
            </w:r>
          </w:p>
        </w:tc>
        <w:tc>
          <w:tcPr>
            <w:tcW w:w="742" w:type="dxa"/>
            <w:shd w:val="clear" w:color="auto" w:fill="C6EFCE"/>
            <w:noWrap/>
          </w:tcPr>
          <w:p w14:paraId="6B3987EE" w14:textId="77777777" w:rsidR="0065073E" w:rsidRDefault="000A0998">
            <w:pPr>
              <w:pStyle w:val="P68B1DB1-Normal12"/>
              <w:spacing w:after="0" w:line="240" w:lineRule="auto"/>
              <w:jc w:val="right"/>
              <w:rPr>
                <w:rFonts w:eastAsia="MS Mincho" w:cs="Times New Roman"/>
                <w:noProof/>
              </w:rPr>
            </w:pPr>
            <w:r>
              <w:rPr>
                <w:noProof/>
              </w:rPr>
              <w:t>1 500</w:t>
            </w:r>
          </w:p>
        </w:tc>
        <w:tc>
          <w:tcPr>
            <w:tcW w:w="425" w:type="dxa"/>
            <w:shd w:val="clear" w:color="auto" w:fill="C6EFCE"/>
            <w:noWrap/>
          </w:tcPr>
          <w:p w14:paraId="1920ABED"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15705D52" w14:textId="77777777" w:rsidR="0065073E" w:rsidRDefault="000A0998">
            <w:pPr>
              <w:pStyle w:val="P68B1DB1-Normal12"/>
              <w:spacing w:after="0" w:line="240" w:lineRule="auto"/>
              <w:jc w:val="center"/>
              <w:rPr>
                <w:rFonts w:eastAsia="MS Mincho" w:cs="Times New Roman"/>
                <w:noProof/>
              </w:rPr>
            </w:pPr>
            <w:r>
              <w:rPr>
                <w:noProof/>
              </w:rPr>
              <w:t>2024</w:t>
            </w:r>
          </w:p>
        </w:tc>
        <w:tc>
          <w:tcPr>
            <w:tcW w:w="5387" w:type="dxa"/>
            <w:shd w:val="clear" w:color="auto" w:fill="C6EFCE"/>
            <w:noWrap/>
          </w:tcPr>
          <w:p w14:paraId="12B8CB70" w14:textId="77777777" w:rsidR="0065073E" w:rsidRDefault="000A0998">
            <w:pPr>
              <w:spacing w:after="0" w:line="240" w:lineRule="auto"/>
              <w:rPr>
                <w:rFonts w:ascii="Times New Roman" w:hAnsi="Times New Roman" w:cs="Times New Roman"/>
                <w:noProof/>
                <w:sz w:val="18"/>
              </w:rPr>
            </w:pPr>
            <w:r>
              <w:rPr>
                <w:noProof/>
              </w:rPr>
              <w:t>Hankkeen tai tukien myöntämisen</w:t>
            </w:r>
            <w:r>
              <w:rPr>
                <w:rFonts w:ascii="Times New Roman" w:hAnsi="Times New Roman"/>
                <w:noProof/>
                <w:sz w:val="18"/>
              </w:rPr>
              <w:t>julkaiseminen EUVL:ssä tai julkisten hankintojen foorumissa tai sellaisten kuntien hankintoihin liittyvien menojen toteuttaminen, jotka edistävät kestävää liikkuvuutta yli 50000 asukkaan kunnissa ja pääkaupungissa maakunnassa ja jotka voidaan tietyin edellytyksin osoittaa myös 20000–50000 asukkaan kunnille. Hankkeilla tuetaan tapauksia, joissa a) julkisen liikenteen kaluston muuntaminen puhtaita ajoneuvoja koskevan direktiivin tavoitteiden saavuttamiseksi ja ”ei merkittävää haittaa” -periaatteen mukaisesti (2021/C58/01); b) vähäpäästöisten alueiden täytäntöönpano ja hallinta; C) julkisen liikenteen digitalisointi, sen hallinto ja sen saavutettavuuden parantaminen; d) toimenpiteet, joilla kannustetaan ja priorisoidaan joukkoliikennettä ja aktiivista liikkuvuutta.</w:t>
            </w:r>
            <w:r>
              <w:rPr>
                <w:noProof/>
              </w:rPr>
              <w:t xml:space="preserve"> </w:t>
            </w:r>
            <w:r>
              <w:rPr>
                <w:noProof/>
              </w:rPr>
              <w:br/>
            </w:r>
            <w:r>
              <w:rPr>
                <w:rFonts w:ascii="Times New Roman" w:hAnsi="Times New Roman"/>
                <w:noProof/>
                <w:sz w:val="18"/>
              </w:rPr>
              <w:t>Valintaperusteilla varmistetaan, että vähintään 310000000 eurolla edistetään ilmastonmuutostavoitteita, joiden ilmastokerroin on 100 prosenttia ja vähintään 1190000000 euroa ja ilmastokerroin 40 prosenttia, elpymis- ja palautumistukivälineestä annetun asetuksen (EU) 2021/241 liitteen VI mukaisesti.</w:t>
            </w:r>
          </w:p>
          <w:p w14:paraId="56614773" w14:textId="77777777" w:rsidR="0065073E" w:rsidRDefault="000A0998">
            <w:pPr>
              <w:pStyle w:val="P68B1DB1-Normal12"/>
              <w:spacing w:after="0" w:line="240" w:lineRule="auto"/>
              <w:rPr>
                <w:rFonts w:eastAsia="MS Mincho" w:cs="Times New Roman"/>
                <w:noProof/>
              </w:rPr>
            </w:pPr>
            <w:r>
              <w:rPr>
                <w:noProof/>
              </w:rPr>
              <w:t>(Perustaso: Joulukuuta 2022)</w:t>
            </w:r>
          </w:p>
        </w:tc>
      </w:tr>
      <w:tr w:rsidR="0065073E" w14:paraId="2B46CC03" w14:textId="77777777">
        <w:trPr>
          <w:trHeight w:val="309"/>
        </w:trPr>
        <w:tc>
          <w:tcPr>
            <w:tcW w:w="709" w:type="dxa"/>
            <w:shd w:val="clear" w:color="auto" w:fill="C6EFCE"/>
            <w:noWrap/>
          </w:tcPr>
          <w:p w14:paraId="0C4BD8EC" w14:textId="6A94380F" w:rsidR="0065073E" w:rsidRDefault="000A0998">
            <w:pPr>
              <w:pStyle w:val="P68B1DB1-Normal12"/>
              <w:spacing w:after="0" w:line="240" w:lineRule="auto"/>
              <w:jc w:val="center"/>
              <w:rPr>
                <w:rFonts w:eastAsia="MS Mincho" w:cs="Times New Roman"/>
                <w:noProof/>
              </w:rPr>
            </w:pPr>
            <w:r>
              <w:rPr>
                <w:noProof/>
              </w:rPr>
              <w:t>8</w:t>
            </w:r>
          </w:p>
        </w:tc>
        <w:tc>
          <w:tcPr>
            <w:tcW w:w="851" w:type="dxa"/>
            <w:shd w:val="clear" w:color="auto" w:fill="C6EFCE"/>
            <w:noWrap/>
          </w:tcPr>
          <w:p w14:paraId="54CD94C0"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6DD05A5F"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6D27D96F" w14:textId="47D88A46" w:rsidR="0065073E" w:rsidRDefault="000A0998">
            <w:pPr>
              <w:pStyle w:val="P68B1DB1-Normal12"/>
              <w:spacing w:after="0" w:line="240" w:lineRule="auto"/>
              <w:rPr>
                <w:rFonts w:eastAsia="MS Mincho" w:cs="Times New Roman"/>
                <w:noProof/>
              </w:rPr>
            </w:pPr>
            <w:r>
              <w:rPr>
                <w:noProof/>
              </w:rPr>
              <w:t xml:space="preserve">Kaupunkialueiden valtion teiden parantamiseksi tehdyt sopimukset tai muut oikeudelliset välineet </w:t>
            </w:r>
          </w:p>
        </w:tc>
        <w:tc>
          <w:tcPr>
            <w:tcW w:w="1134" w:type="dxa"/>
            <w:shd w:val="clear" w:color="auto" w:fill="C6EFCE"/>
            <w:noWrap/>
          </w:tcPr>
          <w:p w14:paraId="2CCD58F5" w14:textId="77777777" w:rsidR="0065073E" w:rsidRDefault="000A0998">
            <w:pPr>
              <w:pStyle w:val="P68B1DB1-Normal12"/>
              <w:spacing w:after="0" w:line="240" w:lineRule="auto"/>
              <w:jc w:val="center"/>
              <w:rPr>
                <w:rFonts w:eastAsia="MS Mincho" w:cs="Times New Roman"/>
                <w:noProof/>
              </w:rPr>
            </w:pPr>
            <w:r>
              <w:rPr>
                <w:noProof/>
              </w:rPr>
              <w:t xml:space="preserve"> </w:t>
            </w:r>
          </w:p>
        </w:tc>
        <w:tc>
          <w:tcPr>
            <w:tcW w:w="851" w:type="dxa"/>
            <w:shd w:val="clear" w:color="auto" w:fill="C6EFCE"/>
            <w:noWrap/>
          </w:tcPr>
          <w:p w14:paraId="5CDA7C8E" w14:textId="1B68720A" w:rsidR="0065073E" w:rsidRDefault="000A0998">
            <w:pPr>
              <w:pStyle w:val="P68B1DB1-Normal12"/>
              <w:spacing w:after="0" w:line="240" w:lineRule="auto"/>
              <w:jc w:val="right"/>
              <w:rPr>
                <w:rFonts w:eastAsia="MS Mincho" w:cs="Times New Roman"/>
                <w:noProof/>
              </w:rPr>
            </w:pPr>
            <w:r>
              <w:rPr>
                <w:noProof/>
              </w:rPr>
              <w:t>Sopimus tai muu oikeudellinen asiakirja</w:t>
            </w:r>
          </w:p>
        </w:tc>
        <w:tc>
          <w:tcPr>
            <w:tcW w:w="992" w:type="dxa"/>
            <w:shd w:val="clear" w:color="auto" w:fill="C6EFCE"/>
            <w:noWrap/>
          </w:tcPr>
          <w:p w14:paraId="44E92D5A"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407DA066" w14:textId="5B6916BA" w:rsidR="0065073E" w:rsidRDefault="000A0998">
            <w:pPr>
              <w:pStyle w:val="P68B1DB1-Normal12"/>
              <w:spacing w:after="0" w:line="240" w:lineRule="auto"/>
              <w:jc w:val="right"/>
              <w:rPr>
                <w:rFonts w:eastAsia="MS Mincho" w:cs="Times New Roman"/>
                <w:noProof/>
              </w:rPr>
            </w:pPr>
            <w:r>
              <w:rPr>
                <w:noProof/>
              </w:rPr>
              <w:t>35</w:t>
            </w:r>
          </w:p>
        </w:tc>
        <w:tc>
          <w:tcPr>
            <w:tcW w:w="425" w:type="dxa"/>
            <w:shd w:val="clear" w:color="auto" w:fill="C6EFCE"/>
            <w:noWrap/>
          </w:tcPr>
          <w:p w14:paraId="2E7F4691"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63C2F686" w14:textId="77777777" w:rsidR="0065073E" w:rsidRDefault="000A0998">
            <w:pPr>
              <w:pStyle w:val="P68B1DB1-Normal12"/>
              <w:spacing w:after="0" w:line="240" w:lineRule="auto"/>
              <w:jc w:val="center"/>
              <w:rPr>
                <w:rFonts w:eastAsia="MS Mincho" w:cs="Times New Roman"/>
                <w:noProof/>
              </w:rPr>
            </w:pPr>
            <w:r>
              <w:rPr>
                <w:noProof/>
              </w:rPr>
              <w:t>2024</w:t>
            </w:r>
          </w:p>
        </w:tc>
        <w:tc>
          <w:tcPr>
            <w:tcW w:w="5387" w:type="dxa"/>
            <w:shd w:val="clear" w:color="auto" w:fill="C6EFCE"/>
            <w:noWrap/>
          </w:tcPr>
          <w:p w14:paraId="49786851" w14:textId="7D84FE19" w:rsidR="0065073E" w:rsidRDefault="000A0998">
            <w:pPr>
              <w:pStyle w:val="P68B1DB1-Normal12"/>
              <w:spacing w:after="0" w:line="240" w:lineRule="auto"/>
              <w:rPr>
                <w:rFonts w:eastAsia="MS Mincho" w:cs="Times New Roman"/>
                <w:noProof/>
              </w:rPr>
            </w:pPr>
            <w:r>
              <w:rPr>
                <w:noProof/>
              </w:rPr>
              <w:t xml:space="preserve">Vähintään 35 sopimusta tai muuta oikeudellista välinettä kaupunkialueiden valtion teiden parantamiseksi. Hankkeissa rakennetaan uusia pyöräteitä, laajennetaan jalankulkualueita, vähennetään pysäköintialueita tai parannetaan risteysten turvallisuutta. </w:t>
            </w:r>
          </w:p>
        </w:tc>
      </w:tr>
      <w:tr w:rsidR="0065073E" w14:paraId="6E445ACD" w14:textId="77777777">
        <w:trPr>
          <w:trHeight w:val="309"/>
        </w:trPr>
        <w:tc>
          <w:tcPr>
            <w:tcW w:w="709" w:type="dxa"/>
            <w:shd w:val="clear" w:color="auto" w:fill="C6EFCE"/>
            <w:noWrap/>
          </w:tcPr>
          <w:p w14:paraId="560D47BC" w14:textId="77777777" w:rsidR="0065073E" w:rsidRDefault="000A0998">
            <w:pPr>
              <w:pStyle w:val="P68B1DB1-Normal12"/>
              <w:spacing w:after="0" w:line="240" w:lineRule="auto"/>
              <w:jc w:val="center"/>
              <w:rPr>
                <w:rFonts w:eastAsia="MS Mincho" w:cs="Times New Roman"/>
                <w:noProof/>
              </w:rPr>
            </w:pPr>
            <w:r>
              <w:rPr>
                <w:noProof/>
              </w:rPr>
              <w:t>9</w:t>
            </w:r>
          </w:p>
        </w:tc>
        <w:tc>
          <w:tcPr>
            <w:tcW w:w="851" w:type="dxa"/>
            <w:shd w:val="clear" w:color="auto" w:fill="C6EFCE"/>
            <w:noWrap/>
          </w:tcPr>
          <w:p w14:paraId="5685DD6C"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688C682D" w14:textId="77777777" w:rsidR="0065073E" w:rsidRDefault="000A0998">
            <w:pPr>
              <w:pStyle w:val="P68B1DB1-Normal12"/>
              <w:spacing w:after="0" w:line="240" w:lineRule="auto"/>
              <w:jc w:val="center"/>
              <w:rPr>
                <w:rFonts w:eastAsia="MS Mincho" w:cs="Times New Roman"/>
                <w:noProof/>
              </w:rPr>
            </w:pPr>
            <w:r>
              <w:rPr>
                <w:noProof/>
              </w:rPr>
              <w:t>T</w:t>
            </w:r>
          </w:p>
        </w:tc>
        <w:tc>
          <w:tcPr>
            <w:tcW w:w="2977" w:type="dxa"/>
            <w:shd w:val="clear" w:color="auto" w:fill="C6EFCE"/>
            <w:noWrap/>
          </w:tcPr>
          <w:p w14:paraId="6D856E6C" w14:textId="77777777" w:rsidR="0065073E" w:rsidRDefault="000A0998">
            <w:pPr>
              <w:pStyle w:val="P68B1DB1-Normal12"/>
              <w:spacing w:after="0" w:line="240" w:lineRule="auto"/>
              <w:rPr>
                <w:rFonts w:eastAsia="MS Mincho" w:cs="Times New Roman"/>
                <w:noProof/>
              </w:rPr>
            </w:pPr>
            <w:r>
              <w:rPr>
                <w:noProof/>
              </w:rPr>
              <w:t>Kestävän liikkuvuuden edistämiseksi päätökseen saatetut hankkeet, myös kaupunki- ja suurkaupunkialueilla</w:t>
            </w:r>
          </w:p>
        </w:tc>
        <w:tc>
          <w:tcPr>
            <w:tcW w:w="1134" w:type="dxa"/>
            <w:shd w:val="clear" w:color="auto" w:fill="C6EFCE"/>
            <w:noWrap/>
          </w:tcPr>
          <w:p w14:paraId="32EA0A8A" w14:textId="77777777" w:rsidR="0065073E" w:rsidRDefault="000A0998">
            <w:pPr>
              <w:pStyle w:val="P68B1DB1-Normal12"/>
              <w:spacing w:after="0" w:line="240" w:lineRule="auto"/>
              <w:jc w:val="center"/>
              <w:rPr>
                <w:rFonts w:eastAsia="MS Mincho" w:cs="Times New Roman"/>
                <w:noProof/>
              </w:rPr>
            </w:pPr>
            <w:r>
              <w:rPr>
                <w:noProof/>
              </w:rPr>
              <w:t xml:space="preserve"> </w:t>
            </w:r>
          </w:p>
        </w:tc>
        <w:tc>
          <w:tcPr>
            <w:tcW w:w="851" w:type="dxa"/>
            <w:shd w:val="clear" w:color="auto" w:fill="C6EFCE"/>
            <w:noWrap/>
          </w:tcPr>
          <w:p w14:paraId="57A319C9"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27212311" w14:textId="77777777" w:rsidR="0065073E" w:rsidRDefault="000A0998">
            <w:pPr>
              <w:pStyle w:val="P68B1DB1-Normal12"/>
              <w:spacing w:after="0" w:line="240" w:lineRule="auto"/>
              <w:jc w:val="right"/>
              <w:rPr>
                <w:rFonts w:eastAsia="MS Mincho" w:cs="Times New Roman"/>
                <w:noProof/>
              </w:rPr>
            </w:pPr>
            <w:r>
              <w:rPr>
                <w:noProof/>
              </w:rPr>
              <w:t>25</w:t>
            </w:r>
          </w:p>
        </w:tc>
        <w:tc>
          <w:tcPr>
            <w:tcW w:w="742" w:type="dxa"/>
            <w:shd w:val="clear" w:color="auto" w:fill="C6EFCE"/>
            <w:noWrap/>
          </w:tcPr>
          <w:p w14:paraId="3D4AFDFF" w14:textId="77777777" w:rsidR="0065073E" w:rsidRDefault="000A0998">
            <w:pPr>
              <w:pStyle w:val="P68B1DB1-Normal12"/>
              <w:spacing w:after="0" w:line="240" w:lineRule="auto"/>
              <w:jc w:val="right"/>
              <w:rPr>
                <w:rFonts w:eastAsia="MS Mincho" w:cs="Times New Roman"/>
                <w:noProof/>
              </w:rPr>
            </w:pPr>
            <w:r>
              <w:rPr>
                <w:noProof/>
              </w:rPr>
              <w:t>280</w:t>
            </w:r>
          </w:p>
        </w:tc>
        <w:tc>
          <w:tcPr>
            <w:tcW w:w="425" w:type="dxa"/>
            <w:shd w:val="clear" w:color="auto" w:fill="C6EFCE"/>
            <w:noWrap/>
          </w:tcPr>
          <w:p w14:paraId="00FEE9AC"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4E570A48" w14:textId="77777777" w:rsidR="0065073E" w:rsidRDefault="000A0998">
            <w:pPr>
              <w:pStyle w:val="P68B1DB1-Normal12"/>
              <w:spacing w:after="0" w:line="240" w:lineRule="auto"/>
              <w:jc w:val="center"/>
              <w:rPr>
                <w:rFonts w:eastAsia="MS Mincho" w:cs="Times New Roman"/>
                <w:noProof/>
              </w:rPr>
            </w:pPr>
            <w:r>
              <w:rPr>
                <w:noProof/>
              </w:rPr>
              <w:t>2025</w:t>
            </w:r>
          </w:p>
        </w:tc>
        <w:tc>
          <w:tcPr>
            <w:tcW w:w="5387" w:type="dxa"/>
            <w:shd w:val="clear" w:color="auto" w:fill="C6EFCE"/>
            <w:noWrap/>
          </w:tcPr>
          <w:p w14:paraId="7C3238BB"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Kestävän liikkuvuuden edistämiseksi, myös kaupunki- ja suurkaupunkialueilla, on saatu päätökseen vähintään 280 hanketta, joilla edistetään kestävää liikkuvuutta yli 50000 asukkaan 150 kaupunkialueilla ja tietyin edellytyksin 20000–50000 asukkaan kaupunkialueilla.</w:t>
            </w:r>
            <w:r>
              <w:rPr>
                <w:noProof/>
              </w:rPr>
              <w:t xml:space="preserve"> </w:t>
            </w:r>
            <w:r>
              <w:rPr>
                <w:noProof/>
              </w:rPr>
              <w:br/>
            </w:r>
            <w:r>
              <w:rPr>
                <w:rFonts w:ascii="Times New Roman" w:hAnsi="Times New Roman"/>
                <w:noProof/>
                <w:sz w:val="18"/>
              </w:rPr>
              <w:t>Kestävää liikkuvuutta edistävät hankkeet ovat seuraavat:</w:t>
            </w:r>
            <w:r>
              <w:rPr>
                <w:noProof/>
              </w:rPr>
              <w:t xml:space="preserve"> </w:t>
            </w:r>
            <w:r>
              <w:rPr>
                <w:noProof/>
              </w:rPr>
              <w:br/>
            </w:r>
            <w:r>
              <w:rPr>
                <w:rFonts w:ascii="Times New Roman" w:hAnsi="Times New Roman"/>
                <w:noProof/>
                <w:sz w:val="18"/>
              </w:rPr>
              <w:t>I. Kuntien kehittämät hankkeet, joilla edistetään kestävää liikkuvuutta yli 50000 asukkaan kunnissa ja pääkaupungeissa maakunnassa ja jotka voidaan tietyin edellytyksin osoittaa myös 20000–50000 asukkaan kunnille. Hankkeilla tuetaan tapauksia, joissa a) julkisen liikenteen kaluston muuntaminen puhtaita ajoneuvoja koskevan direktiivin tavoitteiden saavuttamiseksi ja ”ei merkittävää haittaa” -periaatteen mukaisesti (2021/C58/01); b) vähäpäästöisten alueiden täytäntöönpano ja hallinta; C) julkisen liikenteen digitalisointi, sen hallinto ja sen saavutettavuuden parantaminen; d) toimenpiteet, joilla kannustetaan ja priorisoidaan joukkoliikennettä ja aktiivista liikkuvuutta. Hanke on joukko määriteltyjä, toisiinsa liittyviä ja koordinoituja toimia, joilla on yhteinen tavoite tietyissä aika- ja budjettirajoissa ja joita varten haetaan tukea. Yksi kunta voi kehittää useamman kuin yhden hankkeen.</w:t>
            </w:r>
            <w:r>
              <w:rPr>
                <w:noProof/>
              </w:rPr>
              <w:t xml:space="preserve"> </w:t>
            </w:r>
            <w:r>
              <w:rPr>
                <w:noProof/>
              </w:rPr>
              <w:br/>
            </w:r>
            <w:r>
              <w:rPr>
                <w:rFonts w:ascii="Times New Roman" w:hAnsi="Times New Roman"/>
                <w:noProof/>
                <w:sz w:val="18"/>
              </w:rPr>
              <w:t xml:space="preserve">II. Itsehallintoalueiden kehittämät hankkeet, joilla edistetään kestävää liikkuvuutta kaupunki- ja suurkaupunkialueilla. Tämä koskee investoinnin C1.I1 kohdassa määriteltyjä typologioita a-i. Kaupunki- ja suurkaupunkialueet määritellään kunniksi, joissa on yli 50000 asukasta, maakunnan pääkaupunkeja ja kuntia, joissa on yli 20000 asukasta. Kukin itsehallintoalue voi kehittää useamman kuin yhden hankkeen. </w:t>
            </w:r>
            <w:r>
              <w:rPr>
                <w:noProof/>
              </w:rPr>
              <w:t xml:space="preserve"> </w:t>
            </w:r>
            <w:r>
              <w:rPr>
                <w:noProof/>
              </w:rPr>
              <w:br/>
            </w:r>
            <w:r>
              <w:rPr>
                <w:rFonts w:ascii="Times New Roman" w:hAnsi="Times New Roman"/>
                <w:noProof/>
                <w:sz w:val="18"/>
              </w:rPr>
              <w:t>III. Hankkeet, joilla tuetaan yksityisiä yrityksiä a) vanhojen raskaiden ajoneuvojen romuttamiseksi, b) raskaan henkilö- ja tavaraliikenteen uudistamiseksi puhtaammilla ajoneuvoilla, c) ostaa tai mukauttaa perävaunujaan tai puoliperävaunujaan intermodaaliliikenteeseen tai d) asentaa tankkauspisteitä vaihtoehtoisilla polttoaineilla (sähkö, nesteytetty maakaasu, paineistettu maakaasu ja biometaani). Vähintään 3000 raskasta ajoneuvoa tai tankkaus- tai latauspistettä tai tankkauspistettä on tuettava, jotta voidaan katsoa, että yksi kestävää liikkuvuutta edistävä hanke on saatettu päätökseen. Tukia olisi myönnettävä ”ei merkittävää haittaa” -periaatetta koskevien teknisten ohjeiden (2021/C58/01) mukaisesti.</w:t>
            </w:r>
          </w:p>
          <w:p w14:paraId="2DB75BAA" w14:textId="77777777" w:rsidR="0065073E" w:rsidRDefault="000A0998">
            <w:pPr>
              <w:pStyle w:val="P68B1DB1-Normal12"/>
              <w:spacing w:after="0" w:line="240" w:lineRule="auto"/>
              <w:rPr>
                <w:rFonts w:eastAsia="MS Mincho" w:cs="Times New Roman"/>
                <w:noProof/>
              </w:rPr>
            </w:pPr>
            <w:r>
              <w:rPr>
                <w:noProof/>
              </w:rPr>
              <w:t>(Perustaso: Joulukuuta 2023)</w:t>
            </w:r>
          </w:p>
        </w:tc>
      </w:tr>
      <w:tr w:rsidR="0065073E" w14:paraId="3BE7E18D" w14:textId="77777777">
        <w:trPr>
          <w:trHeight w:val="309"/>
        </w:trPr>
        <w:tc>
          <w:tcPr>
            <w:tcW w:w="709" w:type="dxa"/>
            <w:shd w:val="clear" w:color="auto" w:fill="C6EFCE"/>
            <w:noWrap/>
          </w:tcPr>
          <w:p w14:paraId="4F5C66B4" w14:textId="77777777" w:rsidR="0065073E" w:rsidRDefault="000A0998">
            <w:pPr>
              <w:pStyle w:val="P68B1DB1-Normal12"/>
              <w:spacing w:after="0" w:line="240" w:lineRule="auto"/>
              <w:jc w:val="center"/>
              <w:rPr>
                <w:rFonts w:cs="Times New Roman"/>
                <w:noProof/>
              </w:rPr>
            </w:pPr>
            <w:r>
              <w:rPr>
                <w:noProof/>
              </w:rPr>
              <w:t>10</w:t>
            </w:r>
          </w:p>
        </w:tc>
        <w:tc>
          <w:tcPr>
            <w:tcW w:w="851" w:type="dxa"/>
            <w:shd w:val="clear" w:color="auto" w:fill="C6EFCE"/>
            <w:noWrap/>
          </w:tcPr>
          <w:p w14:paraId="26DCE787" w14:textId="77777777" w:rsidR="0065073E" w:rsidRDefault="000A0998">
            <w:pPr>
              <w:pStyle w:val="P68B1DB1-Normal12"/>
              <w:spacing w:after="0" w:line="240" w:lineRule="auto"/>
              <w:jc w:val="center"/>
              <w:rPr>
                <w:rFonts w:eastAsia="MS Mincho" w:cs="Times New Roman"/>
                <w:noProof/>
              </w:rPr>
            </w:pPr>
            <w:r>
              <w:rPr>
                <w:noProof/>
              </w:rPr>
              <w:t>C1.I1</w:t>
            </w:r>
          </w:p>
        </w:tc>
        <w:tc>
          <w:tcPr>
            <w:tcW w:w="850" w:type="dxa"/>
            <w:shd w:val="clear" w:color="auto" w:fill="C6EFCE"/>
            <w:noWrap/>
          </w:tcPr>
          <w:p w14:paraId="03AADB3F"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4CA9B203" w14:textId="77777777" w:rsidR="0065073E" w:rsidRDefault="000A0998">
            <w:pPr>
              <w:pStyle w:val="P68B1DB1-Normal12"/>
              <w:spacing w:after="0" w:line="240" w:lineRule="auto"/>
              <w:rPr>
                <w:rFonts w:cs="Times New Roman"/>
                <w:noProof/>
              </w:rPr>
            </w:pPr>
            <w:r>
              <w:rPr>
                <w:noProof/>
              </w:rPr>
              <w:t>Kaupunkialueiden valtion teitä on parannettu uusien liikkumismuotojen edistämiseksi</w:t>
            </w:r>
          </w:p>
        </w:tc>
        <w:tc>
          <w:tcPr>
            <w:tcW w:w="1134" w:type="dxa"/>
            <w:shd w:val="clear" w:color="auto" w:fill="C6EFCE"/>
            <w:noWrap/>
          </w:tcPr>
          <w:p w14:paraId="251F0AC9"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32ED97DD" w14:textId="77777777" w:rsidR="0065073E" w:rsidRDefault="000A0998">
            <w:pPr>
              <w:pStyle w:val="P68B1DB1-Normal12"/>
              <w:spacing w:after="0" w:line="240" w:lineRule="auto"/>
              <w:jc w:val="right"/>
              <w:rPr>
                <w:rFonts w:eastAsia="MS Mincho" w:cs="Times New Roman"/>
                <w:noProof/>
              </w:rPr>
            </w:pPr>
            <w:r>
              <w:rPr>
                <w:noProof/>
              </w:rPr>
              <w:t xml:space="preserve">Määrä </w:t>
            </w:r>
          </w:p>
        </w:tc>
        <w:tc>
          <w:tcPr>
            <w:tcW w:w="992" w:type="dxa"/>
            <w:shd w:val="clear" w:color="auto" w:fill="C6EFCE"/>
            <w:noWrap/>
          </w:tcPr>
          <w:p w14:paraId="5FE7C0C4"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58DB03FB" w14:textId="77777777" w:rsidR="0065073E" w:rsidRDefault="000A0998">
            <w:pPr>
              <w:pStyle w:val="P68B1DB1-Normal12"/>
              <w:spacing w:after="0" w:line="240" w:lineRule="auto"/>
              <w:jc w:val="right"/>
              <w:rPr>
                <w:rFonts w:eastAsia="MS Mincho" w:cs="Times New Roman"/>
                <w:noProof/>
              </w:rPr>
            </w:pPr>
            <w:r>
              <w:rPr>
                <w:noProof/>
              </w:rPr>
              <w:t>34</w:t>
            </w:r>
          </w:p>
        </w:tc>
        <w:tc>
          <w:tcPr>
            <w:tcW w:w="425" w:type="dxa"/>
            <w:shd w:val="clear" w:color="auto" w:fill="C6EFCE"/>
            <w:noWrap/>
          </w:tcPr>
          <w:p w14:paraId="653499C9"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2DFC998C" w14:textId="77777777" w:rsidR="0065073E" w:rsidRDefault="000A0998">
            <w:pPr>
              <w:pStyle w:val="P68B1DB1-Normal12"/>
              <w:spacing w:after="0" w:line="240" w:lineRule="auto"/>
              <w:jc w:val="center"/>
              <w:rPr>
                <w:rFonts w:cs="Times New Roman"/>
                <w:noProof/>
              </w:rPr>
            </w:pPr>
            <w:r>
              <w:rPr>
                <w:noProof/>
              </w:rPr>
              <w:t>2025</w:t>
            </w:r>
          </w:p>
        </w:tc>
        <w:tc>
          <w:tcPr>
            <w:tcW w:w="5387" w:type="dxa"/>
            <w:shd w:val="clear" w:color="auto" w:fill="C6EFCE"/>
            <w:noWrap/>
          </w:tcPr>
          <w:p w14:paraId="4E9B6E6B"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Kaupunkialueilla ainakin 34:ää valtion tietä parannettiin rakentamalla uusia pyöräteitä, laajentamalla jalankulkualueita, vähentämällä pysäköintialueita tai parantamalla risteysten turvallisuutta.</w:t>
            </w:r>
            <w:r>
              <w:rPr>
                <w:noProof/>
              </w:rPr>
              <w:t xml:space="preserve"> </w:t>
            </w:r>
            <w:r>
              <w:rPr>
                <w:noProof/>
              </w:rPr>
              <w:br/>
            </w:r>
            <w:r>
              <w:rPr>
                <w:rFonts w:ascii="Times New Roman" w:hAnsi="Times New Roman"/>
                <w:noProof/>
                <w:sz w:val="18"/>
              </w:rPr>
              <w:t>Tämän investoinnin toteuttaa liikenne-, liikenne- ja kaupunkiagendaministeriö kaupunkialueilla omistamillaan teillä.</w:t>
            </w:r>
          </w:p>
        </w:tc>
      </w:tr>
      <w:tr w:rsidR="0065073E" w14:paraId="1865056C" w14:textId="77777777">
        <w:trPr>
          <w:trHeight w:val="309"/>
        </w:trPr>
        <w:tc>
          <w:tcPr>
            <w:tcW w:w="709" w:type="dxa"/>
            <w:shd w:val="clear" w:color="auto" w:fill="C6EFCE"/>
            <w:noWrap/>
          </w:tcPr>
          <w:p w14:paraId="49C4C087" w14:textId="77777777" w:rsidR="0065073E" w:rsidRDefault="000A0998">
            <w:pPr>
              <w:pStyle w:val="P68B1DB1-Normal12"/>
              <w:spacing w:after="0" w:line="240" w:lineRule="auto"/>
              <w:jc w:val="center"/>
              <w:rPr>
                <w:rFonts w:cs="Times New Roman"/>
                <w:noProof/>
              </w:rPr>
            </w:pPr>
            <w:r>
              <w:rPr>
                <w:noProof/>
              </w:rPr>
              <w:t>11</w:t>
            </w:r>
          </w:p>
        </w:tc>
        <w:tc>
          <w:tcPr>
            <w:tcW w:w="851" w:type="dxa"/>
            <w:shd w:val="clear" w:color="auto" w:fill="C6EFCE"/>
            <w:noWrap/>
          </w:tcPr>
          <w:p w14:paraId="1C1AE0DF" w14:textId="77777777" w:rsidR="0065073E" w:rsidRDefault="000A0998">
            <w:pPr>
              <w:pStyle w:val="P68B1DB1-Normal12"/>
              <w:spacing w:after="0" w:line="240" w:lineRule="auto"/>
              <w:jc w:val="center"/>
              <w:rPr>
                <w:rFonts w:eastAsia="MS Mincho" w:cs="Times New Roman"/>
                <w:noProof/>
              </w:rPr>
            </w:pPr>
            <w:r>
              <w:rPr>
                <w:noProof/>
              </w:rPr>
              <w:t>C1.I2</w:t>
            </w:r>
          </w:p>
        </w:tc>
        <w:tc>
          <w:tcPr>
            <w:tcW w:w="850" w:type="dxa"/>
            <w:shd w:val="clear" w:color="auto" w:fill="C6EFCE"/>
            <w:noWrap/>
          </w:tcPr>
          <w:p w14:paraId="4E319F15"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60B0BAD3" w14:textId="77777777" w:rsidR="0065073E" w:rsidRDefault="000A0998">
            <w:pPr>
              <w:pStyle w:val="P68B1DB1-Normal12"/>
              <w:spacing w:after="0" w:line="240" w:lineRule="auto"/>
              <w:rPr>
                <w:rFonts w:cs="Times New Roman"/>
                <w:noProof/>
              </w:rPr>
            </w:pPr>
            <w:r>
              <w:rPr>
                <w:noProof/>
              </w:rPr>
              <w:t xml:space="preserve">Sähköistä liikkuvuutta edistävien innovatiivisten hankkeiden myöntäminen </w:t>
            </w:r>
          </w:p>
        </w:tc>
        <w:tc>
          <w:tcPr>
            <w:tcW w:w="1134" w:type="dxa"/>
            <w:shd w:val="clear" w:color="auto" w:fill="C6EFCE"/>
            <w:noWrap/>
          </w:tcPr>
          <w:p w14:paraId="76FC1474"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3FA9A43F" w14:textId="77777777" w:rsidR="0065073E" w:rsidRDefault="000A0998">
            <w:pPr>
              <w:pStyle w:val="P68B1DB1-Normal12"/>
              <w:spacing w:after="0" w:line="240" w:lineRule="auto"/>
              <w:jc w:val="right"/>
              <w:rPr>
                <w:rFonts w:eastAsia="MS Mincho" w:cs="Times New Roman"/>
                <w:noProof/>
              </w:rPr>
            </w:pPr>
            <w:r>
              <w:rPr>
                <w:noProof/>
              </w:rPr>
              <w:t>Miljoonaa euroa</w:t>
            </w:r>
          </w:p>
        </w:tc>
        <w:tc>
          <w:tcPr>
            <w:tcW w:w="992" w:type="dxa"/>
            <w:shd w:val="clear" w:color="auto" w:fill="C6EFCE"/>
            <w:noWrap/>
          </w:tcPr>
          <w:p w14:paraId="6A0ED356"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55CE6AE6" w14:textId="77777777" w:rsidR="0065073E" w:rsidRDefault="000A0998">
            <w:pPr>
              <w:pStyle w:val="P68B1DB1-Normal12"/>
              <w:spacing w:after="0" w:line="240" w:lineRule="auto"/>
              <w:jc w:val="right"/>
              <w:rPr>
                <w:rFonts w:eastAsia="MS Mincho" w:cs="Times New Roman"/>
                <w:noProof/>
              </w:rPr>
            </w:pPr>
            <w:r>
              <w:rPr>
                <w:noProof/>
              </w:rPr>
              <w:t>250</w:t>
            </w:r>
          </w:p>
        </w:tc>
        <w:tc>
          <w:tcPr>
            <w:tcW w:w="425" w:type="dxa"/>
            <w:shd w:val="clear" w:color="auto" w:fill="C6EFCE"/>
            <w:noWrap/>
          </w:tcPr>
          <w:p w14:paraId="6AE7DF88"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5C774669" w14:textId="77777777" w:rsidR="0065073E" w:rsidRDefault="000A0998">
            <w:pPr>
              <w:pStyle w:val="P68B1DB1-Normal12"/>
              <w:spacing w:after="0" w:line="240" w:lineRule="auto"/>
              <w:jc w:val="center"/>
              <w:rPr>
                <w:rFonts w:cs="Times New Roman"/>
                <w:noProof/>
              </w:rPr>
            </w:pPr>
            <w:r>
              <w:rPr>
                <w:noProof/>
              </w:rPr>
              <w:t>2023</w:t>
            </w:r>
          </w:p>
        </w:tc>
        <w:tc>
          <w:tcPr>
            <w:tcW w:w="5387" w:type="dxa"/>
            <w:shd w:val="clear" w:color="auto" w:fill="C6EFCE"/>
            <w:noWrap/>
          </w:tcPr>
          <w:p w14:paraId="66D51A76" w14:textId="6E009872" w:rsidR="0065073E" w:rsidRDefault="000A0998">
            <w:pPr>
              <w:pStyle w:val="P68B1DB1-Normal12"/>
              <w:spacing w:after="0" w:line="240" w:lineRule="auto"/>
              <w:rPr>
                <w:rFonts w:cs="Times New Roman"/>
                <w:noProof/>
              </w:rPr>
            </w:pPr>
            <w:r>
              <w:rPr>
                <w:noProof/>
              </w:rPr>
              <w:t>Julkaistaan vähintään 250 miljoonaa euroa ehdotuspyyntöinä, joilla tuetaan sähköistä liikkuvuutta edistäviä innovatiivisia hankkeita. Tukijärjestelmien kohdentamista koskevissa ehdotuspyynnöissä käytettäviin valintaperusteisiin on sisällyttävä seuraavat: I) ympäristövaikutusten vähentäminen, ii) tekninen ja taloudellinen elinkelpoisuus, iii) teknologisen kehityksen ja innovoinnin taso, iv) toistettavuus ja skaalautuvuus, v) hankkeeseen liittyvä työpaikkojen luominen, suorat ja välilliset vaikutukset arvoketjuun ja synergiaan muiden alojen, pääasiassa teollisuuden, kanssa.</w:t>
            </w:r>
          </w:p>
        </w:tc>
      </w:tr>
      <w:tr w:rsidR="0065073E" w14:paraId="3D285064" w14:textId="77777777">
        <w:trPr>
          <w:trHeight w:val="309"/>
        </w:trPr>
        <w:tc>
          <w:tcPr>
            <w:tcW w:w="709" w:type="dxa"/>
            <w:shd w:val="clear" w:color="auto" w:fill="C6EFCE"/>
            <w:noWrap/>
          </w:tcPr>
          <w:p w14:paraId="768DD0EE" w14:textId="77777777" w:rsidR="0065073E" w:rsidRDefault="000A0998">
            <w:pPr>
              <w:pStyle w:val="P68B1DB1-Normal12"/>
              <w:spacing w:after="0" w:line="240" w:lineRule="auto"/>
              <w:jc w:val="center"/>
              <w:rPr>
                <w:rFonts w:cs="Times New Roman"/>
                <w:noProof/>
              </w:rPr>
            </w:pPr>
            <w:r>
              <w:rPr>
                <w:noProof/>
              </w:rPr>
              <w:t>12</w:t>
            </w:r>
          </w:p>
        </w:tc>
        <w:tc>
          <w:tcPr>
            <w:tcW w:w="851" w:type="dxa"/>
            <w:shd w:val="clear" w:color="auto" w:fill="C6EFCE"/>
            <w:noWrap/>
          </w:tcPr>
          <w:p w14:paraId="39952C5A" w14:textId="77777777" w:rsidR="0065073E" w:rsidRDefault="000A0998">
            <w:pPr>
              <w:pStyle w:val="P68B1DB1-Normal12"/>
              <w:spacing w:after="0" w:line="240" w:lineRule="auto"/>
              <w:jc w:val="center"/>
              <w:rPr>
                <w:rFonts w:eastAsia="MS Mincho" w:cs="Times New Roman"/>
                <w:noProof/>
              </w:rPr>
            </w:pPr>
            <w:r>
              <w:rPr>
                <w:noProof/>
              </w:rPr>
              <w:t>C1.I2</w:t>
            </w:r>
          </w:p>
        </w:tc>
        <w:tc>
          <w:tcPr>
            <w:tcW w:w="850" w:type="dxa"/>
            <w:shd w:val="clear" w:color="auto" w:fill="C6EFCE"/>
            <w:noWrap/>
          </w:tcPr>
          <w:p w14:paraId="2AD35622"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089C1D3D" w14:textId="45979E08" w:rsidR="0065073E" w:rsidRDefault="000A0998">
            <w:pPr>
              <w:pStyle w:val="P68B1DB1-Normal12"/>
              <w:spacing w:after="0" w:line="240" w:lineRule="auto"/>
              <w:rPr>
                <w:rFonts w:cs="Times New Roman"/>
                <w:noProof/>
              </w:rPr>
            </w:pPr>
            <w:r>
              <w:rPr>
                <w:noProof/>
              </w:rPr>
              <w:t xml:space="preserve">Sähköajoneuvoja ja latauspisteitä koskevien tukihakemusten rekisteröinti </w:t>
            </w:r>
          </w:p>
        </w:tc>
        <w:tc>
          <w:tcPr>
            <w:tcW w:w="1134" w:type="dxa"/>
            <w:shd w:val="clear" w:color="auto" w:fill="C6EFCE"/>
            <w:noWrap/>
          </w:tcPr>
          <w:p w14:paraId="681A5A31"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5602EA02"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48D83142"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28E68559" w14:textId="77777777" w:rsidR="0065073E" w:rsidRDefault="000A0998">
            <w:pPr>
              <w:pStyle w:val="P68B1DB1-Normal12"/>
              <w:spacing w:after="0" w:line="240" w:lineRule="auto"/>
              <w:jc w:val="right"/>
              <w:rPr>
                <w:rFonts w:eastAsia="MS Mincho" w:cs="Times New Roman"/>
                <w:noProof/>
              </w:rPr>
            </w:pPr>
            <w:r>
              <w:rPr>
                <w:noProof/>
              </w:rPr>
              <w:t>238 000</w:t>
            </w:r>
          </w:p>
        </w:tc>
        <w:tc>
          <w:tcPr>
            <w:tcW w:w="425" w:type="dxa"/>
            <w:shd w:val="clear" w:color="auto" w:fill="C6EFCE"/>
            <w:noWrap/>
          </w:tcPr>
          <w:p w14:paraId="2E966F0A"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5C2EA5F4" w14:textId="77777777" w:rsidR="0065073E" w:rsidRDefault="000A0998">
            <w:pPr>
              <w:pStyle w:val="P68B1DB1-Normal12"/>
              <w:spacing w:after="0" w:line="240" w:lineRule="auto"/>
              <w:jc w:val="center"/>
              <w:rPr>
                <w:rFonts w:cs="Times New Roman"/>
                <w:noProof/>
              </w:rPr>
            </w:pPr>
            <w:r>
              <w:rPr>
                <w:noProof/>
              </w:rPr>
              <w:t>2023</w:t>
            </w:r>
          </w:p>
        </w:tc>
        <w:tc>
          <w:tcPr>
            <w:tcW w:w="5387" w:type="dxa"/>
            <w:shd w:val="clear" w:color="auto" w:fill="C6EFCE"/>
            <w:noWrap/>
          </w:tcPr>
          <w:p w14:paraId="04A15AE2" w14:textId="3290915B" w:rsidR="0065073E" w:rsidRDefault="000A0998">
            <w:pPr>
              <w:pStyle w:val="P68B1DB1-Normal12"/>
              <w:spacing w:after="0" w:line="240" w:lineRule="auto"/>
              <w:rPr>
                <w:rFonts w:eastAsia="Times New Roman" w:cs="Times New Roman"/>
                <w:noProof/>
              </w:rPr>
            </w:pPr>
            <w:r>
              <w:rPr>
                <w:noProof/>
              </w:rPr>
              <w:t>Vähintään 238000 sähköajoneuvoa (BEV-, REEV-, PHEV- tai FCEV-ajoneuvot) ja latauspisteitä koskevien tukihakemusten rekisteröinti, mukaan lukien muun muassa asuinalueilla ja kansallisessa tieverkossa käytettävät julkiseen käyttöön tarkoitetut latauspisteet, koska pyynnöt koostuvat sähköajoneuvoista ja/tai latauspisteistä erotuksetta.</w:t>
            </w:r>
          </w:p>
        </w:tc>
      </w:tr>
      <w:tr w:rsidR="0065073E" w14:paraId="1FAA9ED6" w14:textId="7777777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65073E" w:rsidRDefault="000A0998">
            <w:pPr>
              <w:pStyle w:val="P68B1DB1-Normal12"/>
              <w:spacing w:after="0" w:line="240" w:lineRule="auto"/>
              <w:jc w:val="center"/>
              <w:rPr>
                <w:rFonts w:cs="Times New Roman"/>
                <w:noProof/>
              </w:rPr>
            </w:pPr>
            <w:r>
              <w:rPr>
                <w:noProof/>
              </w:rPr>
              <w:t>419</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65073E" w:rsidRDefault="000A0998">
            <w:pPr>
              <w:pStyle w:val="P68B1DB1-Normal12"/>
              <w:spacing w:after="0" w:line="240" w:lineRule="auto"/>
              <w:jc w:val="center"/>
              <w:rPr>
                <w:rFonts w:cs="Times New Roman"/>
                <w:noProof/>
              </w:rPr>
            </w:pPr>
            <w:r>
              <w:rPr>
                <w:noProof/>
              </w:rPr>
              <w:t>C1.I2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65073E" w:rsidRDefault="000A0998">
            <w:pPr>
              <w:pStyle w:val="P68B1DB1-Normal12"/>
              <w:spacing w:after="0" w:line="240" w:lineRule="auto"/>
              <w:jc w:val="center"/>
              <w:rPr>
                <w:rFonts w:cs="Times New Roman"/>
                <w:noProof/>
              </w:rPr>
            </w:pPr>
            <w:r>
              <w:rPr>
                <w:noProof/>
              </w:rPr>
              <w:t>T</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65073E" w:rsidRDefault="000A0998">
            <w:pPr>
              <w:pStyle w:val="P68B1DB1-Normal12"/>
              <w:spacing w:after="0" w:line="240" w:lineRule="auto"/>
              <w:rPr>
                <w:rFonts w:cs="Times New Roman"/>
                <w:noProof/>
              </w:rPr>
            </w:pPr>
            <w:r>
              <w:rPr>
                <w:noProof/>
              </w:rPr>
              <w:t>Sähköajoneuvot ja latauspisteet otettu käyttöön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65073E" w:rsidRDefault="0065073E">
            <w:pPr>
              <w:spacing w:after="0" w:line="240" w:lineRule="auto"/>
              <w:jc w:val="center"/>
              <w:rPr>
                <w:rFonts w:ascii="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65073E" w:rsidRDefault="000A0998">
            <w:pPr>
              <w:pStyle w:val="P68B1DB1-Normal12"/>
              <w:spacing w:after="0" w:line="240" w:lineRule="auto"/>
              <w:jc w:val="right"/>
              <w:rPr>
                <w:rFonts w:cs="Times New Roman"/>
                <w:noProof/>
              </w:rPr>
            </w:pPr>
            <w:r>
              <w:rPr>
                <w:noProof/>
              </w:rPr>
              <w:t xml:space="preserve">Määrä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65073E" w:rsidRDefault="000A0998">
            <w:pPr>
              <w:pStyle w:val="P68B1DB1-Normal12"/>
              <w:spacing w:after="0" w:line="240" w:lineRule="auto"/>
              <w:jc w:val="right"/>
              <w:rPr>
                <w:rFonts w:cs="Times New Roman"/>
                <w:noProof/>
              </w:rPr>
            </w:pPr>
            <w:r>
              <w:rPr>
                <w:noProof/>
              </w:rPr>
              <w:t>0</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65073E" w:rsidRDefault="000A0998">
            <w:pPr>
              <w:pStyle w:val="P68B1DB1-Normal12"/>
              <w:spacing w:after="0" w:line="240" w:lineRule="auto"/>
              <w:jc w:val="right"/>
              <w:rPr>
                <w:rFonts w:cs="Times New Roman"/>
                <w:noProof/>
              </w:rPr>
            </w:pPr>
            <w:r>
              <w:rPr>
                <w:noProof/>
              </w:rPr>
              <w:t>238 000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65073E" w:rsidRDefault="000A0998">
            <w:pPr>
              <w:pStyle w:val="P68B1DB1-Normal12"/>
              <w:spacing w:after="0" w:line="240" w:lineRule="auto"/>
              <w:jc w:val="center"/>
              <w:rPr>
                <w:rFonts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65073E" w:rsidRDefault="000A0998">
            <w:pPr>
              <w:pStyle w:val="P68B1DB1-Normal12"/>
              <w:spacing w:after="0" w:line="240" w:lineRule="auto"/>
              <w:jc w:val="center"/>
              <w:rPr>
                <w:rFonts w:cs="Times New Roman"/>
                <w:noProof/>
              </w:rPr>
            </w:pPr>
            <w:r>
              <w:rPr>
                <w:noProof/>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65073E" w:rsidRDefault="000A0998">
            <w:pPr>
              <w:pStyle w:val="P68B1DB1-Normal12"/>
              <w:spacing w:after="0" w:line="240" w:lineRule="auto"/>
              <w:rPr>
                <w:rFonts w:cs="Times New Roman"/>
                <w:noProof/>
              </w:rPr>
            </w:pPr>
            <w:r>
              <w:rPr>
                <w:noProof/>
              </w:rPr>
              <w:t>Vähintään 238000 sähköajoneuvoa (BEV, REEV, PHEV tai FCEV) ja latauspistettä, mukaan lukien muun muassa asuinalueilla ja käyttöön otetussa kansallisessa tieverkossa käytettävät julkiseen käyttöön tarkoitetut latauspisteet.</w:t>
            </w:r>
          </w:p>
        </w:tc>
      </w:tr>
      <w:tr w:rsidR="0065073E" w14:paraId="2670B1F8" w14:textId="77777777">
        <w:trPr>
          <w:trHeight w:val="309"/>
        </w:trPr>
        <w:tc>
          <w:tcPr>
            <w:tcW w:w="709" w:type="dxa"/>
            <w:shd w:val="clear" w:color="auto" w:fill="C6EFCE"/>
            <w:noWrap/>
          </w:tcPr>
          <w:p w14:paraId="4EA0E052" w14:textId="77777777" w:rsidR="0065073E" w:rsidRDefault="000A0998">
            <w:pPr>
              <w:pStyle w:val="P68B1DB1-Normal12"/>
              <w:spacing w:after="0" w:line="240" w:lineRule="auto"/>
              <w:jc w:val="center"/>
              <w:rPr>
                <w:rFonts w:cs="Times New Roman"/>
                <w:noProof/>
              </w:rPr>
            </w:pPr>
            <w:r>
              <w:rPr>
                <w:noProof/>
              </w:rPr>
              <w:t>13</w:t>
            </w:r>
          </w:p>
        </w:tc>
        <w:tc>
          <w:tcPr>
            <w:tcW w:w="851" w:type="dxa"/>
            <w:shd w:val="clear" w:color="auto" w:fill="C6EFCE"/>
            <w:noWrap/>
          </w:tcPr>
          <w:p w14:paraId="0CCA9B62" w14:textId="77777777" w:rsidR="0065073E" w:rsidRDefault="000A0998">
            <w:pPr>
              <w:pStyle w:val="P68B1DB1-Normal12"/>
              <w:spacing w:after="0" w:line="240" w:lineRule="auto"/>
              <w:jc w:val="center"/>
              <w:rPr>
                <w:rFonts w:eastAsia="MS Mincho" w:cs="Times New Roman"/>
                <w:noProof/>
              </w:rPr>
            </w:pPr>
            <w:r>
              <w:rPr>
                <w:noProof/>
              </w:rPr>
              <w:t>C1.I2</w:t>
            </w:r>
          </w:p>
        </w:tc>
        <w:tc>
          <w:tcPr>
            <w:tcW w:w="850" w:type="dxa"/>
            <w:shd w:val="clear" w:color="auto" w:fill="C6EFCE"/>
            <w:noWrap/>
          </w:tcPr>
          <w:p w14:paraId="53B7C02A"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4B53E2A0" w14:textId="0CF9AE93" w:rsidR="0065073E" w:rsidRDefault="000A0998">
            <w:pPr>
              <w:pStyle w:val="P68B1DB1-Normal12"/>
              <w:spacing w:after="0" w:line="240" w:lineRule="auto"/>
              <w:rPr>
                <w:rFonts w:cs="Times New Roman"/>
                <w:noProof/>
              </w:rPr>
            </w:pPr>
            <w:r>
              <w:rPr>
                <w:noProof/>
              </w:rPr>
              <w:t>Sähköistä liikkuvuutta edistävien innovatiivisten hankkeiden loppuun saattaminen</w:t>
            </w:r>
          </w:p>
        </w:tc>
        <w:tc>
          <w:tcPr>
            <w:tcW w:w="1134" w:type="dxa"/>
            <w:shd w:val="clear" w:color="auto" w:fill="C6EFCE"/>
            <w:noWrap/>
          </w:tcPr>
          <w:p w14:paraId="6C29E605"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1E6A3C1D" w14:textId="77777777" w:rsidR="0065073E" w:rsidRDefault="000A0998">
            <w:pPr>
              <w:pStyle w:val="P68B1DB1-Normal12"/>
              <w:spacing w:after="0" w:line="240" w:lineRule="auto"/>
              <w:jc w:val="right"/>
              <w:rPr>
                <w:rFonts w:eastAsia="MS Mincho" w:cs="Times New Roman"/>
                <w:noProof/>
              </w:rPr>
            </w:pPr>
            <w:r>
              <w:rPr>
                <w:noProof/>
              </w:rPr>
              <w:t xml:space="preserve">Määrä </w:t>
            </w:r>
          </w:p>
        </w:tc>
        <w:tc>
          <w:tcPr>
            <w:tcW w:w="992" w:type="dxa"/>
            <w:shd w:val="clear" w:color="auto" w:fill="C6EFCE"/>
            <w:noWrap/>
          </w:tcPr>
          <w:p w14:paraId="6C90E665"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0DE3A3EF" w14:textId="77777777" w:rsidR="0065073E" w:rsidRDefault="000A0998">
            <w:pPr>
              <w:pStyle w:val="P68B1DB1-Normal12"/>
              <w:spacing w:after="0" w:line="240" w:lineRule="auto"/>
              <w:jc w:val="right"/>
              <w:rPr>
                <w:rFonts w:eastAsia="MS Mincho" w:cs="Times New Roman"/>
                <w:noProof/>
              </w:rPr>
            </w:pPr>
            <w:r>
              <w:rPr>
                <w:noProof/>
              </w:rPr>
              <w:t>85</w:t>
            </w:r>
          </w:p>
        </w:tc>
        <w:tc>
          <w:tcPr>
            <w:tcW w:w="425" w:type="dxa"/>
            <w:shd w:val="clear" w:color="auto" w:fill="C6EFCE"/>
            <w:noWrap/>
          </w:tcPr>
          <w:p w14:paraId="7114C962"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457EB255" w14:textId="77777777" w:rsidR="0065073E" w:rsidRDefault="000A0998">
            <w:pPr>
              <w:pStyle w:val="P68B1DB1-Normal12"/>
              <w:spacing w:after="0" w:line="240" w:lineRule="auto"/>
              <w:jc w:val="center"/>
              <w:rPr>
                <w:rFonts w:cs="Times New Roman"/>
                <w:noProof/>
              </w:rPr>
            </w:pPr>
            <w:r>
              <w:rPr>
                <w:noProof/>
              </w:rPr>
              <w:t>2025</w:t>
            </w:r>
          </w:p>
        </w:tc>
        <w:tc>
          <w:tcPr>
            <w:tcW w:w="5387" w:type="dxa"/>
            <w:shd w:val="clear" w:color="auto" w:fill="C6EFCE"/>
            <w:noWrap/>
          </w:tcPr>
          <w:p w14:paraId="288C38ED" w14:textId="77777777" w:rsidR="0065073E" w:rsidRDefault="000A0998">
            <w:pPr>
              <w:pStyle w:val="P68B1DB1-Normal12"/>
              <w:spacing w:after="0" w:line="240" w:lineRule="auto"/>
              <w:rPr>
                <w:rFonts w:cs="Times New Roman"/>
                <w:noProof/>
              </w:rPr>
            </w:pPr>
            <w:r>
              <w:rPr>
                <w:noProof/>
              </w:rPr>
              <w:t xml:space="preserve">Vähintään 85 hankkeen loppuun saattaminen sähköisen liikkuvuuden innovaatiohankkeiden tukiohjelmassa (MOVES Singulares). </w:t>
            </w:r>
          </w:p>
        </w:tc>
      </w:tr>
      <w:tr w:rsidR="0065073E" w14:paraId="35CBA65C" w14:textId="77777777">
        <w:trPr>
          <w:trHeight w:val="309"/>
        </w:trPr>
        <w:tc>
          <w:tcPr>
            <w:tcW w:w="709" w:type="dxa"/>
            <w:shd w:val="clear" w:color="auto" w:fill="C6EFCE"/>
            <w:noWrap/>
          </w:tcPr>
          <w:p w14:paraId="4C6830B7" w14:textId="77777777" w:rsidR="0065073E" w:rsidRDefault="000A0998">
            <w:pPr>
              <w:pStyle w:val="P68B1DB1-Normal12"/>
              <w:spacing w:after="0" w:line="240" w:lineRule="auto"/>
              <w:jc w:val="center"/>
              <w:rPr>
                <w:rFonts w:cs="Times New Roman"/>
                <w:noProof/>
              </w:rPr>
            </w:pPr>
            <w:r>
              <w:rPr>
                <w:noProof/>
              </w:rPr>
              <w:t>14</w:t>
            </w:r>
          </w:p>
        </w:tc>
        <w:tc>
          <w:tcPr>
            <w:tcW w:w="851" w:type="dxa"/>
            <w:shd w:val="clear" w:color="auto" w:fill="C6EFCE"/>
            <w:noWrap/>
          </w:tcPr>
          <w:p w14:paraId="5421AA1B"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2A87AE8B"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323FD114" w14:textId="77777777" w:rsidR="0065073E" w:rsidRDefault="000A0998">
            <w:pPr>
              <w:pStyle w:val="P68B1DB1-Normal12"/>
              <w:spacing w:after="0" w:line="240" w:lineRule="auto"/>
              <w:rPr>
                <w:rFonts w:cs="Times New Roman"/>
                <w:noProof/>
              </w:rPr>
            </w:pPr>
            <w:r>
              <w:rPr>
                <w:noProof/>
              </w:rPr>
              <w:t xml:space="preserve">Lyhyen matkan radat (Cercanías) </w:t>
            </w:r>
          </w:p>
        </w:tc>
        <w:tc>
          <w:tcPr>
            <w:tcW w:w="1134" w:type="dxa"/>
            <w:shd w:val="clear" w:color="auto" w:fill="C6EFCE"/>
            <w:noWrap/>
          </w:tcPr>
          <w:p w14:paraId="5544CA26"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4B0C047F" w14:textId="77777777" w:rsidR="0065073E" w:rsidRDefault="000A0998">
            <w:pPr>
              <w:pStyle w:val="P68B1DB1-Normal12"/>
              <w:spacing w:after="0" w:line="240" w:lineRule="auto"/>
              <w:jc w:val="right"/>
              <w:rPr>
                <w:rFonts w:eastAsia="MS Mincho" w:cs="Times New Roman"/>
                <w:noProof/>
              </w:rPr>
            </w:pPr>
            <w:r>
              <w:rPr>
                <w:noProof/>
              </w:rPr>
              <w:t>Lukumäärä (km)</w:t>
            </w:r>
          </w:p>
        </w:tc>
        <w:tc>
          <w:tcPr>
            <w:tcW w:w="992" w:type="dxa"/>
            <w:shd w:val="clear" w:color="auto" w:fill="C6EFCE"/>
            <w:noWrap/>
          </w:tcPr>
          <w:p w14:paraId="27155D2C"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79A41D13" w14:textId="77777777" w:rsidR="0065073E" w:rsidRDefault="000A0998">
            <w:pPr>
              <w:pStyle w:val="P68B1DB1-Normal12"/>
              <w:spacing w:after="0" w:line="240" w:lineRule="auto"/>
              <w:jc w:val="right"/>
              <w:rPr>
                <w:rFonts w:eastAsia="MS Mincho" w:cs="Times New Roman"/>
                <w:noProof/>
              </w:rPr>
            </w:pPr>
            <w:r>
              <w:rPr>
                <w:noProof/>
              </w:rPr>
              <w:t>200</w:t>
            </w:r>
          </w:p>
        </w:tc>
        <w:tc>
          <w:tcPr>
            <w:tcW w:w="425" w:type="dxa"/>
            <w:shd w:val="clear" w:color="auto" w:fill="C6EFCE"/>
            <w:noWrap/>
          </w:tcPr>
          <w:p w14:paraId="27FC55AB"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166F4D07" w14:textId="77777777" w:rsidR="0065073E" w:rsidRDefault="000A0998">
            <w:pPr>
              <w:pStyle w:val="P68B1DB1-Normal12"/>
              <w:spacing w:after="0" w:line="240" w:lineRule="auto"/>
              <w:jc w:val="center"/>
              <w:rPr>
                <w:rFonts w:cs="Times New Roman"/>
                <w:noProof/>
              </w:rPr>
            </w:pPr>
            <w:r>
              <w:rPr>
                <w:noProof/>
              </w:rPr>
              <w:t>2023</w:t>
            </w:r>
          </w:p>
        </w:tc>
        <w:tc>
          <w:tcPr>
            <w:tcW w:w="5387" w:type="dxa"/>
            <w:shd w:val="clear" w:color="auto" w:fill="C6EFCE"/>
            <w:noWrap/>
          </w:tcPr>
          <w:p w14:paraId="46EAB918"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Vähintään 200 kilometriä lyhyen matkan ratoja, jotka on uusittu jossakin osajärjestelmässä: laituri-, rata-, sähköistämis-, turvallisuus- ja viestintä-/merkinantolaitteet.</w:t>
            </w:r>
            <w:r>
              <w:rPr>
                <w:noProof/>
              </w:rPr>
              <w:t xml:space="preserve"> </w:t>
            </w:r>
            <w:r>
              <w:rPr>
                <w:noProof/>
              </w:rPr>
              <w:br/>
            </w:r>
            <w:r>
              <w:rPr>
                <w:rFonts w:ascii="Times New Roman" w:hAnsi="Times New Roman"/>
                <w:noProof/>
                <w:sz w:val="18"/>
              </w:rPr>
              <w:t xml:space="preserve">Parannettavien lyhyen matkan ratojen pituutta olisi tulkittava kaupunki- tai suurkaupunkialueilla sijaitsevan pituuden perusteella, jolla on toteutettu merkittävä toimenpide, joka ei ole suoritettava tai korjattava. Tukitoimiin voisi kuulua sähköistäminen, radan uusiminen, merkinanto- ja turvallisuusjärjestelmien parantaminen ja aseman parantaminen, jotka menevät huoltoa ja korjausta pidemmälle ja jotka on toteutettava kansallisella alueella kaikissa väestökeskuksissa, joilla on palveluja Cercanías Ferroviariasista.  </w:t>
            </w:r>
          </w:p>
        </w:tc>
      </w:tr>
      <w:tr w:rsidR="0065073E" w14:paraId="79F8DAAD" w14:textId="77777777">
        <w:trPr>
          <w:trHeight w:val="309"/>
        </w:trPr>
        <w:tc>
          <w:tcPr>
            <w:tcW w:w="709" w:type="dxa"/>
            <w:shd w:val="clear" w:color="auto" w:fill="C6EFCE"/>
            <w:noWrap/>
          </w:tcPr>
          <w:p w14:paraId="60B9ECB0" w14:textId="77777777" w:rsidR="0065073E" w:rsidRDefault="000A0998">
            <w:pPr>
              <w:pStyle w:val="P68B1DB1-Normal12"/>
              <w:spacing w:after="0" w:line="240" w:lineRule="auto"/>
              <w:jc w:val="center"/>
              <w:rPr>
                <w:rFonts w:cs="Times New Roman"/>
                <w:noProof/>
              </w:rPr>
            </w:pPr>
            <w:r>
              <w:rPr>
                <w:noProof/>
              </w:rPr>
              <w:t>15</w:t>
            </w:r>
          </w:p>
        </w:tc>
        <w:tc>
          <w:tcPr>
            <w:tcW w:w="851" w:type="dxa"/>
            <w:shd w:val="clear" w:color="auto" w:fill="C6EFCE"/>
            <w:noWrap/>
          </w:tcPr>
          <w:p w14:paraId="57BA10E6"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18273627"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33552D8B" w14:textId="77777777" w:rsidR="0065073E" w:rsidRDefault="000A0998">
            <w:pPr>
              <w:pStyle w:val="P68B1DB1-Normal12"/>
              <w:spacing w:after="0" w:line="240" w:lineRule="auto"/>
              <w:rPr>
                <w:rFonts w:cs="Times New Roman"/>
                <w:noProof/>
              </w:rPr>
            </w:pPr>
            <w:r>
              <w:rPr>
                <w:noProof/>
              </w:rPr>
              <w:t xml:space="preserve">Asemat paranevat digitalisaation myötä </w:t>
            </w:r>
          </w:p>
        </w:tc>
        <w:tc>
          <w:tcPr>
            <w:tcW w:w="1134" w:type="dxa"/>
            <w:shd w:val="clear" w:color="auto" w:fill="C6EFCE"/>
            <w:noWrap/>
          </w:tcPr>
          <w:p w14:paraId="65C0E9E3"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34D992BD"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19DF3E5F"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24687098" w14:textId="77777777" w:rsidR="0065073E" w:rsidRDefault="000A0998">
            <w:pPr>
              <w:pStyle w:val="P68B1DB1-Normal12"/>
              <w:spacing w:after="0" w:line="240" w:lineRule="auto"/>
              <w:jc w:val="right"/>
              <w:rPr>
                <w:rFonts w:eastAsia="MS Mincho" w:cs="Times New Roman"/>
                <w:noProof/>
              </w:rPr>
            </w:pPr>
            <w:r>
              <w:rPr>
                <w:noProof/>
              </w:rPr>
              <w:t>420</w:t>
            </w:r>
          </w:p>
        </w:tc>
        <w:tc>
          <w:tcPr>
            <w:tcW w:w="425" w:type="dxa"/>
            <w:shd w:val="clear" w:color="auto" w:fill="C6EFCE"/>
            <w:noWrap/>
          </w:tcPr>
          <w:p w14:paraId="55B445E4"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7FEA3163" w14:textId="77777777" w:rsidR="0065073E" w:rsidRDefault="000A0998">
            <w:pPr>
              <w:pStyle w:val="P68B1DB1-Normal12"/>
              <w:spacing w:after="0" w:line="240" w:lineRule="auto"/>
              <w:jc w:val="center"/>
              <w:rPr>
                <w:rFonts w:cs="Times New Roman"/>
                <w:noProof/>
              </w:rPr>
            </w:pPr>
            <w:r>
              <w:rPr>
                <w:noProof/>
              </w:rPr>
              <w:t>2023</w:t>
            </w:r>
          </w:p>
        </w:tc>
        <w:tc>
          <w:tcPr>
            <w:tcW w:w="5387" w:type="dxa"/>
            <w:shd w:val="clear" w:color="auto" w:fill="C6EFCE"/>
            <w:noWrap/>
          </w:tcPr>
          <w:p w14:paraId="5675A2F1"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Vähintään 420 asemaa parannettiin kaikissa tai osassa RENFEn SPO-operaattorina kehittämiä hankkeita, jotka luetellaan seuraavassa: </w:t>
            </w:r>
            <w:r>
              <w:rPr>
                <w:noProof/>
              </w:rPr>
              <w:t xml:space="preserve"> </w:t>
            </w:r>
            <w:r>
              <w:rPr>
                <w:noProof/>
              </w:rPr>
              <w:br/>
            </w:r>
            <w:r>
              <w:rPr>
                <w:rFonts w:ascii="Times New Roman" w:hAnsi="Times New Roman"/>
                <w:noProof/>
                <w:sz w:val="18"/>
              </w:rPr>
              <w:t>• Turvallisuusjärjestelmien digitalisointi asemilla (kuten älykäs video-analytiikka, kyberturvallisuus ja petosten valvonta)</w:t>
            </w:r>
            <w:r>
              <w:rPr>
                <w:noProof/>
              </w:rPr>
              <w:t xml:space="preserve"> </w:t>
            </w:r>
            <w:r>
              <w:rPr>
                <w:noProof/>
              </w:rPr>
              <w:br/>
              <w:t xml:space="preserve"> </w:t>
            </w:r>
            <w:r>
              <w:rPr>
                <w:rFonts w:ascii="Times New Roman" w:hAnsi="Times New Roman"/>
                <w:noProof/>
                <w:sz w:val="18"/>
              </w:rPr>
              <w:t>• Matkustajien tietojärjestelmät</w:t>
            </w:r>
            <w:r>
              <w:rPr>
                <w:noProof/>
              </w:rPr>
              <w:t xml:space="preserve"> </w:t>
            </w:r>
            <w:r>
              <w:rPr>
                <w:noProof/>
              </w:rPr>
              <w:br/>
              <w:t xml:space="preserve"> </w:t>
            </w:r>
            <w:r>
              <w:rPr>
                <w:rFonts w:ascii="Times New Roman" w:hAnsi="Times New Roman"/>
                <w:noProof/>
                <w:sz w:val="18"/>
              </w:rPr>
              <w:t>• Asemien kulunvalvonnan parantaminen</w:t>
            </w:r>
            <w:r>
              <w:rPr>
                <w:noProof/>
              </w:rPr>
              <w:t xml:space="preserve"> </w:t>
            </w:r>
            <w:r>
              <w:rPr>
                <w:noProof/>
              </w:rPr>
              <w:br/>
              <w:t xml:space="preserve"> </w:t>
            </w:r>
            <w:r>
              <w:rPr>
                <w:rFonts w:ascii="Times New Roman" w:hAnsi="Times New Roman"/>
                <w:noProof/>
                <w:sz w:val="18"/>
              </w:rPr>
              <w:t>• Lippuautomaattihankkeet</w:t>
            </w:r>
            <w:r>
              <w:rPr>
                <w:noProof/>
              </w:rPr>
              <w:t xml:space="preserve"> </w:t>
            </w:r>
            <w:r>
              <w:rPr>
                <w:noProof/>
              </w:rPr>
              <w:br/>
              <w:t xml:space="preserve"> </w:t>
            </w:r>
            <w:r>
              <w:rPr>
                <w:rFonts w:ascii="Times New Roman" w:hAnsi="Times New Roman"/>
                <w:noProof/>
                <w:sz w:val="18"/>
              </w:rPr>
              <w:t xml:space="preserve">• Tilojen mukauttaminen </w:t>
            </w:r>
          </w:p>
        </w:tc>
      </w:tr>
      <w:tr w:rsidR="0065073E" w14:paraId="6DCC179C" w14:textId="77777777">
        <w:trPr>
          <w:trHeight w:val="309"/>
        </w:trPr>
        <w:tc>
          <w:tcPr>
            <w:tcW w:w="709" w:type="dxa"/>
            <w:shd w:val="clear" w:color="auto" w:fill="C6EFCE"/>
            <w:noWrap/>
          </w:tcPr>
          <w:p w14:paraId="5AEA2AF6" w14:textId="77777777" w:rsidR="0065073E" w:rsidRDefault="000A0998">
            <w:pPr>
              <w:pStyle w:val="P68B1DB1-Normal12"/>
              <w:spacing w:after="0" w:line="240" w:lineRule="auto"/>
              <w:jc w:val="center"/>
              <w:rPr>
                <w:rFonts w:cs="Times New Roman"/>
                <w:noProof/>
              </w:rPr>
            </w:pPr>
            <w:r>
              <w:rPr>
                <w:noProof/>
              </w:rPr>
              <w:t>16</w:t>
            </w:r>
          </w:p>
        </w:tc>
        <w:tc>
          <w:tcPr>
            <w:tcW w:w="851" w:type="dxa"/>
            <w:shd w:val="clear" w:color="auto" w:fill="C6EFCE"/>
            <w:noWrap/>
          </w:tcPr>
          <w:p w14:paraId="647F12FB"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7A080B6F"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21ABA2E1" w14:textId="77777777" w:rsidR="0065073E" w:rsidRDefault="000A0998">
            <w:pPr>
              <w:pStyle w:val="P68B1DB1-Normal12"/>
              <w:spacing w:after="0" w:line="240" w:lineRule="auto"/>
              <w:rPr>
                <w:rFonts w:cs="Times New Roman"/>
                <w:noProof/>
              </w:rPr>
            </w:pPr>
            <w:r>
              <w:rPr>
                <w:noProof/>
              </w:rPr>
              <w:t xml:space="preserve">Parannetut Cercanías-asemat </w:t>
            </w:r>
          </w:p>
        </w:tc>
        <w:tc>
          <w:tcPr>
            <w:tcW w:w="1134" w:type="dxa"/>
            <w:shd w:val="clear" w:color="auto" w:fill="C6EFCE"/>
            <w:noWrap/>
          </w:tcPr>
          <w:p w14:paraId="50944776"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63865CC5"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34A1E8C7" w14:textId="77777777" w:rsidR="0065073E" w:rsidRDefault="000A0998">
            <w:pPr>
              <w:pStyle w:val="P68B1DB1-Normal12"/>
              <w:spacing w:after="0" w:line="240" w:lineRule="auto"/>
              <w:jc w:val="right"/>
              <w:rPr>
                <w:rFonts w:eastAsia="MS Mincho" w:cs="Times New Roman"/>
                <w:noProof/>
              </w:rPr>
            </w:pPr>
            <w:r>
              <w:rPr>
                <w:noProof/>
              </w:rPr>
              <w:t>0</w:t>
            </w:r>
          </w:p>
        </w:tc>
        <w:tc>
          <w:tcPr>
            <w:tcW w:w="742" w:type="dxa"/>
            <w:shd w:val="clear" w:color="auto" w:fill="C6EFCE"/>
            <w:noWrap/>
          </w:tcPr>
          <w:p w14:paraId="426BF3C2" w14:textId="77777777" w:rsidR="0065073E" w:rsidRDefault="000A0998">
            <w:pPr>
              <w:pStyle w:val="P68B1DB1-Normal12"/>
              <w:spacing w:after="0" w:line="240" w:lineRule="auto"/>
              <w:jc w:val="right"/>
              <w:rPr>
                <w:rFonts w:eastAsia="MS Mincho" w:cs="Times New Roman"/>
                <w:noProof/>
              </w:rPr>
            </w:pPr>
            <w:r>
              <w:rPr>
                <w:noProof/>
              </w:rPr>
              <w:t>20</w:t>
            </w:r>
          </w:p>
        </w:tc>
        <w:tc>
          <w:tcPr>
            <w:tcW w:w="425" w:type="dxa"/>
            <w:shd w:val="clear" w:color="auto" w:fill="C6EFCE"/>
            <w:noWrap/>
          </w:tcPr>
          <w:p w14:paraId="42732EAC"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57D2441D" w14:textId="77777777" w:rsidR="0065073E" w:rsidRDefault="000A0998">
            <w:pPr>
              <w:pStyle w:val="P68B1DB1-Normal12"/>
              <w:spacing w:after="0" w:line="240" w:lineRule="auto"/>
              <w:jc w:val="center"/>
              <w:rPr>
                <w:rFonts w:cs="Times New Roman"/>
                <w:noProof/>
              </w:rPr>
            </w:pPr>
            <w:r>
              <w:rPr>
                <w:noProof/>
              </w:rPr>
              <w:t>2023</w:t>
            </w:r>
          </w:p>
        </w:tc>
        <w:tc>
          <w:tcPr>
            <w:tcW w:w="5387" w:type="dxa"/>
            <w:shd w:val="clear" w:color="auto" w:fill="C6EFCE"/>
            <w:noWrap/>
          </w:tcPr>
          <w:p w14:paraId="388BFF40" w14:textId="77777777" w:rsidR="0065073E" w:rsidRDefault="000A0998">
            <w:pPr>
              <w:pStyle w:val="P68B1DB1-Normal12"/>
              <w:spacing w:after="0" w:line="240" w:lineRule="auto"/>
              <w:rPr>
                <w:rFonts w:cs="Times New Roman"/>
                <w:noProof/>
              </w:rPr>
            </w:pPr>
            <w:r>
              <w:rPr>
                <w:noProof/>
              </w:rPr>
              <w:t xml:space="preserve">Vähintään 20 Cercanías-asemaa, joita ADIF on parantanut pääasiassa esteettömyyttä koskevien töiden ja uusien tai kunnostettujen rautateiden osalta </w:t>
            </w:r>
          </w:p>
        </w:tc>
      </w:tr>
      <w:tr w:rsidR="0065073E" w14:paraId="44008BF5" w14:textId="77777777">
        <w:trPr>
          <w:trHeight w:val="309"/>
        </w:trPr>
        <w:tc>
          <w:tcPr>
            <w:tcW w:w="709" w:type="dxa"/>
            <w:shd w:val="clear" w:color="auto" w:fill="C6EFCE"/>
            <w:noWrap/>
          </w:tcPr>
          <w:p w14:paraId="49B2A1F3" w14:textId="77777777" w:rsidR="0065073E" w:rsidRDefault="000A0998">
            <w:pPr>
              <w:pStyle w:val="P68B1DB1-Normal12"/>
              <w:spacing w:after="0" w:line="240" w:lineRule="auto"/>
              <w:jc w:val="center"/>
              <w:rPr>
                <w:rFonts w:cs="Times New Roman"/>
                <w:noProof/>
              </w:rPr>
            </w:pPr>
            <w:r>
              <w:rPr>
                <w:noProof/>
              </w:rPr>
              <w:t>17</w:t>
            </w:r>
          </w:p>
        </w:tc>
        <w:tc>
          <w:tcPr>
            <w:tcW w:w="851" w:type="dxa"/>
            <w:shd w:val="clear" w:color="auto" w:fill="C6EFCE"/>
            <w:noWrap/>
          </w:tcPr>
          <w:p w14:paraId="64FBBEDE"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28D63174"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3C33EAB6" w14:textId="283C376A" w:rsidR="0065073E" w:rsidRDefault="000A0998">
            <w:pPr>
              <w:pStyle w:val="P68B1DB1-Normal12"/>
              <w:spacing w:after="0" w:line="240" w:lineRule="auto"/>
              <w:rPr>
                <w:noProof/>
              </w:rPr>
            </w:pPr>
            <w:r>
              <w:rPr>
                <w:noProof/>
              </w:rPr>
              <w:t xml:space="preserve">Lyhyen matkan rautatieyhteyksiin tehtäviä investointeja koskevat sopimukset tai muut oikeudelliset välineet </w:t>
            </w:r>
          </w:p>
        </w:tc>
        <w:tc>
          <w:tcPr>
            <w:tcW w:w="1134" w:type="dxa"/>
            <w:shd w:val="clear" w:color="auto" w:fill="C6EFCE"/>
            <w:noWrap/>
          </w:tcPr>
          <w:p w14:paraId="2EC00B1B" w14:textId="2F97D700" w:rsidR="0065073E" w:rsidRDefault="000A0998">
            <w:pPr>
              <w:pStyle w:val="P68B1DB1-Normal12"/>
              <w:spacing w:after="0" w:line="240" w:lineRule="auto"/>
              <w:jc w:val="center"/>
              <w:rPr>
                <w:noProof/>
              </w:rPr>
            </w:pPr>
            <w:r>
              <w:rPr>
                <w:noProof/>
              </w:rPr>
              <w:t xml:space="preserve"> </w:t>
            </w:r>
          </w:p>
        </w:tc>
        <w:tc>
          <w:tcPr>
            <w:tcW w:w="851" w:type="dxa"/>
            <w:shd w:val="clear" w:color="auto" w:fill="C6EFCE"/>
            <w:noWrap/>
          </w:tcPr>
          <w:p w14:paraId="1876CD1F" w14:textId="7A14181F" w:rsidR="0065073E" w:rsidRDefault="000A0998">
            <w:pPr>
              <w:pStyle w:val="P68B1DB1-Normal12"/>
              <w:spacing w:after="0" w:line="240" w:lineRule="auto"/>
              <w:jc w:val="right"/>
              <w:rPr>
                <w:noProof/>
              </w:rPr>
            </w:pPr>
            <w:r>
              <w:rPr>
                <w:noProof/>
              </w:rPr>
              <w:t>Sopimus tai muu oikeudellinen asiakirja</w:t>
            </w:r>
          </w:p>
        </w:tc>
        <w:tc>
          <w:tcPr>
            <w:tcW w:w="992" w:type="dxa"/>
            <w:shd w:val="clear" w:color="auto" w:fill="C6EFCE"/>
            <w:noWrap/>
          </w:tcPr>
          <w:p w14:paraId="20A7EE96" w14:textId="77777777" w:rsidR="0065073E" w:rsidRDefault="000A0998">
            <w:pPr>
              <w:pStyle w:val="P68B1DB1-Normal12"/>
              <w:spacing w:after="0" w:line="240" w:lineRule="auto"/>
              <w:jc w:val="right"/>
              <w:rPr>
                <w:noProof/>
              </w:rPr>
            </w:pPr>
            <w:r>
              <w:rPr>
                <w:noProof/>
              </w:rPr>
              <w:t>0</w:t>
            </w:r>
          </w:p>
        </w:tc>
        <w:tc>
          <w:tcPr>
            <w:tcW w:w="742" w:type="dxa"/>
            <w:shd w:val="clear" w:color="auto" w:fill="C6EFCE"/>
            <w:noWrap/>
          </w:tcPr>
          <w:p w14:paraId="6578BF8A" w14:textId="0E7C77C6" w:rsidR="0065073E" w:rsidRDefault="000A0998">
            <w:pPr>
              <w:pStyle w:val="P68B1DB1-Normal12"/>
              <w:spacing w:after="0" w:line="240" w:lineRule="auto"/>
              <w:jc w:val="right"/>
              <w:rPr>
                <w:noProof/>
              </w:rPr>
            </w:pPr>
            <w:r>
              <w:rPr>
                <w:noProof/>
              </w:rPr>
              <w:t>288</w:t>
            </w:r>
          </w:p>
        </w:tc>
        <w:tc>
          <w:tcPr>
            <w:tcW w:w="425" w:type="dxa"/>
            <w:shd w:val="clear" w:color="auto" w:fill="C6EFCE"/>
            <w:noWrap/>
          </w:tcPr>
          <w:p w14:paraId="6459032C" w14:textId="77777777" w:rsidR="0065073E" w:rsidRDefault="000A0998">
            <w:pPr>
              <w:pStyle w:val="P68B1DB1-Normal12"/>
              <w:spacing w:after="0" w:line="240" w:lineRule="auto"/>
              <w:jc w:val="center"/>
              <w:rPr>
                <w:noProof/>
              </w:rPr>
            </w:pPr>
            <w:r>
              <w:rPr>
                <w:noProof/>
              </w:rPr>
              <w:t>Q4</w:t>
            </w:r>
          </w:p>
        </w:tc>
        <w:tc>
          <w:tcPr>
            <w:tcW w:w="567" w:type="dxa"/>
            <w:shd w:val="clear" w:color="auto" w:fill="C6EFCE"/>
            <w:noWrap/>
          </w:tcPr>
          <w:p w14:paraId="45DB9A5B" w14:textId="77777777" w:rsidR="0065073E" w:rsidRDefault="000A0998">
            <w:pPr>
              <w:pStyle w:val="P68B1DB1-Normal12"/>
              <w:spacing w:after="0" w:line="240" w:lineRule="auto"/>
              <w:jc w:val="center"/>
              <w:rPr>
                <w:noProof/>
              </w:rPr>
            </w:pPr>
            <w:r>
              <w:rPr>
                <w:noProof/>
              </w:rPr>
              <w:t>2024</w:t>
            </w:r>
          </w:p>
        </w:tc>
        <w:tc>
          <w:tcPr>
            <w:tcW w:w="5387" w:type="dxa"/>
            <w:shd w:val="clear" w:color="auto" w:fill="C6EFCE"/>
            <w:noWrap/>
          </w:tcPr>
          <w:p w14:paraId="14BD7A11" w14:textId="6D1061F3" w:rsidR="0065073E" w:rsidRDefault="000A0998">
            <w:pPr>
              <w:pStyle w:val="P68B1DB1-Normal12"/>
              <w:spacing w:after="0" w:line="240" w:lineRule="auto"/>
              <w:rPr>
                <w:noProof/>
              </w:rPr>
            </w:pPr>
            <w:r>
              <w:rPr>
                <w:noProof/>
              </w:rPr>
              <w:t>Kansallisella alueella on tehty vähintään 288 sopimusta tai muuta oikeudellista välinettä, jotka liittyvät lyhyen matkan rautatieyhteyksiin tehtäviin investointeihin.</w:t>
            </w:r>
          </w:p>
        </w:tc>
      </w:tr>
      <w:tr w:rsidR="0065073E" w14:paraId="3112A574" w14:textId="77777777">
        <w:trPr>
          <w:trHeight w:val="309"/>
        </w:trPr>
        <w:tc>
          <w:tcPr>
            <w:tcW w:w="709" w:type="dxa"/>
            <w:shd w:val="clear" w:color="auto" w:fill="C6EFCE"/>
            <w:noWrap/>
          </w:tcPr>
          <w:p w14:paraId="64060F2B" w14:textId="77777777" w:rsidR="0065073E" w:rsidRDefault="000A0998">
            <w:pPr>
              <w:pStyle w:val="P68B1DB1-Normal12"/>
              <w:spacing w:after="0" w:line="240" w:lineRule="auto"/>
              <w:jc w:val="center"/>
              <w:rPr>
                <w:rFonts w:cs="Times New Roman"/>
                <w:noProof/>
              </w:rPr>
            </w:pPr>
            <w:r>
              <w:rPr>
                <w:noProof/>
              </w:rPr>
              <w:t>18</w:t>
            </w:r>
          </w:p>
        </w:tc>
        <w:tc>
          <w:tcPr>
            <w:tcW w:w="851" w:type="dxa"/>
            <w:shd w:val="clear" w:color="auto" w:fill="C6EFCE"/>
            <w:noWrap/>
          </w:tcPr>
          <w:p w14:paraId="5780C44E"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01F7BC75"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180578FF" w14:textId="77777777" w:rsidR="0065073E" w:rsidRDefault="000A0998">
            <w:pPr>
              <w:pStyle w:val="P68B1DB1-Normal12"/>
              <w:spacing w:after="0" w:line="240" w:lineRule="auto"/>
              <w:rPr>
                <w:rFonts w:cs="Times New Roman"/>
                <w:noProof/>
              </w:rPr>
            </w:pPr>
            <w:r>
              <w:rPr>
                <w:noProof/>
              </w:rPr>
              <w:t xml:space="preserve">Lyhyen matkan radat (Cercanías), jotka on kunnostettu </w:t>
            </w:r>
          </w:p>
        </w:tc>
        <w:tc>
          <w:tcPr>
            <w:tcW w:w="1134" w:type="dxa"/>
            <w:shd w:val="clear" w:color="auto" w:fill="C6EFCE"/>
            <w:noWrap/>
          </w:tcPr>
          <w:p w14:paraId="24FF93BA"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7BD2FCD1" w14:textId="77777777" w:rsidR="0065073E" w:rsidRDefault="000A0998">
            <w:pPr>
              <w:pStyle w:val="P68B1DB1-Normal12"/>
              <w:spacing w:after="0" w:line="240" w:lineRule="auto"/>
              <w:jc w:val="right"/>
              <w:rPr>
                <w:rFonts w:eastAsia="MS Mincho" w:cs="Times New Roman"/>
                <w:noProof/>
              </w:rPr>
            </w:pPr>
            <w:r>
              <w:rPr>
                <w:noProof/>
              </w:rPr>
              <w:t>Lukumäärä (km)</w:t>
            </w:r>
          </w:p>
        </w:tc>
        <w:tc>
          <w:tcPr>
            <w:tcW w:w="992" w:type="dxa"/>
            <w:shd w:val="clear" w:color="auto" w:fill="C6EFCE"/>
            <w:noWrap/>
          </w:tcPr>
          <w:p w14:paraId="6839CB3E" w14:textId="77777777" w:rsidR="0065073E" w:rsidRDefault="000A0998">
            <w:pPr>
              <w:pStyle w:val="P68B1DB1-Normal12"/>
              <w:spacing w:after="0" w:line="240" w:lineRule="auto"/>
              <w:jc w:val="right"/>
              <w:rPr>
                <w:rFonts w:eastAsia="MS Mincho" w:cs="Times New Roman"/>
                <w:noProof/>
              </w:rPr>
            </w:pPr>
            <w:r>
              <w:rPr>
                <w:noProof/>
              </w:rPr>
              <w:t>200</w:t>
            </w:r>
          </w:p>
        </w:tc>
        <w:tc>
          <w:tcPr>
            <w:tcW w:w="742" w:type="dxa"/>
            <w:shd w:val="clear" w:color="auto" w:fill="C6EFCE"/>
            <w:noWrap/>
          </w:tcPr>
          <w:p w14:paraId="0C370A54" w14:textId="77777777" w:rsidR="0065073E" w:rsidRDefault="000A0998">
            <w:pPr>
              <w:pStyle w:val="P68B1DB1-Normal12"/>
              <w:spacing w:after="0" w:line="240" w:lineRule="auto"/>
              <w:jc w:val="right"/>
              <w:rPr>
                <w:rFonts w:eastAsia="MS Mincho" w:cs="Times New Roman"/>
                <w:noProof/>
              </w:rPr>
            </w:pPr>
            <w:r>
              <w:rPr>
                <w:noProof/>
              </w:rPr>
              <w:t>700</w:t>
            </w:r>
          </w:p>
        </w:tc>
        <w:tc>
          <w:tcPr>
            <w:tcW w:w="425" w:type="dxa"/>
            <w:shd w:val="clear" w:color="auto" w:fill="C6EFCE"/>
            <w:noWrap/>
          </w:tcPr>
          <w:p w14:paraId="3693F535"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6532D109" w14:textId="77777777" w:rsidR="0065073E" w:rsidRDefault="000A0998">
            <w:pPr>
              <w:pStyle w:val="P68B1DB1-Normal12"/>
              <w:spacing w:after="0" w:line="240" w:lineRule="auto"/>
              <w:jc w:val="center"/>
              <w:rPr>
                <w:rFonts w:cs="Times New Roman"/>
                <w:noProof/>
              </w:rPr>
            </w:pPr>
            <w:r>
              <w:rPr>
                <w:noProof/>
              </w:rPr>
              <w:t>2026</w:t>
            </w:r>
          </w:p>
        </w:tc>
        <w:tc>
          <w:tcPr>
            <w:tcW w:w="5387" w:type="dxa"/>
            <w:shd w:val="clear" w:color="auto" w:fill="C6EFCE"/>
            <w:noWrap/>
          </w:tcPr>
          <w:p w14:paraId="698A3DDA"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Vähintään 700 km lyhyen matkan ratoja, jotka on uusittu jossakin osajärjestelmässä: laituri-, rata-, sähköistämis-, turvallisuus- ja viestintä-/merkinantolaitteet.</w:t>
            </w:r>
            <w:r>
              <w:rPr>
                <w:noProof/>
              </w:rPr>
              <w:t xml:space="preserve"> </w:t>
            </w:r>
            <w:r>
              <w:rPr>
                <w:noProof/>
              </w:rPr>
              <w:br/>
            </w:r>
            <w:r>
              <w:rPr>
                <w:rFonts w:ascii="Times New Roman" w:hAnsi="Times New Roman"/>
                <w:noProof/>
                <w:sz w:val="18"/>
              </w:rPr>
              <w:t xml:space="preserve">Parannettavien lyhyen matkan ratojen pituutta olisi tulkittava kaupunki- tai suurkaupunkialueilla sijaitsevan pituuden perusteella, jolla on toteutettu merkittävä toimenpide, joka ei ole suoritettava tai korjattava. Tukitoimiin voisi kuulua sähköistäminen, radan uusiminen, merkinanto- ja turvallisuusjärjestelmien parantaminen ja aseman parantaminen, jotka menevät huoltoa ja korjausta pidemmälle ja jotka on toteutettava kansallisella alueella kaikissa väestökeskuksissa, joissa on palveluja Cercanías Ferroviariasista.  </w:t>
            </w:r>
          </w:p>
          <w:p w14:paraId="7773D080" w14:textId="77777777" w:rsidR="0065073E" w:rsidRDefault="000A0998">
            <w:pPr>
              <w:pStyle w:val="P68B1DB1-Normal12"/>
              <w:spacing w:after="0" w:line="240" w:lineRule="auto"/>
              <w:rPr>
                <w:rFonts w:cs="Times New Roman"/>
                <w:noProof/>
              </w:rPr>
            </w:pPr>
            <w:r>
              <w:rPr>
                <w:noProof/>
              </w:rPr>
              <w:t>(Perustaso: Joulukuuta 2023)</w:t>
            </w:r>
          </w:p>
        </w:tc>
      </w:tr>
      <w:tr w:rsidR="0065073E" w14:paraId="39CEA4D1" w14:textId="77777777">
        <w:trPr>
          <w:trHeight w:val="309"/>
        </w:trPr>
        <w:tc>
          <w:tcPr>
            <w:tcW w:w="709" w:type="dxa"/>
            <w:shd w:val="clear" w:color="auto" w:fill="C6EFCE"/>
            <w:noWrap/>
          </w:tcPr>
          <w:p w14:paraId="33621CCC" w14:textId="77777777" w:rsidR="0065073E" w:rsidRDefault="000A0998">
            <w:pPr>
              <w:pStyle w:val="P68B1DB1-Normal12"/>
              <w:spacing w:after="0" w:line="240" w:lineRule="auto"/>
              <w:jc w:val="center"/>
              <w:rPr>
                <w:rFonts w:cs="Times New Roman"/>
                <w:noProof/>
              </w:rPr>
            </w:pPr>
            <w:r>
              <w:rPr>
                <w:noProof/>
              </w:rPr>
              <w:t>19</w:t>
            </w:r>
          </w:p>
        </w:tc>
        <w:tc>
          <w:tcPr>
            <w:tcW w:w="851" w:type="dxa"/>
            <w:shd w:val="clear" w:color="auto" w:fill="C6EFCE"/>
            <w:noWrap/>
          </w:tcPr>
          <w:p w14:paraId="55F786CA"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13FAD491"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18B988B5" w14:textId="77777777" w:rsidR="0065073E" w:rsidRDefault="000A0998">
            <w:pPr>
              <w:pStyle w:val="P68B1DB1-Normal12"/>
              <w:spacing w:after="0" w:line="240" w:lineRule="auto"/>
              <w:rPr>
                <w:rFonts w:cs="Times New Roman"/>
                <w:noProof/>
              </w:rPr>
            </w:pPr>
            <w:r>
              <w:rPr>
                <w:noProof/>
              </w:rPr>
              <w:t xml:space="preserve">Asemat paranevat digitalisaation myötä </w:t>
            </w:r>
          </w:p>
        </w:tc>
        <w:tc>
          <w:tcPr>
            <w:tcW w:w="1134" w:type="dxa"/>
            <w:shd w:val="clear" w:color="auto" w:fill="C6EFCE"/>
            <w:noWrap/>
          </w:tcPr>
          <w:p w14:paraId="20BE4CEA"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3F997996"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7DDA3B64" w14:textId="77777777" w:rsidR="0065073E" w:rsidRDefault="000A0998">
            <w:pPr>
              <w:pStyle w:val="P68B1DB1-Normal12"/>
              <w:spacing w:after="0" w:line="240" w:lineRule="auto"/>
              <w:jc w:val="right"/>
              <w:rPr>
                <w:rFonts w:eastAsia="MS Mincho" w:cs="Times New Roman"/>
                <w:noProof/>
              </w:rPr>
            </w:pPr>
            <w:r>
              <w:rPr>
                <w:noProof/>
              </w:rPr>
              <w:t>420</w:t>
            </w:r>
          </w:p>
        </w:tc>
        <w:tc>
          <w:tcPr>
            <w:tcW w:w="742" w:type="dxa"/>
            <w:shd w:val="clear" w:color="auto" w:fill="C6EFCE"/>
            <w:noWrap/>
          </w:tcPr>
          <w:p w14:paraId="38256B9B" w14:textId="77777777" w:rsidR="0065073E" w:rsidRDefault="000A0998">
            <w:pPr>
              <w:pStyle w:val="P68B1DB1-Normal12"/>
              <w:spacing w:after="0" w:line="240" w:lineRule="auto"/>
              <w:jc w:val="right"/>
              <w:rPr>
                <w:rFonts w:eastAsia="MS Mincho" w:cs="Times New Roman"/>
                <w:noProof/>
              </w:rPr>
            </w:pPr>
            <w:r>
              <w:rPr>
                <w:noProof/>
              </w:rPr>
              <w:t>850</w:t>
            </w:r>
          </w:p>
        </w:tc>
        <w:tc>
          <w:tcPr>
            <w:tcW w:w="425" w:type="dxa"/>
            <w:shd w:val="clear" w:color="auto" w:fill="C6EFCE"/>
            <w:noWrap/>
          </w:tcPr>
          <w:p w14:paraId="0E9DF1F4"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5C57CC8B" w14:textId="77777777" w:rsidR="0065073E" w:rsidRDefault="000A0998">
            <w:pPr>
              <w:pStyle w:val="P68B1DB1-Normal12"/>
              <w:spacing w:after="0" w:line="240" w:lineRule="auto"/>
              <w:jc w:val="center"/>
              <w:rPr>
                <w:rFonts w:cs="Times New Roman"/>
                <w:noProof/>
              </w:rPr>
            </w:pPr>
            <w:r>
              <w:rPr>
                <w:noProof/>
              </w:rPr>
              <w:t>2026</w:t>
            </w:r>
          </w:p>
        </w:tc>
        <w:tc>
          <w:tcPr>
            <w:tcW w:w="5387" w:type="dxa"/>
            <w:shd w:val="clear" w:color="auto" w:fill="C6EFCE"/>
            <w:noWrap/>
          </w:tcPr>
          <w:p w14:paraId="2F4EE576" w14:textId="0D7494D4"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Vähintään 850 asemaa parannettiin kaikissa tai osassa RENFEn SPO-operaattorina kehittämiä hankkeita, jotka luetellaan seuraavassa: </w:t>
            </w:r>
            <w:r>
              <w:rPr>
                <w:noProof/>
              </w:rPr>
              <w:t xml:space="preserve"> </w:t>
            </w:r>
            <w:r>
              <w:rPr>
                <w:noProof/>
              </w:rPr>
              <w:br/>
            </w:r>
            <w:r>
              <w:rPr>
                <w:rFonts w:ascii="Times New Roman" w:hAnsi="Times New Roman"/>
                <w:noProof/>
                <w:sz w:val="18"/>
              </w:rPr>
              <w:t>• Turvallisuusjärjestelmien digitalisointi asemilla (kuten älykäs video-analytiikka, kyberturvallisuus ja petosten valvonta)</w:t>
            </w:r>
            <w:r>
              <w:rPr>
                <w:noProof/>
              </w:rPr>
              <w:t xml:space="preserve"> </w:t>
            </w:r>
            <w:r>
              <w:rPr>
                <w:noProof/>
              </w:rPr>
              <w:br/>
              <w:t xml:space="preserve"> </w:t>
            </w:r>
            <w:r>
              <w:rPr>
                <w:rFonts w:ascii="Times New Roman" w:hAnsi="Times New Roman"/>
                <w:noProof/>
                <w:sz w:val="18"/>
              </w:rPr>
              <w:t>• Matkustajien tietojärjestelmät</w:t>
            </w:r>
            <w:r>
              <w:rPr>
                <w:noProof/>
              </w:rPr>
              <w:t xml:space="preserve"> </w:t>
            </w:r>
            <w:r>
              <w:rPr>
                <w:noProof/>
              </w:rPr>
              <w:br/>
              <w:t xml:space="preserve"> </w:t>
            </w:r>
            <w:r>
              <w:rPr>
                <w:rFonts w:ascii="Times New Roman" w:hAnsi="Times New Roman"/>
                <w:noProof/>
                <w:sz w:val="18"/>
              </w:rPr>
              <w:t>• Asemien kulunvalvonnan parantaminen</w:t>
            </w:r>
            <w:r>
              <w:rPr>
                <w:noProof/>
              </w:rPr>
              <w:t xml:space="preserve"> </w:t>
            </w:r>
            <w:r>
              <w:rPr>
                <w:noProof/>
              </w:rPr>
              <w:br/>
              <w:t xml:space="preserve"> </w:t>
            </w:r>
            <w:r>
              <w:rPr>
                <w:rFonts w:ascii="Times New Roman" w:hAnsi="Times New Roman"/>
                <w:noProof/>
                <w:sz w:val="18"/>
              </w:rPr>
              <w:t>• Lippuautomaattihankkeet</w:t>
            </w:r>
            <w:r>
              <w:rPr>
                <w:noProof/>
              </w:rPr>
              <w:t xml:space="preserve"> </w:t>
            </w:r>
            <w:r>
              <w:rPr>
                <w:noProof/>
              </w:rPr>
              <w:br/>
              <w:t xml:space="preserve"> </w:t>
            </w:r>
            <w:r>
              <w:rPr>
                <w:rFonts w:ascii="Times New Roman" w:hAnsi="Times New Roman"/>
                <w:noProof/>
                <w:sz w:val="18"/>
              </w:rPr>
              <w:t xml:space="preserve">• Tilojen mukauttaminen </w:t>
            </w:r>
          </w:p>
          <w:p w14:paraId="00C5A81A" w14:textId="77777777" w:rsidR="0065073E" w:rsidRDefault="000A0998">
            <w:pPr>
              <w:pStyle w:val="P68B1DB1-Normal12"/>
              <w:spacing w:after="0" w:line="240" w:lineRule="auto"/>
              <w:rPr>
                <w:rFonts w:cs="Times New Roman"/>
                <w:noProof/>
              </w:rPr>
            </w:pPr>
            <w:r>
              <w:rPr>
                <w:noProof/>
              </w:rPr>
              <w:t>(Perustaso: Joulukuuta 2023)</w:t>
            </w:r>
          </w:p>
        </w:tc>
      </w:tr>
      <w:tr w:rsidR="0065073E" w14:paraId="0E532E14" w14:textId="77777777">
        <w:trPr>
          <w:trHeight w:val="309"/>
        </w:trPr>
        <w:tc>
          <w:tcPr>
            <w:tcW w:w="709" w:type="dxa"/>
            <w:shd w:val="clear" w:color="auto" w:fill="C6EFCE"/>
            <w:noWrap/>
          </w:tcPr>
          <w:p w14:paraId="4795C8AF" w14:textId="77777777" w:rsidR="0065073E" w:rsidRDefault="000A0998">
            <w:pPr>
              <w:pStyle w:val="P68B1DB1-Normal12"/>
              <w:spacing w:after="0" w:line="240" w:lineRule="auto"/>
              <w:jc w:val="center"/>
              <w:rPr>
                <w:rFonts w:cs="Times New Roman"/>
                <w:noProof/>
              </w:rPr>
            </w:pPr>
            <w:r>
              <w:rPr>
                <w:noProof/>
              </w:rPr>
              <w:t>20</w:t>
            </w:r>
          </w:p>
        </w:tc>
        <w:tc>
          <w:tcPr>
            <w:tcW w:w="851" w:type="dxa"/>
            <w:shd w:val="clear" w:color="auto" w:fill="C6EFCE"/>
            <w:noWrap/>
          </w:tcPr>
          <w:p w14:paraId="5840AFF3" w14:textId="77777777" w:rsidR="0065073E" w:rsidRDefault="000A0998">
            <w:pPr>
              <w:pStyle w:val="P68B1DB1-Normal12"/>
              <w:spacing w:after="0" w:line="240" w:lineRule="auto"/>
              <w:jc w:val="center"/>
              <w:rPr>
                <w:rFonts w:eastAsia="MS Mincho" w:cs="Times New Roman"/>
                <w:noProof/>
              </w:rPr>
            </w:pPr>
            <w:r>
              <w:rPr>
                <w:noProof/>
              </w:rPr>
              <w:t>C1.I3</w:t>
            </w:r>
          </w:p>
        </w:tc>
        <w:tc>
          <w:tcPr>
            <w:tcW w:w="850" w:type="dxa"/>
            <w:shd w:val="clear" w:color="auto" w:fill="C6EFCE"/>
            <w:noWrap/>
          </w:tcPr>
          <w:p w14:paraId="44AAD6F7"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6905ABD4" w14:textId="77777777" w:rsidR="0065073E" w:rsidRDefault="000A0998">
            <w:pPr>
              <w:pStyle w:val="P68B1DB1-Normal12"/>
              <w:spacing w:after="0" w:line="240" w:lineRule="auto"/>
              <w:rPr>
                <w:rFonts w:cs="Times New Roman"/>
                <w:noProof/>
              </w:rPr>
            </w:pPr>
            <w:r>
              <w:rPr>
                <w:noProof/>
              </w:rPr>
              <w:t xml:space="preserve">Parannetut Cercanías-asemat </w:t>
            </w:r>
          </w:p>
        </w:tc>
        <w:tc>
          <w:tcPr>
            <w:tcW w:w="1134" w:type="dxa"/>
            <w:shd w:val="clear" w:color="auto" w:fill="C6EFCE"/>
            <w:noWrap/>
          </w:tcPr>
          <w:p w14:paraId="199DC5A6" w14:textId="77777777" w:rsidR="0065073E" w:rsidRDefault="000A0998">
            <w:pPr>
              <w:pStyle w:val="P68B1DB1-Normal12"/>
              <w:spacing w:after="0" w:line="240" w:lineRule="auto"/>
              <w:jc w:val="center"/>
              <w:rPr>
                <w:rFonts w:cs="Times New Roman"/>
                <w:noProof/>
              </w:rPr>
            </w:pPr>
            <w:r>
              <w:rPr>
                <w:noProof/>
              </w:rPr>
              <w:t xml:space="preserve"> </w:t>
            </w:r>
          </w:p>
        </w:tc>
        <w:tc>
          <w:tcPr>
            <w:tcW w:w="851" w:type="dxa"/>
            <w:shd w:val="clear" w:color="auto" w:fill="C6EFCE"/>
            <w:noWrap/>
          </w:tcPr>
          <w:p w14:paraId="54B43EC8"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21D95174" w14:textId="77777777" w:rsidR="0065073E" w:rsidRDefault="000A0998">
            <w:pPr>
              <w:pStyle w:val="P68B1DB1-Normal12"/>
              <w:spacing w:after="0" w:line="240" w:lineRule="auto"/>
              <w:jc w:val="right"/>
              <w:rPr>
                <w:rFonts w:eastAsia="MS Mincho" w:cs="Times New Roman"/>
                <w:noProof/>
              </w:rPr>
            </w:pPr>
            <w:r>
              <w:rPr>
                <w:noProof/>
              </w:rPr>
              <w:t>20</w:t>
            </w:r>
          </w:p>
        </w:tc>
        <w:tc>
          <w:tcPr>
            <w:tcW w:w="742" w:type="dxa"/>
            <w:shd w:val="clear" w:color="auto" w:fill="C6EFCE"/>
            <w:noWrap/>
          </w:tcPr>
          <w:p w14:paraId="29169DF8" w14:textId="77777777" w:rsidR="0065073E" w:rsidRDefault="000A0998">
            <w:pPr>
              <w:pStyle w:val="P68B1DB1-Normal12"/>
              <w:spacing w:after="0" w:line="240" w:lineRule="auto"/>
              <w:jc w:val="right"/>
              <w:rPr>
                <w:rFonts w:eastAsia="MS Mincho" w:cs="Times New Roman"/>
                <w:noProof/>
              </w:rPr>
            </w:pPr>
            <w:r>
              <w:rPr>
                <w:noProof/>
              </w:rPr>
              <w:t>70</w:t>
            </w:r>
          </w:p>
        </w:tc>
        <w:tc>
          <w:tcPr>
            <w:tcW w:w="425" w:type="dxa"/>
            <w:shd w:val="clear" w:color="auto" w:fill="C6EFCE"/>
            <w:noWrap/>
          </w:tcPr>
          <w:p w14:paraId="63B6E9DD"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7B36BB04" w14:textId="77777777" w:rsidR="0065073E" w:rsidRDefault="000A0998">
            <w:pPr>
              <w:pStyle w:val="P68B1DB1-Normal12"/>
              <w:spacing w:after="0" w:line="240" w:lineRule="auto"/>
              <w:jc w:val="center"/>
              <w:rPr>
                <w:rFonts w:cs="Times New Roman"/>
                <w:noProof/>
              </w:rPr>
            </w:pPr>
            <w:r>
              <w:rPr>
                <w:noProof/>
              </w:rPr>
              <w:t>2026</w:t>
            </w:r>
          </w:p>
        </w:tc>
        <w:tc>
          <w:tcPr>
            <w:tcW w:w="5387" w:type="dxa"/>
            <w:shd w:val="clear" w:color="auto" w:fill="C6EFCE"/>
            <w:noWrap/>
          </w:tcPr>
          <w:p w14:paraId="7DB192B1" w14:textId="58E06F9D" w:rsidR="0065073E" w:rsidRDefault="000A0998">
            <w:pPr>
              <w:pStyle w:val="P68B1DB1-Normal12"/>
              <w:spacing w:after="0" w:line="240" w:lineRule="auto"/>
              <w:rPr>
                <w:rFonts w:cs="Times New Roman"/>
                <w:noProof/>
              </w:rPr>
            </w:pPr>
            <w:r>
              <w:rPr>
                <w:noProof/>
              </w:rPr>
              <w:t>Vähintään 70 Cercanías-asemaa, joita ADIF on parantanut pääasiassa esteettömyyttä koskevien töiden ja uusien tai kunnostettujen rautateiden osalta</w:t>
            </w:r>
          </w:p>
          <w:p w14:paraId="20559573" w14:textId="77777777" w:rsidR="0065073E" w:rsidRDefault="000A0998">
            <w:pPr>
              <w:pStyle w:val="P68B1DB1-Normal12"/>
              <w:spacing w:after="0" w:line="240" w:lineRule="auto"/>
              <w:rPr>
                <w:rFonts w:cs="Times New Roman"/>
                <w:noProof/>
              </w:rPr>
            </w:pPr>
            <w:r>
              <w:rPr>
                <w:noProof/>
              </w:rPr>
              <w:t>(Perustaso: Joulukuuta 2023)</w:t>
            </w:r>
          </w:p>
        </w:tc>
      </w:tr>
    </w:tbl>
    <w:p w14:paraId="4EDD7DA2" w14:textId="1CB3545C" w:rsidR="0065073E" w:rsidRDefault="0065073E">
      <w:pPr>
        <w:rPr>
          <w:rFonts w:ascii="Times New Roman" w:hAnsi="Times New Roman" w:cs="Times New Roman"/>
          <w:noProof/>
        </w:rPr>
      </w:pPr>
    </w:p>
    <w:p w14:paraId="1367D495" w14:textId="77777777" w:rsidR="0065073E" w:rsidRDefault="0065073E">
      <w:pPr>
        <w:rPr>
          <w:rFonts w:ascii="Times New Roman" w:hAnsi="Times New Roman" w:cs="Times New Roman"/>
          <w:noProof/>
        </w:rPr>
      </w:pPr>
    </w:p>
    <w:p w14:paraId="69DAA9C7" w14:textId="6DF030F0" w:rsidR="0065073E" w:rsidRDefault="0065073E">
      <w:pPr>
        <w:rPr>
          <w:rFonts w:ascii="Times New Roman" w:hAnsi="Times New Roman" w:cs="Times New Roman"/>
          <w:noProof/>
        </w:rPr>
      </w:pPr>
    </w:p>
    <w:p w14:paraId="5BB82DF8" w14:textId="6DF030F0" w:rsidR="0065073E" w:rsidRDefault="0065073E">
      <w:pPr>
        <w:rPr>
          <w:rFonts w:ascii="Times New Roman" w:hAnsi="Times New Roman" w:cs="Times New Roman"/>
          <w:noProof/>
          <w:sz w:val="24"/>
        </w:rPr>
      </w:pPr>
    </w:p>
    <w:p w14:paraId="1BC42712" w14:textId="77777777" w:rsidR="0065073E" w:rsidRDefault="0065073E">
      <w:pPr>
        <w:rPr>
          <w:rFonts w:ascii="Times New Roman" w:hAnsi="Times New Roman" w:cs="Times New Roman"/>
          <w:noProof/>
          <w:sz w:val="24"/>
        </w:rPr>
        <w:sectPr w:rsidR="0065073E" w:rsidSect="00B511EF">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6EB2900A" w14:textId="51884807" w:rsidR="0065073E" w:rsidRDefault="000A0998">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A.4 </w:t>
      </w:r>
      <w:r>
        <w:rPr>
          <w:noProof/>
        </w:rPr>
        <w:t xml:space="preserve"> </w:t>
      </w:r>
      <w:r>
        <w:rPr>
          <w:rFonts w:ascii="Times New Roman" w:hAnsi="Times New Roman"/>
          <w:b/>
          <w:noProof/>
          <w:sz w:val="24"/>
          <w:u w:val="single"/>
        </w:rPr>
        <w:t>Lainatukeen liittyvien uudistusten ja investointien kuvaus</w:t>
      </w:r>
    </w:p>
    <w:p w14:paraId="6080E2C9" w14:textId="46FBA745" w:rsidR="0065073E" w:rsidRDefault="000A0998">
      <w:pPr>
        <w:pStyle w:val="P68B1DB1-Normal5"/>
        <w:spacing w:before="120" w:after="120" w:line="240" w:lineRule="auto"/>
        <w:jc w:val="both"/>
        <w:rPr>
          <w:rFonts w:cs="Times New Roman"/>
          <w:noProof/>
        </w:rPr>
      </w:pPr>
      <w:r>
        <w:rPr>
          <w:noProof/>
        </w:rPr>
        <w:t>Uudistus 3 (C1.R3) – Kuninkaan asetus vähäpäästöisten alueiden vähimmäisvaatimuksista</w:t>
      </w:r>
    </w:p>
    <w:p w14:paraId="5FFDA65D" w14:textId="133FB426" w:rsidR="0065073E" w:rsidRDefault="000A0998">
      <w:pPr>
        <w:pStyle w:val="P68B1DB1-Normal4"/>
        <w:spacing w:before="120" w:after="120" w:line="240" w:lineRule="auto"/>
        <w:jc w:val="both"/>
        <w:rPr>
          <w:rFonts w:cs="Times New Roman"/>
          <w:noProof/>
        </w:rPr>
      </w:pPr>
      <w:r>
        <w:rPr>
          <w:noProof/>
        </w:rPr>
        <w:t xml:space="preserve">Uudistuksen tavoitteena on saattaa voimaan 27. joulukuuta 2022 annettu kuninkaallinen asetus 1052/2022, jossa säädetään vähimmäisvaatimuksista, jotka paikallisviranomaisten perustamien vähäpäästöisten alueiden on täytettävä yli 50000 asukkaan kunnissa ja saarialueilla 20. toukokuuta annetun lain 7/2021 14 §:n 3 momentissa vahvistettujen oikeudellisten vaatimusten mukaisesti. </w:t>
      </w:r>
    </w:p>
    <w:p w14:paraId="3821A1C6" w14:textId="45AC0A32" w:rsidR="0065073E" w:rsidRDefault="000A0998">
      <w:pPr>
        <w:pStyle w:val="P68B1DB1-Normal4"/>
        <w:spacing w:before="120" w:after="120" w:line="240" w:lineRule="auto"/>
        <w:jc w:val="both"/>
        <w:rPr>
          <w:rFonts w:cs="Times New Roman"/>
          <w:noProof/>
        </w:rPr>
      </w:pPr>
      <w:r>
        <w:rPr>
          <w:noProof/>
        </w:rPr>
        <w:t xml:space="preserve">Nämä kuninkaan asetuksessa säädetyt vähimmäisvaatimukset koskevat: </w:t>
      </w:r>
    </w:p>
    <w:p w14:paraId="331A4407" w14:textId="103345F9" w:rsidR="0065073E" w:rsidRDefault="000A0998">
      <w:pPr>
        <w:pStyle w:val="P68B1DB1-Normal4"/>
        <w:spacing w:before="120" w:after="120" w:line="240" w:lineRule="auto"/>
        <w:jc w:val="both"/>
        <w:rPr>
          <w:rFonts w:cs="Times New Roman"/>
          <w:noProof/>
        </w:rPr>
      </w:pPr>
      <w:r>
        <w:rPr>
          <w:noProof/>
        </w:rPr>
        <w:t>— paikallisviranomaisten velvollisuus määritellä erityistoimenpiteet, jotka on toteutettava niiden tavoitteiden saavuttamiseksi, joita ovat ilmanlaadun parantaminen ja ilmastonmuutoksen vaikutusten lieventäminen sekä melua, kestävää liikkuvuutta ja energiatehokkuutta koskevien tavoitteiden noudattamisen edistäminen liikennevälineiden käytössä. Näillä toimenpiteillä pyritään kannustamaan liikennemuotosiirtymää kestävämpiin liikennemuotoihin ja asettamaan etusijalle aktiivinen liikkuvuus ja julkinen liikenne.</w:t>
      </w:r>
    </w:p>
    <w:p w14:paraId="4B535B1A" w14:textId="3AB8A5F8" w:rsidR="0065073E" w:rsidRDefault="000A0998">
      <w:pPr>
        <w:pStyle w:val="P68B1DB1-Normal4"/>
        <w:spacing w:before="120" w:after="120" w:line="240" w:lineRule="auto"/>
        <w:jc w:val="both"/>
        <w:rPr>
          <w:rFonts w:cs="Times New Roman"/>
          <w:noProof/>
        </w:rPr>
      </w:pPr>
      <w:r>
        <w:rPr>
          <w:noProof/>
        </w:rPr>
        <w:t xml:space="preserve">— Velvollisuus rajata LEZ-alueet niiden matkojen alkuperän ja määränpään perusteella, joihin on katsottu tarpeelliseksi puuttua, liikennemuotosiirtymän avulla tai kannustamalla vähentämään matkoja. </w:t>
      </w:r>
    </w:p>
    <w:p w14:paraId="65D0042B" w14:textId="3C11E84F" w:rsidR="0065073E" w:rsidRDefault="000A0998">
      <w:pPr>
        <w:pStyle w:val="P68B1DB1-Normal4"/>
        <w:spacing w:before="120" w:after="120" w:line="240" w:lineRule="auto"/>
        <w:jc w:val="both"/>
        <w:rPr>
          <w:rFonts w:cs="Times New Roman"/>
          <w:noProof/>
        </w:rPr>
      </w:pPr>
      <w:r>
        <w:rPr>
          <w:noProof/>
        </w:rPr>
        <w:t xml:space="preserve">— Suurimpien alueiden pinta-alan on oltava riittävä ja riittävä asetettujen tavoitteiden saavuttamiseksi ja oikeassa suhteessa niihin nähden. Kuninkaallisessa asetuksessa säädetään mahdollisuudesta suunnitella paikallisviranomaisten päätöksellä useita suuria alueita suurille kaupungeille ja saarialueille. </w:t>
      </w:r>
    </w:p>
    <w:p w14:paraId="0A17EE4E" w14:textId="2C33315A" w:rsidR="0065073E" w:rsidRDefault="000A0998">
      <w:pPr>
        <w:pStyle w:val="P68B1DB1-Normal4"/>
        <w:spacing w:before="120" w:after="120" w:line="240" w:lineRule="auto"/>
        <w:jc w:val="both"/>
        <w:rPr>
          <w:rFonts w:cs="Times New Roman"/>
          <w:noProof/>
        </w:rPr>
      </w:pPr>
      <w:r>
        <w:rPr>
          <w:noProof/>
        </w:rPr>
        <w:t>— Määrällisesti ilmaistavissa olevien ilmanlaatutavoitteiden määrittely, joka johtaa paranemiseen verrattuna perustilanteeseen, jossa ei ole suuria alueita. LEZ-alueiden on lisäksi edistettävä Maailman terveysjärjestön ilmanlaatudirektiivien ohjearvojen saavuttamista.</w:t>
      </w:r>
    </w:p>
    <w:p w14:paraId="0C6247AF" w14:textId="718EA12D" w:rsidR="0065073E" w:rsidRDefault="000A0998">
      <w:pPr>
        <w:pStyle w:val="P68B1DB1-Normal4"/>
        <w:spacing w:before="120" w:after="120" w:line="240" w:lineRule="auto"/>
        <w:jc w:val="both"/>
        <w:rPr>
          <w:rFonts w:cs="Times New Roman"/>
          <w:noProof/>
        </w:rPr>
      </w:pPr>
      <w:r>
        <w:rPr>
          <w:noProof/>
        </w:rPr>
        <w:t xml:space="preserve">— Vähäpäästöisiä alueita koskevaan hankkeeseen on sisällyttävä mitattavissa ja mitattavissa olevia tavoitteita kasvihuonekaasupäästöjen vähentämiseksi vähiten kehittyneillä alueilla vuoteen 2030 mennessä, jotka ovat yhdenmukaisia kansallisessa yhdennetyssä energia- ja ilmastosuunnitelmassa (PNIEC) asetettujen tavoitteiden kanssa, erityisesti yksityisten moottoriajoneuvojen käytön vähentämistä muihin liikennemuotoihin verrattuna koskevan tavoitteen kanssa. </w:t>
      </w:r>
    </w:p>
    <w:p w14:paraId="17220018" w14:textId="105E6062" w:rsidR="0065073E" w:rsidRDefault="000A0998">
      <w:pPr>
        <w:pStyle w:val="P68B1DB1-Normal4"/>
        <w:spacing w:before="120" w:after="120" w:line="240" w:lineRule="auto"/>
        <w:jc w:val="both"/>
        <w:rPr>
          <w:rFonts w:cs="Times New Roman"/>
          <w:noProof/>
        </w:rPr>
      </w:pPr>
      <w:r>
        <w:rPr>
          <w:noProof/>
        </w:rPr>
        <w:t xml:space="preserve">— Ajoneuvojen markkinoillepääsyä, liikennöintiä ja pysäköintiä koskevat kiellot tai rajoitukset niiden saastuttavan potentiaalin mukaan. </w:t>
      </w:r>
    </w:p>
    <w:p w14:paraId="49F755DC" w14:textId="6FEB6BD5" w:rsidR="0065073E" w:rsidRDefault="000A0998">
      <w:pPr>
        <w:pStyle w:val="P68B1DB1-Normal4"/>
        <w:spacing w:before="120" w:after="120" w:line="240" w:lineRule="auto"/>
        <w:jc w:val="both"/>
        <w:rPr>
          <w:rFonts w:cs="Times New Roman"/>
          <w:noProof/>
        </w:rPr>
      </w:pPr>
      <w:r>
        <w:rPr>
          <w:noProof/>
        </w:rPr>
        <w:t>Kuninkaallisella asetuksella myönnetään ennen kuninkaan asetuksen 1052/2022 hyväksymistä perustetuille olemassa oleville suurille talousalueille 18 kuukauden siirtymäaika näiden vähimmäisvaatimusten täyttämiseksi.</w:t>
      </w:r>
    </w:p>
    <w:p w14:paraId="5A9B3D10" w14:textId="35F924EE" w:rsidR="0065073E" w:rsidRDefault="000A0998">
      <w:pPr>
        <w:pStyle w:val="P68B1DB1-Normal4"/>
        <w:spacing w:after="0"/>
        <w:rPr>
          <w:rFonts w:cs="Times New Roman"/>
          <w:noProof/>
        </w:rPr>
      </w:pPr>
      <w:r>
        <w:rPr>
          <w:noProof/>
        </w:rPr>
        <w:t xml:space="preserve">Toimenpiteen täytäntöönpano on saatettava päätökseen joulukuuhun 2022 mennessä. </w:t>
      </w:r>
    </w:p>
    <w:p w14:paraId="7FBD4578" w14:textId="3C3D3D0F" w:rsidR="0065073E" w:rsidRDefault="0065073E">
      <w:pPr>
        <w:spacing w:before="120" w:after="120" w:line="240" w:lineRule="auto"/>
        <w:rPr>
          <w:rFonts w:ascii="Times New Roman" w:eastAsia="Times New Roman" w:hAnsi="Times New Roman" w:cs="Times New Roman"/>
          <w:noProof/>
          <w:sz w:val="24"/>
        </w:rPr>
      </w:pPr>
    </w:p>
    <w:p w14:paraId="01CE9A3D" w14:textId="0CC93156"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A.5. </w:t>
      </w:r>
      <w:r>
        <w:rPr>
          <w:noProof/>
        </w:rPr>
        <w:t xml:space="preserve"> </w:t>
      </w:r>
      <w:r>
        <w:rPr>
          <w:rFonts w:ascii="Times New Roman" w:hAnsi="Times New Roman"/>
          <w:b/>
          <w:noProof/>
          <w:sz w:val="24"/>
          <w:u w:val="single"/>
        </w:rPr>
        <w:t>Lainatuen seurannan ja täytäntöönpanon välitavoitteet, tavoitteet, indikaattorit ja aikataulu</w:t>
      </w:r>
    </w:p>
    <w:p w14:paraId="25E41C73" w14:textId="7A957642" w:rsidR="0065073E" w:rsidRDefault="000A0998">
      <w:pPr>
        <w:pStyle w:val="P68B1DB1-Normal4"/>
        <w:spacing w:before="120" w:after="120" w:line="240" w:lineRule="auto"/>
        <w:jc w:val="both"/>
        <w:rPr>
          <w:rFonts w:cs="Times New Roman"/>
          <w:i/>
          <w:noProof/>
        </w:rPr>
        <w:sectPr w:rsidR="0065073E" w:rsidSect="00B511EF">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olevat määrät eivät sisällä alv:tä</w:t>
      </w:r>
    </w:p>
    <w:p w14:paraId="3592CA0E" w14:textId="7BF58D31" w:rsidR="0065073E" w:rsidRDefault="0065073E">
      <w:pPr>
        <w:spacing w:before="120" w:after="120" w:line="240" w:lineRule="auto"/>
        <w:jc w:val="both"/>
        <w:rPr>
          <w:rFonts w:ascii="Times New Roman" w:hAnsi="Times New Roman" w:cs="Times New Roman"/>
          <w:i/>
          <w:noProof/>
          <w:sz w:val="24"/>
        </w:rPr>
      </w:pPr>
    </w:p>
    <w:tbl>
      <w:tblPr>
        <w:tblW w:w="153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828"/>
        <w:gridCol w:w="828"/>
        <w:gridCol w:w="2893"/>
        <w:gridCol w:w="1104"/>
        <w:gridCol w:w="829"/>
        <w:gridCol w:w="966"/>
        <w:gridCol w:w="828"/>
        <w:gridCol w:w="415"/>
        <w:gridCol w:w="553"/>
        <w:gridCol w:w="5234"/>
      </w:tblGrid>
      <w:tr w:rsidR="0065073E" w14:paraId="6BD95B45" w14:textId="77777777">
        <w:trPr>
          <w:trHeight w:val="309"/>
          <w:tblHeader/>
        </w:trPr>
        <w:tc>
          <w:tcPr>
            <w:tcW w:w="832" w:type="dxa"/>
            <w:tcBorders>
              <w:bottom w:val="nil"/>
            </w:tcBorders>
            <w:shd w:val="clear" w:color="auto" w:fill="C6D9F1" w:themeFill="text2" w:themeFillTint="33"/>
            <w:noWrap/>
          </w:tcPr>
          <w:p w14:paraId="1AACD3FD" w14:textId="77777777" w:rsidR="0065073E" w:rsidRDefault="000A0998">
            <w:pPr>
              <w:pStyle w:val="P68B1DB1-Normal8"/>
              <w:spacing w:after="0" w:line="240" w:lineRule="auto"/>
              <w:jc w:val="center"/>
              <w:rPr>
                <w:rFonts w:cs="Times New Roman"/>
                <w:noProof/>
              </w:rPr>
            </w:pPr>
            <w:r>
              <w:rPr>
                <w:noProof/>
              </w:rPr>
              <w:t>Määrä</w:t>
            </w:r>
          </w:p>
        </w:tc>
        <w:tc>
          <w:tcPr>
            <w:tcW w:w="828" w:type="dxa"/>
            <w:tcBorders>
              <w:bottom w:val="nil"/>
            </w:tcBorders>
            <w:shd w:val="clear" w:color="auto" w:fill="C6D9F1" w:themeFill="text2" w:themeFillTint="33"/>
            <w:noWrap/>
          </w:tcPr>
          <w:p w14:paraId="734D5A56"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tcPr>
          <w:p w14:paraId="798F95BE"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893" w:type="dxa"/>
            <w:tcBorders>
              <w:bottom w:val="nil"/>
            </w:tcBorders>
            <w:shd w:val="clear" w:color="auto" w:fill="C6D9F1" w:themeFill="text2" w:themeFillTint="33"/>
            <w:noWrap/>
          </w:tcPr>
          <w:p w14:paraId="147087A6" w14:textId="77777777" w:rsidR="0065073E" w:rsidRDefault="000A0998">
            <w:pPr>
              <w:pStyle w:val="P68B1DB1-Normal8"/>
              <w:spacing w:after="0" w:line="240" w:lineRule="auto"/>
              <w:jc w:val="center"/>
              <w:rPr>
                <w:rFonts w:cs="Times New Roman"/>
                <w:noProof/>
              </w:rPr>
            </w:pPr>
            <w:r>
              <w:rPr>
                <w:noProof/>
              </w:rPr>
              <w:t>Nimi</w:t>
            </w:r>
          </w:p>
        </w:tc>
        <w:tc>
          <w:tcPr>
            <w:tcW w:w="1104" w:type="dxa"/>
            <w:tcBorders>
              <w:bottom w:val="nil"/>
            </w:tcBorders>
            <w:shd w:val="clear" w:color="auto" w:fill="C6D9F1" w:themeFill="text2" w:themeFillTint="33"/>
            <w:noWrap/>
          </w:tcPr>
          <w:p w14:paraId="3C1094E4"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623" w:type="dxa"/>
            <w:gridSpan w:val="3"/>
            <w:shd w:val="clear" w:color="auto" w:fill="C6D9F1" w:themeFill="text2" w:themeFillTint="33"/>
            <w:noWrap/>
          </w:tcPr>
          <w:p w14:paraId="632CC166"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tcPr>
          <w:p w14:paraId="47044656" w14:textId="77777777" w:rsidR="0065073E" w:rsidRDefault="000A0998">
            <w:pPr>
              <w:pStyle w:val="P68B1DB1-Normal8"/>
              <w:spacing w:after="0" w:line="240" w:lineRule="auto"/>
              <w:jc w:val="center"/>
              <w:rPr>
                <w:rFonts w:cs="Times New Roman"/>
                <w:noProof/>
              </w:rPr>
            </w:pPr>
            <w:r>
              <w:rPr>
                <w:noProof/>
              </w:rPr>
              <w:t>Aika</w:t>
            </w:r>
          </w:p>
        </w:tc>
        <w:tc>
          <w:tcPr>
            <w:tcW w:w="5234" w:type="dxa"/>
            <w:tcBorders>
              <w:bottom w:val="nil"/>
            </w:tcBorders>
            <w:shd w:val="clear" w:color="auto" w:fill="C6D9F1" w:themeFill="text2" w:themeFillTint="33"/>
            <w:noWrap/>
          </w:tcPr>
          <w:p w14:paraId="0A0B3ABF"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48BE033" w14:textId="77777777">
        <w:trPr>
          <w:trHeight w:val="309"/>
          <w:tblHeader/>
        </w:trPr>
        <w:tc>
          <w:tcPr>
            <w:tcW w:w="832" w:type="dxa"/>
            <w:tcBorders>
              <w:top w:val="nil"/>
            </w:tcBorders>
            <w:shd w:val="clear" w:color="auto" w:fill="C6D9F1" w:themeFill="text2" w:themeFillTint="33"/>
            <w:noWrap/>
          </w:tcPr>
          <w:p w14:paraId="0C8F5484"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71A9F589"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203D81B5" w14:textId="77777777" w:rsidR="0065073E" w:rsidRDefault="0065073E">
            <w:pPr>
              <w:spacing w:after="0" w:line="240" w:lineRule="auto"/>
              <w:jc w:val="center"/>
              <w:rPr>
                <w:rFonts w:ascii="Times New Roman" w:hAnsi="Times New Roman" w:cs="Times New Roman"/>
                <w:b/>
                <w:noProof/>
                <w:sz w:val="18"/>
              </w:rPr>
            </w:pPr>
          </w:p>
        </w:tc>
        <w:tc>
          <w:tcPr>
            <w:tcW w:w="2893" w:type="dxa"/>
            <w:tcBorders>
              <w:top w:val="nil"/>
            </w:tcBorders>
            <w:shd w:val="clear" w:color="auto" w:fill="C6D9F1" w:themeFill="text2" w:themeFillTint="33"/>
            <w:noWrap/>
          </w:tcPr>
          <w:p w14:paraId="72A5B6D2" w14:textId="77777777" w:rsidR="0065073E" w:rsidRDefault="0065073E">
            <w:pPr>
              <w:spacing w:after="0" w:line="240" w:lineRule="auto"/>
              <w:rPr>
                <w:rFonts w:ascii="Times New Roman" w:hAnsi="Times New Roman" w:cs="Times New Roman"/>
                <w:b/>
                <w:noProof/>
                <w:sz w:val="18"/>
              </w:rPr>
            </w:pPr>
          </w:p>
        </w:tc>
        <w:tc>
          <w:tcPr>
            <w:tcW w:w="1104" w:type="dxa"/>
            <w:tcBorders>
              <w:top w:val="nil"/>
            </w:tcBorders>
            <w:shd w:val="clear" w:color="auto" w:fill="C6D9F1" w:themeFill="text2" w:themeFillTint="33"/>
            <w:noWrap/>
          </w:tcPr>
          <w:p w14:paraId="5A638DB9"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3840E0BA"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tcPr>
          <w:p w14:paraId="2BFA1657" w14:textId="13477B04" w:rsidR="0065073E" w:rsidRDefault="000A0998">
            <w:pPr>
              <w:pStyle w:val="P68B1DB1-Normal8"/>
              <w:spacing w:after="0" w:line="240" w:lineRule="auto"/>
              <w:jc w:val="center"/>
              <w:rPr>
                <w:rFonts w:cs="Times New Roman"/>
                <w:noProof/>
              </w:rPr>
            </w:pPr>
            <w:r>
              <w:rPr>
                <w:noProof/>
              </w:rPr>
              <w:t>Lähtötaso</w:t>
            </w:r>
          </w:p>
        </w:tc>
        <w:tc>
          <w:tcPr>
            <w:tcW w:w="828" w:type="dxa"/>
            <w:shd w:val="clear" w:color="auto" w:fill="C6D9F1" w:themeFill="text2" w:themeFillTint="33"/>
            <w:noWrap/>
          </w:tcPr>
          <w:p w14:paraId="3437C81F"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tcPr>
          <w:p w14:paraId="5B050FCC"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6C3BEA56" w14:textId="77777777" w:rsidR="0065073E" w:rsidRDefault="000A0998">
            <w:pPr>
              <w:pStyle w:val="P68B1DB1-Normal8"/>
              <w:spacing w:after="0" w:line="240" w:lineRule="auto"/>
              <w:jc w:val="center"/>
              <w:rPr>
                <w:rFonts w:cs="Times New Roman"/>
                <w:noProof/>
              </w:rPr>
            </w:pPr>
            <w:r>
              <w:rPr>
                <w:noProof/>
              </w:rPr>
              <w:t>Vuosi</w:t>
            </w:r>
          </w:p>
        </w:tc>
        <w:tc>
          <w:tcPr>
            <w:tcW w:w="5234" w:type="dxa"/>
            <w:tcBorders>
              <w:top w:val="nil"/>
            </w:tcBorders>
            <w:shd w:val="clear" w:color="auto" w:fill="C6D9F1" w:themeFill="text2" w:themeFillTint="33"/>
            <w:noWrap/>
          </w:tcPr>
          <w:p w14:paraId="5199CE4A" w14:textId="77777777" w:rsidR="0065073E" w:rsidRDefault="0065073E">
            <w:pPr>
              <w:spacing w:after="0" w:line="240" w:lineRule="auto"/>
              <w:rPr>
                <w:rFonts w:ascii="Times New Roman" w:hAnsi="Times New Roman" w:cs="Times New Roman"/>
                <w:b/>
                <w:noProof/>
                <w:sz w:val="18"/>
              </w:rPr>
            </w:pPr>
          </w:p>
        </w:tc>
      </w:tr>
      <w:tr w:rsidR="0065073E" w14:paraId="3E464E53" w14:textId="77777777">
        <w:trPr>
          <w:trHeight w:val="1382"/>
        </w:trPr>
        <w:tc>
          <w:tcPr>
            <w:tcW w:w="832" w:type="dxa"/>
            <w:shd w:val="clear" w:color="auto" w:fill="C6EFCE"/>
            <w:noWrap/>
          </w:tcPr>
          <w:p w14:paraId="5524CCE8" w14:textId="42F22272" w:rsidR="0065073E" w:rsidRDefault="000A0998">
            <w:pPr>
              <w:spacing w:after="0" w:line="240" w:lineRule="auto"/>
              <w:jc w:val="center"/>
              <w:rPr>
                <w:rFonts w:ascii="Times New Roman" w:eastAsia="MS Mincho" w:hAnsi="Times New Roman" w:cs="Times New Roman"/>
                <w:noProof/>
                <w:sz w:val="18"/>
              </w:rPr>
            </w:pPr>
            <w:r>
              <w:rPr>
                <w:rFonts w:ascii="Times New Roman" w:hAnsi="Times New Roman"/>
                <w:noProof/>
                <w:sz w:val="18"/>
              </w:rPr>
              <w:t>L1</w:t>
            </w:r>
            <w:r>
              <w:rPr>
                <w:rFonts w:ascii="Arial" w:hAnsi="Arial"/>
                <w:b/>
                <w:noProof/>
                <w:sz w:val="48"/>
              </w:rPr>
              <w:t xml:space="preserve"> </w:t>
            </w:r>
            <w:r>
              <w:rPr>
                <w:noProof/>
              </w:rPr>
              <w:tab/>
            </w:r>
            <w:r>
              <w:rPr>
                <w:noProof/>
              </w:rPr>
              <w:tab/>
            </w:r>
            <w:r>
              <w:rPr>
                <w:noProof/>
              </w:rPr>
              <w:tab/>
            </w:r>
          </w:p>
        </w:tc>
        <w:tc>
          <w:tcPr>
            <w:tcW w:w="828" w:type="dxa"/>
            <w:shd w:val="clear" w:color="auto" w:fill="C6EFCE"/>
            <w:noWrap/>
          </w:tcPr>
          <w:p w14:paraId="7FD5CBF3" w14:textId="6A46C06E" w:rsidR="0065073E" w:rsidRDefault="000A0998">
            <w:pPr>
              <w:pStyle w:val="P68B1DB1-Normal12"/>
              <w:spacing w:after="0" w:line="240" w:lineRule="auto"/>
              <w:jc w:val="center"/>
              <w:rPr>
                <w:rFonts w:eastAsia="MS Mincho" w:cs="Times New Roman"/>
                <w:noProof/>
              </w:rPr>
            </w:pPr>
            <w:r>
              <w:rPr>
                <w:noProof/>
              </w:rPr>
              <w:t>C1.R3</w:t>
            </w:r>
          </w:p>
        </w:tc>
        <w:tc>
          <w:tcPr>
            <w:tcW w:w="828" w:type="dxa"/>
            <w:shd w:val="clear" w:color="auto" w:fill="C6EFCE"/>
            <w:noWrap/>
          </w:tcPr>
          <w:p w14:paraId="47FE2A27" w14:textId="77777777" w:rsidR="0065073E" w:rsidRDefault="000A0998">
            <w:pPr>
              <w:pStyle w:val="P68B1DB1-Normal12"/>
              <w:spacing w:after="0" w:line="240" w:lineRule="auto"/>
              <w:jc w:val="center"/>
              <w:rPr>
                <w:rFonts w:eastAsia="MS Mincho" w:cs="Times New Roman"/>
                <w:noProof/>
              </w:rPr>
            </w:pPr>
            <w:r>
              <w:rPr>
                <w:noProof/>
              </w:rPr>
              <w:t>M</w:t>
            </w:r>
          </w:p>
        </w:tc>
        <w:tc>
          <w:tcPr>
            <w:tcW w:w="2893" w:type="dxa"/>
            <w:shd w:val="clear" w:color="auto" w:fill="C6EFCE"/>
            <w:noWrap/>
          </w:tcPr>
          <w:p w14:paraId="7CA40430" w14:textId="6B532929" w:rsidR="0065073E" w:rsidRDefault="000A0998">
            <w:pPr>
              <w:pStyle w:val="P68B1DB1-Normal12"/>
              <w:spacing w:after="0" w:line="240" w:lineRule="auto"/>
              <w:rPr>
                <w:rFonts w:eastAsia="MS Mincho" w:cs="Times New Roman"/>
                <w:noProof/>
              </w:rPr>
            </w:pPr>
            <w:r>
              <w:rPr>
                <w:noProof/>
              </w:rPr>
              <w:t>Vähäpäästöisiä alueita koskevan kuninkaallisen asetuksen voimaantulo</w:t>
            </w:r>
          </w:p>
        </w:tc>
        <w:tc>
          <w:tcPr>
            <w:tcW w:w="1104" w:type="dxa"/>
            <w:shd w:val="clear" w:color="auto" w:fill="C6EFCE"/>
            <w:noWrap/>
          </w:tcPr>
          <w:p w14:paraId="3B41A677" w14:textId="0A7A99E8" w:rsidR="0065073E" w:rsidRDefault="000A0998">
            <w:pPr>
              <w:pStyle w:val="P68B1DB1-Normal12"/>
              <w:spacing w:after="0" w:line="240" w:lineRule="auto"/>
              <w:jc w:val="center"/>
              <w:rPr>
                <w:rFonts w:eastAsia="MS Mincho" w:cs="Times New Roman"/>
                <w:noProof/>
              </w:rPr>
            </w:pPr>
            <w:r>
              <w:rPr>
                <w:noProof/>
              </w:rPr>
              <w:t>Kuninkaan asetuksen voimaantuloa koskeva säännös</w:t>
            </w:r>
          </w:p>
        </w:tc>
        <w:tc>
          <w:tcPr>
            <w:tcW w:w="829" w:type="dxa"/>
            <w:shd w:val="clear" w:color="auto" w:fill="C6EFCE"/>
            <w:noWrap/>
          </w:tcPr>
          <w:p w14:paraId="609BF4F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5A11FB2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28" w:type="dxa"/>
            <w:shd w:val="clear" w:color="auto" w:fill="C6EFCE"/>
            <w:noWrap/>
          </w:tcPr>
          <w:p w14:paraId="7EDDDDD0"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2093670E"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51E54C8A" w14:textId="6B1993A0" w:rsidR="0065073E" w:rsidRDefault="000A0998">
            <w:pPr>
              <w:pStyle w:val="P68B1DB1-Normal12"/>
              <w:spacing w:after="0" w:line="240" w:lineRule="auto"/>
              <w:jc w:val="center"/>
              <w:rPr>
                <w:rFonts w:eastAsia="MS Mincho" w:cs="Times New Roman"/>
                <w:noProof/>
              </w:rPr>
            </w:pPr>
            <w:r>
              <w:rPr>
                <w:noProof/>
              </w:rPr>
              <w:t>2022</w:t>
            </w:r>
          </w:p>
        </w:tc>
        <w:tc>
          <w:tcPr>
            <w:tcW w:w="5234" w:type="dxa"/>
            <w:shd w:val="clear" w:color="auto" w:fill="C6EFCE"/>
            <w:noWrap/>
          </w:tcPr>
          <w:p w14:paraId="64B63CC5" w14:textId="32E6CE3F" w:rsidR="0065073E" w:rsidRDefault="000A0998">
            <w:pPr>
              <w:pStyle w:val="P68B1DB1-Normal12"/>
              <w:spacing w:after="0" w:line="240" w:lineRule="auto"/>
              <w:rPr>
                <w:rFonts w:eastAsia="MS Mincho" w:cs="Times New Roman"/>
                <w:noProof/>
              </w:rPr>
            </w:pPr>
            <w:r>
              <w:rPr>
                <w:noProof/>
              </w:rPr>
              <w:t>Vähäpäästöisiä alueita sääntelevän 27. joulukuuta 2022 annetun kuninkaallisen asetuksen 1052/2022 voimaantulo</w:t>
            </w:r>
          </w:p>
        </w:tc>
      </w:tr>
    </w:tbl>
    <w:p w14:paraId="308E1221" w14:textId="77777777" w:rsidR="0065073E" w:rsidRDefault="0065073E">
      <w:pPr>
        <w:spacing w:before="120" w:after="120" w:line="240" w:lineRule="auto"/>
        <w:jc w:val="both"/>
        <w:rPr>
          <w:rFonts w:ascii="Times New Roman" w:hAnsi="Times New Roman" w:cs="Times New Roman"/>
          <w:i/>
          <w:noProof/>
          <w:sz w:val="24"/>
        </w:rPr>
      </w:pPr>
    </w:p>
    <w:p w14:paraId="1FC01242" w14:textId="77777777" w:rsidR="0065073E" w:rsidRDefault="0065073E">
      <w:pPr>
        <w:spacing w:before="120" w:after="120" w:line="240" w:lineRule="auto"/>
        <w:jc w:val="both"/>
        <w:rPr>
          <w:rFonts w:ascii="Times New Roman" w:hAnsi="Times New Roman" w:cs="Times New Roman"/>
          <w:i/>
          <w:noProof/>
          <w:sz w:val="24"/>
        </w:rPr>
      </w:pPr>
    </w:p>
    <w:p w14:paraId="7A221F47" w14:textId="77777777" w:rsidR="0065073E" w:rsidRDefault="0065073E">
      <w:pPr>
        <w:spacing w:before="120" w:after="120" w:line="240" w:lineRule="auto"/>
        <w:jc w:val="both"/>
        <w:rPr>
          <w:rFonts w:ascii="Times New Roman" w:hAnsi="Times New Roman" w:cs="Times New Roman"/>
          <w:i/>
          <w:noProof/>
          <w:sz w:val="24"/>
        </w:rPr>
      </w:pPr>
    </w:p>
    <w:p w14:paraId="2AC58087" w14:textId="77777777" w:rsidR="0065073E" w:rsidRDefault="0065073E">
      <w:pPr>
        <w:spacing w:before="120" w:after="120" w:line="240" w:lineRule="auto"/>
        <w:jc w:val="both"/>
        <w:rPr>
          <w:rFonts w:ascii="Times New Roman" w:hAnsi="Times New Roman" w:cs="Times New Roman"/>
          <w:i/>
          <w:noProof/>
          <w:sz w:val="24"/>
        </w:rPr>
      </w:pPr>
    </w:p>
    <w:p w14:paraId="40B73690" w14:textId="77777777" w:rsidR="0065073E" w:rsidRDefault="0065073E">
      <w:pPr>
        <w:spacing w:before="120" w:after="120" w:line="240" w:lineRule="auto"/>
        <w:jc w:val="both"/>
        <w:rPr>
          <w:rFonts w:ascii="Times New Roman" w:hAnsi="Times New Roman" w:cs="Times New Roman"/>
          <w:i/>
          <w:noProof/>
          <w:sz w:val="24"/>
        </w:rPr>
      </w:pPr>
    </w:p>
    <w:p w14:paraId="3FB8C7C8" w14:textId="77777777" w:rsidR="0065073E" w:rsidRDefault="0065073E">
      <w:pPr>
        <w:spacing w:before="120" w:after="120" w:line="240" w:lineRule="auto"/>
        <w:jc w:val="both"/>
        <w:rPr>
          <w:rFonts w:ascii="Times New Roman" w:hAnsi="Times New Roman" w:cs="Times New Roman"/>
          <w:i/>
          <w:noProof/>
          <w:sz w:val="24"/>
        </w:rPr>
      </w:pPr>
    </w:p>
    <w:p w14:paraId="5810D5C0" w14:textId="77777777" w:rsidR="0065073E" w:rsidRDefault="0065073E">
      <w:pPr>
        <w:spacing w:before="120" w:after="120" w:line="240" w:lineRule="auto"/>
        <w:jc w:val="both"/>
        <w:rPr>
          <w:rFonts w:ascii="Times New Roman" w:hAnsi="Times New Roman" w:cs="Times New Roman"/>
          <w:i/>
          <w:noProof/>
          <w:sz w:val="24"/>
        </w:rPr>
      </w:pPr>
    </w:p>
    <w:p w14:paraId="4FA6A412" w14:textId="77777777" w:rsidR="0065073E" w:rsidRDefault="0065073E">
      <w:pPr>
        <w:spacing w:before="120" w:after="120" w:line="240" w:lineRule="auto"/>
        <w:jc w:val="both"/>
        <w:rPr>
          <w:rFonts w:ascii="Times New Roman" w:hAnsi="Times New Roman" w:cs="Times New Roman"/>
          <w:i/>
          <w:noProof/>
          <w:sz w:val="24"/>
        </w:rPr>
      </w:pPr>
    </w:p>
    <w:p w14:paraId="432AC264" w14:textId="77777777" w:rsidR="0065073E" w:rsidRDefault="0065073E">
      <w:pPr>
        <w:spacing w:before="120" w:after="120" w:line="240" w:lineRule="auto"/>
        <w:jc w:val="both"/>
        <w:rPr>
          <w:rFonts w:ascii="Times New Roman" w:hAnsi="Times New Roman" w:cs="Times New Roman"/>
          <w:i/>
          <w:noProof/>
          <w:sz w:val="24"/>
        </w:rPr>
      </w:pPr>
    </w:p>
    <w:p w14:paraId="207B81E9" w14:textId="77777777" w:rsidR="0065073E" w:rsidRDefault="0065073E">
      <w:pPr>
        <w:spacing w:before="120" w:after="120" w:line="240" w:lineRule="auto"/>
        <w:jc w:val="both"/>
        <w:rPr>
          <w:rFonts w:ascii="Times New Roman" w:hAnsi="Times New Roman" w:cs="Times New Roman"/>
          <w:i/>
          <w:noProof/>
          <w:sz w:val="24"/>
        </w:rPr>
      </w:pPr>
    </w:p>
    <w:p w14:paraId="717E2139" w14:textId="2EE809B8" w:rsidR="0065073E" w:rsidRDefault="0065073E">
      <w:pPr>
        <w:spacing w:before="120" w:after="120" w:line="240" w:lineRule="auto"/>
        <w:jc w:val="both"/>
        <w:rPr>
          <w:rFonts w:ascii="Times New Roman" w:hAnsi="Times New Roman" w:cs="Times New Roman"/>
          <w:i/>
          <w:noProof/>
          <w:sz w:val="24"/>
        </w:rPr>
        <w:sectPr w:rsidR="0065073E" w:rsidSect="00B511EF">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771F135C" w14:textId="06E4743F" w:rsidR="0065073E" w:rsidRDefault="000A0998">
      <w:pPr>
        <w:pStyle w:val="P68B1DB1-Heading12"/>
        <w:rPr>
          <w:rFonts w:cs="Times New Roman"/>
          <w:b w:val="0"/>
          <w:smallCaps w:val="0"/>
          <w:noProof/>
          <w:sz w:val="22"/>
        </w:rPr>
      </w:pPr>
      <w:r>
        <w:rPr>
          <w:noProof/>
        </w:rPr>
        <w:t>B. OSA 02: Espanjan kaupunkiagendan täytäntöönpano: Kaupunkien kunnostamista ja elvyttämistä koskeva suunnitelma</w:t>
      </w:r>
    </w:p>
    <w:p w14:paraId="4711963D" w14:textId="77777777" w:rsidR="0065073E" w:rsidRDefault="000A0998">
      <w:pPr>
        <w:pStyle w:val="P68B1DB1-Normal4"/>
        <w:spacing w:before="120" w:after="120" w:line="240" w:lineRule="auto"/>
        <w:jc w:val="both"/>
        <w:rPr>
          <w:rFonts w:cs="Times New Roman"/>
          <w:noProof/>
        </w:rPr>
      </w:pPr>
      <w:r>
        <w:rPr>
          <w:noProof/>
        </w:rPr>
        <w:t>Tällä Espanjan elpymis- ja palautumissuunnitelman osa-alueella on käsiteltävä rakennusten energiakunnostamista, hiilestä irtautumista sekä rakennusten laadun ja mukavuuden parantamista. Siinä käsitellään myös sosiaalista vuokra-asuntoa, lisätään sen kantaa ja varmistetaan oikeudenmukaisempi ja osallistavampi elpyminen. Lisäksi komponentilla pyritään puuttumaan energiaköyhyyteen tukemalla sosiaalisia tai kohtuuhintaisia vuokra-asuntoja. Tähän sisältyvät myös digitalisaatiotoimet. Tällä Espanjan elpymis- ja palautumissuunnitelman osa-alueella tuetaan Espanjan kansallisen energia- ja ilmastosuunnitelman täytäntöönpanoa. Suunnitelmassa säädetään 1200000 asuinrakennuksen peruskorjauksesta vuoteen 2030 mennessä ja lämmitys- ja jäähdytysjärjestelmien kunnostamisesta keskimäärin 300000 asuinrakennukseen vuodessa. Tässä yhteydessä Espanja ehdottaa, että</w:t>
      </w:r>
    </w:p>
    <w:p w14:paraId="69D11A7C" w14:textId="77777777" w:rsidR="0065073E" w:rsidRDefault="000A0998">
      <w:pPr>
        <w:pStyle w:val="P68B1DB1-Normal4"/>
        <w:numPr>
          <w:ilvl w:val="0"/>
          <w:numId w:val="68"/>
        </w:numPr>
        <w:spacing w:before="120" w:after="0" w:line="240" w:lineRule="auto"/>
        <w:ind w:left="709" w:hanging="357"/>
        <w:contextualSpacing/>
        <w:jc w:val="both"/>
        <w:rPr>
          <w:rFonts w:cs="Times New Roman"/>
          <w:noProof/>
        </w:rPr>
      </w:pPr>
      <w:r>
        <w:rPr>
          <w:noProof/>
        </w:rPr>
        <w:t>Kehitetään ja toteutetaan uudistustoimenpiteitä, mukaan lukien Espanjan kaupunkiagenda, Espanjan pitkän aikavälin peruskorjausstrategia, asuntolaki, laki arkkitehtonisen maiseman parantamiseksi ja keskitettyjen asiointipisteiden perustaminen rakennusten perusparannuksia varten;</w:t>
      </w:r>
    </w:p>
    <w:p w14:paraId="3972EFB7" w14:textId="2C54E070" w:rsidR="0065073E" w:rsidRDefault="000A0998">
      <w:pPr>
        <w:pStyle w:val="P68B1DB1-Normal4"/>
        <w:numPr>
          <w:ilvl w:val="0"/>
          <w:numId w:val="68"/>
        </w:numPr>
        <w:spacing w:before="120" w:after="0" w:line="240" w:lineRule="auto"/>
        <w:ind w:left="709" w:hanging="357"/>
        <w:contextualSpacing/>
        <w:jc w:val="both"/>
        <w:rPr>
          <w:rFonts w:cs="Times New Roman"/>
          <w:noProof/>
        </w:rPr>
      </w:pPr>
      <w:r>
        <w:rPr>
          <w:noProof/>
        </w:rPr>
        <w:t xml:space="preserve">kunnostaa vähintään 285000 ainutlaatuista asuinasuntoa osana vähintään 410000 peruskorjaustointa, vähintään 600 hehtaaria kaupunkialueita, vähintään 40000 asuinrakennusta ja 690 000 m² muita kuin asuinrakennuksia, vähintään 4300 </w:t>
      </w:r>
      <w:bookmarkStart w:id="4" w:name="_Hlk145083957"/>
      <w:r>
        <w:rPr>
          <w:noProof/>
          <w:vertAlign w:val="superscript"/>
        </w:rPr>
        <w:t>asuinrakennusta</w:t>
      </w:r>
      <w:r>
        <w:rPr>
          <w:noProof/>
        </w:rPr>
        <w:t xml:space="preserve"> ja 230 000 m² muita kuin</w:t>
      </w:r>
      <w:bookmarkEnd w:id="4"/>
      <w:r>
        <w:rPr>
          <w:noProof/>
        </w:rPr>
        <w:t>asuinrakennuksia</w:t>
      </w:r>
      <w:r>
        <w:rPr>
          <w:noProof/>
          <w:vertAlign w:val="superscript"/>
        </w:rPr>
        <w:t>kunnissa</w:t>
      </w:r>
      <w:r>
        <w:rPr>
          <w:noProof/>
        </w:rPr>
        <w:t xml:space="preserve"> ja kaupunkialueilla, joissa on alle 5000 asukasta, ja vähintään 1 230 000 m 2 julkisissa rakennuksissa vuoteen 2026 mennessä siten, että saavutetaan</w:t>
      </w:r>
      <w:r>
        <w:rPr>
          <w:noProof/>
          <w:vertAlign w:val="superscript"/>
        </w:rPr>
        <w:t>keskimäärin</w:t>
      </w:r>
      <w:r>
        <w:rPr>
          <w:noProof/>
        </w:rPr>
        <w:t xml:space="preserve"> yli 30 prosentin primäärienergiasäästöt, mukaan lukien lämmitys- ja jäähdytysjärjestelmien kunnostaminen ja parantaminen;</w:t>
      </w:r>
    </w:p>
    <w:p w14:paraId="5283C3B9" w14:textId="245BE2FF" w:rsidR="0065073E" w:rsidRDefault="000A0998">
      <w:pPr>
        <w:pStyle w:val="P68B1DB1-Normal4"/>
        <w:numPr>
          <w:ilvl w:val="0"/>
          <w:numId w:val="68"/>
        </w:numPr>
        <w:spacing w:before="120" w:after="0" w:line="240" w:lineRule="auto"/>
        <w:ind w:left="709" w:hanging="357"/>
        <w:contextualSpacing/>
        <w:jc w:val="both"/>
        <w:rPr>
          <w:rFonts w:cs="Times New Roman"/>
          <w:noProof/>
        </w:rPr>
      </w:pPr>
      <w:r>
        <w:rPr>
          <w:noProof/>
        </w:rPr>
        <w:t xml:space="preserve">rakentaa vähintään 20000 uutta asuntoa sosiaaliseen vuokraukseen tai kohtuulliseen hintaan siten, että primäärienergian kysyntä on vähintään 20 prosenttia alle lähes nollaenergiarakennusten tarpeen; </w:t>
      </w:r>
    </w:p>
    <w:p w14:paraId="24DE2C23" w14:textId="77777777" w:rsidR="0065073E" w:rsidRDefault="000A0998">
      <w:pPr>
        <w:pStyle w:val="P68B1DB1-Normal4"/>
        <w:numPr>
          <w:ilvl w:val="0"/>
          <w:numId w:val="68"/>
        </w:numPr>
        <w:spacing w:before="120" w:after="0" w:line="240" w:lineRule="auto"/>
        <w:ind w:left="709" w:hanging="357"/>
        <w:contextualSpacing/>
        <w:jc w:val="both"/>
        <w:rPr>
          <w:rFonts w:cs="Times New Roman"/>
          <w:noProof/>
        </w:rPr>
      </w:pPr>
      <w:r>
        <w:rPr>
          <w:noProof/>
        </w:rPr>
        <w:t>toteuttaa paikallistasolla vähintään 100 pilottihanketta, joilla tuetaan energiatehokkuutta ja Espanjan kaupunkiagendan täytäntöönpanoa; ja</w:t>
      </w:r>
    </w:p>
    <w:p w14:paraId="61840508" w14:textId="228203DC" w:rsidR="0065073E" w:rsidRDefault="000A0998">
      <w:pPr>
        <w:pStyle w:val="P68B1DB1-Normal4"/>
        <w:numPr>
          <w:ilvl w:val="0"/>
          <w:numId w:val="68"/>
        </w:numPr>
        <w:spacing w:before="120" w:after="0" w:line="240" w:lineRule="auto"/>
        <w:ind w:left="709" w:hanging="357"/>
        <w:contextualSpacing/>
        <w:jc w:val="both"/>
        <w:rPr>
          <w:rFonts w:eastAsia="@MS Mincho" w:cs="Times New Roman"/>
          <w:noProof/>
        </w:rPr>
      </w:pPr>
      <w:r>
        <w:rPr>
          <w:noProof/>
        </w:rPr>
        <w:t>parannetaan rahoituksen saantia energiatehokkaiden sosiaalisten ja kohtuuhintaisten asuntojen rakentamiseen ja kunnostamiseen ja kehitetään pääomamarkkinoita näillä aloilla.</w:t>
      </w:r>
    </w:p>
    <w:p w14:paraId="362D962F" w14:textId="5283A432" w:rsidR="0065073E" w:rsidRDefault="000A0998">
      <w:pPr>
        <w:pStyle w:val="P68B1DB1-Normal4"/>
        <w:spacing w:before="120" w:after="120" w:line="240" w:lineRule="auto"/>
        <w:jc w:val="both"/>
        <w:rPr>
          <w:rFonts w:cs="Times New Roman"/>
          <w:noProof/>
        </w:rPr>
      </w:pPr>
      <w:r>
        <w:rPr>
          <w:noProof/>
        </w:rPr>
        <w:t xml:space="preserve">Tällä Espanjan elpymis- ja palautumissuunnitelman komponentilla edistetään maakohtaisten suositusten 3 2023 ja 4 2022 noudattamista, jotta voidaan parantaa energiatehokkaiden sosiaalisten ja kohtuuhintaisten asuntojen saatavuutta, myös perusparannusten avulla. Sillä tuetaan myös vihreää siirtymää (maakohtainen suositus 1 2023, 1 2022 ja 3 2019) ja erityisesti energiatehokkuuden parantamista (maakohtainen suositus 3 2020). Se myös parantaa perheille annettavaa tukea (maakohtainen suositus 2 2019; Maakohtainen suositus 2 2020) ja auttaa aikaistamaan kypsiä julkisia investointihankkeita ja edistämään yksityisiä investointeja talouden elpymisen edistämiseksi (maakohtainen suositus 3 2020). </w:t>
      </w:r>
    </w:p>
    <w:p w14:paraId="55DEF04E" w14:textId="77777777" w:rsidR="0065073E" w:rsidRDefault="000A0998">
      <w:pPr>
        <w:pStyle w:val="P68B1DB1-Normal4"/>
        <w:spacing w:before="120" w:after="120" w:line="240" w:lineRule="auto"/>
        <w:jc w:val="both"/>
        <w:rPr>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31040EEE" w14:textId="77777777" w:rsidR="0065073E" w:rsidRDefault="0065073E">
      <w:pPr>
        <w:spacing w:before="120" w:after="120" w:line="240" w:lineRule="auto"/>
        <w:jc w:val="both"/>
        <w:rPr>
          <w:rFonts w:ascii="Times New Roman" w:hAnsi="Times New Roman"/>
          <w:noProof/>
          <w:sz w:val="24"/>
        </w:rPr>
      </w:pPr>
    </w:p>
    <w:p w14:paraId="180119BF" w14:textId="77777777" w:rsidR="0065073E" w:rsidRDefault="0065073E">
      <w:pPr>
        <w:spacing w:before="120" w:after="120" w:line="240" w:lineRule="auto"/>
        <w:jc w:val="both"/>
        <w:rPr>
          <w:rFonts w:ascii="Times New Roman" w:hAnsi="Times New Roman" w:cs="Times New Roman"/>
          <w:noProof/>
          <w:sz w:val="24"/>
        </w:rPr>
      </w:pPr>
    </w:p>
    <w:p w14:paraId="19CC405F" w14:textId="77777777" w:rsidR="0065073E" w:rsidRDefault="0065073E">
      <w:pPr>
        <w:spacing w:before="120" w:after="120" w:line="240" w:lineRule="auto"/>
        <w:ind w:left="709"/>
        <w:jc w:val="both"/>
        <w:rPr>
          <w:rFonts w:ascii="Times New Roman" w:hAnsi="Times New Roman"/>
          <w:b/>
          <w:noProof/>
          <w:sz w:val="24"/>
          <w:u w:val="single"/>
        </w:rPr>
        <w:sectPr w:rsidR="0065073E" w:rsidSect="00B511EF">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60"/>
        </w:sectPr>
      </w:pPr>
    </w:p>
    <w:p w14:paraId="4BDAA7F8"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B.1 </w:t>
      </w:r>
      <w:r>
        <w:rPr>
          <w:noProof/>
        </w:rPr>
        <w:t xml:space="preserve"> </w:t>
      </w:r>
      <w:r>
        <w:rPr>
          <w:rFonts w:ascii="Times New Roman" w:hAnsi="Times New Roman"/>
          <w:b/>
          <w:noProof/>
          <w:sz w:val="24"/>
          <w:u w:val="single"/>
        </w:rPr>
        <w:t>Kuvaus uudistuksista ja investoinneista, joita rahoitetaan rahoitustuella, jota ei makseta takaisin</w:t>
      </w:r>
    </w:p>
    <w:p w14:paraId="5DD41E6E" w14:textId="77777777" w:rsidR="0065073E" w:rsidRDefault="000A0998">
      <w:pPr>
        <w:pStyle w:val="P68B1DB1-Normal5"/>
        <w:spacing w:before="120" w:after="120" w:line="240" w:lineRule="auto"/>
        <w:jc w:val="both"/>
        <w:rPr>
          <w:rFonts w:cs="Times New Roman"/>
          <w:noProof/>
        </w:rPr>
      </w:pPr>
      <w:r>
        <w:rPr>
          <w:noProof/>
        </w:rPr>
        <w:t>Uudistus 1 (C2.R1) – Espanjan kaupunkiagendan (ja siihen liittyvän toimintasuunnitelman) täytäntöönpano</w:t>
      </w:r>
    </w:p>
    <w:p w14:paraId="606349AF"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valmistella ja hyväksyä Espanjan kaupunkiagenda, joka on strateginen ja ei-sääntelyllinen asiakirja, jossa kestävyys sisällytetään kaupunkikehityspolitiikkaan. Se on myös työmenetelmä, joka ohjaa kaikkia julkisia ja yksityisiä sidosryhmiä tasapuolisen, oikeudenmukaisen ja kestävän kehityksen saavuttamisessa omilla alueillaan ja palvelee paikallishallintoa, kaupunkeja ja kyliä niiden väestön koosta riippumatta strategisena, yhdennetyn ja kattavana välineenä, kuten EU:n kaupunkiagendassa ja uudessa Leipzigin peruskirjassa edellytetään. </w:t>
      </w:r>
    </w:p>
    <w:p w14:paraId="4DA86DCA" w14:textId="77777777" w:rsidR="0065073E" w:rsidRDefault="000A0998">
      <w:pPr>
        <w:pStyle w:val="P68B1DB1-Normal4"/>
        <w:spacing w:before="120" w:after="120" w:line="240" w:lineRule="auto"/>
        <w:jc w:val="both"/>
        <w:rPr>
          <w:rFonts w:cs="Times New Roman"/>
          <w:noProof/>
        </w:rPr>
      </w:pPr>
      <w:r>
        <w:rPr>
          <w:noProof/>
        </w:rPr>
        <w:t xml:space="preserve">Espanjan kaupunkiagendaan on sisällyttävä analyysi Espanjan kaupunkien ja kylien heikkouksista ja haasteista, jotta voidaan saavuttaa ympäristön kannalta kestävä, sosiaalisesti yhtenäinen ja taloudellisesti toteuttamiskelpoinen kaupunkikehitys. Se sisältää strategisen kehyksen, joka rakentuu seuraavien kymmenen strategisen haasteen ympärille: demografinen; ympäristö taloudellinen ja sosiaalinen; rakennuskannan nykytilanne; alttius ilmastonmuutoksen haitallisille vaikutuksille; (korkea) riippuvuus matkailusta; ja saastumiseen liittyvät riskit. </w:t>
      </w:r>
    </w:p>
    <w:p w14:paraId="6A741BC3" w14:textId="77777777" w:rsidR="0065073E" w:rsidRDefault="000A0998">
      <w:pPr>
        <w:pStyle w:val="P68B1DB1-Normal4"/>
        <w:spacing w:before="120" w:after="120" w:line="240" w:lineRule="auto"/>
        <w:jc w:val="both"/>
        <w:rPr>
          <w:rFonts w:cs="Times New Roman"/>
          <w:noProof/>
        </w:rPr>
      </w:pPr>
      <w:r>
        <w:rPr>
          <w:noProof/>
        </w:rPr>
        <w:t>Kaupunkiagendaan on sisällyttävä myös erityinen toimintasuunnitelma kansalliselle hallinnolle, ja siihen on sisällyttävä ohjeita, joilla tuetaan paikallisia yksiköitä niiden laatiessa omia paikallisia toimintasuunnitelmiaan valtionhallinnon ehdottamien menetelmien mukaisesti ja sitoudutaan parantamaan julkista ja julkisen ja yksityisen sektorin hallintoa. Investoinnilla 6 täydennetään tätä uudistusta tukemalla vähintään 100 paikallisen toimintasuunnitelman laatimista.</w:t>
      </w:r>
    </w:p>
    <w:p w14:paraId="29A1F400" w14:textId="77777777" w:rsidR="0065073E" w:rsidRDefault="000A0998">
      <w:pPr>
        <w:pStyle w:val="P68B1DB1-Normal4"/>
        <w:spacing w:before="120" w:after="120" w:line="240" w:lineRule="auto"/>
        <w:jc w:val="both"/>
        <w:rPr>
          <w:rFonts w:cs="Times New Roman"/>
          <w:noProof/>
        </w:rPr>
      </w:pPr>
      <w:r>
        <w:rPr>
          <w:noProof/>
        </w:rPr>
        <w:t>Osana kaupunkiagendaa ja tarvetta noudattaa rakennusten energiatehokkuudesta ja energiatehokkuudesta annettua direktiiviä (EU) 2018/844 Espanjan on laadittava pitkän aikavälin peruskorjausstrategia, jolla tuetaan asuinrakennusten ja muiden kuin asuinrakennusten kansallisen kannan peruskorjausta. Tähän sisältyvät sekä julkiset että yksityiset rakennukset, ja sillä on saavutettava erittäin energiatehokas ja vähähiilinen rakennuskanta vuoteen 2050 mennessä, mikä helpottaa olemassa olevien rakennusten muuttamista kustannustehokkaasti lähes nollaenergiarakennuksiksi.</w:t>
      </w:r>
    </w:p>
    <w:p w14:paraId="34A65850"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30 päivään kesäkuuta 2020 mennessä.</w:t>
      </w:r>
    </w:p>
    <w:p w14:paraId="4D7A5946" w14:textId="77777777" w:rsidR="0065073E" w:rsidRDefault="000A0998">
      <w:pPr>
        <w:pStyle w:val="P68B1DB1-Normal5"/>
        <w:spacing w:before="120" w:after="120" w:line="240" w:lineRule="auto"/>
        <w:jc w:val="both"/>
        <w:rPr>
          <w:rFonts w:cs="Times New Roman"/>
          <w:noProof/>
        </w:rPr>
      </w:pPr>
      <w:r>
        <w:rPr>
          <w:noProof/>
        </w:rPr>
        <w:t>Uudistus 2 (C2.R2) – Espanjan pitkän aikavälin peruskorjausstrategian ja siihen liittyvän toimintasuunnitelman päivitys vuonna 2020</w:t>
      </w:r>
    </w:p>
    <w:p w14:paraId="448BED53" w14:textId="77777777" w:rsidR="0065073E" w:rsidRDefault="000A0998">
      <w:pPr>
        <w:pStyle w:val="P68B1DB1-Normal4"/>
        <w:spacing w:before="120" w:after="120" w:line="240" w:lineRule="auto"/>
        <w:jc w:val="both"/>
        <w:rPr>
          <w:rFonts w:cs="Times New Roman"/>
          <w:noProof/>
        </w:rPr>
      </w:pPr>
      <w:r>
        <w:rPr>
          <w:noProof/>
        </w:rPr>
        <w:t>Tämän toimenpiteen tavoitteena on panna täytäntöön pitkän aikavälin perusparannusstrategia (ERESEE). Tähän sisältyvät toimet pitkän aikavälin perusparannusstrategian toimintasuunnitelman strategisen asiakirjan valmistelemiseksi, niistä keskustelemiseksi erityisissä työryhmissä sekä sen hyväksymiseksi ja levittämiseksi. Toimintasuunnitelman on oltava ERESEE-järjestelmään sisältyvien toimien mukainen. ERESEE-ohjelman täytäntöönpanoa varten perustetaan useita työryhmiä, joiden tehtävänä on laatia selkeitä suosituksia kaupunkialueiden kunnostamista ja elvyttämistä koskevan toimintasuunnitelman täytäntöönpanoa varten. Työryhmien suositukset sisältävät raportit julkaistaan.</w:t>
      </w:r>
    </w:p>
    <w:p w14:paraId="5B3DA269" w14:textId="77777777" w:rsidR="0065073E" w:rsidRDefault="000A0998">
      <w:pPr>
        <w:pStyle w:val="P68B1DB1-xmsonormal14"/>
        <w:jc w:val="both"/>
        <w:rPr>
          <w:rFonts w:cs="Times New Roman"/>
          <w:noProof/>
        </w:rPr>
      </w:pPr>
      <w:r>
        <w:rPr>
          <w:noProof/>
        </w:rPr>
        <w:t>ERESEE-asetuksen III osaan, ”Täytäntöönpano”, sisältyy joukko toimia, joihin sisältyy joukko uudistuksia osana etenemissuunnitelmaa, jolla edistetään kaupunkien kunnostamista ja uudistamista sekä vihreää ja digitaalista siirtymää. Etenemissuunnitelma rakentuu yhdentoista toimintalinjan ja toimien ympärille, joilla pyritään parantamaan hallintoa, sääntelyä ja rahoitusta. Tämä etenemissuunnitelma sisällytetään strategia-asiakirjaan pääasiallisena askeleena kohti ERESEE-ohjelman täytäntöönpanoa. Tärkeimpiä toimia ovat seuraavat:</w:t>
      </w:r>
    </w:p>
    <w:p w14:paraId="04819348"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Julkishallinnon rakennusten kunnostaminen (Espanjan elpymis- ja palautumissuunnitelman osan 11 mukaisesti)</w:t>
      </w:r>
    </w:p>
    <w:p w14:paraId="4BB0FB6D"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rahastoalueet, joilla on parantamisen varaa, mukaan lukien uusi peruskorjausta suosiva verotus, sekä asunto- että palvelualoilla;</w:t>
      </w:r>
    </w:p>
    <w:p w14:paraId="3B0DE689"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edistää ja saada liikkeelle yksityistä rahoitusta;</w:t>
      </w:r>
    </w:p>
    <w:p w14:paraId="07868898"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torjutaan energiaköyhyyttä;</w:t>
      </w:r>
    </w:p>
    <w:p w14:paraId="4474F65F"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otetaan käyttöön uusi energiamalli rakennusalalla uusiutuvan energian kulutuksen edistämiseksi rakennuksissa;</w:t>
      </w:r>
    </w:p>
    <w:p w14:paraId="53D558B3"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kunnostuksen aktivointi ja kokonaiskysyntä;</w:t>
      </w:r>
    </w:p>
    <w:p w14:paraId="6F15193D"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parannetaan tarjontapuolen olosuhteita edistämällä kuntoutusalan nykyaikaistamista tutkimuksen, kehittämisen ja innovoinnin, digitalisaation sekä osaamisen ja koulutuksen seurannan, vahvistamisen avulla;</w:t>
      </w:r>
    </w:p>
    <w:p w14:paraId="5EDE96A4" w14:textId="77777777" w:rsidR="0065073E" w:rsidRDefault="000A0998">
      <w:pPr>
        <w:pStyle w:val="P68B1DB1-Normal4"/>
        <w:numPr>
          <w:ilvl w:val="0"/>
          <w:numId w:val="273"/>
        </w:numPr>
        <w:spacing w:before="120" w:after="160" w:line="259" w:lineRule="auto"/>
        <w:contextualSpacing/>
        <w:jc w:val="both"/>
        <w:rPr>
          <w:rFonts w:cs="Times New Roman"/>
          <w:noProof/>
        </w:rPr>
      </w:pPr>
      <w:r>
        <w:rPr>
          <w:noProof/>
        </w:rPr>
        <w:t>jakaa tietoa kansalaisille ja yrityksille ja vaihtaa hyviä käytäntöjä viranomaisten välillä; ja</w:t>
      </w:r>
    </w:p>
    <w:p w14:paraId="671356B3" w14:textId="77777777" w:rsidR="0065073E" w:rsidRDefault="000A0998">
      <w:pPr>
        <w:pStyle w:val="P68B1DB1-Normal4"/>
        <w:numPr>
          <w:ilvl w:val="0"/>
          <w:numId w:val="273"/>
        </w:numPr>
        <w:spacing w:before="120" w:after="120" w:line="259" w:lineRule="auto"/>
        <w:jc w:val="both"/>
        <w:rPr>
          <w:rFonts w:eastAsia="Arial" w:cs="Times New Roman"/>
          <w:noProof/>
        </w:rPr>
      </w:pPr>
      <w:r>
        <w:rPr>
          <w:noProof/>
        </w:rPr>
        <w:t>laaditaan tilastoja ja indikaattoreita julkisesti rahoitettujen toimien seuraamiseksi, jotta julkista politiikkaa voidaan arvioida asianmukaisesti.</w:t>
      </w:r>
    </w:p>
    <w:p w14:paraId="44527D69" w14:textId="77777777" w:rsidR="0065073E" w:rsidRDefault="000A0998">
      <w:pPr>
        <w:pStyle w:val="P68B1DB1-Normal4"/>
        <w:spacing w:before="120" w:after="120" w:line="240" w:lineRule="auto"/>
        <w:jc w:val="both"/>
        <w:rPr>
          <w:rFonts w:cs="Times New Roman"/>
          <w:noProof/>
        </w:rPr>
      </w:pPr>
      <w:r>
        <w:rPr>
          <w:noProof/>
        </w:rPr>
        <w:t>Strategia-asiakirja mahdollistaa ERESEE-ohjelman täytäntöönpanon Espanjan kaupunkiagendan puitteissa siten, että siihen sisällytetään eri hallintotahot (keskus-, alue- ja paikallishallinto).</w:t>
      </w:r>
    </w:p>
    <w:p w14:paraId="31BABA68"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30 päivään kesäkuuta 2023 mennessä.</w:t>
      </w:r>
    </w:p>
    <w:p w14:paraId="01CD77D3" w14:textId="362BFD12" w:rsidR="0065073E" w:rsidRDefault="000A0998">
      <w:pPr>
        <w:pStyle w:val="P68B1DB1-Normal5"/>
        <w:spacing w:before="120" w:after="120" w:line="240" w:lineRule="auto"/>
        <w:jc w:val="both"/>
        <w:rPr>
          <w:rFonts w:cs="Times New Roman"/>
          <w:noProof/>
        </w:rPr>
      </w:pPr>
      <w:r>
        <w:rPr>
          <w:noProof/>
        </w:rPr>
        <w:t>Uudistus 3 (C2.R3) – Asuntolaki</w:t>
      </w:r>
    </w:p>
    <w:p w14:paraId="35AEF606" w14:textId="77777777" w:rsidR="0065073E" w:rsidRDefault="000A0998">
      <w:pPr>
        <w:pStyle w:val="P68B1DB1-Normal4"/>
        <w:spacing w:before="120" w:after="120" w:line="240" w:lineRule="auto"/>
        <w:jc w:val="both"/>
        <w:rPr>
          <w:rFonts w:cs="Times New Roman"/>
          <w:noProof/>
        </w:rPr>
      </w:pPr>
      <w:r>
        <w:rPr>
          <w:noProof/>
        </w:rPr>
        <w:t>Tämän toimenpiteen tavoitteena on panna asuntolailla täytäntöön ensimmäinen Espanjassa annettu asetus, jossa käsitellään jo käytössä olevia erilaisia julkisen suunnittelun, ohjelmoinnin ja yhteistyön välineitä, joilla tuetaan oikeutta ihmisarvoiseen ja asianmukaiseen asuntoon. Siinä käsitellään sekä julkisen että yksityisen olemassa olevan asuntokannan kunnostamista ja parantamista sekä asuinympäristöjen elvyttämistä ja uudistamista elämänlaadun parantamiseksi. Laissa säädetään vuokra-asuntokannan riittävästä tasosta, joka on saatavilla kohtuullisin hinnoin.</w:t>
      </w:r>
    </w:p>
    <w:p w14:paraId="1522B52E" w14:textId="77777777" w:rsidR="0065073E" w:rsidRDefault="000A0998">
      <w:pPr>
        <w:pStyle w:val="P68B1DB1-Normal4"/>
        <w:spacing w:before="120" w:after="120" w:line="240" w:lineRule="auto"/>
        <w:jc w:val="both"/>
        <w:rPr>
          <w:rFonts w:cs="Times New Roman"/>
          <w:noProof/>
        </w:rPr>
      </w:pPr>
      <w:r>
        <w:rPr>
          <w:noProof/>
        </w:rPr>
        <w:t xml:space="preserve">Lainsäädännössä on käsiteltävä erilaisia suunnittelu-, ohjelmointi- ja yhteistyövälineitä, joilla varmistetaan kunnollista ja riittävää asuntoa koskevan oikeuden toteutuminen, mukaan lukien yhtenä sen prioriteeteista, olemassa olevan asuntokannan kunnostaminen ja parantaminen sekä asuinympäristöjen kunnostaminen ja kunnostaminen, jossa ne sijaitsevat. </w:t>
      </w:r>
    </w:p>
    <w:p w14:paraId="153EC4BA" w14:textId="025A7751" w:rsidR="0065073E" w:rsidRDefault="000A0998">
      <w:pPr>
        <w:pStyle w:val="P68B1DB1-Normal4"/>
        <w:spacing w:before="120" w:after="120" w:line="240" w:lineRule="auto"/>
        <w:jc w:val="both"/>
        <w:rPr>
          <w:rFonts w:cs="Times New Roman"/>
          <w:noProof/>
        </w:rPr>
      </w:pPr>
      <w:r>
        <w:rPr>
          <w:noProof/>
        </w:rPr>
        <w:t>Lisäksi lailla kannustetaan lisäämään kohtuuhintaisten ja sosiaalisten asuntojen tarjontaa varmistamalla, että tällä hetkellä lähes nollaenergiarakennuksille asetettuja vaatimuksia noudatetaan rakennussäännöstön (CTE) energiansäästöä koskevan perusasiakirjan (DB-HE) mukaisesti, ja vältettävä toimenpiteitä, jotka voisivat haitata asuntojen tarjontaa keskipitkällä aikavälillä.</w:t>
      </w:r>
    </w:p>
    <w:p w14:paraId="20C995A0" w14:textId="77777777" w:rsidR="0065073E" w:rsidRDefault="000A0998">
      <w:pPr>
        <w:pStyle w:val="P68B1DB1-Normal4"/>
        <w:spacing w:before="120" w:after="120" w:line="240" w:lineRule="auto"/>
        <w:jc w:val="both"/>
        <w:rPr>
          <w:rFonts w:cs="Times New Roman"/>
          <w:noProof/>
        </w:rPr>
      </w:pPr>
      <w:r>
        <w:rPr>
          <w:noProof/>
        </w:rPr>
        <w:t>Uudistuksen täytäntöönpano on saatettava päätökseen 30 päivään syyskuuta 2022 mennessä.</w:t>
      </w:r>
    </w:p>
    <w:p w14:paraId="4C37D3DE" w14:textId="50987288" w:rsidR="0065073E" w:rsidRDefault="000A0998">
      <w:pPr>
        <w:pStyle w:val="P68B1DB1-Normal5"/>
        <w:spacing w:before="120" w:after="120" w:line="240" w:lineRule="auto"/>
        <w:jc w:val="both"/>
        <w:rPr>
          <w:rFonts w:cs="Times New Roman"/>
          <w:noProof/>
        </w:rPr>
      </w:pPr>
      <w:r>
        <w:rPr>
          <w:noProof/>
        </w:rPr>
        <w:t>Uudistus 4 (C2.R4) – Laki arkkitehtuurin ja rakennusympäristön laadusta ja uudesta kansallisesta arkkitehtuuristrategiasta</w:t>
      </w:r>
    </w:p>
    <w:p w14:paraId="430C635A" w14:textId="77777777" w:rsidR="0065073E" w:rsidRDefault="000A0998">
      <w:pPr>
        <w:pStyle w:val="P68B1DB1-Normal4"/>
        <w:spacing w:before="120" w:after="120" w:line="240" w:lineRule="auto"/>
        <w:jc w:val="both"/>
        <w:rPr>
          <w:rFonts w:cs="Times New Roman"/>
          <w:noProof/>
        </w:rPr>
      </w:pPr>
      <w:r>
        <w:rPr>
          <w:noProof/>
        </w:rPr>
        <w:t>Tämän lain tavoitteena on julistaa arkkitehtuurin ja rakennusten laatu julkishyödykkeeksi, parantaa elämänlaatua, edistää arkkitehtuurin sosiaalisia juuria, edistää kaupunkialueiden ja keskusten kestävää kehitystä, edistää taloudellista ja sosiaalista kehitystä sekä suojella ja suojella kulttuuri- ja luonnonperintöä.</w:t>
      </w:r>
    </w:p>
    <w:p w14:paraId="2D3C58D9" w14:textId="77777777" w:rsidR="0065073E" w:rsidRDefault="000A0998">
      <w:pPr>
        <w:pStyle w:val="P68B1DB1-Normal4"/>
        <w:spacing w:before="120" w:after="120" w:line="240" w:lineRule="auto"/>
        <w:jc w:val="both"/>
        <w:rPr>
          <w:rFonts w:cs="Times New Roman"/>
          <w:noProof/>
        </w:rPr>
      </w:pPr>
      <w:r>
        <w:rPr>
          <w:noProof/>
        </w:rPr>
        <w:t xml:space="preserve">Tätä varten laissa käsitellään erilaisia aloitteita ja toimia, jotka liittyvät läheisesti Espanjan elpymis- ja palautumissuunnitelman tämän osan kunnostus- ja elvytysohjelmiin. Laissa säädetään erityisesti: I) hallinnon väliset yhteistyötoimet arkkitehti-, insinööri- ja kaupunkisuunnitteluhankkeiden ja -urakoiden hankintojen alalla; II) välineet, joilla levitetään hyviä käytäntöjä ja tukea, koulutusta sekä julkisen ja yksityisen sektorin kumppanuuksia; ja iii) edellä kuvatun kaltaisesta kokonaisvaltaisesta näkökulmasta kuntoutuksen edistäminen. </w:t>
      </w:r>
    </w:p>
    <w:p w14:paraId="419B85C4" w14:textId="77777777" w:rsidR="0065073E" w:rsidRDefault="000A0998">
      <w:pPr>
        <w:pStyle w:val="P68B1DB1-Normal4"/>
        <w:spacing w:before="120" w:after="120" w:line="240" w:lineRule="auto"/>
        <w:jc w:val="both"/>
        <w:rPr>
          <w:rFonts w:cs="Times New Roman"/>
          <w:noProof/>
        </w:rPr>
      </w:pPr>
      <w:r>
        <w:rPr>
          <w:noProof/>
        </w:rPr>
        <w:t>Uudistuksen täytäntöönpano on saatettava päätökseen 30 päivään syyskuuta 2022 mennessä.</w:t>
      </w:r>
    </w:p>
    <w:p w14:paraId="549C398D" w14:textId="036EA0D4" w:rsidR="0065073E" w:rsidRDefault="000A0998">
      <w:pPr>
        <w:pStyle w:val="P68B1DB1-Normal5"/>
        <w:spacing w:before="120" w:after="120" w:line="240" w:lineRule="auto"/>
        <w:jc w:val="both"/>
        <w:rPr>
          <w:rFonts w:cs="Times New Roman"/>
          <w:noProof/>
        </w:rPr>
      </w:pPr>
      <w:r>
        <w:rPr>
          <w:noProof/>
        </w:rPr>
        <w:t>Uudistus 5 (C2.R5) – perusparannustoimistot (”keskitetty palvelupiste”)</w:t>
      </w:r>
    </w:p>
    <w:p w14:paraId="7B668DD1" w14:textId="77777777" w:rsidR="0065073E" w:rsidRDefault="000A0998">
      <w:pPr>
        <w:pStyle w:val="P68B1DB1-Normal4"/>
        <w:spacing w:before="120" w:after="120" w:line="240" w:lineRule="auto"/>
        <w:jc w:val="both"/>
        <w:rPr>
          <w:rFonts w:cs="Times New Roman"/>
          <w:noProof/>
        </w:rPr>
      </w:pPr>
      <w:r>
        <w:rPr>
          <w:noProof/>
        </w:rPr>
        <w:t>Tämän toimenpiteen tavoitteena on kannustaa ja laajentaa joissakin kunnissa perustettuja paikallisia peruskorjaustoimistoja, jotka tukevat kotitalouksia ja omistajayhteisöjä asuinrakennuksen kunnostamisessa erittäin monimutkaisissa tehtävissä.</w:t>
      </w:r>
    </w:p>
    <w:p w14:paraId="03EB3CFC" w14:textId="77777777" w:rsidR="0065073E" w:rsidRDefault="000A0998">
      <w:pPr>
        <w:pStyle w:val="P68B1DB1-Normal4"/>
        <w:spacing w:before="120" w:after="120" w:line="240" w:lineRule="auto"/>
        <w:jc w:val="both"/>
        <w:rPr>
          <w:rFonts w:cs="Times New Roman"/>
          <w:noProof/>
        </w:rPr>
      </w:pPr>
      <w:r>
        <w:rPr>
          <w:noProof/>
        </w:rPr>
        <w:t>Tätä varten tällä toimenpiteellä edistetään ja laajennetaan tätä lähestymistapaa luomalla prosessi, jolla varmistetaan tehokas yhteistyö keskus-, alue- ja/tai paikallishallinnon välillä. Tähän sisältyy kaiken julkisen tuen koordinoinnin vahvistaminen (keskus-, alue- tai paikallistasolla). Kaikki hallinnon tasot on otettava mukaan näihin keskitettyihin asiointipisteisiin peruskorjaustoimien tehokkuuden maksimoimiseksi.</w:t>
      </w:r>
    </w:p>
    <w:p w14:paraId="643CD522" w14:textId="77777777" w:rsidR="0065073E" w:rsidRDefault="000A0998">
      <w:pPr>
        <w:pStyle w:val="P68B1DB1-Normal4"/>
        <w:rPr>
          <w:rFonts w:cs="Times New Roman"/>
          <w:noProof/>
        </w:rPr>
      </w:pPr>
      <w:r>
        <w:rPr>
          <w:noProof/>
        </w:rPr>
        <w:t>Uudistuksen täytäntöönpano on saatettava päätökseen 30 päivään syyskuuta 2021 mennessä.</w:t>
      </w:r>
    </w:p>
    <w:p w14:paraId="47FCDE60" w14:textId="461C9B30" w:rsidR="0065073E" w:rsidRDefault="000A0998">
      <w:pPr>
        <w:pStyle w:val="P68B1DB1-Normal5"/>
        <w:spacing w:before="120" w:after="120" w:line="240" w:lineRule="auto"/>
        <w:jc w:val="both"/>
        <w:rPr>
          <w:rFonts w:cs="Times New Roman"/>
          <w:noProof/>
        </w:rPr>
      </w:pPr>
      <w:r>
        <w:rPr>
          <w:noProof/>
        </w:rPr>
        <w:t>Uudistus 6 (C2.R6) – Parannetaan peruskorjaustoimien rahoitusta</w:t>
      </w:r>
    </w:p>
    <w:p w14:paraId="2B8E3D1A" w14:textId="77777777" w:rsidR="0065073E" w:rsidRDefault="000A0998">
      <w:pPr>
        <w:pStyle w:val="P68B1DB1-Normal4"/>
        <w:spacing w:before="120" w:after="120" w:line="240" w:lineRule="auto"/>
        <w:jc w:val="both"/>
        <w:rPr>
          <w:rFonts w:cs="Times New Roman"/>
          <w:noProof/>
        </w:rPr>
      </w:pPr>
      <w:r>
        <w:rPr>
          <w:noProof/>
        </w:rPr>
        <w:t>Tämän toimenpiteen tavoitteena on puuttua yhteen peruskorjaustoiminnan aloittamisen suurimmista esteistä eli rahoituksen saantiin suotuisin ehdoin. Peruskorjauslainan hyväksyminen edellyttää toisinaan henkilökohtaisen lainan myöntämistä jokaiselle rakennuksen yksittäiselle omistajalle. Tämä on muodostanut esteen rakennusten pitkälle menevälle ja integroidulle peruskorjaukselle.</w:t>
      </w:r>
    </w:p>
    <w:p w14:paraId="7029A272" w14:textId="77777777" w:rsidR="0065073E" w:rsidRDefault="000A0998">
      <w:pPr>
        <w:pStyle w:val="P68B1DB1-Normal4"/>
        <w:spacing w:before="120" w:after="120" w:line="240" w:lineRule="auto"/>
        <w:jc w:val="both"/>
        <w:rPr>
          <w:rFonts w:cs="Times New Roman"/>
          <w:noProof/>
        </w:rPr>
      </w:pPr>
      <w:r>
        <w:rPr>
          <w:noProof/>
        </w:rPr>
        <w:t>Tämän ongelman ratkaisemiseksi toimenpiteellä</w:t>
      </w:r>
    </w:p>
    <w:p w14:paraId="424D4897" w14:textId="77777777" w:rsidR="0065073E" w:rsidRDefault="000A0998">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 xml:space="preserve">Perustetaan uusi </w:t>
      </w:r>
      <w:r>
        <w:rPr>
          <w:i/>
          <w:noProof/>
        </w:rPr>
        <w:t>Instituto de Crédito Oficial</w:t>
      </w:r>
      <w:r>
        <w:rPr>
          <w:noProof/>
        </w:rPr>
        <w:t xml:space="preserve"> (ICO) -takausjärjestely, jolla katetaan osittain yksityisten rahoituslaitosten asuntorakennusten kunnostamiseen myöntämien lainojen riski;</w:t>
      </w:r>
    </w:p>
    <w:p w14:paraId="00BDEC3B" w14:textId="77777777" w:rsidR="0065073E" w:rsidRDefault="000A0998">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edistää erityisten säännösten hyväksymistä, mukaan lukien horisontaalista omaisuutta koskevan lain uudistaminen, jotta voidaan parantaa omistajien yhteisöjen rahoituksen saantia; ja</w:t>
      </w:r>
    </w:p>
    <w:p w14:paraId="00F6EF93" w14:textId="77777777" w:rsidR="0065073E" w:rsidRDefault="000A0998">
      <w:pPr>
        <w:pStyle w:val="P68B1DB1-Normal4"/>
        <w:numPr>
          <w:ilvl w:val="0"/>
          <w:numId w:val="274"/>
        </w:numPr>
        <w:autoSpaceDE w:val="0"/>
        <w:autoSpaceDN w:val="0"/>
        <w:adjustRightInd w:val="0"/>
        <w:spacing w:before="120" w:after="120" w:line="240" w:lineRule="auto"/>
        <w:jc w:val="both"/>
        <w:rPr>
          <w:rFonts w:eastAsia="Arial" w:cs="Times New Roman"/>
          <w:noProof/>
        </w:rPr>
      </w:pPr>
      <w:r>
        <w:rPr>
          <w:noProof/>
        </w:rPr>
        <w:t>kannustaa rahoituslaitoksia ottamaan käyttöön vihreää rahoitusta.</w:t>
      </w:r>
    </w:p>
    <w:p w14:paraId="29520B70" w14:textId="77777777" w:rsidR="0065073E" w:rsidRDefault="000A0998">
      <w:pPr>
        <w:pStyle w:val="P68B1DB1-Normal4"/>
        <w:autoSpaceDE w:val="0"/>
        <w:autoSpaceDN w:val="0"/>
        <w:adjustRightInd w:val="0"/>
        <w:spacing w:before="120" w:after="120" w:line="240" w:lineRule="auto"/>
        <w:jc w:val="both"/>
        <w:rPr>
          <w:rFonts w:eastAsia="Arial" w:cs="Times New Roman"/>
          <w:noProof/>
        </w:rPr>
      </w:pPr>
      <w:r>
        <w:rPr>
          <w:noProof/>
        </w:rPr>
        <w:t>Uudistuksen täytäntöönpano on saatettava päätökseen 30 päivään syyskuuta 2022 mennessä.</w:t>
      </w:r>
    </w:p>
    <w:p w14:paraId="56F6608F" w14:textId="08AC5CE0" w:rsidR="0065073E" w:rsidRDefault="000A0998">
      <w:pPr>
        <w:pStyle w:val="P68B1DB1-Normal5"/>
        <w:spacing w:before="120" w:after="120" w:line="240" w:lineRule="auto"/>
        <w:jc w:val="both"/>
        <w:rPr>
          <w:rFonts w:cs="Times New Roman"/>
          <w:noProof/>
        </w:rPr>
      </w:pPr>
      <w:r>
        <w:rPr>
          <w:noProof/>
        </w:rPr>
        <w:t>Investointi 1 (C2.I1) – Kuntoutusohjelma asuinympäristöjen taloudellisen ja sosiaalisen elpymisen edistämiseksi</w:t>
      </w:r>
    </w:p>
    <w:p w14:paraId="2C53FCFF" w14:textId="719056C0" w:rsidR="0065073E" w:rsidRDefault="000A0998">
      <w:pPr>
        <w:pStyle w:val="P68B1DB1-Normal4"/>
        <w:spacing w:before="120" w:after="120" w:line="240" w:lineRule="auto"/>
        <w:jc w:val="both"/>
        <w:rPr>
          <w:rFonts w:cs="Times New Roman"/>
          <w:noProof/>
        </w:rPr>
      </w:pPr>
      <w:r>
        <w:rPr>
          <w:noProof/>
        </w:rPr>
        <w:t>Tämän toimenpiteen tavoitteena on tukea asuinrakennusten ja asuinalueiden energiatehokkuutta parantavia peruskorjauksia. Tämän toimenpiteen mukaisissa toimissa on toteutettava vähintään 410000 peruskorjaustointa vähintään 285000 yksittäisessä asunnossa siten, että primäärienergian kysyntää vähennetään keskimäärin vähintään 30 prosenttia energiatehokkuustodistuksilla todennetusti. Sen yhteydessä tuetaan seuraavia toimia:</w:t>
      </w:r>
    </w:p>
    <w:p w14:paraId="304FC7A1" w14:textId="495CE96D" w:rsidR="0065073E" w:rsidRDefault="000A0998">
      <w:pPr>
        <w:pStyle w:val="P68B1DB1-Normal4"/>
        <w:numPr>
          <w:ilvl w:val="0"/>
          <w:numId w:val="69"/>
        </w:numPr>
        <w:spacing w:before="120" w:after="120" w:line="240" w:lineRule="auto"/>
        <w:ind w:left="714" w:hanging="357"/>
        <w:contextualSpacing/>
        <w:jc w:val="both"/>
        <w:rPr>
          <w:rFonts w:cs="Times New Roman"/>
          <w:noProof/>
        </w:rPr>
      </w:pPr>
      <w:r>
        <w:rPr>
          <w:noProof/>
        </w:rPr>
        <w:t xml:space="preserve">Ohjelma, jolla tuetaan asuinalueiden energiaperuskorjauksia. Ohjelmassa on kunnostettava vähintään 600 hehtaaria kaupunkialueita siten, että primäärienergian kysyntää vähennetään keskimäärin vähintään 30 prosenttia energiatehokkuustodistuksilla todennetusti. Toimiin kuuluvat energiatehokkuuden parantaminen, infrastruktuurin käyttöönotto sähköistä liikkuvuutta varten, rakennusten esteettömyyden parantaminen ja vaarallisten aineiden poistaminen. Enintään 15 prosenttia toimenpiteestä osoitetaan asuinalueiden parannuksiin, kuten ulkovalaistukseen, pyöräilyväyliin, vihreään infrastruktuuriin ja viemäröintijärjestelmiin, ottaen huomioon naapuruston sosioekonomiset ominaisuudet. </w:t>
      </w:r>
    </w:p>
    <w:p w14:paraId="3C7153CC" w14:textId="55783E07" w:rsidR="0065073E" w:rsidRDefault="000A0998">
      <w:pPr>
        <w:pStyle w:val="P68B1DB1-Normal4"/>
        <w:numPr>
          <w:ilvl w:val="0"/>
          <w:numId w:val="69"/>
        </w:numPr>
        <w:spacing w:before="120" w:after="120" w:line="240" w:lineRule="auto"/>
        <w:ind w:left="714" w:hanging="357"/>
        <w:contextualSpacing/>
        <w:jc w:val="both"/>
        <w:rPr>
          <w:rFonts w:cs="Times New Roman"/>
          <w:noProof/>
        </w:rPr>
      </w:pPr>
      <w:r>
        <w:rPr>
          <w:noProof/>
        </w:rPr>
        <w:t xml:space="preserve">Ohjelma asuinrakennusten energiaperuskorjausten tukemiseksi. Tuen tason on oltava korkeampi toimissa, joissa primäärienergian kysyntä vähenee enemmän, ja pienituloisille kotitalouksille. Toimiin kuuluvat energiatehokkuuden parantaminen, infrastruktuurin käyttöönotto sähköistä liikkuvuutta varten, rakennusten esteettömyyden parantaminen ja vaarallisten aineiden </w:t>
      </w:r>
      <w:bookmarkStart w:id="5" w:name="_Hlk145665613"/>
      <w:r>
        <w:rPr>
          <w:noProof/>
        </w:rPr>
        <w:t>poistaminen</w:t>
      </w:r>
      <w:bookmarkEnd w:id="5"/>
      <w:r>
        <w:rPr>
          <w:noProof/>
        </w:rPr>
        <w:t>.</w:t>
      </w:r>
    </w:p>
    <w:p w14:paraId="213E32C8" w14:textId="77777777" w:rsidR="0065073E" w:rsidRDefault="000A0998">
      <w:pPr>
        <w:pStyle w:val="P68B1DB1-Normal4"/>
        <w:numPr>
          <w:ilvl w:val="0"/>
          <w:numId w:val="69"/>
        </w:numPr>
        <w:spacing w:before="120" w:after="120" w:line="240" w:lineRule="auto"/>
        <w:ind w:left="709"/>
        <w:jc w:val="both"/>
        <w:rPr>
          <w:rFonts w:cs="Times New Roman"/>
          <w:noProof/>
        </w:rPr>
      </w:pPr>
      <w:r>
        <w:rPr>
          <w:noProof/>
        </w:rPr>
        <w:t>Useissa toimissa on käsiteltävä energiaperuskorjausten kannustimia. Tähän sisältyy muun muassa i) mahdollisuus vähentää peruskorjaukset henkilökohtaisesta tuloverosta, jos primäärienergian kysyntä vähenee vähintään 30 prosenttia, ja ii) rahoituskehyksen parantaminen kannustamalla julkisen ja yksityisen sektorin kumppanuuksia.</w:t>
      </w:r>
    </w:p>
    <w:p w14:paraId="65EBC0B5" w14:textId="77777777" w:rsidR="0065073E" w:rsidRDefault="000A0998">
      <w:pPr>
        <w:pStyle w:val="P68B1DB1-Normal4"/>
        <w:spacing w:before="120" w:after="120" w:line="240" w:lineRule="auto"/>
        <w:jc w:val="both"/>
        <w:rPr>
          <w:rFonts w:cs="Times New Roman"/>
          <w:noProof/>
        </w:rPr>
      </w:pPr>
      <w:r>
        <w:rPr>
          <w:noProof/>
        </w:rPr>
        <w:t>Kuninkaan asetuksessa vahvistetaan tekniset vaatimukset, joilla varmistetaan primäärienergian kysynnän 30 prosentin keskimääräisen vähennyksen noudattaminen. Henkilökohtaisen tuloveron muutokset hyväksytään kuninkaan asetuksella, ja niiden tavoitteena on määritellä verokannustimet rakennusten uudistamiseksi energiatehokkuuden parantamiseksi.</w:t>
      </w:r>
    </w:p>
    <w:p w14:paraId="5AFC7AC4"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507FD263" w14:textId="77777777" w:rsidR="0065073E" w:rsidRDefault="000A0998">
      <w:pPr>
        <w:pStyle w:val="P68B1DB1-Normal5"/>
        <w:spacing w:before="120" w:after="120" w:line="240" w:lineRule="auto"/>
        <w:jc w:val="both"/>
        <w:rPr>
          <w:rFonts w:cs="Times New Roman"/>
          <w:noProof/>
        </w:rPr>
      </w:pPr>
      <w:r>
        <w:rPr>
          <w:noProof/>
        </w:rPr>
        <w:t>Investointi 2 (C2.I2) – Ohjelma sosiaalisten vuokra-asuntojen rakentamiseksi energiatehokkaisiin rakennuksiin</w:t>
      </w:r>
    </w:p>
    <w:p w14:paraId="22FD70AB" w14:textId="77777777" w:rsidR="0065073E" w:rsidRDefault="000A0998">
      <w:pPr>
        <w:pStyle w:val="P68B1DB1-Normal4"/>
        <w:spacing w:before="120" w:after="120" w:line="240" w:lineRule="auto"/>
        <w:jc w:val="both"/>
        <w:rPr>
          <w:rFonts w:cs="Times New Roman"/>
          <w:noProof/>
        </w:rPr>
      </w:pPr>
      <w:r>
        <w:rPr>
          <w:noProof/>
        </w:rPr>
        <w:t>Tämän toimenpiteen tavoitteena on rakentaa vähintään 20000 uutta asuntoa sosiaaliseen vuokraukseen tai kohtuulliseen hintaan energiatehokkuuskriteerien mukaisesti. Ne on rakennettava erityisesti alueille, joilla sosiaalinen asuntotuotanto on tällä hetkellä riittämätöntä, ja julkisessa omistuksessa oleville maa-alueille.</w:t>
      </w:r>
    </w:p>
    <w:p w14:paraId="67B4BC21" w14:textId="77777777" w:rsidR="0065073E" w:rsidRDefault="000A0998">
      <w:pPr>
        <w:pStyle w:val="P68B1DB1-Normal4"/>
        <w:spacing w:before="120" w:after="120" w:line="240" w:lineRule="auto"/>
        <w:jc w:val="both"/>
        <w:rPr>
          <w:rFonts w:cs="Times New Roman"/>
          <w:noProof/>
        </w:rPr>
      </w:pPr>
      <w:r>
        <w:rPr>
          <w:noProof/>
        </w:rPr>
        <w:t>Sosiaalisen asuntotuotannon asuntojen primäärienergian kysynnän on oltava vähintään 20 prosenttia pienempi kuin lähes nollaenergiarakennusten tarve. Tätä varten kuninkaan asetuksessa säädetään teknisistä vaatimuksista, joilla primäärienergian kysyntä rajoitetaan 80 prosenttiin teknisen rakennussäännöstön (CTE) energiansäästöasiakirjan (DB-HE) HE 0 jaksossa asetetusta raja-arvosta.</w:t>
      </w:r>
    </w:p>
    <w:p w14:paraId="609773F7"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4020EDED" w14:textId="77777777" w:rsidR="0065073E" w:rsidRDefault="000A0998">
      <w:pPr>
        <w:pStyle w:val="P68B1DB1-Normal5"/>
        <w:spacing w:before="120" w:after="120" w:line="240" w:lineRule="auto"/>
        <w:jc w:val="both"/>
        <w:rPr>
          <w:rFonts w:cs="Times New Roman"/>
          <w:noProof/>
        </w:rPr>
      </w:pPr>
      <w:r>
        <w:rPr>
          <w:noProof/>
        </w:rPr>
        <w:t>Investointi 3 (C2.I3) – Rakennusten energiatehokkuuden kunnostamista koskeva ohjelma</w:t>
      </w:r>
    </w:p>
    <w:p w14:paraId="7394FF66" w14:textId="77777777" w:rsidR="0065073E" w:rsidRDefault="000A0998">
      <w:pPr>
        <w:pStyle w:val="P68B1DB1-Normal4"/>
        <w:spacing w:before="120" w:after="120" w:line="240" w:lineRule="auto"/>
        <w:jc w:val="both"/>
        <w:rPr>
          <w:rFonts w:cs="Times New Roman"/>
          <w:noProof/>
        </w:rPr>
      </w:pPr>
      <w:r>
        <w:rPr>
          <w:noProof/>
        </w:rPr>
        <w:t>Tämän toimenpiteen tavoitteena on tukea vähintään 40000 asuinrakennuksen ja 690 000 m²:n</w:t>
      </w:r>
      <w:r>
        <w:rPr>
          <w:noProof/>
          <w:vertAlign w:val="superscript"/>
        </w:rPr>
        <w:t>muiden kuin</w:t>
      </w:r>
      <w:r>
        <w:rPr>
          <w:noProof/>
        </w:rPr>
        <w:t xml:space="preserve"> asuinrakennusten energiaperuskorjauksia sekä parantaa energiatehokkuutta ja integroida uusiutuva energia. Ohjelmasta tuetaan ainoastaan uusiutuvaa energiaa, lukuun ottamatta fossiilisia polttoaineita, ja siinä säädetään energiayhteisöille korkeammasta tuki-intensiteetistä ja mahdollistetaan peruskorjaustoimien ennakkorahoitus. Erityistoimet koskevat energiatehokkuuden parantamista lämpöeristyksen avulla, uusiutuvan energian käyttöä lämmitys- ja jäähdytysjärjestelmissä ja valaistusjärjestelmän parantamista. Tukikelpoisuuskriteerinä on, että primäärienergian kysyntää vähennetään keskimäärin vähintään 30 prosenttia energiatehokkuustodistuksilla.</w:t>
      </w:r>
    </w:p>
    <w:p w14:paraId="2298B8EB"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58B2CDE9" w14:textId="77777777" w:rsidR="0065073E" w:rsidRDefault="000A0998">
      <w:pPr>
        <w:pStyle w:val="P68B1DB1-Normal5"/>
        <w:spacing w:before="120" w:after="120" w:line="240" w:lineRule="auto"/>
        <w:jc w:val="both"/>
        <w:rPr>
          <w:rFonts w:cs="Times New Roman"/>
          <w:noProof/>
        </w:rPr>
      </w:pPr>
      <w:r>
        <w:rPr>
          <w:noProof/>
        </w:rPr>
        <w:t>Investointi 4 (C2.I4) – Uusiutumisohjelma ja väestökehityksen haasteet</w:t>
      </w:r>
    </w:p>
    <w:p w14:paraId="5F772F25" w14:textId="77777777" w:rsidR="0065073E" w:rsidRDefault="000A0998">
      <w:pPr>
        <w:pStyle w:val="P68B1DB1-Normal4"/>
        <w:spacing w:before="120" w:after="120" w:line="240" w:lineRule="auto"/>
        <w:jc w:val="both"/>
        <w:rPr>
          <w:rFonts w:cs="Times New Roman"/>
          <w:noProof/>
        </w:rPr>
      </w:pPr>
      <w:r>
        <w:rPr>
          <w:noProof/>
        </w:rPr>
        <w:t>Tämän toimenpiteen tavoitteena on tukea rakennusten kunnostamista alle 5000 asukkaan kunnissa ja kaupunkialueilla. Toimiin kuuluvat rakennusten, julkisten laitteiden ja infrastruktuurin energiatehokkuuden parantaminen, uusiutuvan energian tuotanto ja kulutus, oma kulutus ja omistajien paikalliset energiayhteisöt sekä kestävä liikkuvuus (kuten sähkölatausasemat). Toteutetaan kahdenlaisia toimia:</w:t>
      </w:r>
    </w:p>
    <w:p w14:paraId="01326C6C" w14:textId="527A66CA" w:rsidR="0065073E" w:rsidRDefault="000A0998">
      <w:pPr>
        <w:pStyle w:val="P68B1DB1-Normal4"/>
        <w:numPr>
          <w:ilvl w:val="0"/>
          <w:numId w:val="70"/>
        </w:numPr>
        <w:spacing w:before="120" w:after="120" w:line="240" w:lineRule="auto"/>
        <w:ind w:left="714" w:hanging="357"/>
        <w:contextualSpacing/>
        <w:jc w:val="both"/>
        <w:rPr>
          <w:rFonts w:cs="Times New Roman"/>
          <w:noProof/>
        </w:rPr>
      </w:pPr>
      <w:r>
        <w:rPr>
          <w:noProof/>
        </w:rPr>
        <w:t xml:space="preserve">Energiatehokkuuden osalta asuinrakennuksissa ja 230 000 m²:ssä muissa kuin asuinrakennuksissa on toteutettava vähintään 4300 energiaperuskorjausta siten, että primäärienergian kysyntää vähennetään keskimäärin vähintään 30 prosenttia energiatehokkuustodistuksilla todennetusti. </w:t>
      </w:r>
    </w:p>
    <w:p w14:paraId="7EE1C8FD" w14:textId="3CC631DE" w:rsidR="0065073E" w:rsidRDefault="000A0998">
      <w:pPr>
        <w:pStyle w:val="P68B1DB1-Normal4"/>
        <w:numPr>
          <w:ilvl w:val="0"/>
          <w:numId w:val="70"/>
        </w:numPr>
        <w:spacing w:before="120" w:after="120" w:line="240" w:lineRule="auto"/>
        <w:jc w:val="both"/>
        <w:rPr>
          <w:rFonts w:cs="Times New Roman"/>
          <w:noProof/>
        </w:rPr>
      </w:pPr>
      <w:r>
        <w:rPr>
          <w:noProof/>
        </w:rPr>
        <w:t>Paikallisviranomaisten on toteutettava vähintään 500 yksittäistä puhtaan energian hanketta tarjouskilpailujen tai investointien avulla seuraavilla aloilla: I) uusiutuvista energialähteistä tuotetun sähkön tai lämmityksen ja jäähdytyksen asentaminen julkisiin rakennuksiin tai infrastruktuuriin (mukaan lukien vähintään 80 prosentin oma kulutus); II) julkisten rakennusten tai infrastruktuurin energiaperuskorjaukset (vähintään 30 prosentin primäärienergian säästöt, jotka on todennettu energiatehokkuustodistuksilla); III) kestävä liikkuvuus (liikennemuotosiirtymää tai sähköistä liikkuvuutta koskevat hankkeet); IV) valosaasteen vähentäminen parantamalla julkista valaistusta; ja v) paikallinen energiayhteisö tai muut yhteisölähtöiset hankkeet näissä kunnissa.</w:t>
      </w:r>
    </w:p>
    <w:p w14:paraId="70CDAE8F" w14:textId="77777777" w:rsidR="0065073E" w:rsidRDefault="000A0998">
      <w:pPr>
        <w:pStyle w:val="P68B1DB1-Normal4"/>
        <w:spacing w:before="120" w:after="120" w:line="240" w:lineRule="auto"/>
        <w:jc w:val="both"/>
        <w:rPr>
          <w:rFonts w:cs="Times New Roman"/>
          <w:noProof/>
        </w:rPr>
      </w:pPr>
      <w:r>
        <w:rPr>
          <w:noProof/>
        </w:rPr>
        <w:t xml:space="preserve">Tätä varten paikallisviranomaisille laajennetut sääntelyperusteet ja investointitukea koskeva pyyntö julkaistaan Euroopan unionin virallisessa lehdessä. </w:t>
      </w:r>
    </w:p>
    <w:p w14:paraId="78DFE28D"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00B8F52C" w14:textId="77777777" w:rsidR="0065073E" w:rsidRDefault="000A0998">
      <w:pPr>
        <w:pStyle w:val="P68B1DB1-Normal5"/>
        <w:spacing w:before="120" w:after="120" w:line="240" w:lineRule="auto"/>
        <w:jc w:val="both"/>
        <w:rPr>
          <w:rFonts w:cs="Times New Roman"/>
          <w:noProof/>
        </w:rPr>
      </w:pPr>
      <w:r>
        <w:rPr>
          <w:noProof/>
        </w:rPr>
        <w:t>Investointi 5 (C2.I5) – Julkisten rakennusten kunnostusohjelma</w:t>
      </w:r>
    </w:p>
    <w:p w14:paraId="5C84FBF4"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tukea energiaperuskorjauksia julkisissa rakennuksissa, kuten julkishallinnossa, koulutuksessa, sosiaalihuollossa, urheilussa, terveydenhuollossa, kulttuurissa tai julkisissa palveluissa. </w:t>
      </w:r>
      <w:r>
        <w:rPr>
          <w:noProof/>
          <w:vertAlign w:val="superscript"/>
        </w:rPr>
        <w:t>Julkisista</w:t>
      </w:r>
      <w:r>
        <w:rPr>
          <w:noProof/>
        </w:rPr>
        <w:t xml:space="preserve"> rakennuksista vähintään 1 230 000 m 2 on kunnostettava siten, että primäärienergian kysyntää vähennetään keskimäärin vähintään 30 prosenttia energiatehokkuustodistuksilla todennetusti. Toimenpiteellä tuetaan I) veden, materiaalien, jätehuollon ja ilmastonmuutokseen sopeutumisen parantaminen; II) rakennusten esteettömyyden parantaminen; III) vaarallisten aineiden poistaminen ja sisäilman laadun parantaminen; ja iv) rakennusten suojelu. </w:t>
      </w:r>
    </w:p>
    <w:p w14:paraId="0B17E944"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490F1E3A" w14:textId="77777777" w:rsidR="0065073E" w:rsidRDefault="000A0998">
      <w:pPr>
        <w:pStyle w:val="P68B1DB1-Normal5"/>
        <w:spacing w:before="120" w:after="120" w:line="240" w:lineRule="auto"/>
        <w:jc w:val="both"/>
        <w:rPr>
          <w:rFonts w:cs="Times New Roman"/>
          <w:noProof/>
        </w:rPr>
      </w:pPr>
      <w:r>
        <w:rPr>
          <w:noProof/>
        </w:rPr>
        <w:t>Investointi 6 (C2.I6) – Tukiohjelma pilottihankkeiden kehittämiseksi Espanjan kaupunkiagendan paikallisia toimintasuunnitelmia varten</w:t>
      </w:r>
    </w:p>
    <w:p w14:paraId="71C49580" w14:textId="77777777" w:rsidR="0065073E" w:rsidRDefault="000A0998">
      <w:pPr>
        <w:pStyle w:val="P68B1DB1-Normal4"/>
        <w:spacing w:before="120" w:after="120" w:line="240" w:lineRule="auto"/>
        <w:jc w:val="both"/>
        <w:rPr>
          <w:rFonts w:cs="Times New Roman"/>
          <w:noProof/>
        </w:rPr>
      </w:pPr>
      <w:r>
        <w:rPr>
          <w:noProof/>
        </w:rPr>
        <w:t>Tämän toimenpiteen tavoitteena on tukea paikallisviranomaisia Espanjan kaupunkiagendan kymmenen strategisen tavoitteen täytäntöönpanossa hyväksymällä vähintään 100 paikallista toimintasuunnitelmaa. Espanjan kaupunkiagendan kymmenen strategista tavoitetta ovat seuraavat: I) maankäytön suunnittelu ja sen järkevämpi käyttö sekä sen säilyttäminen ja suojelu; II) vältetään kaupunkien hajautumista ja elvytetään nykyisiä kaupunkeja; III) ehkäistään ja vähennetään ilmastonmuutoksen vaikutuksia ja häiriönsietokykyä; IV) resurssien kestävä käyttö ja kiertotalouden edistäminen; v) läheisyyden ja kestävän liikkuvuuden edistäminen; VI) edistetään sosiaalista yhteenkuuluvuutta ja pyritään tasa-arvoon; VII) kaupunkitalouden edistäminen ja kannustaminen; VIII) asunnon saannin varmistaminen; IX) johtaa ja edistää digitaalista innovointia; ja x) osallistumis- ja hallintovälineiden parantaminen.</w:t>
      </w:r>
    </w:p>
    <w:p w14:paraId="1C387669" w14:textId="77777777" w:rsidR="0065073E" w:rsidRDefault="000A0998">
      <w:pPr>
        <w:pStyle w:val="P68B1DB1-Normal4"/>
        <w:spacing w:before="120" w:after="120" w:line="240" w:lineRule="auto"/>
        <w:jc w:val="both"/>
        <w:rPr>
          <w:rFonts w:cs="Times New Roman"/>
          <w:noProof/>
        </w:rPr>
      </w:pPr>
      <w:r>
        <w:rPr>
          <w:noProof/>
        </w:rPr>
        <w:t xml:space="preserve">Toimenpiteen on i) toimittava roolimallina ja ohjeena muille paikallisviranomaisille niiden laatiessa omia toimintasuunnitelmiaan; II) panee täytäntöön Espanjan kaupunkiagendan paikallistasolla toteutettavin toimintasuunnitelmin; ja iii) toteuttaa konkreettisia hankkeita osana paikallisia toimintasuunnitelmia Espanjan kaupunkiagendan tarjoamien mahdollisuuksien korostamiseksi. Tuki myönnetään tarjouskilpailulla, ja siihen kuuluu erityisesti monialaisia ja integroituja hankkeita, joilla on strateginen visio, sekä hallintomallilla, jolla varmistetaan mahdollisimman laaja osallistuminen. </w:t>
      </w:r>
    </w:p>
    <w:p w14:paraId="3A173C06" w14:textId="77777777" w:rsidR="0065073E" w:rsidRDefault="000A0998">
      <w:pPr>
        <w:pStyle w:val="P68B1DB1-Normal4"/>
        <w:spacing w:before="120" w:after="120" w:line="240" w:lineRule="auto"/>
        <w:jc w:val="both"/>
        <w:rPr>
          <w:rFonts w:cs="Times New Roman"/>
          <w:noProof/>
        </w:rPr>
      </w:pPr>
      <w:r>
        <w:rPr>
          <w:noProof/>
        </w:rPr>
        <w:t>Tämän toimenpiteen mukaiset investoinnit on saatettava päätökseen 31 päivään joulukuuta 2022 mennessä.</w:t>
      </w:r>
    </w:p>
    <w:p w14:paraId="567278F9"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B.2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49802B6B" w14:textId="77777777" w:rsidR="0065073E" w:rsidRDefault="000A0998">
      <w:pPr>
        <w:pStyle w:val="P68B1DB1-Normal4"/>
        <w:spacing w:before="120" w:after="120" w:line="240" w:lineRule="auto"/>
        <w:jc w:val="both"/>
        <w:rPr>
          <w:rFonts w:cs="Times New Roman"/>
          <w:i/>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0F361146" w14:textId="77777777" w:rsidR="0065073E" w:rsidRDefault="0065073E">
      <w:pPr>
        <w:spacing w:before="120" w:after="120" w:line="240" w:lineRule="auto"/>
        <w:jc w:val="both"/>
        <w:rPr>
          <w:rFonts w:ascii="Times New Roman" w:hAnsi="Times New Roman" w:cs="Times New Roman"/>
          <w:noProof/>
          <w:sz w:val="24"/>
        </w:rPr>
      </w:pPr>
    </w:p>
    <w:p w14:paraId="02246708" w14:textId="40E43E4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48"/>
          <w:headerReference w:type="default" r:id="rId49"/>
          <w:footerReference w:type="even" r:id="rId50"/>
          <w:footerReference w:type="default" r:id="rId51"/>
          <w:headerReference w:type="first" r:id="rId52"/>
          <w:footerReference w:type="first" r:id="rId53"/>
          <w:pgSz w:w="11907" w:h="16839"/>
          <w:pgMar w:top="1134" w:right="1134" w:bottom="1134" w:left="1134" w:header="567" w:footer="567"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36"/>
        <w:gridCol w:w="835"/>
        <w:gridCol w:w="1948"/>
        <w:gridCol w:w="1114"/>
        <w:gridCol w:w="835"/>
        <w:gridCol w:w="974"/>
        <w:gridCol w:w="836"/>
        <w:gridCol w:w="418"/>
        <w:gridCol w:w="558"/>
        <w:gridCol w:w="6258"/>
      </w:tblGrid>
      <w:tr w:rsidR="0065073E" w14:paraId="2E3C9312" w14:textId="77777777">
        <w:trPr>
          <w:trHeight w:val="309"/>
          <w:tblHeader/>
        </w:trPr>
        <w:tc>
          <w:tcPr>
            <w:tcW w:w="709" w:type="dxa"/>
            <w:tcBorders>
              <w:bottom w:val="nil"/>
            </w:tcBorders>
            <w:shd w:val="clear" w:color="auto" w:fill="C6D9F1" w:themeFill="text2" w:themeFillTint="33"/>
            <w:noWrap/>
            <w:vAlign w:val="center"/>
          </w:tcPr>
          <w:p w14:paraId="5B1788F6"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9584422"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39827929"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985" w:type="dxa"/>
            <w:tcBorders>
              <w:bottom w:val="nil"/>
            </w:tcBorders>
            <w:shd w:val="clear" w:color="auto" w:fill="C6D9F1" w:themeFill="text2" w:themeFillTint="33"/>
            <w:noWrap/>
            <w:vAlign w:val="center"/>
          </w:tcPr>
          <w:p w14:paraId="76CAFD79" w14:textId="77777777" w:rsidR="0065073E" w:rsidRDefault="000A0998">
            <w:pPr>
              <w:pStyle w:val="P68B1DB1-Normal8"/>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4600E658"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vAlign w:val="center"/>
          </w:tcPr>
          <w:p w14:paraId="38F0721A"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77B6B7CC" w14:textId="77777777" w:rsidR="0065073E" w:rsidRDefault="000A0998">
            <w:pPr>
              <w:pStyle w:val="P68B1DB1-Normal8"/>
              <w:spacing w:after="0" w:line="240" w:lineRule="auto"/>
              <w:jc w:val="center"/>
              <w:rPr>
                <w:rFonts w:cs="Times New Roman"/>
                <w:noProof/>
              </w:rPr>
            </w:pPr>
            <w:r>
              <w:rPr>
                <w:noProof/>
              </w:rPr>
              <w:t>Aika</w:t>
            </w:r>
          </w:p>
        </w:tc>
        <w:tc>
          <w:tcPr>
            <w:tcW w:w="6379" w:type="dxa"/>
            <w:tcBorders>
              <w:bottom w:val="nil"/>
            </w:tcBorders>
            <w:shd w:val="clear" w:color="auto" w:fill="C6D9F1" w:themeFill="text2" w:themeFillTint="33"/>
            <w:noWrap/>
            <w:vAlign w:val="center"/>
          </w:tcPr>
          <w:p w14:paraId="038D6592"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4A804D2F" w14:textId="77777777">
        <w:trPr>
          <w:trHeight w:val="309"/>
          <w:tblHeader/>
        </w:trPr>
        <w:tc>
          <w:tcPr>
            <w:tcW w:w="709" w:type="dxa"/>
            <w:tcBorders>
              <w:top w:val="nil"/>
            </w:tcBorders>
            <w:shd w:val="clear" w:color="auto" w:fill="C6D9F1" w:themeFill="text2" w:themeFillTint="33"/>
            <w:noWrap/>
          </w:tcPr>
          <w:p w14:paraId="3656B9AB"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5FB0818"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49F31CB" w14:textId="77777777" w:rsidR="0065073E" w:rsidRDefault="0065073E">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53128261" w14:textId="77777777" w:rsidR="0065073E" w:rsidRDefault="0065073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2486C05"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2405BE9F"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vAlign w:val="center"/>
          </w:tcPr>
          <w:p w14:paraId="0F1DE017" w14:textId="60B5B464" w:rsidR="0065073E" w:rsidRDefault="000A0998">
            <w:pPr>
              <w:pStyle w:val="P68B1DB1-Normal8"/>
              <w:spacing w:after="0" w:line="240" w:lineRule="auto"/>
              <w:jc w:val="center"/>
              <w:rPr>
                <w:rFonts w:cs="Times New Roman"/>
                <w:noProof/>
              </w:rPr>
            </w:pPr>
            <w:r>
              <w:rPr>
                <w:noProof/>
              </w:rPr>
              <w:t>Lähtötaso</w:t>
            </w:r>
          </w:p>
        </w:tc>
        <w:tc>
          <w:tcPr>
            <w:tcW w:w="851" w:type="dxa"/>
            <w:shd w:val="clear" w:color="auto" w:fill="C6D9F1" w:themeFill="text2" w:themeFillTint="33"/>
            <w:noWrap/>
            <w:vAlign w:val="center"/>
          </w:tcPr>
          <w:p w14:paraId="09320768" w14:textId="77777777" w:rsidR="0065073E" w:rsidRDefault="000A0998">
            <w:pPr>
              <w:pStyle w:val="P68B1DB1-Normal8"/>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5EF36C89"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D6DE76D" w14:textId="77777777" w:rsidR="0065073E" w:rsidRDefault="000A0998">
            <w:pPr>
              <w:pStyle w:val="P68B1DB1-Normal8"/>
              <w:spacing w:after="0" w:line="240" w:lineRule="auto"/>
              <w:jc w:val="center"/>
              <w:rPr>
                <w:rFonts w:cs="Times New Roman"/>
                <w:noProof/>
              </w:rPr>
            </w:pPr>
            <w:r>
              <w:rPr>
                <w:noProof/>
              </w:rPr>
              <w:t>Vuosi</w:t>
            </w:r>
          </w:p>
        </w:tc>
        <w:tc>
          <w:tcPr>
            <w:tcW w:w="6379" w:type="dxa"/>
            <w:tcBorders>
              <w:top w:val="nil"/>
            </w:tcBorders>
            <w:shd w:val="clear" w:color="auto" w:fill="C6D9F1" w:themeFill="text2" w:themeFillTint="33"/>
            <w:noWrap/>
          </w:tcPr>
          <w:p w14:paraId="4101652C" w14:textId="77777777" w:rsidR="0065073E" w:rsidRDefault="0065073E">
            <w:pPr>
              <w:spacing w:after="0" w:line="240" w:lineRule="auto"/>
              <w:rPr>
                <w:rFonts w:ascii="Times New Roman" w:hAnsi="Times New Roman" w:cs="Times New Roman"/>
                <w:b/>
                <w:noProof/>
                <w:sz w:val="18"/>
              </w:rPr>
            </w:pPr>
          </w:p>
        </w:tc>
      </w:tr>
      <w:tr w:rsidR="0065073E" w14:paraId="6E905AD4" w14:textId="77777777">
        <w:trPr>
          <w:trHeight w:val="309"/>
        </w:trPr>
        <w:tc>
          <w:tcPr>
            <w:tcW w:w="709" w:type="dxa"/>
            <w:shd w:val="clear" w:color="auto" w:fill="C6EFCE"/>
            <w:noWrap/>
          </w:tcPr>
          <w:p w14:paraId="7B568215" w14:textId="77777777" w:rsidR="0065073E" w:rsidRDefault="000A0998">
            <w:pPr>
              <w:pStyle w:val="P68B1DB1-Normal12"/>
              <w:spacing w:after="0" w:line="240" w:lineRule="auto"/>
              <w:jc w:val="center"/>
              <w:rPr>
                <w:rFonts w:eastAsia="MS Mincho" w:cs="Times New Roman"/>
                <w:noProof/>
              </w:rPr>
            </w:pPr>
            <w:r>
              <w:rPr>
                <w:noProof/>
              </w:rPr>
              <w:t>21</w:t>
            </w:r>
          </w:p>
        </w:tc>
        <w:tc>
          <w:tcPr>
            <w:tcW w:w="851" w:type="dxa"/>
            <w:shd w:val="clear" w:color="auto" w:fill="C6EFCE"/>
            <w:noWrap/>
          </w:tcPr>
          <w:p w14:paraId="54F29CE8" w14:textId="77777777" w:rsidR="0065073E" w:rsidRDefault="000A0998">
            <w:pPr>
              <w:pStyle w:val="P68B1DB1-Normal12"/>
              <w:spacing w:after="0" w:line="240" w:lineRule="auto"/>
              <w:jc w:val="center"/>
              <w:rPr>
                <w:rFonts w:eastAsia="MS Mincho" w:cs="Times New Roman"/>
                <w:noProof/>
              </w:rPr>
            </w:pPr>
            <w:r>
              <w:rPr>
                <w:noProof/>
              </w:rPr>
              <w:t>C2.R1</w:t>
            </w:r>
          </w:p>
        </w:tc>
        <w:tc>
          <w:tcPr>
            <w:tcW w:w="850" w:type="dxa"/>
            <w:shd w:val="clear" w:color="auto" w:fill="C6EFCE"/>
            <w:noWrap/>
          </w:tcPr>
          <w:p w14:paraId="5DB29657" w14:textId="77777777" w:rsidR="0065073E" w:rsidRDefault="000A0998">
            <w:pPr>
              <w:pStyle w:val="P68B1DB1-Normal12"/>
              <w:spacing w:after="0" w:line="240" w:lineRule="auto"/>
              <w:jc w:val="center"/>
              <w:rPr>
                <w:rFonts w:eastAsia="MS Mincho" w:cs="Times New Roman"/>
                <w:noProof/>
              </w:rPr>
            </w:pPr>
            <w:r>
              <w:rPr>
                <w:noProof/>
              </w:rPr>
              <w:t>M</w:t>
            </w:r>
          </w:p>
        </w:tc>
        <w:tc>
          <w:tcPr>
            <w:tcW w:w="1985" w:type="dxa"/>
            <w:shd w:val="clear" w:color="auto" w:fill="C6EFCE"/>
            <w:noWrap/>
          </w:tcPr>
          <w:p w14:paraId="6BD4891F" w14:textId="77777777" w:rsidR="0065073E" w:rsidRDefault="000A0998">
            <w:pPr>
              <w:pStyle w:val="P68B1DB1-Normal12"/>
              <w:spacing w:after="0" w:line="240" w:lineRule="auto"/>
              <w:rPr>
                <w:rFonts w:eastAsia="MS Mincho" w:cs="Times New Roman"/>
                <w:noProof/>
              </w:rPr>
            </w:pPr>
            <w:r>
              <w:rPr>
                <w:noProof/>
              </w:rPr>
              <w:t xml:space="preserve">Espanjan kaupunkiagendan ja energia-alan kunnostamista Espanjassa koskevan pitkän aikavälin perusparannusstrategian voimaantulo </w:t>
            </w:r>
          </w:p>
        </w:tc>
        <w:tc>
          <w:tcPr>
            <w:tcW w:w="1134" w:type="dxa"/>
            <w:shd w:val="clear" w:color="auto" w:fill="C6EFCE"/>
            <w:noWrap/>
          </w:tcPr>
          <w:p w14:paraId="5CC747CB" w14:textId="77777777" w:rsidR="0065073E" w:rsidRDefault="000A0998">
            <w:pPr>
              <w:pStyle w:val="P68B1DB1-Normal12"/>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5EDB29A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4474F8A0"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5E6F60B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7694BBC2"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77F781D2" w14:textId="77777777" w:rsidR="0065073E" w:rsidRDefault="000A0998">
            <w:pPr>
              <w:pStyle w:val="P68B1DB1-Normal12"/>
              <w:spacing w:after="0" w:line="240" w:lineRule="auto"/>
              <w:jc w:val="center"/>
              <w:rPr>
                <w:rFonts w:eastAsia="MS Mincho" w:cs="Times New Roman"/>
                <w:noProof/>
              </w:rPr>
            </w:pPr>
            <w:r>
              <w:rPr>
                <w:noProof/>
              </w:rPr>
              <w:t>2020</w:t>
            </w:r>
          </w:p>
        </w:tc>
        <w:tc>
          <w:tcPr>
            <w:tcW w:w="6379" w:type="dxa"/>
            <w:shd w:val="clear" w:color="auto" w:fill="C6EFCE"/>
            <w:noWrap/>
          </w:tcPr>
          <w:p w14:paraId="3F8518F0" w14:textId="77777777" w:rsidR="0065073E" w:rsidRDefault="000A0998">
            <w:pPr>
              <w:pStyle w:val="P68B1DB1-Normal12"/>
              <w:spacing w:after="0" w:line="240" w:lineRule="auto"/>
              <w:rPr>
                <w:rFonts w:eastAsia="MS Mincho" w:cs="Times New Roman"/>
                <w:noProof/>
              </w:rPr>
            </w:pPr>
            <w:r>
              <w:rPr>
                <w:noProof/>
              </w:rPr>
              <w:t>Espanjan kaupunkiagendan voimaantulo kansallisena kaupunkipolitiikkana, jolla varmistetaan kaupunkien yhdennetty ja kattava strateginen suunnittelu, sekä Espanjan rakennusalan energiakunnostuksen pitkän aikavälin perusparannusstrategian (ERESEE) päivittäminen vuonna 2020. ERESEE-strategian tarkoituksena on analysoida Espanjan rakennuskantaa ja poistaa esteitä ja luoda uusia lähestymistapoja rakennusten perusparannusten laajentamiseksi, alan investointien edistämiseksi, energiansäästön lisäämiseksi ja hiilipäästöjen vähentämiseksi ilmastotavoitteiden mukaisesti.</w:t>
            </w:r>
          </w:p>
        </w:tc>
      </w:tr>
      <w:tr w:rsidR="0065073E" w14:paraId="33ED5252" w14:textId="77777777">
        <w:trPr>
          <w:trHeight w:val="309"/>
        </w:trPr>
        <w:tc>
          <w:tcPr>
            <w:tcW w:w="709" w:type="dxa"/>
            <w:shd w:val="clear" w:color="auto" w:fill="C6EFCE"/>
            <w:noWrap/>
          </w:tcPr>
          <w:p w14:paraId="2569FBD6" w14:textId="77777777" w:rsidR="0065073E" w:rsidRDefault="000A0998">
            <w:pPr>
              <w:pStyle w:val="P68B1DB1-Normal12"/>
              <w:spacing w:after="0" w:line="240" w:lineRule="auto"/>
              <w:jc w:val="center"/>
              <w:rPr>
                <w:rFonts w:cs="Times New Roman"/>
                <w:noProof/>
              </w:rPr>
            </w:pPr>
            <w:r>
              <w:rPr>
                <w:noProof/>
              </w:rPr>
              <w:t>21 a</w:t>
            </w:r>
          </w:p>
        </w:tc>
        <w:tc>
          <w:tcPr>
            <w:tcW w:w="851" w:type="dxa"/>
            <w:shd w:val="clear" w:color="auto" w:fill="C6EFCE"/>
            <w:noWrap/>
          </w:tcPr>
          <w:p w14:paraId="43DCEA58" w14:textId="77777777" w:rsidR="0065073E" w:rsidRDefault="000A0998">
            <w:pPr>
              <w:pStyle w:val="P68B1DB1-Normal12"/>
              <w:spacing w:after="0" w:line="240" w:lineRule="auto"/>
              <w:jc w:val="center"/>
              <w:rPr>
                <w:rFonts w:cs="Times New Roman"/>
                <w:noProof/>
              </w:rPr>
            </w:pPr>
            <w:r>
              <w:rPr>
                <w:noProof/>
              </w:rPr>
              <w:t>C2.R2</w:t>
            </w:r>
          </w:p>
        </w:tc>
        <w:tc>
          <w:tcPr>
            <w:tcW w:w="850" w:type="dxa"/>
            <w:shd w:val="clear" w:color="auto" w:fill="C6EFCE"/>
            <w:noWrap/>
          </w:tcPr>
          <w:p w14:paraId="1F0E4D68"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38D6AED2" w14:textId="77777777" w:rsidR="0065073E" w:rsidRDefault="000A0998">
            <w:pPr>
              <w:pStyle w:val="P68B1DB1-Normal12"/>
              <w:spacing w:after="0" w:line="240" w:lineRule="auto"/>
              <w:rPr>
                <w:rFonts w:cs="Times New Roman"/>
                <w:noProof/>
                <w:highlight w:val="yellow"/>
              </w:rPr>
            </w:pPr>
            <w:r>
              <w:rPr>
                <w:noProof/>
              </w:rPr>
              <w:t>Espanjan pitkän aikavälin perusparannusstrategian täytäntöönpanoa koskevien työryhmien suositusten julkaiseminen</w:t>
            </w:r>
          </w:p>
        </w:tc>
        <w:tc>
          <w:tcPr>
            <w:tcW w:w="1134" w:type="dxa"/>
            <w:shd w:val="clear" w:color="auto" w:fill="C6EFCE"/>
            <w:noWrap/>
          </w:tcPr>
          <w:p w14:paraId="008F8ECF" w14:textId="77777777" w:rsidR="0065073E" w:rsidRDefault="000A0998">
            <w:pPr>
              <w:pStyle w:val="P68B1DB1-Normal12"/>
              <w:spacing w:after="0" w:line="240" w:lineRule="auto"/>
              <w:jc w:val="center"/>
              <w:rPr>
                <w:rFonts w:cs="Times New Roman"/>
                <w:noProof/>
                <w:highlight w:val="yellow"/>
              </w:rPr>
            </w:pPr>
            <w:r>
              <w:rPr>
                <w:noProof/>
              </w:rPr>
              <w:t>Työryhmien suositusten julkaiseminen</w:t>
            </w:r>
          </w:p>
        </w:tc>
        <w:tc>
          <w:tcPr>
            <w:tcW w:w="850" w:type="dxa"/>
            <w:shd w:val="clear" w:color="auto" w:fill="C6EFCE"/>
            <w:noWrap/>
          </w:tcPr>
          <w:p w14:paraId="4B99056E" w14:textId="77777777"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1299C43A" w14:textId="77777777" w:rsidR="0065073E" w:rsidRDefault="0065073E">
            <w:pPr>
              <w:spacing w:after="0" w:line="240" w:lineRule="auto"/>
              <w:jc w:val="right"/>
              <w:rPr>
                <w:rFonts w:ascii="Times New Roman" w:hAnsi="Times New Roman" w:cs="Times New Roman"/>
                <w:noProof/>
                <w:sz w:val="18"/>
              </w:rPr>
            </w:pPr>
          </w:p>
        </w:tc>
        <w:tc>
          <w:tcPr>
            <w:tcW w:w="851" w:type="dxa"/>
            <w:shd w:val="clear" w:color="auto" w:fill="C6EFCE"/>
            <w:noWrap/>
          </w:tcPr>
          <w:p w14:paraId="4DDBEF00" w14:textId="77777777" w:rsidR="0065073E" w:rsidRDefault="0065073E">
            <w:pPr>
              <w:spacing w:after="0" w:line="240" w:lineRule="auto"/>
              <w:jc w:val="right"/>
              <w:rPr>
                <w:rFonts w:ascii="Times New Roman" w:hAnsi="Times New Roman" w:cs="Times New Roman"/>
                <w:noProof/>
                <w:sz w:val="18"/>
              </w:rPr>
            </w:pPr>
          </w:p>
        </w:tc>
        <w:tc>
          <w:tcPr>
            <w:tcW w:w="425" w:type="dxa"/>
            <w:shd w:val="clear" w:color="auto" w:fill="C6EFCE"/>
            <w:noWrap/>
          </w:tcPr>
          <w:p w14:paraId="6F320D90"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21D5FB87" w14:textId="77777777" w:rsidR="0065073E" w:rsidRDefault="000A0998">
            <w:pPr>
              <w:pStyle w:val="P68B1DB1-Normal12"/>
              <w:spacing w:after="0" w:line="240" w:lineRule="auto"/>
              <w:jc w:val="center"/>
              <w:rPr>
                <w:rFonts w:cs="Times New Roman"/>
                <w:noProof/>
              </w:rPr>
            </w:pPr>
            <w:r>
              <w:rPr>
                <w:noProof/>
              </w:rPr>
              <w:t>2023</w:t>
            </w:r>
          </w:p>
        </w:tc>
        <w:tc>
          <w:tcPr>
            <w:tcW w:w="6379" w:type="dxa"/>
            <w:shd w:val="clear" w:color="auto" w:fill="C6EFCE"/>
            <w:noWrap/>
          </w:tcPr>
          <w:p w14:paraId="27A9E5F9" w14:textId="77777777" w:rsidR="0065073E" w:rsidRDefault="000A0998">
            <w:pPr>
              <w:pStyle w:val="P68B1DB1-Normal12"/>
              <w:spacing w:after="0" w:line="240" w:lineRule="auto"/>
              <w:rPr>
                <w:rFonts w:cs="Times New Roman"/>
                <w:noProof/>
              </w:rPr>
            </w:pPr>
            <w:r>
              <w:rPr>
                <w:noProof/>
              </w:rPr>
              <w:t>Työryhmien yksityiskohtaisten suositusten julkaiseminen Espanjan rakennusalan energia-alan kunnostamista koskevan pitkän aikavälin perusparannusstrategian (LTRS) vuoden 2020 päivityksen (ERESEE) täytäntöönpanemiseksi. ERESEE-strategian tarkoituksena on analysoida Espanjan rakennuskantaa ja poistaa esteitä ja luoda uusia lähestymistapoja rakennusten peruskorjausten laajentamiseksi, alan investointien edistämiseksi, energiansäästön lisäämiseksi ja hiilipäästöjen vähentämiseksi ilmastotavoitteiden mukaisesti. ERESEE-ohjelman täytäntöönpanoa varten perustetaan useita työryhmiä, joiden tehtävänä on laatia selkeitä suosituksia kaupunkialueiden kunnostamista ja elvyttämistä koskevan toimintasuunnitelman täytäntöönpanoa varten. Yksityiskohtaisiin suosituksiin on sisällyttävä etenemissuunnitelma ja menetelmäohjeet jokaisesta toteutettavasta toimenpiteestä, joka on osoitettu kaikille asianomaisille toimijoille (julkishallinto, sidosryhmät jne.).</w:t>
            </w:r>
          </w:p>
        </w:tc>
      </w:tr>
      <w:tr w:rsidR="0065073E" w14:paraId="54164076" w14:textId="77777777">
        <w:trPr>
          <w:trHeight w:val="309"/>
        </w:trPr>
        <w:tc>
          <w:tcPr>
            <w:tcW w:w="709" w:type="dxa"/>
            <w:shd w:val="clear" w:color="auto" w:fill="C6EFCE"/>
            <w:noWrap/>
          </w:tcPr>
          <w:p w14:paraId="44C26413" w14:textId="77777777" w:rsidR="0065073E" w:rsidRDefault="000A0998">
            <w:pPr>
              <w:pStyle w:val="P68B1DB1-Normal12"/>
              <w:spacing w:after="0" w:line="240" w:lineRule="auto"/>
              <w:jc w:val="center"/>
              <w:rPr>
                <w:rFonts w:eastAsia="MS Mincho" w:cs="Times New Roman"/>
                <w:noProof/>
              </w:rPr>
            </w:pPr>
            <w:r>
              <w:rPr>
                <w:noProof/>
              </w:rPr>
              <w:t>22</w:t>
            </w:r>
          </w:p>
        </w:tc>
        <w:tc>
          <w:tcPr>
            <w:tcW w:w="851" w:type="dxa"/>
            <w:shd w:val="clear" w:color="auto" w:fill="C6EFCE"/>
            <w:noWrap/>
          </w:tcPr>
          <w:p w14:paraId="63C0F8BD" w14:textId="77777777" w:rsidR="0065073E" w:rsidRDefault="000A0998">
            <w:pPr>
              <w:pStyle w:val="P68B1DB1-Normal12"/>
              <w:spacing w:after="0" w:line="240" w:lineRule="auto"/>
              <w:jc w:val="center"/>
              <w:rPr>
                <w:rFonts w:eastAsia="MS Mincho" w:cs="Times New Roman"/>
                <w:noProof/>
              </w:rPr>
            </w:pPr>
            <w:r>
              <w:rPr>
                <w:noProof/>
              </w:rPr>
              <w:t>C2.R3</w:t>
            </w:r>
          </w:p>
        </w:tc>
        <w:tc>
          <w:tcPr>
            <w:tcW w:w="850" w:type="dxa"/>
            <w:shd w:val="clear" w:color="auto" w:fill="C6EFCE"/>
            <w:noWrap/>
          </w:tcPr>
          <w:p w14:paraId="556F2A3E" w14:textId="77777777" w:rsidR="0065073E" w:rsidRDefault="000A0998">
            <w:pPr>
              <w:pStyle w:val="P68B1DB1-Normal12"/>
              <w:spacing w:after="0" w:line="240" w:lineRule="auto"/>
              <w:jc w:val="center"/>
              <w:rPr>
                <w:rFonts w:eastAsia="MS Mincho" w:cs="Times New Roman"/>
                <w:noProof/>
              </w:rPr>
            </w:pPr>
            <w:r>
              <w:rPr>
                <w:noProof/>
              </w:rPr>
              <w:t>M</w:t>
            </w:r>
          </w:p>
        </w:tc>
        <w:tc>
          <w:tcPr>
            <w:tcW w:w="1985" w:type="dxa"/>
            <w:shd w:val="clear" w:color="auto" w:fill="C6EFCE"/>
            <w:noWrap/>
          </w:tcPr>
          <w:p w14:paraId="2A3A3294" w14:textId="77777777" w:rsidR="0065073E" w:rsidRDefault="000A0998">
            <w:pPr>
              <w:pStyle w:val="P68B1DB1-Normal12"/>
              <w:spacing w:after="0" w:line="240" w:lineRule="auto"/>
              <w:rPr>
                <w:rFonts w:eastAsia="MS Mincho" w:cs="Times New Roman"/>
                <w:noProof/>
              </w:rPr>
            </w:pPr>
            <w:r>
              <w:rPr>
                <w:noProof/>
              </w:rPr>
              <w:t xml:space="preserve">Asuntolain voimaantulo, mukaan lukien toimet, joilla tuetaan asuntojen tarjonnan lisäämistä lähes nollaenergiarakennusten mukaisesti </w:t>
            </w:r>
          </w:p>
        </w:tc>
        <w:tc>
          <w:tcPr>
            <w:tcW w:w="1134" w:type="dxa"/>
            <w:shd w:val="clear" w:color="auto" w:fill="C6EFCE"/>
            <w:noWrap/>
          </w:tcPr>
          <w:p w14:paraId="54B322DF" w14:textId="77777777" w:rsidR="0065073E" w:rsidRDefault="000A0998">
            <w:pPr>
              <w:pStyle w:val="P68B1DB1-Normal12"/>
              <w:spacing w:after="0" w:line="240" w:lineRule="auto"/>
              <w:jc w:val="center"/>
              <w:rPr>
                <w:rFonts w:eastAsia="MS Mincho" w:cs="Times New Roman"/>
                <w:noProof/>
              </w:rPr>
            </w:pPr>
            <w:r>
              <w:rPr>
                <w:noProof/>
              </w:rPr>
              <w:t>Asuntolain voimaantuloa koskeva säännös</w:t>
            </w:r>
          </w:p>
        </w:tc>
        <w:tc>
          <w:tcPr>
            <w:tcW w:w="850" w:type="dxa"/>
            <w:shd w:val="clear" w:color="auto" w:fill="C6EFCE"/>
            <w:noWrap/>
          </w:tcPr>
          <w:p w14:paraId="1DF8BA61"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365DB198"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1D5BCD6B"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0356CC74" w14:textId="77777777" w:rsidR="0065073E" w:rsidRDefault="000A0998">
            <w:pPr>
              <w:pStyle w:val="P68B1DB1-Normal12"/>
              <w:spacing w:after="0" w:line="240" w:lineRule="auto"/>
              <w:jc w:val="center"/>
              <w:rPr>
                <w:rFonts w:eastAsia="MS Mincho" w:cs="Times New Roman"/>
                <w:noProof/>
              </w:rPr>
            </w:pPr>
            <w:r>
              <w:rPr>
                <w:noProof/>
              </w:rPr>
              <w:t>Q3</w:t>
            </w:r>
          </w:p>
        </w:tc>
        <w:tc>
          <w:tcPr>
            <w:tcW w:w="567" w:type="dxa"/>
            <w:shd w:val="clear" w:color="auto" w:fill="C6EFCE"/>
            <w:noWrap/>
          </w:tcPr>
          <w:p w14:paraId="69D64232" w14:textId="77777777" w:rsidR="0065073E" w:rsidRDefault="000A0998">
            <w:pPr>
              <w:pStyle w:val="P68B1DB1-Normal12"/>
              <w:spacing w:after="0" w:line="240" w:lineRule="auto"/>
              <w:jc w:val="center"/>
              <w:rPr>
                <w:rFonts w:eastAsia="MS Mincho" w:cs="Times New Roman"/>
                <w:noProof/>
              </w:rPr>
            </w:pPr>
            <w:r>
              <w:rPr>
                <w:noProof/>
              </w:rPr>
              <w:t>2022</w:t>
            </w:r>
          </w:p>
        </w:tc>
        <w:tc>
          <w:tcPr>
            <w:tcW w:w="6379" w:type="dxa"/>
            <w:shd w:val="clear" w:color="auto" w:fill="C6EFCE"/>
            <w:noWrap/>
          </w:tcPr>
          <w:p w14:paraId="06B97AE7" w14:textId="77777777" w:rsidR="0065073E" w:rsidRDefault="000A0998">
            <w:pPr>
              <w:pStyle w:val="P68B1DB1-Normal12"/>
              <w:spacing w:after="0" w:line="240" w:lineRule="auto"/>
              <w:rPr>
                <w:rFonts w:eastAsia="MS Mincho" w:cs="Times New Roman"/>
                <w:noProof/>
              </w:rPr>
            </w:pPr>
            <w:r>
              <w:rPr>
                <w:noProof/>
              </w:rPr>
              <w:t xml:space="preserve">Asuntolaissa käsitellään erilaisia suunnittelu-, ohjelmointi- ja yhteistyövälineitä sen varmistamiseksi, että oikeus kunnolliseen ja asianmukaiseen asuntoon toteutuu asianmukaisesti, mukaan lukien yhtenä painopisteenä olemassa olevan asuntokannan kunnostaminen ja parantaminen sekä asuinympäristöjen uudistaminen ja kunnostaminen. Lailla kannustetaan lisäämään kohtuuhintaisten ja sosiaalisten asuntojen tarjontaa varmistamalla, että tällä hetkellä lähes nollaenergiarakennuksille asetettuja vaatimuksia noudatetaan teknisen rakennussäännöstön (CTE) energiansäästöä koskevan perusasiakirjan (DB-HE) mukaisesti. </w:t>
            </w:r>
          </w:p>
        </w:tc>
      </w:tr>
      <w:tr w:rsidR="0065073E" w14:paraId="48EB6E46" w14:textId="77777777">
        <w:trPr>
          <w:trHeight w:val="309"/>
        </w:trPr>
        <w:tc>
          <w:tcPr>
            <w:tcW w:w="709" w:type="dxa"/>
            <w:shd w:val="clear" w:color="auto" w:fill="C6EFCE"/>
            <w:noWrap/>
          </w:tcPr>
          <w:p w14:paraId="72E4F76D" w14:textId="77777777" w:rsidR="0065073E" w:rsidRDefault="000A0998">
            <w:pPr>
              <w:pStyle w:val="P68B1DB1-Normal12"/>
              <w:spacing w:after="0" w:line="240" w:lineRule="auto"/>
              <w:jc w:val="center"/>
              <w:rPr>
                <w:rFonts w:eastAsia="MS Mincho" w:cs="Times New Roman"/>
                <w:noProof/>
              </w:rPr>
            </w:pPr>
            <w:r>
              <w:rPr>
                <w:noProof/>
              </w:rPr>
              <w:t>23</w:t>
            </w:r>
          </w:p>
        </w:tc>
        <w:tc>
          <w:tcPr>
            <w:tcW w:w="851" w:type="dxa"/>
            <w:shd w:val="clear" w:color="auto" w:fill="C6EFCE"/>
            <w:noWrap/>
          </w:tcPr>
          <w:p w14:paraId="160AA391" w14:textId="77777777" w:rsidR="0065073E" w:rsidRDefault="000A0998">
            <w:pPr>
              <w:pStyle w:val="P68B1DB1-Normal12"/>
              <w:spacing w:after="0" w:line="240" w:lineRule="auto"/>
              <w:jc w:val="center"/>
              <w:rPr>
                <w:rFonts w:eastAsia="MS Mincho" w:cs="Times New Roman"/>
                <w:noProof/>
              </w:rPr>
            </w:pPr>
            <w:r>
              <w:rPr>
                <w:noProof/>
              </w:rPr>
              <w:t>C2.R4</w:t>
            </w:r>
          </w:p>
        </w:tc>
        <w:tc>
          <w:tcPr>
            <w:tcW w:w="850" w:type="dxa"/>
            <w:shd w:val="clear" w:color="auto" w:fill="C6EFCE"/>
            <w:noWrap/>
          </w:tcPr>
          <w:p w14:paraId="0E261B8E" w14:textId="77777777" w:rsidR="0065073E" w:rsidRDefault="000A0998">
            <w:pPr>
              <w:pStyle w:val="P68B1DB1-Normal12"/>
              <w:spacing w:after="0" w:line="240" w:lineRule="auto"/>
              <w:jc w:val="center"/>
              <w:rPr>
                <w:rFonts w:eastAsia="MS Mincho" w:cs="Times New Roman"/>
                <w:noProof/>
              </w:rPr>
            </w:pPr>
            <w:r>
              <w:rPr>
                <w:noProof/>
              </w:rPr>
              <w:t>M</w:t>
            </w:r>
          </w:p>
        </w:tc>
        <w:tc>
          <w:tcPr>
            <w:tcW w:w="1985" w:type="dxa"/>
            <w:shd w:val="clear" w:color="auto" w:fill="C6EFCE"/>
            <w:noWrap/>
          </w:tcPr>
          <w:p w14:paraId="00A74DA3" w14:textId="77777777" w:rsidR="0065073E" w:rsidRDefault="000A0998">
            <w:pPr>
              <w:pStyle w:val="P68B1DB1-Normal12"/>
              <w:spacing w:after="0" w:line="240" w:lineRule="auto"/>
              <w:rPr>
                <w:rFonts w:eastAsia="MS Mincho" w:cs="Times New Roman"/>
                <w:noProof/>
              </w:rPr>
            </w:pPr>
            <w:r>
              <w:rPr>
                <w:noProof/>
              </w:rPr>
              <w:t xml:space="preserve">Arkkitehtuurin ja rakennusympäristön laatua koskevan lain voimaantulo </w:t>
            </w:r>
          </w:p>
        </w:tc>
        <w:tc>
          <w:tcPr>
            <w:tcW w:w="1134" w:type="dxa"/>
            <w:shd w:val="clear" w:color="auto" w:fill="C6EFCE"/>
            <w:noWrap/>
          </w:tcPr>
          <w:p w14:paraId="132F5AEB" w14:textId="77777777" w:rsidR="0065073E" w:rsidRDefault="000A0998">
            <w:pPr>
              <w:pStyle w:val="P68B1DB1-Normal12"/>
              <w:spacing w:after="0" w:line="240" w:lineRule="auto"/>
              <w:jc w:val="center"/>
              <w:rPr>
                <w:rFonts w:eastAsia="MS Mincho" w:cs="Times New Roman"/>
                <w:noProof/>
              </w:rPr>
            </w:pPr>
            <w:r>
              <w:rPr>
                <w:noProof/>
              </w:rPr>
              <w:t>Arkkitehtuurin ja rakennusympäristön laadusta annetun lain voimaantulosäännös</w:t>
            </w:r>
          </w:p>
        </w:tc>
        <w:tc>
          <w:tcPr>
            <w:tcW w:w="850" w:type="dxa"/>
            <w:shd w:val="clear" w:color="auto" w:fill="C6EFCE"/>
            <w:noWrap/>
          </w:tcPr>
          <w:p w14:paraId="3BC5EC03"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3751300F"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35F0889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7A8F9DAC" w14:textId="77777777" w:rsidR="0065073E" w:rsidRDefault="000A0998">
            <w:pPr>
              <w:pStyle w:val="P68B1DB1-Normal12"/>
              <w:spacing w:after="0" w:line="240" w:lineRule="auto"/>
              <w:jc w:val="center"/>
              <w:rPr>
                <w:rFonts w:eastAsia="MS Mincho" w:cs="Times New Roman"/>
                <w:noProof/>
              </w:rPr>
            </w:pPr>
            <w:r>
              <w:rPr>
                <w:noProof/>
              </w:rPr>
              <w:t>Q3</w:t>
            </w:r>
          </w:p>
        </w:tc>
        <w:tc>
          <w:tcPr>
            <w:tcW w:w="567" w:type="dxa"/>
            <w:shd w:val="clear" w:color="auto" w:fill="C6EFCE"/>
            <w:noWrap/>
          </w:tcPr>
          <w:p w14:paraId="053A94A5" w14:textId="77777777" w:rsidR="0065073E" w:rsidRDefault="000A0998">
            <w:pPr>
              <w:pStyle w:val="P68B1DB1-Normal12"/>
              <w:spacing w:after="0" w:line="240" w:lineRule="auto"/>
              <w:jc w:val="center"/>
              <w:rPr>
                <w:rFonts w:eastAsia="MS Mincho" w:cs="Times New Roman"/>
                <w:noProof/>
              </w:rPr>
            </w:pPr>
            <w:r>
              <w:rPr>
                <w:noProof/>
              </w:rPr>
              <w:t>2022</w:t>
            </w:r>
          </w:p>
        </w:tc>
        <w:tc>
          <w:tcPr>
            <w:tcW w:w="6379" w:type="dxa"/>
            <w:shd w:val="clear" w:color="auto" w:fill="C6EFCE"/>
            <w:noWrap/>
          </w:tcPr>
          <w:p w14:paraId="5B5E55E4" w14:textId="1A73ED5D" w:rsidR="0065073E" w:rsidRDefault="000A0998">
            <w:pPr>
              <w:pStyle w:val="P68B1DB1-Normal12"/>
              <w:spacing w:after="0" w:line="240" w:lineRule="auto"/>
              <w:rPr>
                <w:rFonts w:eastAsia="MS Mincho" w:cs="Times New Roman"/>
                <w:noProof/>
              </w:rPr>
            </w:pPr>
            <w:r>
              <w:rPr>
                <w:noProof/>
              </w:rPr>
              <w:t xml:space="preserve">Hyväksytään laki arkkitehtuurin ja rakennusympäristön laadusta, mukaan lukien yhdennetty lähestymistapa kunnostamiseen, jolla edistetään lähes nollaenergiarakennuskannan kasvua paitsi uusien rakennusten myös olemassa olevien rakennusten välillä. Laissa vahvistetaan arkkitehtuurin ja rakennetun ympäristön laadun periaate, vahvistetaan yhdeksi keskeiseksi arviointiperusteeksi ympäristön kestävyys ja vaikutus energiatehokkuustavoitteiden saavuttamiseen ja ohjataan tarvittavaa asuntokannan kunnostamista kohti yhdennettyä lähestymistapaa kunnostamiseen. </w:t>
            </w:r>
          </w:p>
        </w:tc>
      </w:tr>
      <w:tr w:rsidR="0065073E" w14:paraId="376975DA" w14:textId="77777777">
        <w:trPr>
          <w:trHeight w:val="309"/>
        </w:trPr>
        <w:tc>
          <w:tcPr>
            <w:tcW w:w="709" w:type="dxa"/>
            <w:shd w:val="clear" w:color="auto" w:fill="C6EFCE"/>
            <w:noWrap/>
          </w:tcPr>
          <w:p w14:paraId="1D8EB8EE" w14:textId="77777777" w:rsidR="0065073E" w:rsidRDefault="000A0998">
            <w:pPr>
              <w:pStyle w:val="P68B1DB1-Normal12"/>
              <w:spacing w:after="0" w:line="240" w:lineRule="auto"/>
              <w:jc w:val="center"/>
              <w:rPr>
                <w:rFonts w:cs="Times New Roman"/>
                <w:noProof/>
              </w:rPr>
            </w:pPr>
            <w:r>
              <w:rPr>
                <w:noProof/>
              </w:rPr>
              <w:t>24</w:t>
            </w:r>
          </w:p>
        </w:tc>
        <w:tc>
          <w:tcPr>
            <w:tcW w:w="851" w:type="dxa"/>
            <w:shd w:val="clear" w:color="auto" w:fill="C6EFCE"/>
            <w:noWrap/>
          </w:tcPr>
          <w:p w14:paraId="58D79CB0" w14:textId="77777777" w:rsidR="0065073E" w:rsidRDefault="000A0998">
            <w:pPr>
              <w:pStyle w:val="P68B1DB1-Normal12"/>
              <w:spacing w:after="0" w:line="240" w:lineRule="auto"/>
              <w:jc w:val="center"/>
              <w:rPr>
                <w:rFonts w:eastAsia="MS Mincho" w:cs="Times New Roman"/>
                <w:noProof/>
              </w:rPr>
            </w:pPr>
            <w:r>
              <w:rPr>
                <w:noProof/>
              </w:rPr>
              <w:t>C2.R5</w:t>
            </w:r>
          </w:p>
        </w:tc>
        <w:tc>
          <w:tcPr>
            <w:tcW w:w="850" w:type="dxa"/>
            <w:shd w:val="clear" w:color="auto" w:fill="C6EFCE"/>
            <w:noWrap/>
          </w:tcPr>
          <w:p w14:paraId="6FA8D4AF"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35C9E65C" w14:textId="77777777" w:rsidR="0065073E" w:rsidRDefault="000A0998">
            <w:pPr>
              <w:pStyle w:val="P68B1DB1-Normal12"/>
              <w:spacing w:after="0" w:line="240" w:lineRule="auto"/>
              <w:rPr>
                <w:rFonts w:cs="Times New Roman"/>
                <w:noProof/>
              </w:rPr>
            </w:pPr>
            <w:r>
              <w:rPr>
                <w:noProof/>
              </w:rPr>
              <w:t xml:space="preserve">Kuninkaallisen perusparannusviraston (’keskitetyt asiointipisteet’) voimaantulo </w:t>
            </w:r>
          </w:p>
        </w:tc>
        <w:tc>
          <w:tcPr>
            <w:tcW w:w="1134" w:type="dxa"/>
            <w:shd w:val="clear" w:color="auto" w:fill="C6EFCE"/>
            <w:noWrap/>
          </w:tcPr>
          <w:p w14:paraId="742C21B6" w14:textId="77777777" w:rsidR="0065073E" w:rsidRDefault="000A0998">
            <w:pPr>
              <w:pStyle w:val="P68B1DB1-Normal12"/>
              <w:spacing w:after="0" w:line="240" w:lineRule="auto"/>
              <w:jc w:val="center"/>
              <w:rPr>
                <w:rFonts w:cs="Times New Roman"/>
                <w:noProof/>
              </w:rPr>
            </w:pPr>
            <w:r>
              <w:rPr>
                <w:noProof/>
              </w:rPr>
              <w:t>Kuninkaallisen kuninkaallisen kuninkaallisen asetuksen voimaantulo</w:t>
            </w:r>
          </w:p>
        </w:tc>
        <w:tc>
          <w:tcPr>
            <w:tcW w:w="850" w:type="dxa"/>
            <w:shd w:val="clear" w:color="auto" w:fill="C6EFCE"/>
            <w:noWrap/>
          </w:tcPr>
          <w:p w14:paraId="6B515302"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4253EF7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2D6473E8"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34E9DC57"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65B281B9" w14:textId="77777777" w:rsidR="0065073E" w:rsidRDefault="000A0998">
            <w:pPr>
              <w:pStyle w:val="P68B1DB1-Normal12"/>
              <w:spacing w:after="0" w:line="240" w:lineRule="auto"/>
              <w:jc w:val="center"/>
              <w:rPr>
                <w:rFonts w:cs="Times New Roman"/>
                <w:noProof/>
              </w:rPr>
            </w:pPr>
            <w:r>
              <w:rPr>
                <w:noProof/>
              </w:rPr>
              <w:t>2021</w:t>
            </w:r>
          </w:p>
        </w:tc>
        <w:tc>
          <w:tcPr>
            <w:tcW w:w="6379" w:type="dxa"/>
            <w:shd w:val="clear" w:color="auto" w:fill="C6EFCE"/>
            <w:noWrap/>
          </w:tcPr>
          <w:p w14:paraId="4599037D" w14:textId="77777777" w:rsidR="0065073E" w:rsidRDefault="000A0998">
            <w:pPr>
              <w:pStyle w:val="P68B1DB1-Normal12"/>
              <w:spacing w:after="0" w:line="240" w:lineRule="auto"/>
              <w:rPr>
                <w:rFonts w:cs="Times New Roman"/>
                <w:noProof/>
              </w:rPr>
            </w:pPr>
            <w:r>
              <w:rPr>
                <w:noProof/>
              </w:rPr>
              <w:t xml:space="preserve">Kuninkaallisen asetuksen antaminen perusparannusvirastojen (’keskitetyt asiointipisteet’) soveltamisalasta ja niiden rahoituksesta. Järjestetään alakohtainen asuntokonferenssi ja saatetaan yleisön tiedotusvaihe ja muut oikeudelliset menettelyt päätökseen ennen kuninkaallisen asetuksen viimeistelyä. </w:t>
            </w:r>
          </w:p>
        </w:tc>
      </w:tr>
      <w:tr w:rsidR="0065073E" w14:paraId="095B70E7" w14:textId="77777777">
        <w:trPr>
          <w:trHeight w:val="309"/>
        </w:trPr>
        <w:tc>
          <w:tcPr>
            <w:tcW w:w="709" w:type="dxa"/>
            <w:shd w:val="clear" w:color="auto" w:fill="C6EFCE"/>
            <w:noWrap/>
          </w:tcPr>
          <w:p w14:paraId="2AFCDB24" w14:textId="77777777" w:rsidR="0065073E" w:rsidRDefault="000A0998">
            <w:pPr>
              <w:pStyle w:val="P68B1DB1-Normal12"/>
              <w:spacing w:after="0" w:line="240" w:lineRule="auto"/>
              <w:jc w:val="center"/>
              <w:rPr>
                <w:rFonts w:cs="Times New Roman"/>
                <w:noProof/>
              </w:rPr>
            </w:pPr>
            <w:r>
              <w:rPr>
                <w:noProof/>
              </w:rPr>
              <w:t>25</w:t>
            </w:r>
          </w:p>
        </w:tc>
        <w:tc>
          <w:tcPr>
            <w:tcW w:w="851" w:type="dxa"/>
            <w:shd w:val="clear" w:color="auto" w:fill="C6EFCE"/>
            <w:noWrap/>
          </w:tcPr>
          <w:p w14:paraId="29EC4356" w14:textId="77777777" w:rsidR="0065073E" w:rsidRDefault="000A0998">
            <w:pPr>
              <w:pStyle w:val="P68B1DB1-Normal12"/>
              <w:spacing w:after="0" w:line="240" w:lineRule="auto"/>
              <w:jc w:val="center"/>
              <w:rPr>
                <w:rFonts w:eastAsia="MS Mincho" w:cs="Times New Roman"/>
                <w:noProof/>
              </w:rPr>
            </w:pPr>
            <w:r>
              <w:rPr>
                <w:noProof/>
              </w:rPr>
              <w:t>C2.R6</w:t>
            </w:r>
          </w:p>
        </w:tc>
        <w:tc>
          <w:tcPr>
            <w:tcW w:w="850" w:type="dxa"/>
            <w:shd w:val="clear" w:color="auto" w:fill="C6EFCE"/>
            <w:noWrap/>
          </w:tcPr>
          <w:p w14:paraId="755F1112"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638669B5" w14:textId="77777777" w:rsidR="0065073E" w:rsidRDefault="000A0998">
            <w:pPr>
              <w:pStyle w:val="P68B1DB1-Normal12"/>
              <w:spacing w:after="0" w:line="240" w:lineRule="auto"/>
              <w:rPr>
                <w:rFonts w:cs="Times New Roman"/>
                <w:noProof/>
              </w:rPr>
            </w:pPr>
            <w:r>
              <w:rPr>
                <w:noProof/>
              </w:rPr>
              <w:t xml:space="preserve">Horisontaaliseen omaisuuslakiin tehtyjen muutosten voimaantulo kunnostustoimien rahoituksen helpottamiseksi </w:t>
            </w:r>
          </w:p>
        </w:tc>
        <w:tc>
          <w:tcPr>
            <w:tcW w:w="1134" w:type="dxa"/>
            <w:shd w:val="clear" w:color="auto" w:fill="C6EFCE"/>
            <w:noWrap/>
          </w:tcPr>
          <w:p w14:paraId="062F57EB" w14:textId="77777777" w:rsidR="0065073E" w:rsidRDefault="000A0998">
            <w:pPr>
              <w:pStyle w:val="P68B1DB1-Normal12"/>
              <w:spacing w:after="0" w:line="240" w:lineRule="auto"/>
              <w:jc w:val="center"/>
              <w:rPr>
                <w:rFonts w:cs="Times New Roman"/>
                <w:noProof/>
              </w:rPr>
            </w:pPr>
            <w:r>
              <w:rPr>
                <w:noProof/>
              </w:rPr>
              <w:t>Horisontaalista omaisuutta koskevan lain voimaantuloa koskeva säännös</w:t>
            </w:r>
          </w:p>
        </w:tc>
        <w:tc>
          <w:tcPr>
            <w:tcW w:w="850" w:type="dxa"/>
            <w:shd w:val="clear" w:color="auto" w:fill="C6EFCE"/>
            <w:noWrap/>
          </w:tcPr>
          <w:p w14:paraId="696D69FC"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72302A59"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31CBAF0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484860D8"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66B410D7" w14:textId="77777777" w:rsidR="0065073E" w:rsidRDefault="000A0998">
            <w:pPr>
              <w:pStyle w:val="P68B1DB1-Normal12"/>
              <w:spacing w:after="0" w:line="240" w:lineRule="auto"/>
              <w:jc w:val="center"/>
              <w:rPr>
                <w:rFonts w:cs="Times New Roman"/>
                <w:noProof/>
              </w:rPr>
            </w:pPr>
            <w:r>
              <w:rPr>
                <w:noProof/>
              </w:rPr>
              <w:t>2022</w:t>
            </w:r>
          </w:p>
        </w:tc>
        <w:tc>
          <w:tcPr>
            <w:tcW w:w="6379" w:type="dxa"/>
            <w:shd w:val="clear" w:color="auto" w:fill="C6EFCE"/>
            <w:noWrap/>
          </w:tcPr>
          <w:p w14:paraId="56C0CAB7" w14:textId="77777777" w:rsidR="0065073E" w:rsidRDefault="000A0998">
            <w:pPr>
              <w:pStyle w:val="P68B1DB1-Normal12"/>
              <w:spacing w:after="0" w:line="240" w:lineRule="auto"/>
              <w:rPr>
                <w:rFonts w:cs="Times New Roman"/>
                <w:noProof/>
              </w:rPr>
            </w:pPr>
            <w:r>
              <w:rPr>
                <w:noProof/>
              </w:rPr>
              <w:t>Muutokset 21. heinäkuuta annettuun lakiin 49/1960 (horisontaalinen omaisuuslaki), joka koskee yhteisomistusta, jotta voidaan edistää kiinteistöjen kunnostamista ja parantamista omistajayhteisöissä sekä rahoituksen saantia. Muutoksen tavoitteena on helpottaa omistajien yhteisöjen päätöksentekoa rakennusten peruskorjaustöiden toteuttamiseksi energiatehokkuuden parantamiseksi ja pankkirahoituksen saatavuuden helpottamiseksi.</w:t>
            </w:r>
          </w:p>
        </w:tc>
      </w:tr>
      <w:tr w:rsidR="0065073E" w14:paraId="776F96A2" w14:textId="77777777">
        <w:trPr>
          <w:trHeight w:val="309"/>
        </w:trPr>
        <w:tc>
          <w:tcPr>
            <w:tcW w:w="709" w:type="dxa"/>
            <w:shd w:val="clear" w:color="auto" w:fill="C6EFCE"/>
            <w:noWrap/>
          </w:tcPr>
          <w:p w14:paraId="36334656" w14:textId="77777777" w:rsidR="0065073E" w:rsidRDefault="000A0998">
            <w:pPr>
              <w:pStyle w:val="P68B1DB1-Normal12"/>
              <w:spacing w:after="0" w:line="240" w:lineRule="auto"/>
              <w:jc w:val="center"/>
              <w:rPr>
                <w:rFonts w:cs="Times New Roman"/>
                <w:noProof/>
              </w:rPr>
            </w:pPr>
            <w:r>
              <w:rPr>
                <w:noProof/>
              </w:rPr>
              <w:t>26</w:t>
            </w:r>
          </w:p>
        </w:tc>
        <w:tc>
          <w:tcPr>
            <w:tcW w:w="851" w:type="dxa"/>
            <w:shd w:val="clear" w:color="auto" w:fill="C6EFCE"/>
            <w:noWrap/>
          </w:tcPr>
          <w:p w14:paraId="4A6141F8" w14:textId="77777777" w:rsidR="0065073E" w:rsidRDefault="000A0998">
            <w:pPr>
              <w:pStyle w:val="P68B1DB1-Normal12"/>
              <w:spacing w:after="0" w:line="240" w:lineRule="auto"/>
              <w:jc w:val="center"/>
              <w:rPr>
                <w:rFonts w:eastAsia="MS Mincho" w:cs="Times New Roman"/>
                <w:noProof/>
              </w:rPr>
            </w:pPr>
            <w:r>
              <w:rPr>
                <w:noProof/>
              </w:rPr>
              <w:t>C2.I1</w:t>
            </w:r>
          </w:p>
        </w:tc>
        <w:tc>
          <w:tcPr>
            <w:tcW w:w="850" w:type="dxa"/>
            <w:shd w:val="clear" w:color="auto" w:fill="C6EFCE"/>
            <w:noWrap/>
          </w:tcPr>
          <w:p w14:paraId="383E7029"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51896814" w14:textId="77777777" w:rsidR="0065073E" w:rsidRDefault="000A0998">
            <w:pPr>
              <w:pStyle w:val="P68B1DB1-Normal12"/>
              <w:spacing w:after="0" w:line="240" w:lineRule="auto"/>
              <w:rPr>
                <w:rFonts w:cs="Times New Roman"/>
                <w:noProof/>
              </w:rPr>
            </w:pPr>
            <w:r>
              <w:rPr>
                <w:noProof/>
              </w:rPr>
              <w:t xml:space="preserve">Uudistamisohjelman täytäntöönpanoa koskevasta sääntelyjärjestelmästä annetun kuninkaallisen asetuksen voimaantulo ja kuninkaallinen asetus, jolla säännellään henkilökohtaisia tuloverokannustimia ohjelman tukemiseksi </w:t>
            </w:r>
          </w:p>
        </w:tc>
        <w:tc>
          <w:tcPr>
            <w:tcW w:w="1134" w:type="dxa"/>
            <w:shd w:val="clear" w:color="auto" w:fill="C6EFCE"/>
            <w:noWrap/>
          </w:tcPr>
          <w:p w14:paraId="3494296F" w14:textId="77777777" w:rsidR="0065073E" w:rsidRDefault="000A0998">
            <w:pPr>
              <w:pStyle w:val="P68B1DB1-Normal12"/>
              <w:spacing w:after="0" w:line="240" w:lineRule="auto"/>
              <w:jc w:val="center"/>
              <w:rPr>
                <w:rFonts w:cs="Times New Roman"/>
                <w:noProof/>
              </w:rPr>
            </w:pPr>
            <w:r>
              <w:rPr>
                <w:noProof/>
              </w:rPr>
              <w:t>Kuninkaan asetuksen ja kuninkaan asetuksen voimaantuloa koskeva säännös</w:t>
            </w:r>
          </w:p>
        </w:tc>
        <w:tc>
          <w:tcPr>
            <w:tcW w:w="850" w:type="dxa"/>
            <w:shd w:val="clear" w:color="auto" w:fill="C6EFCE"/>
            <w:noWrap/>
          </w:tcPr>
          <w:p w14:paraId="4A7717C8"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419A23A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74536B0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02A756F6"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1897C7B7" w14:textId="77777777" w:rsidR="0065073E" w:rsidRDefault="000A0998">
            <w:pPr>
              <w:pStyle w:val="P68B1DB1-Normal12"/>
              <w:spacing w:after="0" w:line="240" w:lineRule="auto"/>
              <w:jc w:val="center"/>
              <w:rPr>
                <w:rFonts w:cs="Times New Roman"/>
                <w:noProof/>
              </w:rPr>
            </w:pPr>
            <w:r>
              <w:rPr>
                <w:noProof/>
              </w:rPr>
              <w:t>2021</w:t>
            </w:r>
          </w:p>
        </w:tc>
        <w:tc>
          <w:tcPr>
            <w:tcW w:w="6379" w:type="dxa"/>
            <w:shd w:val="clear" w:color="auto" w:fill="C6EFCE"/>
            <w:noWrap/>
          </w:tcPr>
          <w:p w14:paraId="2E8C9D62" w14:textId="77777777" w:rsidR="0065073E" w:rsidRDefault="000A0998">
            <w:pPr>
              <w:pStyle w:val="P68B1DB1-Normal12"/>
              <w:spacing w:after="0" w:line="240" w:lineRule="auto"/>
              <w:rPr>
                <w:rFonts w:cs="Times New Roman"/>
                <w:noProof/>
              </w:rPr>
            </w:pPr>
            <w:r>
              <w:rPr>
                <w:noProof/>
              </w:rPr>
              <w:t>Kuninkaallinen asetus, jossa määritellään uusimisohjelman täytäntöönpanoa koskeva sääntelykehys; ja kuninkaan asetus, jolla säännellään henkilökohtaisia tuloverokannustimia ohjelman tukemiseksi. Sääntelyjärjestelmän määrittelevässä kuninkaan asetuksessa vahvistetaan tekniset vaatimukset, joilla varmistetaan uusiutumattoman primäärienergian kulutuksen 30 prosentin keskimääräisen vähennyksen noudattaminen. Asuntoja käsittelevä alakohtainen konferenssi järjestetään ja yleisölle tiedottamisen vaihe ja muut oikeudelliset menettelyt saatetaan päätökseen ennen kuninkaallisen asetuksen viimeistelyä.</w:t>
            </w:r>
          </w:p>
        </w:tc>
      </w:tr>
      <w:tr w:rsidR="0065073E" w14:paraId="43DA2FAA" w14:textId="77777777">
        <w:trPr>
          <w:trHeight w:val="309"/>
        </w:trPr>
        <w:tc>
          <w:tcPr>
            <w:tcW w:w="709" w:type="dxa"/>
            <w:shd w:val="clear" w:color="auto" w:fill="C6EFCE"/>
            <w:noWrap/>
          </w:tcPr>
          <w:p w14:paraId="41C0AA51" w14:textId="0124B5C6" w:rsidR="0065073E" w:rsidRDefault="000A0998">
            <w:pPr>
              <w:pStyle w:val="P68B1DB1-Normal12"/>
              <w:spacing w:after="0" w:line="240" w:lineRule="auto"/>
              <w:jc w:val="center"/>
              <w:rPr>
                <w:rFonts w:cs="Times New Roman"/>
                <w:noProof/>
              </w:rPr>
            </w:pPr>
            <w:r>
              <w:rPr>
                <w:noProof/>
              </w:rPr>
              <w:t>27</w:t>
            </w:r>
          </w:p>
        </w:tc>
        <w:tc>
          <w:tcPr>
            <w:tcW w:w="851" w:type="dxa"/>
            <w:shd w:val="clear" w:color="auto" w:fill="C6EFCE"/>
            <w:noWrap/>
          </w:tcPr>
          <w:p w14:paraId="26F54131" w14:textId="77777777" w:rsidR="0065073E" w:rsidRDefault="000A0998">
            <w:pPr>
              <w:pStyle w:val="P68B1DB1-Normal12"/>
              <w:spacing w:after="0" w:line="240" w:lineRule="auto"/>
              <w:jc w:val="center"/>
              <w:rPr>
                <w:rFonts w:eastAsia="MS Mincho" w:cs="Times New Roman"/>
                <w:noProof/>
              </w:rPr>
            </w:pPr>
            <w:r>
              <w:rPr>
                <w:noProof/>
              </w:rPr>
              <w:t>C2.I1</w:t>
            </w:r>
          </w:p>
        </w:tc>
        <w:tc>
          <w:tcPr>
            <w:tcW w:w="850" w:type="dxa"/>
            <w:shd w:val="clear" w:color="auto" w:fill="C6EFCE"/>
            <w:noWrap/>
          </w:tcPr>
          <w:p w14:paraId="1F830FBF"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540F575C" w14:textId="00F0717B" w:rsidR="0065073E" w:rsidRDefault="000A0998">
            <w:pPr>
              <w:pStyle w:val="P68B1DB1-Normal12"/>
              <w:spacing w:after="0" w:line="240" w:lineRule="auto"/>
              <w:rPr>
                <w:rFonts w:cs="Times New Roman"/>
                <w:noProof/>
              </w:rPr>
            </w:pPr>
            <w:r>
              <w:rPr>
                <w:noProof/>
              </w:rPr>
              <w:t>Asuinrakennusten perusparannustoimien tai tuen myöntämistä koskevien päätösten loppuun saattaminen asuntojen peruskorjaustoimien toteuttamiseen siten, että saavutetaan tai pyritään vähentämään primäärienergian kysyntää keskimäärin vähintään 30 prosentilla (vähintään 231000 toimea vähintään 160000 yksittäisessä asunnossa)</w:t>
            </w:r>
          </w:p>
        </w:tc>
        <w:tc>
          <w:tcPr>
            <w:tcW w:w="1134" w:type="dxa"/>
            <w:shd w:val="clear" w:color="auto" w:fill="C6EFCE"/>
            <w:noWrap/>
          </w:tcPr>
          <w:p w14:paraId="7D7A3EC8"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20B375FC"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0CF44D54"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7D969CEE" w14:textId="77777777" w:rsidR="0065073E" w:rsidRDefault="000A0998">
            <w:pPr>
              <w:pStyle w:val="P68B1DB1-Normal12"/>
              <w:spacing w:after="0" w:line="240" w:lineRule="auto"/>
              <w:jc w:val="right"/>
              <w:rPr>
                <w:rFonts w:eastAsia="MS Mincho" w:cs="Times New Roman"/>
                <w:noProof/>
              </w:rPr>
            </w:pPr>
            <w:r>
              <w:rPr>
                <w:noProof/>
              </w:rPr>
              <w:t>231 000</w:t>
            </w:r>
          </w:p>
        </w:tc>
        <w:tc>
          <w:tcPr>
            <w:tcW w:w="425" w:type="dxa"/>
            <w:shd w:val="clear" w:color="auto" w:fill="C6EFCE"/>
            <w:noWrap/>
          </w:tcPr>
          <w:p w14:paraId="65DAC869"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4FF3EC85" w14:textId="6C65C8D9" w:rsidR="0065073E" w:rsidRDefault="000A0998">
            <w:pPr>
              <w:pStyle w:val="P68B1DB1-Normal12"/>
              <w:spacing w:after="0" w:line="240" w:lineRule="auto"/>
              <w:jc w:val="center"/>
              <w:rPr>
                <w:rFonts w:cs="Times New Roman"/>
                <w:noProof/>
              </w:rPr>
            </w:pPr>
            <w:r>
              <w:rPr>
                <w:noProof/>
              </w:rPr>
              <w:t>2024</w:t>
            </w:r>
          </w:p>
        </w:tc>
        <w:tc>
          <w:tcPr>
            <w:tcW w:w="6379" w:type="dxa"/>
            <w:shd w:val="clear" w:color="auto" w:fill="C6EFCE"/>
            <w:noWrap/>
          </w:tcPr>
          <w:p w14:paraId="1C8971BD" w14:textId="17D7124A" w:rsidR="0065073E" w:rsidRDefault="000A0998">
            <w:pPr>
              <w:pStyle w:val="P68B1DB1-Normal12"/>
              <w:spacing w:after="0" w:line="240" w:lineRule="auto"/>
              <w:rPr>
                <w:rFonts w:cs="Times New Roman"/>
                <w:noProof/>
              </w:rPr>
            </w:pPr>
            <w:r>
              <w:rPr>
                <w:noProof/>
              </w:rPr>
              <w:t>Vähintään 231000 asuinrakennusten peruskorjaustointa tai päätöstä myöntää tukea näiden toimien toteuttamiseen vähintään 160000 yksittäisessä asunnossa, joiden tavoitteena on vähentää primäärienergian kysyntää keskimäärin vähintään 30 prosenttia (kumulatiivinen). Indikaattoria sovellettaessa asumisen käsitteen on oltava Eurostatin määritelmän mukainen (”asunto on pysyvässä rakennuksessa tai rakennuksen rakenteellisesti erotetussa osassa oleva huone tai huoneiden sarja – mukaan lukien sen lisävarusteet, eturyhmät ja käytävät – joka rakennetaan, rakennetaan uudelleen tai muutetaan siten, että se on tarkoitettu yhden yksityisen kotitalouden asumiseen ympäri vuoden”), ja se voi tarvittaessa sisältää sosiaalisen tai julkisen asunnon. Käytetyt energiatehokkuuden parantamisindikaattorit on akkreditoitava asiaankuuluvalla energiatehokkuustodistuksella rakennusten energiatehokkuudesta 19 päivänä toukokuuta 2010 annetun Euroopan parlamentin ja neuvoston direktiivin 2010/31/EU puitteissa. Asuntojen kunnostustoimien lukumäärä määritetään kaikkien sellaisten parannus- ja kunnostustoimien summana (rajatuilla asuinalueilla, rakennuksen tai asunnon tasolla), jotka on toteutettu tai joille on myönnetty tukea hallinnollisella päätöksellä jonkin tukikohdan (täysi kunnostaminen tai rakentaminen) tai verokannustimen avulla. Uusiutumattoman primäärienergian kulutuksen keskimääräinen säästöprosentti 30 prosentin vähimmäisarvon noudattamiseksi saadaan painottamalla kunnostustoimien kokonaisuutta elpymis- ja palautumissuunnitelman mukaisen tuen tai rahoituksen määrällä. Tämä indikaattori sisältää parannus- ja kunnostustoimet kaikissa kunnissa niiden koosta riippumatta. Saavutettujen energiansäästöjen noudattamisen perustelemiseksi vaaditaan ja kootaan päätökseen saatettujen töiden energiatehokkuustodistukset, jotta voidaan vahvistaa saavutetut keskimääräiset energiansäästöt.</w:t>
            </w:r>
          </w:p>
        </w:tc>
      </w:tr>
      <w:tr w:rsidR="0065073E" w14:paraId="717FD4F2" w14:textId="77777777">
        <w:trPr>
          <w:trHeight w:val="309"/>
        </w:trPr>
        <w:tc>
          <w:tcPr>
            <w:tcW w:w="709" w:type="dxa"/>
            <w:shd w:val="clear" w:color="auto" w:fill="C6EFCE"/>
            <w:noWrap/>
          </w:tcPr>
          <w:p w14:paraId="57393B24" w14:textId="77777777" w:rsidR="0065073E" w:rsidRDefault="000A0998">
            <w:pPr>
              <w:pStyle w:val="P68B1DB1-Normal12"/>
              <w:spacing w:after="0" w:line="240" w:lineRule="auto"/>
              <w:jc w:val="center"/>
              <w:rPr>
                <w:rFonts w:cs="Times New Roman"/>
                <w:noProof/>
              </w:rPr>
            </w:pPr>
            <w:r>
              <w:rPr>
                <w:noProof/>
              </w:rPr>
              <w:t>28</w:t>
            </w:r>
          </w:p>
        </w:tc>
        <w:tc>
          <w:tcPr>
            <w:tcW w:w="851" w:type="dxa"/>
            <w:shd w:val="clear" w:color="auto" w:fill="C6EFCE"/>
            <w:noWrap/>
          </w:tcPr>
          <w:p w14:paraId="543D3716" w14:textId="77777777" w:rsidR="0065073E" w:rsidRDefault="000A0998">
            <w:pPr>
              <w:pStyle w:val="P68B1DB1-Normal12"/>
              <w:spacing w:after="0" w:line="240" w:lineRule="auto"/>
              <w:jc w:val="center"/>
              <w:rPr>
                <w:rFonts w:eastAsia="MS Mincho" w:cs="Times New Roman"/>
                <w:noProof/>
              </w:rPr>
            </w:pPr>
            <w:r>
              <w:rPr>
                <w:noProof/>
              </w:rPr>
              <w:t>C2.I1</w:t>
            </w:r>
          </w:p>
        </w:tc>
        <w:tc>
          <w:tcPr>
            <w:tcW w:w="850" w:type="dxa"/>
            <w:shd w:val="clear" w:color="auto" w:fill="C6EFCE"/>
            <w:noWrap/>
          </w:tcPr>
          <w:p w14:paraId="18C9352D"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7C490BA1" w14:textId="77777777" w:rsidR="0065073E" w:rsidRDefault="000A0998">
            <w:pPr>
              <w:pStyle w:val="P68B1DB1-Normal12"/>
              <w:spacing w:after="0" w:line="240" w:lineRule="auto"/>
              <w:rPr>
                <w:rFonts w:cs="Times New Roman"/>
                <w:noProof/>
              </w:rPr>
            </w:pPr>
            <w:r>
              <w:rPr>
                <w:noProof/>
              </w:rPr>
              <w:t>Maa-ala alueilla tai asuinalueilla, joita uudistetaan, hehtaareina, ja primäärienergian kysyntä on vähentynyt keskimäärin vähintään 30 prosenttia</w:t>
            </w:r>
          </w:p>
        </w:tc>
        <w:tc>
          <w:tcPr>
            <w:tcW w:w="1134" w:type="dxa"/>
            <w:shd w:val="clear" w:color="auto" w:fill="C6EFCE"/>
            <w:noWrap/>
          </w:tcPr>
          <w:p w14:paraId="129C278E"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0934D530" w14:textId="77777777" w:rsidR="0065073E" w:rsidRDefault="000A0998">
            <w:pPr>
              <w:pStyle w:val="P68B1DB1-Normal12"/>
              <w:spacing w:after="0" w:line="240" w:lineRule="auto"/>
              <w:jc w:val="right"/>
              <w:rPr>
                <w:rFonts w:eastAsia="MS Mincho" w:cs="Times New Roman"/>
                <w:noProof/>
              </w:rPr>
            </w:pPr>
            <w:r>
              <w:rPr>
                <w:noProof/>
              </w:rPr>
              <w:t>Lukumäärä (hehtaaria)</w:t>
            </w:r>
          </w:p>
        </w:tc>
        <w:tc>
          <w:tcPr>
            <w:tcW w:w="992" w:type="dxa"/>
            <w:shd w:val="clear" w:color="auto" w:fill="C6EFCE"/>
            <w:noWrap/>
          </w:tcPr>
          <w:p w14:paraId="165DCE8A"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0DC15D76" w14:textId="77777777" w:rsidR="0065073E" w:rsidRDefault="000A0998">
            <w:pPr>
              <w:pStyle w:val="P68B1DB1-Normal12"/>
              <w:spacing w:after="0" w:line="240" w:lineRule="auto"/>
              <w:jc w:val="right"/>
              <w:rPr>
                <w:rFonts w:eastAsia="MS Mincho" w:cs="Times New Roman"/>
                <w:noProof/>
              </w:rPr>
            </w:pPr>
            <w:r>
              <w:rPr>
                <w:noProof/>
              </w:rPr>
              <w:t>600</w:t>
            </w:r>
          </w:p>
        </w:tc>
        <w:tc>
          <w:tcPr>
            <w:tcW w:w="425" w:type="dxa"/>
            <w:shd w:val="clear" w:color="auto" w:fill="C6EFCE"/>
            <w:noWrap/>
          </w:tcPr>
          <w:p w14:paraId="02862E1E"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1D5B6C8C"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4F6AE6DF" w14:textId="77777777" w:rsidR="0065073E" w:rsidRDefault="000A0998">
            <w:pPr>
              <w:pStyle w:val="P68B1DB1-Normal12"/>
              <w:spacing w:after="0" w:line="240" w:lineRule="auto"/>
              <w:rPr>
                <w:rFonts w:cs="Times New Roman"/>
                <w:noProof/>
              </w:rPr>
            </w:pPr>
            <w:r>
              <w:rPr>
                <w:noProof/>
              </w:rPr>
              <w:t>Vähintään 600 hehtaaria maata alueilla tai asuinalueilla, joita uudistetaan, saatu päätökseen. Luku sisältää niiden alueiden tai kaupunkialueiden pinta-alan, joista on toteutettu toimia ohjelman puitteissa tehtyjen sopimusten perusteella. Toimet on toteutettava varmistamalla tekniset vaatimukset, joilla varmistetaan, että uusiutumattoman primäärienergian kulutus vähenee keskimäärin 30 prosenttia rakennusten peruskorjauksissa. Saavutettujen energiansäästöjen noudattamisen perustelemiseksi vaaditaan ja kootaan päätökseen saatettujen töiden energiatehokkuustodistukset, jotta voidaan vahvistaa saavutetut keskimääräiset energiansäästöt.</w:t>
            </w:r>
          </w:p>
        </w:tc>
      </w:tr>
      <w:tr w:rsidR="0065073E" w14:paraId="7BCABE61" w14:textId="77777777">
        <w:trPr>
          <w:trHeight w:val="309"/>
        </w:trPr>
        <w:tc>
          <w:tcPr>
            <w:tcW w:w="709" w:type="dxa"/>
            <w:shd w:val="clear" w:color="auto" w:fill="C6EFCE"/>
            <w:noWrap/>
          </w:tcPr>
          <w:p w14:paraId="4B34824B" w14:textId="77777777" w:rsidR="0065073E" w:rsidRDefault="000A0998">
            <w:pPr>
              <w:pStyle w:val="P68B1DB1-Normal12"/>
              <w:spacing w:after="0" w:line="240" w:lineRule="auto"/>
              <w:jc w:val="center"/>
              <w:rPr>
                <w:rFonts w:cs="Times New Roman"/>
                <w:noProof/>
              </w:rPr>
            </w:pPr>
            <w:r>
              <w:rPr>
                <w:noProof/>
              </w:rPr>
              <w:t>29</w:t>
            </w:r>
          </w:p>
        </w:tc>
        <w:tc>
          <w:tcPr>
            <w:tcW w:w="851" w:type="dxa"/>
            <w:shd w:val="clear" w:color="auto" w:fill="C6EFCE"/>
            <w:noWrap/>
          </w:tcPr>
          <w:p w14:paraId="4A10A290" w14:textId="77777777" w:rsidR="0065073E" w:rsidRDefault="000A0998">
            <w:pPr>
              <w:pStyle w:val="P68B1DB1-Normal12"/>
              <w:spacing w:after="0" w:line="240" w:lineRule="auto"/>
              <w:jc w:val="center"/>
              <w:rPr>
                <w:rFonts w:eastAsia="MS Mincho" w:cs="Times New Roman"/>
                <w:noProof/>
              </w:rPr>
            </w:pPr>
            <w:r>
              <w:rPr>
                <w:noProof/>
              </w:rPr>
              <w:t>C2.I1</w:t>
            </w:r>
          </w:p>
        </w:tc>
        <w:tc>
          <w:tcPr>
            <w:tcW w:w="850" w:type="dxa"/>
            <w:shd w:val="clear" w:color="auto" w:fill="C6EFCE"/>
            <w:noWrap/>
          </w:tcPr>
          <w:p w14:paraId="4F26EDEE"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3B75242F" w14:textId="24702063" w:rsidR="0065073E" w:rsidRDefault="000A0998">
            <w:pPr>
              <w:pStyle w:val="P68B1DB1-Normal12"/>
              <w:spacing w:after="0" w:line="240" w:lineRule="auto"/>
              <w:rPr>
                <w:rFonts w:cs="Times New Roman"/>
                <w:noProof/>
              </w:rPr>
            </w:pPr>
            <w:r>
              <w:rPr>
                <w:noProof/>
              </w:rPr>
              <w:t xml:space="preserve">Asuntojen perusparannustoimien loppuun saattaminen siten, että primäärienergian kysyntää vähennetään keskimäärin vähintään 30 prosenttia (vähintään 410000 toimea vähintään 285000 yksittäisessä asunnossa) </w:t>
            </w:r>
          </w:p>
        </w:tc>
        <w:tc>
          <w:tcPr>
            <w:tcW w:w="1134" w:type="dxa"/>
            <w:shd w:val="clear" w:color="auto" w:fill="C6EFCE"/>
            <w:noWrap/>
          </w:tcPr>
          <w:p w14:paraId="2790C8A6"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6EFB9251"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74DF813D" w14:textId="77777777" w:rsidR="0065073E" w:rsidRDefault="000A0998">
            <w:pPr>
              <w:pStyle w:val="P68B1DB1-Normal12"/>
              <w:spacing w:after="0" w:line="240" w:lineRule="auto"/>
              <w:jc w:val="right"/>
              <w:rPr>
                <w:rFonts w:eastAsia="MS Mincho" w:cs="Times New Roman"/>
                <w:noProof/>
              </w:rPr>
            </w:pPr>
            <w:r>
              <w:rPr>
                <w:noProof/>
              </w:rPr>
              <w:t>231 000</w:t>
            </w:r>
          </w:p>
        </w:tc>
        <w:tc>
          <w:tcPr>
            <w:tcW w:w="851" w:type="dxa"/>
            <w:shd w:val="clear" w:color="auto" w:fill="C6EFCE"/>
            <w:noWrap/>
          </w:tcPr>
          <w:p w14:paraId="53E2E224" w14:textId="328687B3" w:rsidR="0065073E" w:rsidRDefault="000A0998">
            <w:pPr>
              <w:pStyle w:val="P68B1DB1-Normal12"/>
              <w:spacing w:after="0" w:line="240" w:lineRule="auto"/>
              <w:jc w:val="right"/>
              <w:rPr>
                <w:rFonts w:eastAsia="MS Mincho" w:cs="Times New Roman"/>
                <w:noProof/>
              </w:rPr>
            </w:pPr>
            <w:r>
              <w:rPr>
                <w:noProof/>
              </w:rPr>
              <w:t>410 000</w:t>
            </w:r>
          </w:p>
        </w:tc>
        <w:tc>
          <w:tcPr>
            <w:tcW w:w="425" w:type="dxa"/>
            <w:shd w:val="clear" w:color="auto" w:fill="C6EFCE"/>
            <w:noWrap/>
          </w:tcPr>
          <w:p w14:paraId="3B1CE8F1"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2576EDE7"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2D19D2ED" w14:textId="64BA6765" w:rsidR="0065073E" w:rsidRDefault="000A0998">
            <w:pPr>
              <w:pStyle w:val="P68B1DB1-Normal12"/>
              <w:spacing w:after="0" w:line="240" w:lineRule="auto"/>
              <w:rPr>
                <w:rFonts w:cs="Times New Roman"/>
                <w:noProof/>
              </w:rPr>
            </w:pPr>
            <w:r>
              <w:rPr>
                <w:noProof/>
              </w:rPr>
              <w:t>Vähintään 410000 asuinasuntojen peruskorjaustointa on toteutettu vähintään 285000 yksittäisessä asunnossa, joilla saavutetaan keskimäärin vähintään 30 prosentin vähennys primäärienergian kysyntään (kumulatiivinen). Indikaattoria sovellettaessa asumisen käsitteen on oltava Eurostatin määritelmän mukainen (”asunto on pysyvässä rakennuksessa tai rakennuksen rakenteellisesti erotetussa osassa oleva huone tai huoneiden sarja – mukaan lukien sen lisävarusteet, eturyhmät ja käytävät – joka rakennetaan, rakennetaan uudelleen tai muutetaan siten, että se on tarkoitettu yhden yksityisen kotitalouden asumiseen ympäri vuoden”), ja se voi tarvittaessa sisältää sosiaalisen tai julkisen asunnon. Käytetyt energiatehokkuuden parantamisindikaattorit on akkreditoitava asiaankuuluvalla energiatehokkuustodistuksella rakennusten energiatehokkuudesta 19 päivänä toukokuuta 2010 annetun Euroopan parlamentin ja neuvoston direktiivin 2010/31/EU puitteissa. Asuntojen kunnostustoimien lukumäärä määritetään kaikkien sellaisten parannus- ja kunnostustoimien summana (rajatuilla asuinalueilla, rakennuksen tai asunnon tasolla), jotka on toteutettu toteuttamalla yksi tukilinjoista (täysi kunnostaminen tai rakentaminen) tai verokannustin. Uusiutumattoman primäärienergian kulutuksen keskimääräinen säästöprosentti 30 prosentin vähimmäisarvon noudattamiseksi saadaan painottamalla kunnostustoimien kokonaisuutta elpymis- ja palautumissuunnitelman mukaisen tuen tai rahoituksen määrällä. Tämä indikaattori sisältää parannus- ja kunnostustoimet kaikissa kunnissa niiden koosta riippumatta. Saavutettujen energiansäästöjen noudattamisen perustelemiseksi vaaditaan ja kootaan päätökseen saatettujen töiden energiatehokkuustodistukset, jotta voidaan vahvistaa saavutetut keskimääräiset energiansäästöt. (Perustaso: Joulukuuta 2024.)</w:t>
            </w:r>
          </w:p>
        </w:tc>
      </w:tr>
      <w:tr w:rsidR="0065073E" w14:paraId="4187DA6B" w14:textId="77777777">
        <w:trPr>
          <w:trHeight w:val="309"/>
        </w:trPr>
        <w:tc>
          <w:tcPr>
            <w:tcW w:w="709" w:type="dxa"/>
            <w:shd w:val="clear" w:color="auto" w:fill="C6EFCE"/>
            <w:noWrap/>
          </w:tcPr>
          <w:p w14:paraId="219897CE" w14:textId="77777777" w:rsidR="0065073E" w:rsidRDefault="000A0998">
            <w:pPr>
              <w:pStyle w:val="P68B1DB1-Normal12"/>
              <w:spacing w:after="0" w:line="240" w:lineRule="auto"/>
              <w:jc w:val="center"/>
              <w:rPr>
                <w:rFonts w:cs="Times New Roman"/>
                <w:noProof/>
              </w:rPr>
            </w:pPr>
            <w:r>
              <w:rPr>
                <w:noProof/>
              </w:rPr>
              <w:t>30</w:t>
            </w:r>
          </w:p>
        </w:tc>
        <w:tc>
          <w:tcPr>
            <w:tcW w:w="851" w:type="dxa"/>
            <w:shd w:val="clear" w:color="auto" w:fill="C6EFCE"/>
            <w:noWrap/>
          </w:tcPr>
          <w:p w14:paraId="39E1901F" w14:textId="77777777" w:rsidR="0065073E" w:rsidRDefault="000A0998">
            <w:pPr>
              <w:pStyle w:val="P68B1DB1-Normal12"/>
              <w:spacing w:after="0" w:line="240" w:lineRule="auto"/>
              <w:jc w:val="center"/>
              <w:rPr>
                <w:rFonts w:cs="Times New Roman"/>
                <w:noProof/>
              </w:rPr>
            </w:pPr>
            <w:r>
              <w:rPr>
                <w:noProof/>
              </w:rPr>
              <w:t>C2.I2</w:t>
            </w:r>
          </w:p>
        </w:tc>
        <w:tc>
          <w:tcPr>
            <w:tcW w:w="850" w:type="dxa"/>
            <w:shd w:val="clear" w:color="auto" w:fill="C6EFCE"/>
            <w:noWrap/>
          </w:tcPr>
          <w:p w14:paraId="64558372"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01EEAA9C" w14:textId="77777777" w:rsidR="0065073E" w:rsidRDefault="000A0998">
            <w:pPr>
              <w:pStyle w:val="P68B1DB1-Normal12"/>
              <w:spacing w:after="0" w:line="240" w:lineRule="auto"/>
              <w:rPr>
                <w:rFonts w:cs="Times New Roman"/>
                <w:noProof/>
              </w:rPr>
            </w:pPr>
            <w:r>
              <w:rPr>
                <w:noProof/>
              </w:rPr>
              <w:t xml:space="preserve">Energiatehokkuuskriteerien mukaisia energiatehokkaita sosiaalisia vuokra-asuntoja koskevan ohjelman täytäntöönpanoa koskevan sääntelykehyksen määrittelystä annetun kuninkaallisen asetuksen voimaantulo </w:t>
            </w:r>
          </w:p>
        </w:tc>
        <w:tc>
          <w:tcPr>
            <w:tcW w:w="1134" w:type="dxa"/>
            <w:shd w:val="clear" w:color="auto" w:fill="C6EFCE"/>
            <w:noWrap/>
          </w:tcPr>
          <w:p w14:paraId="2A07BAB2" w14:textId="77777777" w:rsidR="0065073E" w:rsidRDefault="000A0998">
            <w:pPr>
              <w:pStyle w:val="P68B1DB1-Normal12"/>
              <w:spacing w:after="0" w:line="240" w:lineRule="auto"/>
              <w:jc w:val="center"/>
              <w:rPr>
                <w:rFonts w:cs="Times New Roman"/>
                <w:noProof/>
              </w:rPr>
            </w:pPr>
            <w:r>
              <w:rPr>
                <w:noProof/>
              </w:rPr>
              <w:t>Voimaantuloa koskevan kuninkaallisen asetuksen säännös</w:t>
            </w:r>
          </w:p>
        </w:tc>
        <w:tc>
          <w:tcPr>
            <w:tcW w:w="850" w:type="dxa"/>
            <w:shd w:val="clear" w:color="auto" w:fill="C6EFCE"/>
            <w:noWrap/>
          </w:tcPr>
          <w:p w14:paraId="6ECDD213" w14:textId="77777777"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5B68B9CD" w14:textId="77777777" w:rsidR="0065073E" w:rsidRDefault="000A0998">
            <w:pPr>
              <w:pStyle w:val="P68B1DB1-Normal12"/>
              <w:spacing w:after="0" w:line="240" w:lineRule="auto"/>
              <w:jc w:val="right"/>
              <w:rPr>
                <w:rFonts w:cs="Times New Roman"/>
                <w:noProof/>
              </w:rPr>
            </w:pPr>
            <w:r>
              <w:rPr>
                <w:noProof/>
              </w:rPr>
              <w:t xml:space="preserve"> </w:t>
            </w:r>
          </w:p>
        </w:tc>
        <w:tc>
          <w:tcPr>
            <w:tcW w:w="851" w:type="dxa"/>
            <w:shd w:val="clear" w:color="auto" w:fill="C6EFCE"/>
            <w:noWrap/>
          </w:tcPr>
          <w:p w14:paraId="1B7172F4" w14:textId="77777777" w:rsidR="0065073E" w:rsidRDefault="000A0998">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35DAEC7D"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6EC9CF6B" w14:textId="77777777" w:rsidR="0065073E" w:rsidRDefault="000A0998">
            <w:pPr>
              <w:pStyle w:val="P68B1DB1-Normal12"/>
              <w:spacing w:after="0" w:line="240" w:lineRule="auto"/>
              <w:jc w:val="center"/>
              <w:rPr>
                <w:rFonts w:cs="Times New Roman"/>
                <w:noProof/>
              </w:rPr>
            </w:pPr>
            <w:r>
              <w:rPr>
                <w:noProof/>
              </w:rPr>
              <w:t>2021</w:t>
            </w:r>
          </w:p>
        </w:tc>
        <w:tc>
          <w:tcPr>
            <w:tcW w:w="6379" w:type="dxa"/>
            <w:shd w:val="clear" w:color="auto" w:fill="C6EFCE"/>
            <w:noWrap/>
          </w:tcPr>
          <w:p w14:paraId="03EF9BF8" w14:textId="77777777" w:rsidR="0065073E" w:rsidRDefault="000A0998">
            <w:pPr>
              <w:pStyle w:val="P68B1DB1-Normal12"/>
              <w:spacing w:after="0" w:line="240" w:lineRule="auto"/>
              <w:rPr>
                <w:rFonts w:cs="Times New Roman"/>
                <w:noProof/>
              </w:rPr>
            </w:pPr>
            <w:r>
              <w:rPr>
                <w:noProof/>
              </w:rPr>
              <w:t>Hyväksytään kuninkaallinen asetus, jossa määritellään energiatehokkuuskriteerit täyttäviä energiatehokkaita sosiaalisia vuokra-asuntoja koskevan ohjelman täytäntöönpanon sääntelykehys. Kuninkaan asetuksessa vahvistetaan tekniset vaatimukset, joilla varmistetaan, että rakennusten rakentamisessa saavutetaan tavoite, jonka mukaan primäärienergian kysyntä on vähintään 20 prosenttia alhaisempi kuin kansallisten suuntaviivojen mukainen lähes nollaenergiarakennusten vaatimus. Tätä varten vaatimuksena on rajoittaa uusiutumattoman primäärienergian kulutus 80 prosenttiin teknisen rakennussäännöstön (CTE) energiansäästöä koskevan perusasiakirjan (DB-HE) jaksossa HE 0 vahvistetusta raja-arvosta. Asuntoja käsittelevä alakohtainen konferenssi järjestetään ja yleisölle tiedottamisen vaihe ja muut oikeudelliset menettelyt saatetaan päätökseen ennen kuninkaallisen asetuksen viimeistelyä.</w:t>
            </w:r>
          </w:p>
        </w:tc>
      </w:tr>
      <w:tr w:rsidR="0065073E" w14:paraId="08CF31DB" w14:textId="77777777">
        <w:trPr>
          <w:trHeight w:val="309"/>
        </w:trPr>
        <w:tc>
          <w:tcPr>
            <w:tcW w:w="709" w:type="dxa"/>
            <w:shd w:val="clear" w:color="auto" w:fill="C6EFCE"/>
            <w:noWrap/>
          </w:tcPr>
          <w:p w14:paraId="2C8B330C" w14:textId="77777777" w:rsidR="0065073E" w:rsidRDefault="000A0998">
            <w:pPr>
              <w:pStyle w:val="P68B1DB1-Normal12"/>
              <w:spacing w:after="0" w:line="240" w:lineRule="auto"/>
              <w:jc w:val="center"/>
              <w:rPr>
                <w:rFonts w:cs="Times New Roman"/>
                <w:noProof/>
              </w:rPr>
            </w:pPr>
            <w:r>
              <w:rPr>
                <w:noProof/>
              </w:rPr>
              <w:t>31</w:t>
            </w:r>
          </w:p>
        </w:tc>
        <w:tc>
          <w:tcPr>
            <w:tcW w:w="851" w:type="dxa"/>
            <w:shd w:val="clear" w:color="auto" w:fill="C6EFCE"/>
            <w:noWrap/>
          </w:tcPr>
          <w:p w14:paraId="60C24825" w14:textId="77777777" w:rsidR="0065073E" w:rsidRDefault="000A0998">
            <w:pPr>
              <w:pStyle w:val="P68B1DB1-Normal12"/>
              <w:spacing w:after="0" w:line="240" w:lineRule="auto"/>
              <w:jc w:val="center"/>
              <w:rPr>
                <w:rFonts w:eastAsia="MS Mincho" w:cs="Times New Roman"/>
                <w:noProof/>
              </w:rPr>
            </w:pPr>
            <w:r>
              <w:rPr>
                <w:noProof/>
              </w:rPr>
              <w:t>C2.I2</w:t>
            </w:r>
          </w:p>
        </w:tc>
        <w:tc>
          <w:tcPr>
            <w:tcW w:w="850" w:type="dxa"/>
            <w:shd w:val="clear" w:color="auto" w:fill="C6EFCE"/>
            <w:noWrap/>
          </w:tcPr>
          <w:p w14:paraId="4D7714BB"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66003F66" w14:textId="77777777" w:rsidR="0065073E" w:rsidRDefault="000A0998">
            <w:pPr>
              <w:pStyle w:val="P68B1DB1-Normal12"/>
              <w:spacing w:after="0" w:line="240" w:lineRule="auto"/>
              <w:rPr>
                <w:rFonts w:cs="Times New Roman"/>
                <w:noProof/>
              </w:rPr>
            </w:pPr>
            <w:r>
              <w:rPr>
                <w:noProof/>
              </w:rPr>
              <w:t>Uudet asunnot, jotka on rakennettu sosiaalista vuokrausta varten tai kohtuulliseen hintaan energiatehokkuuskriteerien mukaisesti</w:t>
            </w:r>
          </w:p>
        </w:tc>
        <w:tc>
          <w:tcPr>
            <w:tcW w:w="1134" w:type="dxa"/>
            <w:shd w:val="clear" w:color="auto" w:fill="C6EFCE"/>
            <w:noWrap/>
          </w:tcPr>
          <w:p w14:paraId="71CA3204"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125BCDC3"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7BD0726E"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1D57C1F4" w14:textId="77777777" w:rsidR="0065073E" w:rsidRDefault="000A0998">
            <w:pPr>
              <w:pStyle w:val="P68B1DB1-Normal12"/>
              <w:spacing w:after="0" w:line="240" w:lineRule="auto"/>
              <w:jc w:val="right"/>
              <w:rPr>
                <w:rFonts w:eastAsia="MS Mincho" w:cs="Times New Roman"/>
                <w:noProof/>
              </w:rPr>
            </w:pPr>
            <w:r>
              <w:rPr>
                <w:noProof/>
              </w:rPr>
              <w:t>20 000</w:t>
            </w:r>
          </w:p>
        </w:tc>
        <w:tc>
          <w:tcPr>
            <w:tcW w:w="425" w:type="dxa"/>
            <w:shd w:val="clear" w:color="auto" w:fill="C6EFCE"/>
            <w:noWrap/>
          </w:tcPr>
          <w:p w14:paraId="2CF36DD5"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75D37C4C"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44442375" w14:textId="77777777" w:rsidR="0065073E" w:rsidRDefault="000A0998">
            <w:pPr>
              <w:pStyle w:val="P68B1DB1-Normal12"/>
              <w:spacing w:after="0" w:line="240" w:lineRule="auto"/>
              <w:rPr>
                <w:rFonts w:cs="Times New Roman"/>
                <w:noProof/>
              </w:rPr>
            </w:pPr>
            <w:r>
              <w:rPr>
                <w:noProof/>
              </w:rPr>
              <w:t>Vähintään 20000 asuntoa, jotka on rakennettu sosiaalista vuokrausta varten tai kohtuulliseen hintaan energiatehokkuuskriteerien mukaisesti. Tämä luku vastaa niiden asuntojen lukumäärää, joiden rakentaminen on saatettava päätökseen, ja siinä on käsiteltävä kohtuuhintaista sosiaalista vuokrausta, josta on osoituksena toimivaltaisen viranomaisen antama todistus tai todiste asunnon valmistumisesta ja käytöstä. Lisäksi on varmistettava energiatehokkuustodistuksella, että noudatetaan vaatimusta, jonka mukaan uusiutumattoman primäärienergian kulutus on rajoitettava 80 prosenttiin teknisen rakennussäännöstön (CTE) kohdassa HE 0 asetetusta raja-arvosta.</w:t>
            </w:r>
          </w:p>
        </w:tc>
      </w:tr>
      <w:tr w:rsidR="0065073E" w14:paraId="6C2D39E7" w14:textId="77777777">
        <w:trPr>
          <w:trHeight w:val="309"/>
        </w:trPr>
        <w:tc>
          <w:tcPr>
            <w:tcW w:w="709" w:type="dxa"/>
            <w:shd w:val="clear" w:color="auto" w:fill="C6EFCE"/>
            <w:noWrap/>
          </w:tcPr>
          <w:p w14:paraId="434292C4" w14:textId="77777777" w:rsidR="0065073E" w:rsidRDefault="000A0998">
            <w:pPr>
              <w:pStyle w:val="P68B1DB1-Normal12"/>
              <w:spacing w:after="0" w:line="240" w:lineRule="auto"/>
              <w:jc w:val="center"/>
              <w:rPr>
                <w:rFonts w:cs="Times New Roman"/>
                <w:noProof/>
              </w:rPr>
            </w:pPr>
            <w:r>
              <w:rPr>
                <w:noProof/>
              </w:rPr>
              <w:t>32</w:t>
            </w:r>
          </w:p>
        </w:tc>
        <w:tc>
          <w:tcPr>
            <w:tcW w:w="851" w:type="dxa"/>
            <w:shd w:val="clear" w:color="auto" w:fill="C6EFCE"/>
            <w:noWrap/>
          </w:tcPr>
          <w:p w14:paraId="16A7C4CA" w14:textId="77777777" w:rsidR="0065073E" w:rsidRDefault="000A0998">
            <w:pPr>
              <w:pStyle w:val="P68B1DB1-Normal12"/>
              <w:spacing w:after="0" w:line="240" w:lineRule="auto"/>
              <w:jc w:val="center"/>
              <w:rPr>
                <w:rFonts w:eastAsia="MS Mincho" w:cs="Times New Roman"/>
                <w:noProof/>
              </w:rPr>
            </w:pPr>
            <w:r>
              <w:rPr>
                <w:noProof/>
              </w:rPr>
              <w:t>C2.I3</w:t>
            </w:r>
          </w:p>
        </w:tc>
        <w:tc>
          <w:tcPr>
            <w:tcW w:w="850" w:type="dxa"/>
            <w:shd w:val="clear" w:color="auto" w:fill="C6EFCE"/>
            <w:noWrap/>
          </w:tcPr>
          <w:p w14:paraId="1C7B615D"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0852DD39" w14:textId="77777777" w:rsidR="0065073E" w:rsidRDefault="000A0998">
            <w:pPr>
              <w:pStyle w:val="P68B1DB1-Normal12"/>
              <w:spacing w:after="0" w:line="240" w:lineRule="auto"/>
              <w:rPr>
                <w:rFonts w:cs="Times New Roman"/>
                <w:noProof/>
              </w:rPr>
            </w:pPr>
            <w:r>
              <w:rPr>
                <w:noProof/>
              </w:rPr>
              <w:t>Asuinasuntojen ja muiden kuin asuinrakennusten peruskorjausten myöntäminen siten, että primäärienergian kysyntä vähenee keskimäärin vähintään 30 prosenttia</w:t>
            </w:r>
          </w:p>
        </w:tc>
        <w:tc>
          <w:tcPr>
            <w:tcW w:w="1134" w:type="dxa"/>
            <w:shd w:val="clear" w:color="auto" w:fill="C6EFCE"/>
            <w:noWrap/>
          </w:tcPr>
          <w:p w14:paraId="1337BEF1" w14:textId="77777777" w:rsidR="0065073E" w:rsidRDefault="000A0998">
            <w:pPr>
              <w:pStyle w:val="P68B1DB1-Normal12"/>
              <w:spacing w:after="0" w:line="240" w:lineRule="auto"/>
              <w:jc w:val="center"/>
              <w:rPr>
                <w:rFonts w:cs="Times New Roman"/>
                <w:noProof/>
              </w:rPr>
            </w:pPr>
            <w:r>
              <w:rPr>
                <w:noProof/>
              </w:rPr>
              <w:t>Itsehallintoalueiden yhdistetyt toimilupapäätökset</w:t>
            </w:r>
          </w:p>
        </w:tc>
        <w:tc>
          <w:tcPr>
            <w:tcW w:w="850" w:type="dxa"/>
            <w:shd w:val="clear" w:color="auto" w:fill="C6EFCE"/>
            <w:noWrap/>
          </w:tcPr>
          <w:p w14:paraId="6D71D07C"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64AD8D1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4A586566"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7033E754"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0ED0F85E" w14:textId="77777777" w:rsidR="0065073E" w:rsidRDefault="000A0998">
            <w:pPr>
              <w:pStyle w:val="P68B1DB1-Normal12"/>
              <w:spacing w:after="0" w:line="240" w:lineRule="auto"/>
              <w:jc w:val="center"/>
              <w:rPr>
                <w:rFonts w:cs="Times New Roman"/>
                <w:noProof/>
              </w:rPr>
            </w:pPr>
            <w:r>
              <w:rPr>
                <w:noProof/>
              </w:rPr>
              <w:t>2023</w:t>
            </w:r>
          </w:p>
        </w:tc>
        <w:tc>
          <w:tcPr>
            <w:tcW w:w="6379" w:type="dxa"/>
            <w:shd w:val="clear" w:color="auto" w:fill="C6EFCE"/>
            <w:noWrap/>
          </w:tcPr>
          <w:p w14:paraId="14C5AE00" w14:textId="77777777" w:rsidR="0065073E" w:rsidRDefault="000A0998">
            <w:pPr>
              <w:pStyle w:val="P68B1DB1-Normal12"/>
              <w:spacing w:after="0" w:line="240" w:lineRule="auto"/>
              <w:rPr>
                <w:rFonts w:cs="Times New Roman"/>
                <w:noProof/>
              </w:rPr>
            </w:pPr>
            <w:r>
              <w:rPr>
                <w:noProof/>
              </w:rPr>
              <w:t>Vähintään 40000 asuinasunnon peruskorjausta ja 690 000 m² muita</w:t>
            </w:r>
            <w:r>
              <w:rPr>
                <w:noProof/>
                <w:vertAlign w:val="superscript"/>
              </w:rPr>
              <w:t>kuin</w:t>
            </w:r>
            <w:r>
              <w:rPr>
                <w:noProof/>
              </w:rPr>
              <w:t xml:space="preserve"> asuinrakennuksia vastaava määrä, jolla saavutetaan keskimäärin vähintään 30 prosentin vähennys primäärienergian kysyntään. Vastaavuus määritellään suhteessa kunkin tukitoimityypin vastaaviin keskimääräisiin</w:t>
            </w:r>
            <w:r>
              <w:rPr>
                <w:noProof/>
                <w:vertAlign w:val="superscript"/>
              </w:rPr>
              <w:t>energiansäästöihin</w:t>
            </w:r>
            <w:r>
              <w:rPr>
                <w:noProof/>
              </w:rPr>
              <w:t xml:space="preserve"> neliömetriä kohti. Indikaattoria sovellettaessa asumisen käsitteen on oltava Eurostatin määritelmän mukainen (”asunto on pysyvässä rakennuksessa tai rakennuksen rakenteellisesti erotetussa osassa oleva huone tai huoneiden sarja – mukaan lukien sen lisävarusteet, eturyhmät ja käytävät – joka rakennetaan, rakennetaan uudelleen tai muutetaan siten, että se on tarkoitettu yhden yksityisen kotitalouden asumiseen ympäri vuoden”), ja se voi tarvittaessa sisältää sosiaalisen tai julkisen asunnon. Käytetyt energiatehokkuuden parantamisindikaattorit on akkreditoitava asiaankuuluvalla energiatehokkuustodistuksella rakennusten energiatehokkuudesta 19 päivänä toukokuuta 2010 annetun Euroopan parlamentin ja neuvoston direktiivin 2010/31/EU puitteissa.</w:t>
            </w:r>
          </w:p>
        </w:tc>
      </w:tr>
      <w:tr w:rsidR="0065073E" w14:paraId="1C3C2C83" w14:textId="77777777">
        <w:trPr>
          <w:trHeight w:val="309"/>
        </w:trPr>
        <w:tc>
          <w:tcPr>
            <w:tcW w:w="709" w:type="dxa"/>
            <w:shd w:val="clear" w:color="auto" w:fill="C6EFCE"/>
            <w:noWrap/>
          </w:tcPr>
          <w:p w14:paraId="7CE58F48" w14:textId="77777777" w:rsidR="0065073E" w:rsidRDefault="000A0998">
            <w:pPr>
              <w:pStyle w:val="P68B1DB1-Normal12"/>
              <w:spacing w:after="0" w:line="240" w:lineRule="auto"/>
              <w:jc w:val="center"/>
              <w:rPr>
                <w:rFonts w:cs="Times New Roman"/>
                <w:noProof/>
              </w:rPr>
            </w:pPr>
            <w:r>
              <w:rPr>
                <w:noProof/>
              </w:rPr>
              <w:t>33</w:t>
            </w:r>
          </w:p>
        </w:tc>
        <w:tc>
          <w:tcPr>
            <w:tcW w:w="851" w:type="dxa"/>
            <w:shd w:val="clear" w:color="auto" w:fill="C6EFCE"/>
            <w:noWrap/>
          </w:tcPr>
          <w:p w14:paraId="735917EE" w14:textId="77777777" w:rsidR="0065073E" w:rsidRDefault="000A0998">
            <w:pPr>
              <w:pStyle w:val="P68B1DB1-Normal12"/>
              <w:spacing w:after="0" w:line="240" w:lineRule="auto"/>
              <w:jc w:val="center"/>
              <w:rPr>
                <w:rFonts w:eastAsia="MS Mincho" w:cs="Times New Roman"/>
                <w:noProof/>
              </w:rPr>
            </w:pPr>
            <w:r>
              <w:rPr>
                <w:noProof/>
              </w:rPr>
              <w:t>C2.I3</w:t>
            </w:r>
          </w:p>
        </w:tc>
        <w:tc>
          <w:tcPr>
            <w:tcW w:w="850" w:type="dxa"/>
            <w:shd w:val="clear" w:color="auto" w:fill="C6EFCE"/>
            <w:noWrap/>
          </w:tcPr>
          <w:p w14:paraId="6929BCAA"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165C110F" w14:textId="77777777" w:rsidR="0065073E" w:rsidRDefault="000A0998">
            <w:pPr>
              <w:pStyle w:val="P68B1DB1-Normal12"/>
              <w:spacing w:after="0" w:line="240" w:lineRule="auto"/>
              <w:rPr>
                <w:rFonts w:cs="Times New Roman"/>
                <w:noProof/>
              </w:rPr>
            </w:pPr>
            <w:r>
              <w:rPr>
                <w:noProof/>
              </w:rPr>
              <w:t xml:space="preserve">Asuinasuntojen ja muiden kuin asuinrakennusten peruskorjausten loppuun saattaminen siten, että primäärienergian kysyntä vähenee keskimäärin vähintään 30 prosenttia </w:t>
            </w:r>
          </w:p>
        </w:tc>
        <w:tc>
          <w:tcPr>
            <w:tcW w:w="1134" w:type="dxa"/>
            <w:shd w:val="clear" w:color="auto" w:fill="C6EFCE"/>
            <w:noWrap/>
          </w:tcPr>
          <w:p w14:paraId="5550885B" w14:textId="77777777" w:rsidR="0065073E" w:rsidRDefault="000A0998">
            <w:pPr>
              <w:pStyle w:val="P68B1DB1-Normal12"/>
              <w:spacing w:after="0" w:line="240" w:lineRule="auto"/>
              <w:jc w:val="center"/>
              <w:rPr>
                <w:rFonts w:cs="Times New Roman"/>
                <w:noProof/>
              </w:rPr>
            </w:pPr>
            <w:r>
              <w:rPr>
                <w:noProof/>
              </w:rPr>
              <w:t>Yhdistetyt energiatehokkuustodistukset valmistuneista töistä—</w:t>
            </w:r>
          </w:p>
        </w:tc>
        <w:tc>
          <w:tcPr>
            <w:tcW w:w="850" w:type="dxa"/>
            <w:shd w:val="clear" w:color="auto" w:fill="C6EFCE"/>
            <w:noWrap/>
          </w:tcPr>
          <w:p w14:paraId="1721E54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3DD1135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851" w:type="dxa"/>
            <w:shd w:val="clear" w:color="auto" w:fill="C6EFCE"/>
            <w:noWrap/>
          </w:tcPr>
          <w:p w14:paraId="0236E82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0B0E13F4"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55CFB499"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492B2804" w14:textId="77777777" w:rsidR="0065073E" w:rsidRDefault="000A0998">
            <w:pPr>
              <w:pStyle w:val="P68B1DB1-Normal12"/>
              <w:spacing w:after="0" w:line="240" w:lineRule="auto"/>
              <w:rPr>
                <w:rFonts w:cs="Times New Roman"/>
                <w:noProof/>
              </w:rPr>
            </w:pPr>
            <w:r>
              <w:rPr>
                <w:noProof/>
              </w:rPr>
              <w:t>Vähintään 40000 asuntoa ja 690 000 m²</w:t>
            </w:r>
            <w:r>
              <w:rPr>
                <w:noProof/>
                <w:vertAlign w:val="superscript"/>
              </w:rPr>
              <w:t>muita kuin</w:t>
            </w:r>
            <w:r>
              <w:rPr>
                <w:noProof/>
              </w:rPr>
              <w:t xml:space="preserve"> asuinrakennuksia, jotka on kunnostettu siten, että primäärienergian kysyntä vähenee keskimäärin vähintään 30 prosenttia. Vastaavuus määritellään suhteessa kunkin tukitoimityypin vastaaviin keskimääräisiin</w:t>
            </w:r>
            <w:r>
              <w:rPr>
                <w:noProof/>
                <w:vertAlign w:val="superscript"/>
              </w:rPr>
              <w:t>energiansäästöihin</w:t>
            </w:r>
            <w:r>
              <w:rPr>
                <w:noProof/>
              </w:rPr>
              <w:t xml:space="preserve"> neliömetriä kohti. Indikaattoria sovellettaessa asumisen käsitteen on oltava yhteensopiva Eurostatin määritelmän kanssa: ”Kiinteistö on pysyvässä rakennuksessa tai rakennuksen rakenteellisesti erotetussa osassa oleva huone tai huoneiden sarja – mukaan lukien sen lisävarusteet, eturyhmät ja käytävät – joka rakennetaan, rakennetaan uudelleen tai muutetaan siten, että se on tarkoitettu yhden yksityisen kotitalouden asumiseen ympäri vuoden”, ja se voi tarvittaessa sisältää sosiaalisen tai julkisen asunnon. Käytetyt energiatehokkuuden parantamisindikaattorit on akkreditoitava asiaankuuluvalla energiatehokkuustodistuksella rakennusten energiatehokkuudesta 19 päivänä toukokuuta 2010 annetun Euroopan parlamentin ja neuvoston direktiivin 2010/31/EU puitteissa. Saavutettujen energiansäästöjen noudattamisen perustelemiseksi vaaditaan ja kootaan päätökseen saatettujen töiden energiatehokkuustodistukset, jotta voidaan vahvistaa saavutetut keskimääräiset energiansäästöt.</w:t>
            </w:r>
          </w:p>
        </w:tc>
      </w:tr>
      <w:tr w:rsidR="0065073E" w14:paraId="286F2F1B" w14:textId="77777777">
        <w:trPr>
          <w:trHeight w:val="309"/>
        </w:trPr>
        <w:tc>
          <w:tcPr>
            <w:tcW w:w="709" w:type="dxa"/>
            <w:shd w:val="clear" w:color="auto" w:fill="C6EFCE"/>
            <w:noWrap/>
          </w:tcPr>
          <w:p w14:paraId="1EA9D8CF" w14:textId="0D46D351" w:rsidR="0065073E" w:rsidRDefault="000A0998">
            <w:pPr>
              <w:pStyle w:val="P68B1DB1-Normal12"/>
              <w:spacing w:after="0" w:line="240" w:lineRule="auto"/>
              <w:jc w:val="center"/>
              <w:rPr>
                <w:rFonts w:cs="Times New Roman"/>
                <w:noProof/>
              </w:rPr>
            </w:pPr>
            <w:r>
              <w:rPr>
                <w:noProof/>
              </w:rPr>
              <w:t>34</w:t>
            </w:r>
          </w:p>
        </w:tc>
        <w:tc>
          <w:tcPr>
            <w:tcW w:w="851" w:type="dxa"/>
            <w:shd w:val="clear" w:color="auto" w:fill="C6EFCE"/>
            <w:noWrap/>
          </w:tcPr>
          <w:p w14:paraId="4C8A2F19" w14:textId="77777777" w:rsidR="0065073E" w:rsidRDefault="000A0998">
            <w:pPr>
              <w:pStyle w:val="P68B1DB1-Normal12"/>
              <w:spacing w:after="0" w:line="240" w:lineRule="auto"/>
              <w:jc w:val="center"/>
              <w:rPr>
                <w:rFonts w:eastAsia="MS Mincho" w:cs="Times New Roman"/>
                <w:noProof/>
              </w:rPr>
            </w:pPr>
            <w:r>
              <w:rPr>
                <w:noProof/>
              </w:rPr>
              <w:t>C2.I4</w:t>
            </w:r>
          </w:p>
        </w:tc>
        <w:tc>
          <w:tcPr>
            <w:tcW w:w="850" w:type="dxa"/>
            <w:shd w:val="clear" w:color="auto" w:fill="C6EFCE"/>
            <w:noWrap/>
          </w:tcPr>
          <w:p w14:paraId="56E99CA2" w14:textId="5E1D777D"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281C42FE" w14:textId="32F7B6AC" w:rsidR="0065073E" w:rsidRDefault="000A0998">
            <w:pPr>
              <w:pStyle w:val="P68B1DB1-Normal12"/>
              <w:spacing w:after="0" w:line="240" w:lineRule="auto"/>
              <w:rPr>
                <w:rFonts w:cs="Times New Roman"/>
                <w:noProof/>
              </w:rPr>
            </w:pPr>
            <w:r>
              <w:rPr>
                <w:noProof/>
              </w:rPr>
              <w:t xml:space="preserve">Asuinasuntojen ja muiden kuin asuinrakennusten peruskorjaus kunnissa, joissa on alle 5000 asukasta, ja saavutetaan keskimäärin vähintään 30 prosentin vähennys primäärienergian kysynnässä </w:t>
            </w:r>
          </w:p>
        </w:tc>
        <w:tc>
          <w:tcPr>
            <w:tcW w:w="1134" w:type="dxa"/>
            <w:shd w:val="clear" w:color="auto" w:fill="C6EFCE"/>
            <w:noWrap/>
          </w:tcPr>
          <w:p w14:paraId="7ADA28FF"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099A72F1" w14:textId="19393C73" w:rsidR="0065073E" w:rsidRDefault="0065073E">
            <w:pPr>
              <w:spacing w:after="0" w:line="240" w:lineRule="auto"/>
              <w:jc w:val="right"/>
              <w:rPr>
                <w:rFonts w:ascii="Times New Roman" w:eastAsia="MS Mincho" w:hAnsi="Times New Roman" w:cs="Times New Roman"/>
                <w:noProof/>
                <w:sz w:val="18"/>
              </w:rPr>
            </w:pPr>
          </w:p>
        </w:tc>
        <w:tc>
          <w:tcPr>
            <w:tcW w:w="992" w:type="dxa"/>
            <w:shd w:val="clear" w:color="auto" w:fill="C6EFCE"/>
            <w:noWrap/>
          </w:tcPr>
          <w:p w14:paraId="47F30171" w14:textId="43D0BE53" w:rsidR="0065073E" w:rsidRDefault="0065073E">
            <w:pPr>
              <w:spacing w:after="0" w:line="240" w:lineRule="auto"/>
              <w:jc w:val="right"/>
              <w:rPr>
                <w:rFonts w:ascii="Times New Roman" w:eastAsia="MS Mincho" w:hAnsi="Times New Roman" w:cs="Times New Roman"/>
                <w:noProof/>
                <w:sz w:val="18"/>
              </w:rPr>
            </w:pPr>
          </w:p>
        </w:tc>
        <w:tc>
          <w:tcPr>
            <w:tcW w:w="851" w:type="dxa"/>
            <w:shd w:val="clear" w:color="auto" w:fill="C6EFCE"/>
            <w:noWrap/>
          </w:tcPr>
          <w:p w14:paraId="3C6BE649" w14:textId="4EABC358" w:rsidR="0065073E" w:rsidRDefault="0065073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266B4723"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16EAFDA7"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616015E6" w14:textId="62DB4A95" w:rsidR="0065073E" w:rsidRDefault="000A0998">
            <w:pPr>
              <w:pStyle w:val="P68B1DB1-Normal12"/>
              <w:spacing w:after="0" w:line="240" w:lineRule="auto"/>
              <w:rPr>
                <w:rFonts w:cs="Times New Roman"/>
                <w:noProof/>
              </w:rPr>
            </w:pPr>
            <w:r>
              <w:rPr>
                <w:noProof/>
              </w:rPr>
              <w:t>Vähintään 4300 asuinasuntoa ja 230 000 m² muita kuin asuinrakennuksia (julkiset, yksityiset tai sosiaaliset rakennukset mukaan luettuina), jotka on kunnostettu alle 5000 asukkaan kunnissa ja kaupunkialueilla siten, että primäärienergian kysyntä vähenee keskimäärin vähintään 30 prosenttia. Vastaavuus määritellään suhteessa kunkin tukitoimityypin vastaaviin keskimääräisiin energiansäästöihin neliömetriä kohti. Saavutettujen energiansäästöjen noudattamisen perustelemiseksi vaaditaan ja kootaan päätökseen saatettujen töiden energiatehokkuustodistukset, jotta voidaan vahvistaa saavutetut keskimääräiset energiansäästöt.</w:t>
            </w:r>
          </w:p>
        </w:tc>
      </w:tr>
      <w:tr w:rsidR="0065073E" w14:paraId="12EA9356" w14:textId="77777777">
        <w:trPr>
          <w:trHeight w:val="309"/>
        </w:trPr>
        <w:tc>
          <w:tcPr>
            <w:tcW w:w="709" w:type="dxa"/>
            <w:shd w:val="clear" w:color="auto" w:fill="C6EFCE"/>
            <w:noWrap/>
          </w:tcPr>
          <w:p w14:paraId="3D5C510C" w14:textId="49A052F5" w:rsidR="0065073E" w:rsidRDefault="000A0998">
            <w:pPr>
              <w:pStyle w:val="P68B1DB1-Normal12"/>
              <w:spacing w:after="0" w:line="240" w:lineRule="auto"/>
              <w:jc w:val="center"/>
              <w:rPr>
                <w:rFonts w:cs="Times New Roman"/>
                <w:noProof/>
              </w:rPr>
            </w:pPr>
            <w:r>
              <w:rPr>
                <w:noProof/>
              </w:rPr>
              <w:t>35</w:t>
            </w:r>
          </w:p>
        </w:tc>
        <w:tc>
          <w:tcPr>
            <w:tcW w:w="851" w:type="dxa"/>
            <w:shd w:val="clear" w:color="auto" w:fill="C6EFCE"/>
            <w:noWrap/>
          </w:tcPr>
          <w:p w14:paraId="6825C8B5" w14:textId="77777777" w:rsidR="0065073E" w:rsidRDefault="000A0998">
            <w:pPr>
              <w:pStyle w:val="P68B1DB1-Normal12"/>
              <w:spacing w:after="0" w:line="240" w:lineRule="auto"/>
              <w:jc w:val="center"/>
              <w:rPr>
                <w:rFonts w:eastAsia="MS Mincho" w:cs="Times New Roman"/>
                <w:noProof/>
              </w:rPr>
            </w:pPr>
            <w:r>
              <w:rPr>
                <w:noProof/>
              </w:rPr>
              <w:t>C2.I4</w:t>
            </w:r>
          </w:p>
        </w:tc>
        <w:tc>
          <w:tcPr>
            <w:tcW w:w="850" w:type="dxa"/>
            <w:shd w:val="clear" w:color="auto" w:fill="C6EFCE"/>
            <w:noWrap/>
          </w:tcPr>
          <w:p w14:paraId="4A4CD420"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50BECBC1" w14:textId="77777777" w:rsidR="0065073E" w:rsidRDefault="000A0998">
            <w:pPr>
              <w:pStyle w:val="P68B1DB1-Normal12"/>
              <w:spacing w:after="0" w:line="240" w:lineRule="auto"/>
              <w:rPr>
                <w:rFonts w:cs="Times New Roman"/>
                <w:noProof/>
              </w:rPr>
            </w:pPr>
            <w:r>
              <w:rPr>
                <w:noProof/>
              </w:rPr>
              <w:t xml:space="preserve">Puhtaan energian hankkeet alle 5000 asukkaan kunnissa </w:t>
            </w:r>
          </w:p>
        </w:tc>
        <w:tc>
          <w:tcPr>
            <w:tcW w:w="1134" w:type="dxa"/>
            <w:shd w:val="clear" w:color="auto" w:fill="C6EFCE"/>
            <w:noWrap/>
          </w:tcPr>
          <w:p w14:paraId="12673AC1"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460C58E8"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132FFD68"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78F5FD09" w14:textId="7067A379" w:rsidR="0065073E" w:rsidRDefault="000A0998">
            <w:pPr>
              <w:pStyle w:val="P68B1DB1-Normal12"/>
              <w:spacing w:after="0" w:line="240" w:lineRule="auto"/>
              <w:jc w:val="right"/>
              <w:rPr>
                <w:rFonts w:eastAsia="MS Mincho" w:cs="Times New Roman"/>
                <w:noProof/>
              </w:rPr>
            </w:pPr>
            <w:r>
              <w:rPr>
                <w:noProof/>
              </w:rPr>
              <w:t>500</w:t>
            </w:r>
          </w:p>
        </w:tc>
        <w:tc>
          <w:tcPr>
            <w:tcW w:w="425" w:type="dxa"/>
            <w:shd w:val="clear" w:color="auto" w:fill="C6EFCE"/>
            <w:noWrap/>
          </w:tcPr>
          <w:p w14:paraId="4472FA99"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19A3A52D"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2E73E388" w14:textId="52F74CDF" w:rsidR="0065073E" w:rsidRDefault="000A0998">
            <w:pPr>
              <w:spacing w:after="0" w:line="240" w:lineRule="auto"/>
              <w:rPr>
                <w:rFonts w:ascii="Times New Roman" w:hAnsi="Times New Roman" w:cs="Times New Roman"/>
                <w:noProof/>
                <w:sz w:val="18"/>
              </w:rPr>
            </w:pPr>
            <w:r>
              <w:rPr>
                <w:rFonts w:ascii="Times New Roman" w:hAnsi="Times New Roman"/>
                <w:noProof/>
                <w:sz w:val="18"/>
              </w:rPr>
              <w:t>Vähintään 500 ainutlaatuista puhtaan energian hanketta saatettiin päätökseen paikallistasolla alle 5000 asukkaan kunnissa. Ominaisuudet: Hankkeet, mukaan lukien hankkeet, jotka on myönnetty tarjouskilpailuissa, tai paikallisviranomaisten tekemät investoinnit, jotka valitaan tai yhdistellään seuraavia:</w:t>
            </w:r>
            <w:r>
              <w:rPr>
                <w:noProof/>
              </w:rPr>
              <w:t xml:space="preserve"> </w:t>
            </w:r>
            <w:r>
              <w:rPr>
                <w:noProof/>
              </w:rPr>
              <w:br/>
            </w:r>
            <w:r>
              <w:rPr>
                <w:rFonts w:ascii="Times New Roman" w:hAnsi="Times New Roman"/>
                <w:noProof/>
                <w:sz w:val="18"/>
              </w:rPr>
              <w:t>— Uusiutuvista energialähteistä tuotetun sähkön tai lämmityksen ja jäähdytyksen asentaminen julkisiin rakennuksiin tai infrastruktuuriin (mukaan lukien vähintään 80 prosentin oma kulutus). Voi sisältää kaukolämpöä/-jäähdytystä.</w:t>
            </w:r>
            <w:r>
              <w:rPr>
                <w:noProof/>
              </w:rPr>
              <w:t xml:space="preserve"> </w:t>
            </w:r>
            <w:r>
              <w:rPr>
                <w:noProof/>
              </w:rPr>
              <w:br/>
            </w:r>
            <w:r>
              <w:rPr>
                <w:rFonts w:ascii="Times New Roman" w:hAnsi="Times New Roman"/>
                <w:noProof/>
                <w:sz w:val="18"/>
              </w:rPr>
              <w:t>— Julkisten rakennusten tai infrastruktuurien energiauudistukset (vähintään 30 prosentin primäärienergian säästöt)</w:t>
            </w:r>
            <w:r>
              <w:rPr>
                <w:noProof/>
              </w:rPr>
              <w:t xml:space="preserve"> </w:t>
            </w:r>
            <w:r>
              <w:rPr>
                <w:noProof/>
              </w:rPr>
              <w:br/>
              <w:t xml:space="preserve"> </w:t>
            </w:r>
            <w:r>
              <w:rPr>
                <w:rFonts w:ascii="Times New Roman" w:hAnsi="Times New Roman"/>
                <w:noProof/>
                <w:sz w:val="18"/>
              </w:rPr>
              <w:t>— Kestävä liikkuvuus (liikennemuotosiirtymää tai sähköistä liikkuvuutta koskevat hankkeet)</w:t>
            </w:r>
            <w:r>
              <w:rPr>
                <w:noProof/>
              </w:rPr>
              <w:t xml:space="preserve"> </w:t>
            </w:r>
            <w:r>
              <w:rPr>
                <w:noProof/>
              </w:rPr>
              <w:br/>
              <w:t xml:space="preserve"> </w:t>
            </w:r>
            <w:r>
              <w:rPr>
                <w:rFonts w:ascii="Times New Roman" w:hAnsi="Times New Roman"/>
                <w:noProof/>
                <w:sz w:val="18"/>
              </w:rPr>
              <w:t>— Valosaasteen vähentäminen parantamalla julkista valaistusta</w:t>
            </w:r>
            <w:r>
              <w:rPr>
                <w:noProof/>
              </w:rPr>
              <w:t xml:space="preserve"> </w:t>
            </w:r>
            <w:r>
              <w:rPr>
                <w:noProof/>
              </w:rPr>
              <w:br/>
              <w:t xml:space="preserve"> </w:t>
            </w:r>
            <w:r>
              <w:rPr>
                <w:rFonts w:ascii="Times New Roman" w:hAnsi="Times New Roman"/>
                <w:noProof/>
                <w:sz w:val="18"/>
              </w:rPr>
              <w:t>— Paikallinen energiayhteisö tai muut yhteisölähtöiset hankkeet näissä kunnissa.</w:t>
            </w:r>
          </w:p>
        </w:tc>
      </w:tr>
      <w:tr w:rsidR="0065073E" w14:paraId="3A2C5FAB" w14:textId="77777777">
        <w:trPr>
          <w:trHeight w:val="309"/>
        </w:trPr>
        <w:tc>
          <w:tcPr>
            <w:tcW w:w="709" w:type="dxa"/>
            <w:shd w:val="clear" w:color="auto" w:fill="C6EFCE"/>
            <w:noWrap/>
          </w:tcPr>
          <w:p w14:paraId="5AFB958C" w14:textId="77777777" w:rsidR="0065073E" w:rsidRDefault="000A0998">
            <w:pPr>
              <w:pStyle w:val="P68B1DB1-Normal12"/>
              <w:spacing w:after="0" w:line="240" w:lineRule="auto"/>
              <w:jc w:val="center"/>
              <w:rPr>
                <w:rFonts w:cs="Times New Roman"/>
                <w:noProof/>
              </w:rPr>
            </w:pPr>
            <w:r>
              <w:rPr>
                <w:noProof/>
              </w:rPr>
              <w:t>36</w:t>
            </w:r>
          </w:p>
        </w:tc>
        <w:tc>
          <w:tcPr>
            <w:tcW w:w="851" w:type="dxa"/>
            <w:shd w:val="clear" w:color="auto" w:fill="C6EFCE"/>
            <w:noWrap/>
          </w:tcPr>
          <w:p w14:paraId="1231534C" w14:textId="77777777" w:rsidR="0065073E" w:rsidRDefault="000A0998">
            <w:pPr>
              <w:pStyle w:val="P68B1DB1-Normal12"/>
              <w:spacing w:after="0" w:line="240" w:lineRule="auto"/>
              <w:jc w:val="center"/>
              <w:rPr>
                <w:rFonts w:eastAsia="MS Mincho" w:cs="Times New Roman"/>
                <w:noProof/>
              </w:rPr>
            </w:pPr>
            <w:r>
              <w:rPr>
                <w:noProof/>
              </w:rPr>
              <w:t>C2.I5</w:t>
            </w:r>
          </w:p>
        </w:tc>
        <w:tc>
          <w:tcPr>
            <w:tcW w:w="850" w:type="dxa"/>
            <w:shd w:val="clear" w:color="auto" w:fill="C6EFCE"/>
            <w:noWrap/>
          </w:tcPr>
          <w:p w14:paraId="037FADB2"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5D69E038" w14:textId="77777777" w:rsidR="0065073E" w:rsidRDefault="000A0998">
            <w:pPr>
              <w:pStyle w:val="P68B1DB1-Normal12"/>
              <w:spacing w:after="0" w:line="240" w:lineRule="auto"/>
              <w:rPr>
                <w:rFonts w:cs="Times New Roman"/>
                <w:noProof/>
              </w:rPr>
            </w:pPr>
            <w:r>
              <w:rPr>
                <w:noProof/>
              </w:rPr>
              <w:t>Julkisten rakennusten peruskorjausten loppuun saattaminen siten, että primäärienergian kysyntää vähennetään keskimäärin vähintään 30 prosenttia (vähintään 290 000 m 2</w:t>
            </w:r>
            <w:r>
              <w:rPr>
                <w:noProof/>
                <w:vertAlign w:val="superscript"/>
              </w:rPr>
              <w:t>)</w:t>
            </w:r>
          </w:p>
        </w:tc>
        <w:tc>
          <w:tcPr>
            <w:tcW w:w="1134" w:type="dxa"/>
            <w:shd w:val="clear" w:color="auto" w:fill="C6EFCE"/>
            <w:noWrap/>
          </w:tcPr>
          <w:p w14:paraId="2C6BD880"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75E17FED" w14:textId="77777777" w:rsidR="0065073E" w:rsidRDefault="000A0998">
            <w:pPr>
              <w:pStyle w:val="P68B1DB1-Normal12"/>
              <w:spacing w:after="0" w:line="240" w:lineRule="auto"/>
              <w:jc w:val="right"/>
              <w:rPr>
                <w:rFonts w:eastAsia="MS Mincho" w:cs="Times New Roman"/>
                <w:noProof/>
              </w:rPr>
            </w:pPr>
            <w:r>
              <w:rPr>
                <w:noProof/>
              </w:rPr>
              <w:t>Lukumäärä (m</w:t>
            </w:r>
            <w:r>
              <w:rPr>
                <w:noProof/>
                <w:vertAlign w:val="superscript"/>
              </w:rPr>
              <w:t>2</w:t>
            </w:r>
            <w:r>
              <w:rPr>
                <w:noProof/>
              </w:rPr>
              <w:t>)</w:t>
            </w:r>
          </w:p>
        </w:tc>
        <w:tc>
          <w:tcPr>
            <w:tcW w:w="992" w:type="dxa"/>
            <w:shd w:val="clear" w:color="auto" w:fill="C6EFCE"/>
            <w:noWrap/>
          </w:tcPr>
          <w:p w14:paraId="6F6BB521"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1EEB8F88" w14:textId="77777777" w:rsidR="0065073E" w:rsidRDefault="000A0998">
            <w:pPr>
              <w:pStyle w:val="P68B1DB1-Normal12"/>
              <w:spacing w:after="0" w:line="240" w:lineRule="auto"/>
              <w:jc w:val="right"/>
              <w:rPr>
                <w:rFonts w:eastAsia="MS Mincho" w:cs="Times New Roman"/>
                <w:noProof/>
              </w:rPr>
            </w:pPr>
            <w:r>
              <w:rPr>
                <w:noProof/>
              </w:rPr>
              <w:t>290 000</w:t>
            </w:r>
          </w:p>
        </w:tc>
        <w:tc>
          <w:tcPr>
            <w:tcW w:w="425" w:type="dxa"/>
            <w:shd w:val="clear" w:color="auto" w:fill="C6EFCE"/>
            <w:noWrap/>
          </w:tcPr>
          <w:p w14:paraId="104A8A9A"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7EEB8710" w14:textId="77777777" w:rsidR="0065073E" w:rsidRDefault="000A0998">
            <w:pPr>
              <w:pStyle w:val="P68B1DB1-Normal12"/>
              <w:spacing w:after="0" w:line="240" w:lineRule="auto"/>
              <w:jc w:val="center"/>
              <w:rPr>
                <w:rFonts w:cs="Times New Roman"/>
                <w:noProof/>
              </w:rPr>
            </w:pPr>
            <w:r>
              <w:rPr>
                <w:noProof/>
              </w:rPr>
              <w:t>2024</w:t>
            </w:r>
          </w:p>
        </w:tc>
        <w:tc>
          <w:tcPr>
            <w:tcW w:w="6379" w:type="dxa"/>
            <w:shd w:val="clear" w:color="auto" w:fill="C6EFCE"/>
            <w:noWrap/>
          </w:tcPr>
          <w:p w14:paraId="74BABF0F" w14:textId="77777777" w:rsidR="0065073E" w:rsidRDefault="000A0998">
            <w:pPr>
              <w:pStyle w:val="P68B1DB1-Normal12"/>
              <w:spacing w:after="0" w:line="240" w:lineRule="auto"/>
              <w:rPr>
                <w:rFonts w:cs="Times New Roman"/>
                <w:noProof/>
              </w:rPr>
            </w:pPr>
            <w:r>
              <w:rPr>
                <w:noProof/>
              </w:rPr>
              <w:t>Vähintään 290 000 m 2</w:t>
            </w:r>
            <w:r>
              <w:rPr>
                <w:noProof/>
                <w:vertAlign w:val="superscript"/>
              </w:rPr>
              <w:t>(</w:t>
            </w:r>
            <w:r>
              <w:rPr>
                <w:noProof/>
              </w:rPr>
              <w:t xml:space="preserve"> kumulatiivisesti) korjattuja julkisia rakennuksia, joiden primäärienergian kysyntä vähenee keskimäärin vähintään 30 prosenttia. Tukilain (38/2003) 30 §:ssä säädettyjen töiden päättymistä koskevien todistusten tai rakennusurakoiden (autonomisten yhteisöjen) hyväksymistodistukset tai tositteet tarkastetaan hankkeen päätyttyä (EELL). Saavutettujen energiansäästöjen noudattamisen perustelemiseksi vaaditaan ja yhdistetään päätökseen saatettujen töiden energiasertifiointi, jotta voidaan vahvistaa saavutetut keskimääräiset energiansäästöt.  </w:t>
            </w:r>
          </w:p>
        </w:tc>
      </w:tr>
      <w:tr w:rsidR="0065073E" w14:paraId="1E15E109" w14:textId="77777777">
        <w:trPr>
          <w:trHeight w:val="309"/>
        </w:trPr>
        <w:tc>
          <w:tcPr>
            <w:tcW w:w="709" w:type="dxa"/>
            <w:shd w:val="clear" w:color="auto" w:fill="C6EFCE"/>
            <w:noWrap/>
          </w:tcPr>
          <w:p w14:paraId="0903FD93" w14:textId="77777777" w:rsidR="0065073E" w:rsidRDefault="000A0998">
            <w:pPr>
              <w:pStyle w:val="P68B1DB1-Normal12"/>
              <w:spacing w:after="0" w:line="240" w:lineRule="auto"/>
              <w:jc w:val="center"/>
              <w:rPr>
                <w:rFonts w:cs="Times New Roman"/>
                <w:noProof/>
              </w:rPr>
            </w:pPr>
            <w:r>
              <w:rPr>
                <w:noProof/>
              </w:rPr>
              <w:t>37</w:t>
            </w:r>
          </w:p>
        </w:tc>
        <w:tc>
          <w:tcPr>
            <w:tcW w:w="851" w:type="dxa"/>
            <w:shd w:val="clear" w:color="auto" w:fill="C6EFCE"/>
            <w:noWrap/>
          </w:tcPr>
          <w:p w14:paraId="5377F766" w14:textId="77777777" w:rsidR="0065073E" w:rsidRDefault="000A0998">
            <w:pPr>
              <w:pStyle w:val="P68B1DB1-Normal12"/>
              <w:spacing w:after="0" w:line="240" w:lineRule="auto"/>
              <w:jc w:val="center"/>
              <w:rPr>
                <w:rFonts w:eastAsia="MS Mincho" w:cs="Times New Roman"/>
                <w:noProof/>
              </w:rPr>
            </w:pPr>
            <w:r>
              <w:rPr>
                <w:noProof/>
              </w:rPr>
              <w:t>C2.I5</w:t>
            </w:r>
          </w:p>
        </w:tc>
        <w:tc>
          <w:tcPr>
            <w:tcW w:w="850" w:type="dxa"/>
            <w:shd w:val="clear" w:color="auto" w:fill="C6EFCE"/>
            <w:noWrap/>
          </w:tcPr>
          <w:p w14:paraId="36F6B0F4"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61D8F5E6" w14:textId="77777777" w:rsidR="0065073E" w:rsidRDefault="000A0998">
            <w:pPr>
              <w:pStyle w:val="P68B1DB1-Normal12"/>
              <w:spacing w:after="0" w:line="240" w:lineRule="auto"/>
              <w:rPr>
                <w:rFonts w:cs="Times New Roman"/>
                <w:noProof/>
              </w:rPr>
            </w:pPr>
            <w:r>
              <w:rPr>
                <w:noProof/>
              </w:rPr>
              <w:t xml:space="preserve">Julkisten rakennusten peruskorjausten loppuun saattaminen siten, että primäärienergian kysyntää vähennetään keskimäärin vähintään 30 prosenttia (vähintään 1 230 000 m 2) </w:t>
            </w:r>
          </w:p>
        </w:tc>
        <w:tc>
          <w:tcPr>
            <w:tcW w:w="1134" w:type="dxa"/>
            <w:shd w:val="clear" w:color="auto" w:fill="C6EFCE"/>
            <w:noWrap/>
          </w:tcPr>
          <w:p w14:paraId="5561E1DE"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6ECAC681" w14:textId="77777777" w:rsidR="0065073E" w:rsidRDefault="000A0998">
            <w:pPr>
              <w:pStyle w:val="P68B1DB1-Normal12"/>
              <w:spacing w:after="0" w:line="240" w:lineRule="auto"/>
              <w:jc w:val="right"/>
              <w:rPr>
                <w:rFonts w:eastAsia="MS Mincho" w:cs="Times New Roman"/>
                <w:noProof/>
              </w:rPr>
            </w:pPr>
            <w:r>
              <w:rPr>
                <w:noProof/>
              </w:rPr>
              <w:t>Lukumäärä (m</w:t>
            </w:r>
            <w:r>
              <w:rPr>
                <w:noProof/>
                <w:vertAlign w:val="superscript"/>
              </w:rPr>
              <w:t>2</w:t>
            </w:r>
            <w:r>
              <w:rPr>
                <w:noProof/>
              </w:rPr>
              <w:t>)</w:t>
            </w:r>
          </w:p>
        </w:tc>
        <w:tc>
          <w:tcPr>
            <w:tcW w:w="992" w:type="dxa"/>
            <w:shd w:val="clear" w:color="auto" w:fill="C6EFCE"/>
            <w:noWrap/>
          </w:tcPr>
          <w:p w14:paraId="4043743D" w14:textId="77777777" w:rsidR="0065073E" w:rsidRDefault="000A0998">
            <w:pPr>
              <w:pStyle w:val="P68B1DB1-Normal12"/>
              <w:spacing w:after="0" w:line="240" w:lineRule="auto"/>
              <w:jc w:val="right"/>
              <w:rPr>
                <w:rFonts w:eastAsia="MS Mincho" w:cs="Times New Roman"/>
                <w:noProof/>
              </w:rPr>
            </w:pPr>
            <w:r>
              <w:rPr>
                <w:noProof/>
              </w:rPr>
              <w:t>290 000</w:t>
            </w:r>
          </w:p>
        </w:tc>
        <w:tc>
          <w:tcPr>
            <w:tcW w:w="851" w:type="dxa"/>
            <w:shd w:val="clear" w:color="auto" w:fill="C6EFCE"/>
            <w:noWrap/>
          </w:tcPr>
          <w:p w14:paraId="7E87C33F" w14:textId="77777777" w:rsidR="0065073E" w:rsidRDefault="000A0998">
            <w:pPr>
              <w:pStyle w:val="P68B1DB1-Normal12"/>
              <w:spacing w:after="0" w:line="240" w:lineRule="auto"/>
              <w:jc w:val="right"/>
              <w:rPr>
                <w:rFonts w:eastAsia="MS Mincho" w:cs="Times New Roman"/>
                <w:noProof/>
              </w:rPr>
            </w:pPr>
            <w:r>
              <w:rPr>
                <w:noProof/>
              </w:rPr>
              <w:t>1 230 000</w:t>
            </w:r>
          </w:p>
        </w:tc>
        <w:tc>
          <w:tcPr>
            <w:tcW w:w="425" w:type="dxa"/>
            <w:shd w:val="clear" w:color="auto" w:fill="C6EFCE"/>
            <w:noWrap/>
          </w:tcPr>
          <w:p w14:paraId="3F4224B7"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38F8FD95" w14:textId="77777777" w:rsidR="0065073E" w:rsidRDefault="000A0998">
            <w:pPr>
              <w:pStyle w:val="P68B1DB1-Normal12"/>
              <w:spacing w:after="0" w:line="240" w:lineRule="auto"/>
              <w:jc w:val="center"/>
              <w:rPr>
                <w:rFonts w:cs="Times New Roman"/>
                <w:noProof/>
              </w:rPr>
            </w:pPr>
            <w:r>
              <w:rPr>
                <w:noProof/>
              </w:rPr>
              <w:t>2026</w:t>
            </w:r>
          </w:p>
        </w:tc>
        <w:tc>
          <w:tcPr>
            <w:tcW w:w="6379" w:type="dxa"/>
            <w:shd w:val="clear" w:color="auto" w:fill="C6EFCE"/>
            <w:noWrap/>
          </w:tcPr>
          <w:p w14:paraId="617E4098" w14:textId="77777777" w:rsidR="0065073E" w:rsidRDefault="000A0998">
            <w:pPr>
              <w:pStyle w:val="P68B1DB1-Normal12"/>
              <w:spacing w:after="0" w:line="240" w:lineRule="auto"/>
              <w:rPr>
                <w:rFonts w:cs="Times New Roman"/>
                <w:noProof/>
              </w:rPr>
            </w:pPr>
            <w:r>
              <w:rPr>
                <w:noProof/>
              </w:rPr>
              <w:t>Vähintään 1 230 000 m 2 (</w:t>
            </w:r>
            <w:r>
              <w:rPr>
                <w:noProof/>
                <w:vertAlign w:val="superscript"/>
              </w:rPr>
              <w:t>kumulatiivisesti</w:t>
            </w:r>
            <w:r>
              <w:rPr>
                <w:noProof/>
              </w:rPr>
              <w:t xml:space="preserve">) korjattuja julkisia rakennuksia, joiden primäärienergian kysyntä vähenee keskimäärin vähintään 30 prosenttia. Tukilain (38/2003) 30 §:ssä säädettyjen töiden päättymistä koskevien todistusten tai rakennusurakoiden (autonomisten yhteisöjen) hyväksymistodistukset tai tositteet tarkastetaan hankkeen päätyttyä (EELL). Saavutettujen energiansäästöjen noudattamisen perustelemiseksi vaaditaan ja yhdistetään päätökseen saatettujen töiden energiasertifiointi, jotta voidaan vahvistaa saavutetut keskimääräiset energiansäästöt. (Perustaso: Joulukuuta 2024.) </w:t>
            </w:r>
          </w:p>
        </w:tc>
      </w:tr>
      <w:tr w:rsidR="0065073E" w14:paraId="7B61CA55" w14:textId="77777777">
        <w:trPr>
          <w:trHeight w:val="309"/>
        </w:trPr>
        <w:tc>
          <w:tcPr>
            <w:tcW w:w="709" w:type="dxa"/>
            <w:shd w:val="clear" w:color="auto" w:fill="C6EFCE"/>
            <w:noWrap/>
          </w:tcPr>
          <w:p w14:paraId="0CD124DB" w14:textId="77777777" w:rsidR="0065073E" w:rsidRDefault="000A0998">
            <w:pPr>
              <w:pStyle w:val="P68B1DB1-Normal12"/>
              <w:spacing w:after="0" w:line="240" w:lineRule="auto"/>
              <w:jc w:val="center"/>
              <w:rPr>
                <w:rFonts w:cs="Times New Roman"/>
                <w:noProof/>
              </w:rPr>
            </w:pPr>
            <w:r>
              <w:rPr>
                <w:noProof/>
              </w:rPr>
              <w:t>38</w:t>
            </w:r>
          </w:p>
        </w:tc>
        <w:tc>
          <w:tcPr>
            <w:tcW w:w="851" w:type="dxa"/>
            <w:shd w:val="clear" w:color="auto" w:fill="C6EFCE"/>
            <w:noWrap/>
          </w:tcPr>
          <w:p w14:paraId="44F83E1B" w14:textId="77777777" w:rsidR="0065073E" w:rsidRDefault="000A0998">
            <w:pPr>
              <w:pStyle w:val="P68B1DB1-Normal12"/>
              <w:spacing w:after="0" w:line="240" w:lineRule="auto"/>
              <w:jc w:val="center"/>
              <w:rPr>
                <w:rFonts w:eastAsia="MS Mincho" w:cs="Times New Roman"/>
                <w:noProof/>
              </w:rPr>
            </w:pPr>
            <w:r>
              <w:rPr>
                <w:noProof/>
              </w:rPr>
              <w:t>C2.I6</w:t>
            </w:r>
          </w:p>
        </w:tc>
        <w:tc>
          <w:tcPr>
            <w:tcW w:w="850" w:type="dxa"/>
            <w:shd w:val="clear" w:color="auto" w:fill="C6EFCE"/>
            <w:noWrap/>
          </w:tcPr>
          <w:p w14:paraId="2FE7BF0B" w14:textId="77777777" w:rsidR="0065073E" w:rsidRDefault="000A0998">
            <w:pPr>
              <w:pStyle w:val="P68B1DB1-Normal12"/>
              <w:spacing w:after="0" w:line="240" w:lineRule="auto"/>
              <w:jc w:val="center"/>
              <w:rPr>
                <w:rFonts w:cs="Times New Roman"/>
                <w:noProof/>
              </w:rPr>
            </w:pPr>
            <w:r>
              <w:rPr>
                <w:noProof/>
              </w:rPr>
              <w:t>T</w:t>
            </w:r>
          </w:p>
        </w:tc>
        <w:tc>
          <w:tcPr>
            <w:tcW w:w="1985" w:type="dxa"/>
            <w:shd w:val="clear" w:color="auto" w:fill="C6EFCE"/>
            <w:noWrap/>
          </w:tcPr>
          <w:p w14:paraId="13CD28E4" w14:textId="77777777" w:rsidR="0065073E" w:rsidRDefault="000A0998">
            <w:pPr>
              <w:pStyle w:val="P68B1DB1-Normal12"/>
              <w:spacing w:after="0" w:line="240" w:lineRule="auto"/>
              <w:rPr>
                <w:rFonts w:cs="Times New Roman"/>
                <w:noProof/>
              </w:rPr>
            </w:pPr>
            <w:r>
              <w:rPr>
                <w:noProof/>
              </w:rPr>
              <w:t xml:space="preserve">Espanjan kaupunkiagendan mukaiset toimintasuunnitelmat </w:t>
            </w:r>
          </w:p>
        </w:tc>
        <w:tc>
          <w:tcPr>
            <w:tcW w:w="1134" w:type="dxa"/>
            <w:shd w:val="clear" w:color="auto" w:fill="C6EFCE"/>
            <w:noWrap/>
          </w:tcPr>
          <w:p w14:paraId="48D3F40D"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42087AF3" w14:textId="77777777" w:rsidR="0065073E" w:rsidRDefault="000A0998">
            <w:pPr>
              <w:pStyle w:val="P68B1DB1-Normal12"/>
              <w:spacing w:after="0" w:line="240" w:lineRule="auto"/>
              <w:jc w:val="right"/>
              <w:rPr>
                <w:rFonts w:eastAsia="MS Mincho" w:cs="Times New Roman"/>
                <w:noProof/>
              </w:rPr>
            </w:pPr>
            <w:r>
              <w:rPr>
                <w:noProof/>
              </w:rPr>
              <w:t>Määrä</w:t>
            </w:r>
          </w:p>
        </w:tc>
        <w:tc>
          <w:tcPr>
            <w:tcW w:w="992" w:type="dxa"/>
            <w:shd w:val="clear" w:color="auto" w:fill="C6EFCE"/>
            <w:noWrap/>
          </w:tcPr>
          <w:p w14:paraId="53AF8648" w14:textId="77777777" w:rsidR="0065073E" w:rsidRDefault="000A0998">
            <w:pPr>
              <w:pStyle w:val="P68B1DB1-Normal12"/>
              <w:spacing w:after="0" w:line="240" w:lineRule="auto"/>
              <w:jc w:val="right"/>
              <w:rPr>
                <w:rFonts w:eastAsia="MS Mincho" w:cs="Times New Roman"/>
                <w:noProof/>
              </w:rPr>
            </w:pPr>
            <w:r>
              <w:rPr>
                <w:noProof/>
              </w:rPr>
              <w:t>0</w:t>
            </w:r>
          </w:p>
        </w:tc>
        <w:tc>
          <w:tcPr>
            <w:tcW w:w="851" w:type="dxa"/>
            <w:shd w:val="clear" w:color="auto" w:fill="C6EFCE"/>
            <w:noWrap/>
          </w:tcPr>
          <w:p w14:paraId="0CCF700D" w14:textId="77777777" w:rsidR="0065073E" w:rsidRDefault="000A0998">
            <w:pPr>
              <w:pStyle w:val="P68B1DB1-Normal12"/>
              <w:spacing w:after="0" w:line="240" w:lineRule="auto"/>
              <w:jc w:val="right"/>
              <w:rPr>
                <w:rFonts w:eastAsia="MS Mincho" w:cs="Times New Roman"/>
                <w:noProof/>
              </w:rPr>
            </w:pPr>
            <w:r>
              <w:rPr>
                <w:noProof/>
              </w:rPr>
              <w:t>100</w:t>
            </w:r>
          </w:p>
        </w:tc>
        <w:tc>
          <w:tcPr>
            <w:tcW w:w="425" w:type="dxa"/>
            <w:shd w:val="clear" w:color="auto" w:fill="C6EFCE"/>
            <w:noWrap/>
          </w:tcPr>
          <w:p w14:paraId="68967742"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76F3685A" w14:textId="77777777" w:rsidR="0065073E" w:rsidRDefault="000A0998">
            <w:pPr>
              <w:pStyle w:val="P68B1DB1-Normal12"/>
              <w:spacing w:after="0" w:line="240" w:lineRule="auto"/>
              <w:jc w:val="center"/>
              <w:rPr>
                <w:rFonts w:cs="Times New Roman"/>
                <w:noProof/>
              </w:rPr>
            </w:pPr>
            <w:r>
              <w:rPr>
                <w:noProof/>
              </w:rPr>
              <w:t>2022</w:t>
            </w:r>
          </w:p>
        </w:tc>
        <w:tc>
          <w:tcPr>
            <w:tcW w:w="6379" w:type="dxa"/>
            <w:shd w:val="clear" w:color="auto" w:fill="C6EFCE"/>
            <w:noWrap/>
          </w:tcPr>
          <w:p w14:paraId="4B38E9F2" w14:textId="77777777" w:rsidR="0065073E" w:rsidRDefault="000A0998">
            <w:pPr>
              <w:pStyle w:val="P68B1DB1-Normal12"/>
              <w:spacing w:after="0" w:line="240" w:lineRule="auto"/>
              <w:rPr>
                <w:rFonts w:cs="Times New Roman"/>
                <w:noProof/>
              </w:rPr>
            </w:pPr>
            <w:r>
              <w:rPr>
                <w:noProof/>
              </w:rPr>
              <w:t xml:space="preserve">Vähintään 100 kunnan on hyväksyttävä paikallinen toimintasuunnitelmansa (kaupunkistrategia) ja täytettävä Espanjan kaupunkiagendassa esitetyt kriteerit, joihin sisältyy arviointi ja toimintalinjat sen kymmenen strategisen tavoitteen mukaisesti. </w:t>
            </w:r>
          </w:p>
        </w:tc>
      </w:tr>
    </w:tbl>
    <w:p w14:paraId="4BCF813A" w14:textId="77777777" w:rsidR="0065073E" w:rsidRDefault="0065073E">
      <w:pPr>
        <w:spacing w:before="120" w:after="120" w:line="240" w:lineRule="auto"/>
        <w:jc w:val="both"/>
        <w:rPr>
          <w:rFonts w:ascii="Times New Roman" w:hAnsi="Times New Roman" w:cs="Times New Roman"/>
          <w:noProof/>
          <w:sz w:val="24"/>
        </w:rPr>
      </w:pPr>
    </w:p>
    <w:p w14:paraId="1E57B6E2" w14:textId="77777777" w:rsidR="0065073E" w:rsidRDefault="0065073E">
      <w:pPr>
        <w:rPr>
          <w:rFonts w:ascii="Times New Roman" w:hAnsi="Times New Roman" w:cs="Times New Roman"/>
          <w:noProof/>
        </w:rPr>
        <w:sectPr w:rsidR="0065073E" w:rsidSect="00B511EF">
          <w:headerReference w:type="even" r:id="rId54"/>
          <w:headerReference w:type="default" r:id="rId55"/>
          <w:footerReference w:type="even" r:id="rId56"/>
          <w:footerReference w:type="default" r:id="rId57"/>
          <w:headerReference w:type="first" r:id="rId58"/>
          <w:footerReference w:type="first" r:id="rId59"/>
          <w:pgSz w:w="16839" w:h="11907" w:orient="landscape"/>
          <w:pgMar w:top="1134" w:right="1134" w:bottom="1134" w:left="1134" w:header="567" w:footer="567" w:gutter="0"/>
          <w:cols w:space="720"/>
          <w:docGrid w:linePitch="360"/>
        </w:sectPr>
      </w:pPr>
    </w:p>
    <w:p w14:paraId="650C567F" w14:textId="229E388D" w:rsidR="0065073E" w:rsidRDefault="000A0998">
      <w:pPr>
        <w:pStyle w:val="P68B1DB1-Normal15"/>
        <w:spacing w:before="120" w:after="120" w:line="240" w:lineRule="auto"/>
        <w:ind w:left="709"/>
        <w:jc w:val="both"/>
        <w:rPr>
          <w:rFonts w:cs="Times New Roman"/>
          <w:noProof/>
        </w:rPr>
      </w:pPr>
      <w:r>
        <w:rPr>
          <w:noProof/>
        </w:rPr>
        <w:t>B.3 Kuvaus lainamuotoisella tuella rahoitettavista uudistuksista ja investoinneista</w:t>
      </w:r>
    </w:p>
    <w:p w14:paraId="0F6EF98C" w14:textId="44365BC5" w:rsidR="0065073E" w:rsidRDefault="000A0998">
      <w:pPr>
        <w:pStyle w:val="P68B1DB1-Normal5"/>
        <w:spacing w:before="120" w:after="120" w:line="240" w:lineRule="auto"/>
        <w:rPr>
          <w:rFonts w:cs="Times New Roman"/>
          <w:noProof/>
        </w:rPr>
      </w:pPr>
      <w:r>
        <w:rPr>
          <w:noProof/>
        </w:rPr>
        <w:t xml:space="preserve">Uudistus 7 (C2.R7) – </w:t>
      </w:r>
      <w:bookmarkStart w:id="6" w:name="_Hlk140249148"/>
      <w:r>
        <w:rPr>
          <w:noProof/>
        </w:rPr>
        <w:t>Toimenpideohjelma vuokra-asuntojen tarjonnan edistämiseksi</w:t>
      </w:r>
      <w:bookmarkEnd w:id="6"/>
    </w:p>
    <w:p w14:paraId="2F6825A9" w14:textId="302B8460" w:rsidR="0065073E" w:rsidRDefault="000A0998">
      <w:pPr>
        <w:pStyle w:val="P68B1DB1-Normal4"/>
        <w:spacing w:before="120" w:after="120" w:line="240" w:lineRule="auto"/>
        <w:jc w:val="both"/>
        <w:rPr>
          <w:rFonts w:cs="Times New Roman"/>
          <w:noProof/>
        </w:rPr>
      </w:pPr>
      <w:r>
        <w:rPr>
          <w:noProof/>
        </w:rPr>
        <w:t xml:space="preserve">Tämän toimenpiteen tavoitteena on lisätä vuokra-asuntojen tarjontaa erityisesti sosiaalisen asuntokannan osalta ja niissä kaupungeissa, joissa hinnat ovat nousseet enemmän. </w:t>
      </w:r>
    </w:p>
    <w:p w14:paraId="4E68BFB1" w14:textId="7EEAFAEE" w:rsidR="0065073E" w:rsidRDefault="000A0998">
      <w:pPr>
        <w:pStyle w:val="P68B1DB1-Normal4"/>
        <w:spacing w:before="120" w:after="120" w:line="240" w:lineRule="auto"/>
        <w:rPr>
          <w:rFonts w:cs="Times New Roman"/>
          <w:noProof/>
        </w:rPr>
      </w:pPr>
      <w:r>
        <w:rPr>
          <w:noProof/>
        </w:rPr>
        <w:t xml:space="preserve">Tämän ongelman ratkaisemiseksi toimenpide sisältää seuraavat: </w:t>
      </w:r>
    </w:p>
    <w:p w14:paraId="4AED4110" w14:textId="13857EDE" w:rsidR="0065073E" w:rsidRDefault="000A0998">
      <w:pPr>
        <w:pStyle w:val="P68B1DB1-ListParagraph6"/>
        <w:numPr>
          <w:ilvl w:val="0"/>
          <w:numId w:val="298"/>
        </w:numPr>
        <w:spacing w:line="240" w:lineRule="auto"/>
        <w:jc w:val="both"/>
        <w:rPr>
          <w:rFonts w:cs="Times New Roman"/>
          <w:noProof/>
        </w:rPr>
      </w:pPr>
      <w:r>
        <w:rPr>
          <w:noProof/>
        </w:rPr>
        <w:t>muutetaan 30. lokakuuta annetulla kuninkaallisella asetuksella 7/2015 hyväksyttyä maa- ja kaupunkialueiden kunnostamista koskevaa lakia koskevaa konsolidoitua tekstiä, jolla otetaan käyttöön toimenpiteitä, joilla nopeutetaan rakennusten kunnostamiseen ja rakennusten rakentamiseen sosiaalista asuntotuotantoa varten liittyviä kaupunkisuunnittelumenettelyjä;</w:t>
      </w:r>
    </w:p>
    <w:p w14:paraId="5FA31788" w14:textId="302B91A7" w:rsidR="0065073E" w:rsidRDefault="000A0998">
      <w:pPr>
        <w:pStyle w:val="P68B1DB1-ListParagraph6"/>
        <w:numPr>
          <w:ilvl w:val="0"/>
          <w:numId w:val="298"/>
        </w:numPr>
        <w:spacing w:line="240" w:lineRule="auto"/>
        <w:jc w:val="both"/>
        <w:rPr>
          <w:rFonts w:cs="Times New Roman"/>
          <w:noProof/>
        </w:rPr>
      </w:pPr>
      <w:r>
        <w:rPr>
          <w:noProof/>
        </w:rPr>
        <w:t>suosituksia ja parhaita käytäntöjä sisältävän oppaan julkaiseminen, jolla pyritään yksinkertaistamaan ja nopeuttamaan kaupunkisuunnittelun lupamenettelyjä kannustamalla i) tietojen ja kokemusten vaihtoa paikallis-, alue- ja keskushallinnon hallintojen välillä, ii) toimenpiteitä prosessien systematisoimiseksi ja optimoimiseksi sekä iii) pilottihankkeiden tulevaa kehittämistä erilaisissa alueellisissa yhteyksissä.</w:t>
      </w:r>
    </w:p>
    <w:p w14:paraId="565F9C02" w14:textId="431104DD" w:rsidR="0065073E" w:rsidRDefault="000A0998">
      <w:pPr>
        <w:pStyle w:val="P68B1DB1-Normal4"/>
        <w:spacing w:before="120" w:after="120" w:line="240" w:lineRule="auto"/>
        <w:rPr>
          <w:rFonts w:cs="Times New Roman"/>
          <w:noProof/>
        </w:rPr>
      </w:pPr>
      <w:r>
        <w:rPr>
          <w:noProof/>
        </w:rPr>
        <w:t>Uudistuksen toteutus on määrä saattaa päätökseen 30. kesäkuuta 2025 mennessä.</w:t>
      </w:r>
    </w:p>
    <w:p w14:paraId="2BC9A8ED" w14:textId="7EF47603" w:rsidR="0065073E" w:rsidRDefault="000A0998">
      <w:pPr>
        <w:pStyle w:val="P68B1DB1-Normal5"/>
        <w:spacing w:before="120" w:after="120" w:line="240" w:lineRule="auto"/>
        <w:jc w:val="both"/>
        <w:rPr>
          <w:rFonts w:cs="Times New Roman"/>
          <w:noProof/>
        </w:rPr>
      </w:pPr>
      <w:r>
        <w:rPr>
          <w:noProof/>
        </w:rPr>
        <w:t>Investointi 7 (C2.I7) – ICO:n lainajärjestely sosiaalisen asuntotuotannon edistämiseksi</w:t>
      </w:r>
    </w:p>
    <w:p w14:paraId="562AF89C" w14:textId="7C8F63D7" w:rsidR="0065073E" w:rsidRDefault="000A0998">
      <w:pPr>
        <w:pStyle w:val="P68B1DB1-Normal4"/>
        <w:spacing w:before="120" w:after="120" w:line="240" w:lineRule="auto"/>
        <w:jc w:val="both"/>
        <w:rPr>
          <w:rFonts w:eastAsia="@MS Mincho" w:cs="Times New Roman"/>
          <w:noProof/>
        </w:rPr>
      </w:pPr>
      <w:r>
        <w:rPr>
          <w:noProof/>
        </w:rPr>
        <w:t xml:space="preserve">Tämä toimenpide koostuu julkisesta investoinnista ICO:n lainajärjestelyyn sosiaalisen asuntotuotannon edistämiseksi, jotta voidaan kannustaa yksityisiä investointeja ja parantaa rahoituksen saantia energiatehokkaiden sosiaalisten ja kohtuuhintaisten asuntojen rakentamiseen ja kunnostamiseen sekä kehittää pääomamarkkinoita näillä aloilla. Lainajärjestely toimii myöntämällä lainoja suoraan tai välittäjien kautta yksityiselle sektorille sekä vastaavaa toimintaa harjoittaville julkisyhteisöille ja julkisoikeudellisille laitoksille. Elpymis- ja palautumistukivälineen investointien perusteella tukivälineestä on alun perin tarkoitus myöntää rahoitusta vähintään 4000000000 euroa. </w:t>
      </w:r>
    </w:p>
    <w:p w14:paraId="229B51D7" w14:textId="456DDDED" w:rsidR="0065073E" w:rsidRDefault="000A0998">
      <w:pPr>
        <w:pStyle w:val="P68B1DB1-Normal4"/>
        <w:spacing w:before="120" w:after="120" w:line="240" w:lineRule="auto"/>
        <w:jc w:val="both"/>
        <w:rPr>
          <w:rFonts w:eastAsia="@MS Mincho" w:cs="Times New Roman"/>
          <w:noProof/>
        </w:rPr>
      </w:pPr>
      <w:r>
        <w:rPr>
          <w:noProof/>
        </w:rPr>
        <w:t>Investointikehystä hallinnoi toteutuskumppanina toimiva Instituto de Crédito Official (ICO). Lainajärjestelyn on sisällettävä seuraavat tuotelinjat:</w:t>
      </w:r>
    </w:p>
    <w:p w14:paraId="0DF0145A" w14:textId="128F9AE1" w:rsidR="0065073E" w:rsidRDefault="000A0998">
      <w:pPr>
        <w:pStyle w:val="P68B1DB1-ListParagraph6"/>
        <w:numPr>
          <w:ilvl w:val="0"/>
          <w:numId w:val="298"/>
        </w:numPr>
        <w:spacing w:line="240" w:lineRule="auto"/>
        <w:jc w:val="both"/>
        <w:rPr>
          <w:rFonts w:eastAsia="@MS Mincho" w:cs="Times New Roman"/>
          <w:noProof/>
        </w:rPr>
      </w:pPr>
      <w:r>
        <w:rPr>
          <w:noProof/>
        </w:rPr>
        <w:t>Suorat lainat energiatehokkaiden rakennusten rakentamiseen. Rakennusten primäärienergian kulutuksen on oltava vähintään 20 prosenttia alhaisempi kuin kansallisissa suuntaviivoissa asetetut lähes nollaenergiaa koskevat rakennusten energiavaatimukset.</w:t>
      </w:r>
    </w:p>
    <w:p w14:paraId="7C583A3D" w14:textId="584648C4" w:rsidR="0065073E" w:rsidRDefault="000A0998">
      <w:pPr>
        <w:pStyle w:val="P68B1DB1-ListParagraph6"/>
        <w:numPr>
          <w:ilvl w:val="0"/>
          <w:numId w:val="298"/>
        </w:numPr>
        <w:spacing w:line="240" w:lineRule="auto"/>
        <w:jc w:val="both"/>
        <w:rPr>
          <w:rFonts w:eastAsia="@MS Mincho" w:cs="Times New Roman"/>
          <w:noProof/>
        </w:rPr>
      </w:pPr>
      <w:r>
        <w:rPr>
          <w:noProof/>
        </w:rPr>
        <w:t xml:space="preserve">Suorat lainat olemassa olevien rakennusten kunnostamiseen. Peruskorjauksen tuloksena on vähennettävä uusiutumattoman energian primäärienergian kulutusta vähintään 30 prosenttia. </w:t>
      </w:r>
    </w:p>
    <w:p w14:paraId="023FCA6B" w14:textId="64269845" w:rsidR="0065073E" w:rsidRDefault="000A0998">
      <w:pPr>
        <w:pStyle w:val="P68B1DB1-ListParagraph6"/>
        <w:numPr>
          <w:ilvl w:val="0"/>
          <w:numId w:val="298"/>
        </w:numPr>
        <w:spacing w:line="240" w:lineRule="auto"/>
        <w:jc w:val="both"/>
        <w:rPr>
          <w:rFonts w:eastAsia="@MS Mincho" w:cs="Times New Roman"/>
          <w:noProof/>
        </w:rPr>
      </w:pPr>
      <w:r>
        <w:rPr>
          <w:noProof/>
        </w:rPr>
        <w:t>Sovittelulinja: sovittelulinja koostuu ICO:n liikepankeille myöntämistä lainoista, jotka puolestaan myöntävät lopullisille edunsaajille lainoja energiatehokkaiden rakennusten rakentamiseen tai olemassa olevien rakennusten kunnostamiseen.</w:t>
      </w:r>
    </w:p>
    <w:p w14:paraId="4B97937C" w14:textId="154B5C97" w:rsidR="0065073E" w:rsidRDefault="000A0998">
      <w:pPr>
        <w:pStyle w:val="P68B1DB1-Normal4"/>
        <w:spacing w:after="160" w:line="240" w:lineRule="auto"/>
        <w:jc w:val="both"/>
        <w:rPr>
          <w:rFonts w:cs="Times New Roman"/>
          <w:noProof/>
        </w:rPr>
      </w:pPr>
      <w:r>
        <w:rPr>
          <w:noProof/>
        </w:rPr>
        <w:t>Rakennettuja ja/tai korjattuja rakennuksia on käytettävä sosiaaliseen tai kohtuuhintaiseen vuokraan tai siirrettävä käyttöön sosiaalista ja kohtuuhintaista vuokraa varten vähintään 50 vuoden ajan. Sosiaalisen ja kohtuuhintaisen vuokran määrittämisessä käytetään kuninkaan asetuksen 853/2021 ohjelmassa 6 vahvistettuja perusteita.</w:t>
      </w:r>
    </w:p>
    <w:p w14:paraId="3A501942" w14:textId="1C5CCB36" w:rsidR="0065073E" w:rsidRDefault="000A0998">
      <w:pPr>
        <w:pStyle w:val="P68B1DB1-Normal4"/>
        <w:spacing w:after="160" w:line="240" w:lineRule="auto"/>
        <w:jc w:val="both"/>
        <w:rPr>
          <w:rFonts w:cs="Times New Roman"/>
          <w:noProof/>
        </w:rPr>
      </w:pPr>
      <w:r>
        <w:rPr>
          <w:noProof/>
        </w:rPr>
        <w:t>Investointikehykseen tehtävän investoinnin toteuttamiseksi Espanjan ja ICO:n on allekirjoitettava täytäntöönpanosopimus, jonka sisältö on seuraava:</w:t>
      </w:r>
    </w:p>
    <w:p w14:paraId="7F40B6D1" w14:textId="65296399" w:rsidR="0065073E" w:rsidRDefault="000A0998">
      <w:pPr>
        <w:pStyle w:val="P68B1DB1-ListParagraph6"/>
        <w:numPr>
          <w:ilvl w:val="0"/>
          <w:numId w:val="747"/>
        </w:numPr>
        <w:rPr>
          <w:rFonts w:eastAsia="Times New Roman" w:cs="Times New Roman"/>
          <w:noProof/>
        </w:rPr>
      </w:pPr>
      <w:r>
        <w:rPr>
          <w:noProof/>
        </w:rPr>
        <w:t>Tukivälineen päätöksentekoprosessin kuvaus:  Investointikehyksen lopullisen investointipäätöksen tekee investointikomitea tai muu vastaava hallintoelin, ja se hyväksytään Espanjan hallituksesta riippumattomien jäsenten äänten enemmistöllä. Välitettyjen sijoitusten osalta välittäjien on tehtävä lopullinen sijoituspäätös.</w:t>
      </w:r>
    </w:p>
    <w:p w14:paraId="79E54BA4" w14:textId="77777777" w:rsidR="0065073E" w:rsidRDefault="0065073E">
      <w:pPr>
        <w:pStyle w:val="ListParagraph"/>
        <w:rPr>
          <w:noProof/>
        </w:rPr>
      </w:pPr>
    </w:p>
    <w:p w14:paraId="2FD39D5B" w14:textId="7FDECDB4" w:rsidR="0065073E" w:rsidRDefault="000A0998">
      <w:pPr>
        <w:pStyle w:val="P68B1DB1-ListParagraph6"/>
        <w:spacing w:after="0"/>
        <w:jc w:val="both"/>
        <w:rPr>
          <w:rFonts w:eastAsia="Times New Roman" w:cs="Times New Roman"/>
          <w:noProof/>
        </w:rPr>
      </w:pPr>
      <w:r>
        <w:rPr>
          <w:noProof/>
        </w:rPr>
        <w:t xml:space="preserve">2. Asiaan liittyvän sijoituspolitiikan keskeiset vaatimukset, joihin on sisällyttävä </w:t>
      </w:r>
    </w:p>
    <w:p w14:paraId="1C4DA3C2" w14:textId="7080EDBE" w:rsidR="0065073E" w:rsidRDefault="000A0998">
      <w:pPr>
        <w:pStyle w:val="P68B1DB1-LegalNumPar316"/>
        <w:numPr>
          <w:ilvl w:val="2"/>
          <w:numId w:val="0"/>
        </w:numPr>
        <w:spacing w:after="0"/>
        <w:ind w:left="720"/>
        <w:rPr>
          <w:rFonts w:eastAsia="Times New Roman" w:cs="Times New Roman"/>
          <w:noProof/>
        </w:rPr>
      </w:pPr>
      <w:r>
        <w:rPr>
          <w:noProof/>
        </w:rPr>
        <w:t>a. Kuvaus rahoitustuotteista ja tukikelpoisista lopullisista tuensaajista toimenpiteen kuvauksen mukaisesti.</w:t>
      </w:r>
    </w:p>
    <w:p w14:paraId="2D0BC6C2" w14:textId="21866C87" w:rsidR="0065073E" w:rsidRDefault="000A0998">
      <w:pPr>
        <w:pStyle w:val="P68B1DB1-ListParagraph6"/>
        <w:spacing w:after="0"/>
        <w:jc w:val="both"/>
        <w:rPr>
          <w:rFonts w:eastAsia="Times New Roman" w:cs="Times New Roman"/>
          <w:noProof/>
        </w:rPr>
      </w:pPr>
      <w:r>
        <w:rPr>
          <w:noProof/>
        </w:rPr>
        <w:t xml:space="preserve">b. Vaatimus, jonka mukaan kaikkien tuettujen investointien on oltava taloudellisesti kannattavia. </w:t>
      </w:r>
    </w:p>
    <w:p w14:paraId="156B3B26" w14:textId="3CFE2D84" w:rsidR="0065073E" w:rsidRDefault="000A0998">
      <w:pPr>
        <w:pStyle w:val="P68B1DB1-ListParagraph6"/>
        <w:spacing w:after="0"/>
        <w:jc w:val="both"/>
        <w:rPr>
          <w:rFonts w:eastAsia="Times New Roman" w:cs="Times New Roman"/>
          <w:noProof/>
        </w:rPr>
      </w:pPr>
      <w:r>
        <w:rPr>
          <w:noProof/>
        </w:rPr>
        <w:t>C. Kielto jälleenrahoittaa kaikkia jäljellä olevia lainoja.</w:t>
      </w:r>
    </w:p>
    <w:p w14:paraId="57AA2BC1" w14:textId="7E24FCD0" w:rsidR="0065073E" w:rsidRDefault="000A0998">
      <w:pPr>
        <w:pStyle w:val="P68B1DB1-ListParagraph6"/>
        <w:spacing w:after="0"/>
        <w:jc w:val="both"/>
        <w:rPr>
          <w:rFonts w:eastAsia="Times New Roman" w:cs="Times New Roman"/>
          <w:noProof/>
        </w:rPr>
      </w:pPr>
      <w:r>
        <w:rPr>
          <w:noProof/>
        </w:rPr>
        <w:t>d. Vaatimus noudattaa ”ei merkittävää haittaa” -periaatetta, sellaisena kuin se esitetään ”ei merkittävää haittaa” -periaatetta (2021/C58/01), erityisesti:</w:t>
      </w:r>
    </w:p>
    <w:p w14:paraId="31ADAA96" w14:textId="7FC32407" w:rsidR="0065073E" w:rsidRDefault="000A0998">
      <w:pPr>
        <w:pStyle w:val="ListParagraph"/>
        <w:numPr>
          <w:ilvl w:val="0"/>
          <w:numId w:val="748"/>
        </w:numPr>
        <w:spacing w:after="0"/>
        <w:jc w:val="both"/>
        <w:rPr>
          <w:rFonts w:ascii="Times New Roman" w:hAnsi="Times New Roman" w:cs="Times New Roman"/>
          <w:noProof/>
          <w:u w:val="single"/>
        </w:rPr>
      </w:pPr>
      <w:r>
        <w:rPr>
          <w:rFonts w:ascii="Times New Roman" w:hAnsi="Times New Roman"/>
          <w:noProof/>
          <w:sz w:val="24"/>
        </w:rPr>
        <w:t>Lainojen osalta: sijoituspolitiikassa ei oteta huomioon seuraavaa luetteloa toiminnoista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6"/>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7"/>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8"/>
      </w:r>
      <w:r>
        <w:rPr>
          <w:rFonts w:ascii="Times New Roman" w:hAnsi="Times New Roman"/>
          <w:noProof/>
          <w:sz w:val="24"/>
        </w:rPr>
        <w:t xml:space="preserve"> ja omaisuuserät</w:t>
      </w:r>
      <w:r>
        <w:rPr>
          <w:rStyle w:val="FootnoteReference"/>
          <w:rFonts w:ascii="Times New Roman" w:eastAsia="Times New Roman" w:hAnsi="Times New Roman" w:cs="Times New Roman"/>
          <w:noProof/>
          <w:sz w:val="24"/>
        </w:rPr>
        <w:footnoteReference w:id="9"/>
      </w:r>
      <w:r>
        <w:rPr>
          <w:rFonts w:ascii="Times New Roman" w:hAnsi="Times New Roman"/>
          <w:noProof/>
          <w:sz w:val="24"/>
        </w:rPr>
        <w:t xml:space="preserve">.  </w:t>
      </w:r>
    </w:p>
    <w:p w14:paraId="54346E24" w14:textId="2D8D7C89" w:rsidR="0065073E" w:rsidRDefault="000A0998">
      <w:pPr>
        <w:pStyle w:val="P68B1DB1-ListParagraph6"/>
        <w:numPr>
          <w:ilvl w:val="0"/>
          <w:numId w:val="748"/>
        </w:numPr>
        <w:spacing w:after="0"/>
        <w:jc w:val="both"/>
        <w:rPr>
          <w:rFonts w:eastAsia="Times New Roman" w:cs="Times New Roman"/>
          <w:noProof/>
          <w:u w:val="single"/>
        </w:rPr>
      </w:pPr>
      <w:r>
        <w:rPr>
          <w:noProof/>
        </w:rPr>
        <w:t>Investointipolitiikassa on edellytettävä, että tukivälineen lopulliset edunsaajat noudattavat asiaankuuluvaa EU:n ja kansallista ympäristölainsäädäntöä.</w:t>
      </w:r>
    </w:p>
    <w:p w14:paraId="20CEDAAC" w14:textId="30B4C3EE" w:rsidR="0065073E" w:rsidRDefault="000A0998">
      <w:pPr>
        <w:pStyle w:val="P68B1DB1-Normal4"/>
        <w:spacing w:after="0"/>
        <w:ind w:left="720"/>
        <w:jc w:val="both"/>
        <w:rPr>
          <w:rFonts w:eastAsia="Times New Roman" w:cs="Times New Roman"/>
          <w:noProof/>
        </w:rPr>
      </w:pPr>
      <w:r>
        <w:rPr>
          <w:noProof/>
        </w:rPr>
        <w:t xml:space="preserve">e. Vaatimus, jonka mukaan lainajärjestelyn lopulliset edunsaajat eivät saa saada tukea muista unionin välineistä samojen kustannusten kattamiseksi. </w:t>
      </w:r>
    </w:p>
    <w:p w14:paraId="579A0112" w14:textId="30B4C3EE" w:rsidR="0065073E" w:rsidRDefault="0065073E">
      <w:pPr>
        <w:spacing w:after="0"/>
        <w:jc w:val="both"/>
        <w:rPr>
          <w:rFonts w:ascii="Times New Roman" w:eastAsia="Times New Roman" w:hAnsi="Times New Roman" w:cs="Times New Roman"/>
          <w:noProof/>
          <w:sz w:val="24"/>
        </w:rPr>
      </w:pPr>
    </w:p>
    <w:p w14:paraId="06A75224" w14:textId="26559678" w:rsidR="0065073E" w:rsidRDefault="000A0998">
      <w:pPr>
        <w:pStyle w:val="P68B1DB1-Normal4"/>
        <w:spacing w:after="0"/>
        <w:jc w:val="both"/>
        <w:rPr>
          <w:rFonts w:eastAsia="Times New Roman" w:cs="Times New Roman"/>
          <w:noProof/>
        </w:rPr>
      </w:pPr>
      <w:r>
        <w:rPr>
          <w:noProof/>
        </w:rPr>
        <w:t>3. Täytäntöönpanosopimuksen kattama määrä, toteutuskumppanin vapaa rakenne ja vaatimus investoida takaisin maksetut määrät tukivälineen investointipolitiikan mukaisesti, paitsi jos niitä käytetään elpymis- ja palautumistukivälineen lainojen takaisinmaksuun.</w:t>
      </w:r>
    </w:p>
    <w:p w14:paraId="76EA64F4" w14:textId="77777777" w:rsidR="0065073E" w:rsidRDefault="0065073E">
      <w:pPr>
        <w:spacing w:after="0"/>
        <w:jc w:val="both"/>
        <w:rPr>
          <w:rFonts w:ascii="Times New Roman" w:eastAsia="Times New Roman" w:hAnsi="Times New Roman" w:cs="Times New Roman"/>
          <w:noProof/>
          <w:sz w:val="24"/>
        </w:rPr>
      </w:pPr>
    </w:p>
    <w:p w14:paraId="7D35602F" w14:textId="3C7A35C3" w:rsidR="0065073E" w:rsidRDefault="000A0998">
      <w:pPr>
        <w:pStyle w:val="P68B1DB1-Normal4"/>
        <w:spacing w:after="0"/>
        <w:jc w:val="both"/>
        <w:rPr>
          <w:rFonts w:eastAsia="Times New Roman" w:cs="Times New Roman"/>
          <w:noProof/>
        </w:rPr>
      </w:pPr>
      <w:r>
        <w:rPr>
          <w:noProof/>
        </w:rPr>
        <w:t xml:space="preserve">4. Seuranta-, auditointi- ja valvontavaatimukset, mukaan lukien  </w:t>
      </w:r>
    </w:p>
    <w:p w14:paraId="48BEE247" w14:textId="728E63C1" w:rsidR="0065073E" w:rsidRDefault="000A0998">
      <w:pPr>
        <w:pStyle w:val="P68B1DB1-ListParagraph6"/>
        <w:numPr>
          <w:ilvl w:val="0"/>
          <w:numId w:val="274"/>
        </w:numPr>
        <w:rPr>
          <w:rFonts w:eastAsia="Times New Roman" w:cs="Times New Roman"/>
          <w:noProof/>
        </w:rPr>
      </w:pPr>
      <w:r>
        <w:rPr>
          <w:noProof/>
        </w:rPr>
        <w:t>Kuvaus toteutuskumppanin seurantajärjestelmästä, jolla raportoidaan käyttöön otetuista investoinneista.</w:t>
      </w:r>
    </w:p>
    <w:p w14:paraId="76AE288A" w14:textId="775E3552" w:rsidR="0065073E" w:rsidRDefault="000A0998">
      <w:pPr>
        <w:pStyle w:val="P68B1DB1-ListParagraph6"/>
        <w:numPr>
          <w:ilvl w:val="0"/>
          <w:numId w:val="274"/>
        </w:numPr>
        <w:rPr>
          <w:rFonts w:eastAsia="Times New Roman" w:cs="Times New Roman"/>
          <w:noProof/>
        </w:rPr>
      </w:pPr>
      <w:r>
        <w:rPr>
          <w:noProof/>
        </w:rPr>
        <w:t>Kuvaus toteutuskumppanin menettelyistä, joilla varmistetaan petosten, lahjonnan ja eturistiriitojen ehkäiseminen, havaitseminen ja korjaaminen.</w:t>
      </w:r>
    </w:p>
    <w:p w14:paraId="2A4FD3CA" w14:textId="0456EF33" w:rsidR="0065073E" w:rsidRDefault="000A0998">
      <w:pPr>
        <w:pStyle w:val="P68B1DB1-ListParagraph6"/>
        <w:numPr>
          <w:ilvl w:val="0"/>
          <w:numId w:val="274"/>
        </w:numPr>
        <w:rPr>
          <w:rFonts w:eastAsia="Times New Roman" w:cs="Times New Roman"/>
          <w:noProof/>
        </w:rPr>
      </w:pPr>
      <w:r>
        <w:rPr>
          <w:noProof/>
        </w:rPr>
        <w:t>Velvoite tarkistaa kunkin toimen tukikelpoisuus täytäntöönpanosopimuksessa ja elpymis- ja palautumistukivälineessä vahvistettujen vaatimusten mukaisesti ennen kuin sitoudutaan rahoittamaan toimea.</w:t>
      </w:r>
    </w:p>
    <w:p w14:paraId="00ECEF68" w14:textId="00EDD802" w:rsidR="0065073E" w:rsidRDefault="000A0998">
      <w:pPr>
        <w:pStyle w:val="P68B1DB1-ListParagraph6"/>
        <w:numPr>
          <w:ilvl w:val="0"/>
          <w:numId w:val="274"/>
        </w:numPr>
        <w:rPr>
          <w:rFonts w:eastAsia="Times New Roman" w:cs="Times New Roman"/>
          <w:noProof/>
        </w:rPr>
      </w:pPr>
      <w:r>
        <w:rPr>
          <w:noProof/>
        </w:rPr>
        <w:t xml:space="preserve">Velvollisuus suorittaa riskiperusteisia jälkitarkastuksia ICO:n tarkastussuunnitelman mukaisesti. Näillä tarkastuksilla todennetaan i) valvontajärjestelmien tehokkuus, mukaan lukien petosten, korruption ja eturistiriitojen havaitseminen; II) ”ei merkittävää haittaa” -periaatteen, valtiontukisääntöjen ja ilmastotavoitteita koskevien vaatimusten noudattaminen; ja iii) noudatetaan vaatimusta, jonka mukaan välittäjän on valvottava, katetaanko samat kustannukset jostakin muusta unionin välineestä. Tarkastuksissa on myös todennettava toimien laillisuus ja se, että sovellettavien täytäntöönpano- ja rahoitussopimusten ehtoja noudatetaan. </w:t>
      </w:r>
    </w:p>
    <w:p w14:paraId="56B8AD55" w14:textId="48B85017" w:rsidR="0065073E" w:rsidRDefault="000A0998">
      <w:pPr>
        <w:spacing w:after="0"/>
        <w:jc w:val="both"/>
        <w:rPr>
          <w:rFonts w:ascii="Times New Roman" w:eastAsia="Times New Roman" w:hAnsi="Times New Roman" w:cs="Times New Roman"/>
          <w:noProof/>
          <w:sz w:val="24"/>
        </w:rPr>
      </w:pPr>
      <w:r>
        <w:rPr>
          <w:rFonts w:ascii="Times New Roman" w:hAnsi="Times New Roman"/>
          <w:noProof/>
          <w:sz w:val="24"/>
        </w:rPr>
        <w:t>5. Toteutuskumppanin toteuttamia ilmastoinvestointeja koskevat vaatimukset: vähintään 2122000000 eurolla elpymis- ja palautumistukivälineen investointivälineestä tukivälineeseen on edistettävä ilmastotavoitteita elpymis- ja palautumistukivälinettä koskevan asetuksen liitteen VI mukaisesti.</w:t>
      </w:r>
      <w:r>
        <w:rPr>
          <w:rStyle w:val="FootnoteReference"/>
          <w:rFonts w:ascii="Times New Roman" w:hAnsi="Times New Roman" w:cs="Times New Roman"/>
          <w:noProof/>
        </w:rPr>
        <w:footnoteReference w:id="10"/>
      </w:r>
    </w:p>
    <w:p w14:paraId="32CF5D78" w14:textId="20363EB8" w:rsidR="0065073E" w:rsidRDefault="0065073E">
      <w:pPr>
        <w:spacing w:after="0"/>
        <w:jc w:val="both"/>
        <w:rPr>
          <w:rFonts w:ascii="Times New Roman" w:eastAsia="Times New Roman" w:hAnsi="Times New Roman" w:cs="Times New Roman"/>
          <w:noProof/>
          <w:sz w:val="24"/>
        </w:rPr>
      </w:pPr>
    </w:p>
    <w:p w14:paraId="5C10D3A9" w14:textId="3805F0B7" w:rsidR="0065073E" w:rsidRDefault="000A0998">
      <w:pPr>
        <w:pStyle w:val="P68B1DB1-Normal4"/>
        <w:spacing w:after="0"/>
        <w:jc w:val="both"/>
        <w:rPr>
          <w:rFonts w:eastAsia="Times New Roman" w:cs="Times New Roman"/>
          <w:noProof/>
        </w:rPr>
      </w:pPr>
      <w:r>
        <w:rPr>
          <w:noProof/>
        </w:rPr>
        <w:t>6. Rahoituksen välittäjien valintaa koskevat vaatimukset: ICO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w:t>
      </w:r>
    </w:p>
    <w:p w14:paraId="7C59C747" w14:textId="77777777" w:rsidR="0065073E" w:rsidRDefault="0065073E">
      <w:pPr>
        <w:spacing w:after="0"/>
        <w:jc w:val="both"/>
        <w:rPr>
          <w:rFonts w:ascii="Times New Roman" w:eastAsia="Times New Roman" w:hAnsi="Times New Roman" w:cs="Times New Roman"/>
          <w:noProof/>
          <w:sz w:val="24"/>
        </w:rPr>
      </w:pPr>
    </w:p>
    <w:p w14:paraId="504ECEFE" w14:textId="5DF50B40" w:rsidR="0065073E" w:rsidRDefault="000A0998">
      <w:pPr>
        <w:pStyle w:val="P68B1DB1-Normal4"/>
        <w:spacing w:after="0"/>
        <w:jc w:val="both"/>
        <w:rPr>
          <w:rFonts w:eastAsia="Times New Roman" w:cs="Times New Roman"/>
          <w:noProof/>
          <w:u w:val="single"/>
        </w:rPr>
      </w:pPr>
      <w:r>
        <w:rPr>
          <w:noProof/>
        </w:rPr>
        <w:t>7. Vaatimus rahoitussopimusten allekirjoittamisesta: ICO allekirjoittaa rahoitussopimukset rahoituksen välittäjien kanssa täytäntöönpanosopimuksen liitteenä olevien keskeisten vaatimusten mukaisesti. Rahoitussopimuksen keskeisiin vaatimuksiin on sisällyttävä kaikki rahaston toimintaa koskevat vaatimukset, mukaan lukien seuraavat:</w:t>
      </w:r>
    </w:p>
    <w:p w14:paraId="51E71FEA" w14:textId="704B31FC" w:rsidR="0065073E" w:rsidRDefault="000A0998">
      <w:pPr>
        <w:pStyle w:val="P68B1DB1-ListParagraph6"/>
        <w:numPr>
          <w:ilvl w:val="0"/>
          <w:numId w:val="274"/>
        </w:numPr>
        <w:rPr>
          <w:rFonts w:eastAsia="Times New Roman" w:cs="Times New Roman"/>
          <w:noProof/>
        </w:rPr>
      </w:pPr>
      <w:r>
        <w:rPr>
          <w:noProof/>
        </w:rPr>
        <w:t>Rahoituksen välittäjän velvollisuus tehdä päätöksensä soveltuvin osin edellä esitettyjen päätöksentekoa ja sijoituspolitiikkaa koskevien vaatimusten mukaisesti, mukaan lukien ”ei merkittävää haittaa” -periaatteen noudattaminen.</w:t>
      </w:r>
    </w:p>
    <w:p w14:paraId="63E2C596" w14:textId="6A7B121C" w:rsidR="0065073E" w:rsidRDefault="000A0998">
      <w:pPr>
        <w:pStyle w:val="P68B1DB1-ListParagraph6"/>
        <w:numPr>
          <w:ilvl w:val="0"/>
          <w:numId w:val="274"/>
        </w:numPr>
        <w:rPr>
          <w:rFonts w:eastAsia="Times New Roman" w:cs="Times New Roman"/>
          <w:noProof/>
        </w:rPr>
      </w:pPr>
      <w:r>
        <w:rPr>
          <w:noProof/>
        </w:rPr>
        <w:t xml:space="preserve">Kuvaus rahoituksen välittäjän käyttöön ottamasta seuranta-, tarkastus- ja valvontakehyksestä, johon sovelletaan soveltuvin osin kaikkia edellä määriteltyjä seuranta-, tarkastus- ja valvontavaatimuksia. </w:t>
      </w:r>
    </w:p>
    <w:p w14:paraId="3B66219C" w14:textId="0894DEC9" w:rsidR="0065073E" w:rsidRDefault="000A0998">
      <w:pPr>
        <w:pStyle w:val="P68B1DB1-Normal4"/>
        <w:spacing w:after="160" w:line="240" w:lineRule="auto"/>
        <w:jc w:val="both"/>
        <w:rPr>
          <w:rFonts w:cs="Times New Roman"/>
          <w:noProof/>
        </w:rPr>
      </w:pPr>
      <w:r>
        <w:rPr>
          <w:noProof/>
        </w:rPr>
        <w:t>Toimenpiteen täytäntöönpano on saatettava päätökseen 31 päivään elokuuta 2026 mennessä.</w:t>
      </w:r>
    </w:p>
    <w:p w14:paraId="076D6575" w14:textId="77777777" w:rsidR="0065073E" w:rsidRDefault="0065073E">
      <w:pPr>
        <w:spacing w:before="120" w:after="160" w:line="240" w:lineRule="auto"/>
        <w:ind w:left="720"/>
        <w:jc w:val="both"/>
        <w:rPr>
          <w:rFonts w:ascii="Times New Roman" w:hAnsi="Times New Roman"/>
          <w:b/>
          <w:noProof/>
          <w:sz w:val="24"/>
          <w:u w:val="single"/>
        </w:rPr>
        <w:sectPr w:rsidR="0065073E" w:rsidSect="00B511EF">
          <w:headerReference w:type="even" r:id="rId60"/>
          <w:headerReference w:type="default" r:id="rId61"/>
          <w:footerReference w:type="even" r:id="rId62"/>
          <w:footerReference w:type="default" r:id="rId63"/>
          <w:headerReference w:type="first" r:id="rId64"/>
          <w:footerReference w:type="first" r:id="rId65"/>
          <w:pgSz w:w="11907" w:h="16839"/>
          <w:pgMar w:top="1134" w:right="1134" w:bottom="1134" w:left="1134" w:header="567" w:footer="567" w:gutter="0"/>
          <w:cols w:space="720"/>
          <w:docGrid w:linePitch="360"/>
        </w:sectPr>
      </w:pPr>
    </w:p>
    <w:p w14:paraId="7A01FDB1" w14:textId="07141A96" w:rsidR="0065073E" w:rsidRDefault="000A0998">
      <w:pPr>
        <w:pStyle w:val="P68B1DB1-Normal15"/>
        <w:spacing w:before="120" w:after="160" w:line="240" w:lineRule="auto"/>
        <w:ind w:left="720"/>
        <w:jc w:val="both"/>
        <w:rPr>
          <w:rFonts w:cs="Times New Roman"/>
          <w:noProof/>
        </w:rPr>
      </w:pPr>
      <w:r>
        <w:rPr>
          <w:noProof/>
        </w:rPr>
        <w:t>B.4 Lainatuen seurannan ja täytäntöönpanon välitavoitteet, tavoitteet, indikaattorit ja aikataulu</w:t>
      </w:r>
    </w:p>
    <w:p w14:paraId="0078074C" w14:textId="77777777" w:rsidR="0065073E" w:rsidRDefault="000A0998">
      <w:pPr>
        <w:pStyle w:val="P68B1DB1-Normal17"/>
        <w:spacing w:before="120" w:after="120" w:line="240" w:lineRule="auto"/>
        <w:jc w:val="both"/>
        <w:rPr>
          <w:rFonts w:cs="Times New Roman"/>
          <w:noProof/>
        </w:rPr>
        <w:sectPr w:rsidR="0065073E" w:rsidSect="00B511EF">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r>
        <w:rPr>
          <w:noProof/>
        </w:rPr>
        <w:t xml:space="preserve">Ks. taulukko jäljempänä. Kaikkien indikaattoreiden perustason päivämäärä on 1. helmikuuta 2020, ellei toimen kuvauksessa toisin mainita.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829"/>
        <w:gridCol w:w="828"/>
        <w:gridCol w:w="1518"/>
        <w:gridCol w:w="1241"/>
        <w:gridCol w:w="829"/>
        <w:gridCol w:w="966"/>
        <w:gridCol w:w="600"/>
        <w:gridCol w:w="368"/>
        <w:gridCol w:w="553"/>
        <w:gridCol w:w="6888"/>
      </w:tblGrid>
      <w:tr w:rsidR="0065073E" w14:paraId="53E9F9D5" w14:textId="77777777">
        <w:trPr>
          <w:trHeight w:val="309"/>
          <w:tblHeader/>
        </w:trPr>
        <w:tc>
          <w:tcPr>
            <w:tcW w:w="832" w:type="dxa"/>
            <w:tcBorders>
              <w:bottom w:val="nil"/>
            </w:tcBorders>
            <w:shd w:val="clear" w:color="auto" w:fill="C6D9F1" w:themeFill="text2" w:themeFillTint="33"/>
            <w:noWrap/>
            <w:vAlign w:val="center"/>
          </w:tcPr>
          <w:p w14:paraId="7D2F5074" w14:textId="19B273CC"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1B2E6169" w14:textId="19B273CC"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5D5BC8F1" w14:textId="19B273CC"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518" w:type="dxa"/>
            <w:tcBorders>
              <w:bottom w:val="nil"/>
            </w:tcBorders>
            <w:shd w:val="clear" w:color="auto" w:fill="C6D9F1" w:themeFill="text2" w:themeFillTint="33"/>
            <w:noWrap/>
            <w:vAlign w:val="center"/>
          </w:tcPr>
          <w:p w14:paraId="2538B08D" w14:textId="19B273CC" w:rsidR="0065073E" w:rsidRDefault="000A0998">
            <w:pPr>
              <w:pStyle w:val="P68B1DB1-Normal8"/>
              <w:spacing w:after="0" w:line="240" w:lineRule="auto"/>
              <w:jc w:val="center"/>
              <w:rPr>
                <w:rFonts w:cs="Times New Roman"/>
                <w:noProof/>
              </w:rPr>
            </w:pPr>
            <w:r>
              <w:rPr>
                <w:noProof/>
              </w:rPr>
              <w:t>Nimi</w:t>
            </w:r>
          </w:p>
        </w:tc>
        <w:tc>
          <w:tcPr>
            <w:tcW w:w="1241" w:type="dxa"/>
            <w:tcBorders>
              <w:bottom w:val="nil"/>
            </w:tcBorders>
            <w:shd w:val="clear" w:color="auto" w:fill="C6D9F1" w:themeFill="text2" w:themeFillTint="33"/>
            <w:noWrap/>
            <w:vAlign w:val="center"/>
          </w:tcPr>
          <w:p w14:paraId="0AD9D363" w14:textId="19B273CC" w:rsidR="0065073E" w:rsidRDefault="000A0998">
            <w:pPr>
              <w:pStyle w:val="P68B1DB1-Normal8"/>
              <w:spacing w:after="0" w:line="240" w:lineRule="auto"/>
              <w:jc w:val="center"/>
              <w:rPr>
                <w:rFonts w:cs="Times New Roman"/>
                <w:noProof/>
              </w:rPr>
            </w:pPr>
            <w:r>
              <w:rPr>
                <w:noProof/>
              </w:rPr>
              <w:t>Välitavoitteiden laadullinen indikaattori</w:t>
            </w:r>
          </w:p>
        </w:tc>
        <w:tc>
          <w:tcPr>
            <w:tcW w:w="2395" w:type="dxa"/>
            <w:gridSpan w:val="3"/>
            <w:shd w:val="clear" w:color="auto" w:fill="C6D9F1" w:themeFill="text2" w:themeFillTint="33"/>
            <w:noWrap/>
            <w:vAlign w:val="center"/>
          </w:tcPr>
          <w:p w14:paraId="618F3F59" w14:textId="19B273CC" w:rsidR="0065073E" w:rsidRDefault="000A0998">
            <w:pPr>
              <w:pStyle w:val="P68B1DB1-Normal8"/>
              <w:spacing w:after="0" w:line="240" w:lineRule="auto"/>
              <w:jc w:val="center"/>
              <w:rPr>
                <w:rFonts w:cs="Times New Roman"/>
                <w:noProof/>
              </w:rPr>
            </w:pPr>
            <w:r>
              <w:rPr>
                <w:noProof/>
              </w:rPr>
              <w:t>Määrällinen indikaattori tavoitteelle</w:t>
            </w:r>
          </w:p>
        </w:tc>
        <w:tc>
          <w:tcPr>
            <w:tcW w:w="921" w:type="dxa"/>
            <w:gridSpan w:val="2"/>
            <w:shd w:val="clear" w:color="auto" w:fill="C6D9F1" w:themeFill="text2" w:themeFillTint="33"/>
            <w:noWrap/>
            <w:vAlign w:val="center"/>
          </w:tcPr>
          <w:p w14:paraId="4F7E36FC" w14:textId="19B273CC" w:rsidR="0065073E" w:rsidRDefault="000A0998">
            <w:pPr>
              <w:pStyle w:val="P68B1DB1-Normal8"/>
              <w:spacing w:after="0" w:line="240" w:lineRule="auto"/>
              <w:jc w:val="center"/>
              <w:rPr>
                <w:rFonts w:cs="Times New Roman"/>
                <w:noProof/>
              </w:rPr>
            </w:pPr>
            <w:r>
              <w:rPr>
                <w:noProof/>
              </w:rPr>
              <w:t>Aika</w:t>
            </w:r>
          </w:p>
        </w:tc>
        <w:tc>
          <w:tcPr>
            <w:tcW w:w="6888" w:type="dxa"/>
            <w:tcBorders>
              <w:bottom w:val="nil"/>
            </w:tcBorders>
            <w:shd w:val="clear" w:color="auto" w:fill="C6D9F1" w:themeFill="text2" w:themeFillTint="33"/>
            <w:noWrap/>
            <w:vAlign w:val="center"/>
          </w:tcPr>
          <w:p w14:paraId="381052D7" w14:textId="19B273CC"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00542BF5" w14:textId="77777777">
        <w:trPr>
          <w:trHeight w:val="309"/>
          <w:tblHeader/>
        </w:trPr>
        <w:tc>
          <w:tcPr>
            <w:tcW w:w="832" w:type="dxa"/>
            <w:tcBorders>
              <w:top w:val="nil"/>
            </w:tcBorders>
            <w:shd w:val="clear" w:color="auto" w:fill="C6D9F1" w:themeFill="text2" w:themeFillTint="33"/>
            <w:noWrap/>
          </w:tcPr>
          <w:p w14:paraId="685FBC61"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3BCACC00"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6E00F204" w14:textId="77777777" w:rsidR="0065073E" w:rsidRDefault="0065073E">
            <w:pPr>
              <w:spacing w:after="0" w:line="240" w:lineRule="auto"/>
              <w:jc w:val="center"/>
              <w:rPr>
                <w:rFonts w:ascii="Times New Roman" w:hAnsi="Times New Roman" w:cs="Times New Roman"/>
                <w:b/>
                <w:noProof/>
                <w:sz w:val="18"/>
              </w:rPr>
            </w:pPr>
          </w:p>
        </w:tc>
        <w:tc>
          <w:tcPr>
            <w:tcW w:w="1518" w:type="dxa"/>
            <w:tcBorders>
              <w:top w:val="nil"/>
            </w:tcBorders>
            <w:shd w:val="clear" w:color="auto" w:fill="C6D9F1" w:themeFill="text2" w:themeFillTint="33"/>
            <w:noWrap/>
          </w:tcPr>
          <w:p w14:paraId="35517160" w14:textId="77777777" w:rsidR="0065073E" w:rsidRDefault="0065073E">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10773556"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4845E654" w14:textId="19B273CC"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vAlign w:val="center"/>
          </w:tcPr>
          <w:p w14:paraId="3CA2064C" w14:textId="35D651EC" w:rsidR="0065073E" w:rsidRDefault="000A0998">
            <w:pPr>
              <w:pStyle w:val="P68B1DB1-Normal8"/>
              <w:spacing w:after="0" w:line="240" w:lineRule="auto"/>
              <w:jc w:val="center"/>
              <w:rPr>
                <w:rFonts w:cs="Times New Roman"/>
                <w:noProof/>
              </w:rPr>
            </w:pPr>
            <w:r>
              <w:rPr>
                <w:noProof/>
              </w:rPr>
              <w:t>Lähtötaso</w:t>
            </w:r>
          </w:p>
        </w:tc>
        <w:tc>
          <w:tcPr>
            <w:tcW w:w="600" w:type="dxa"/>
            <w:shd w:val="clear" w:color="auto" w:fill="C6D9F1" w:themeFill="text2" w:themeFillTint="33"/>
            <w:noWrap/>
            <w:vAlign w:val="center"/>
          </w:tcPr>
          <w:p w14:paraId="2ED86D06" w14:textId="19B273CC" w:rsidR="0065073E" w:rsidRDefault="000A0998">
            <w:pPr>
              <w:pStyle w:val="P68B1DB1-Normal8"/>
              <w:spacing w:after="0" w:line="240" w:lineRule="auto"/>
              <w:jc w:val="center"/>
              <w:rPr>
                <w:rFonts w:cs="Times New Roman"/>
                <w:noProof/>
              </w:rPr>
            </w:pPr>
            <w:r>
              <w:rPr>
                <w:noProof/>
              </w:rPr>
              <w:t>Päämäärä</w:t>
            </w:r>
          </w:p>
        </w:tc>
        <w:tc>
          <w:tcPr>
            <w:tcW w:w="368" w:type="dxa"/>
            <w:shd w:val="clear" w:color="auto" w:fill="C6D9F1" w:themeFill="text2" w:themeFillTint="33"/>
            <w:noWrap/>
            <w:vAlign w:val="center"/>
          </w:tcPr>
          <w:p w14:paraId="3FDB49BC" w14:textId="19B273CC"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5AA880DF" w14:textId="19B273CC" w:rsidR="0065073E" w:rsidRDefault="000A0998">
            <w:pPr>
              <w:pStyle w:val="P68B1DB1-Normal8"/>
              <w:spacing w:after="0" w:line="240" w:lineRule="auto"/>
              <w:jc w:val="center"/>
              <w:rPr>
                <w:rFonts w:cs="Times New Roman"/>
                <w:noProof/>
              </w:rPr>
            </w:pPr>
            <w:r>
              <w:rPr>
                <w:noProof/>
              </w:rPr>
              <w:t>Vuosi</w:t>
            </w:r>
          </w:p>
        </w:tc>
        <w:tc>
          <w:tcPr>
            <w:tcW w:w="6888" w:type="dxa"/>
            <w:tcBorders>
              <w:top w:val="nil"/>
            </w:tcBorders>
            <w:shd w:val="clear" w:color="auto" w:fill="C6D9F1" w:themeFill="text2" w:themeFillTint="33"/>
            <w:noWrap/>
          </w:tcPr>
          <w:p w14:paraId="0D64C11C" w14:textId="77777777" w:rsidR="0065073E" w:rsidRDefault="0065073E">
            <w:pPr>
              <w:spacing w:after="0" w:line="240" w:lineRule="auto"/>
              <w:rPr>
                <w:rFonts w:ascii="Times New Roman" w:hAnsi="Times New Roman" w:cs="Times New Roman"/>
                <w:b/>
                <w:noProof/>
                <w:sz w:val="18"/>
              </w:rPr>
            </w:pPr>
          </w:p>
        </w:tc>
      </w:tr>
      <w:tr w:rsidR="0065073E" w14:paraId="47249D9F" w14:textId="77777777">
        <w:trPr>
          <w:trHeight w:val="309"/>
        </w:trPr>
        <w:tc>
          <w:tcPr>
            <w:tcW w:w="832" w:type="dxa"/>
            <w:shd w:val="clear" w:color="auto" w:fill="C6EFCE"/>
            <w:noWrap/>
          </w:tcPr>
          <w:p w14:paraId="562D5F81" w14:textId="6A6FF0B0" w:rsidR="0065073E" w:rsidRDefault="000A0998">
            <w:pPr>
              <w:pStyle w:val="P68B1DB1-Normal12"/>
              <w:spacing w:after="0" w:line="240" w:lineRule="auto"/>
              <w:jc w:val="center"/>
              <w:rPr>
                <w:rFonts w:cs="Times New Roman"/>
                <w:noProof/>
              </w:rPr>
            </w:pPr>
            <w:r>
              <w:rPr>
                <w:noProof/>
              </w:rPr>
              <w:t>L2</w:t>
            </w:r>
          </w:p>
        </w:tc>
        <w:tc>
          <w:tcPr>
            <w:tcW w:w="829" w:type="dxa"/>
            <w:shd w:val="clear" w:color="auto" w:fill="C6EFCE"/>
            <w:noWrap/>
          </w:tcPr>
          <w:p w14:paraId="25B5B9CC" w14:textId="04C0F159" w:rsidR="0065073E" w:rsidRDefault="000A0998">
            <w:pPr>
              <w:pStyle w:val="P68B1DB1-Normal12"/>
              <w:spacing w:after="0" w:line="240" w:lineRule="auto"/>
              <w:jc w:val="center"/>
              <w:rPr>
                <w:rFonts w:eastAsia="MS Mincho" w:cs="Times New Roman"/>
                <w:noProof/>
              </w:rPr>
            </w:pPr>
            <w:r>
              <w:rPr>
                <w:noProof/>
              </w:rPr>
              <w:t>C2.R7</w:t>
            </w:r>
          </w:p>
        </w:tc>
        <w:tc>
          <w:tcPr>
            <w:tcW w:w="828" w:type="dxa"/>
            <w:shd w:val="clear" w:color="auto" w:fill="C6EFCE"/>
            <w:noWrap/>
          </w:tcPr>
          <w:p w14:paraId="47A58A18" w14:textId="04C0F159" w:rsidR="0065073E" w:rsidRDefault="000A0998">
            <w:pPr>
              <w:pStyle w:val="P68B1DB1-Normal12"/>
              <w:spacing w:after="0" w:line="240" w:lineRule="auto"/>
              <w:jc w:val="center"/>
              <w:rPr>
                <w:rFonts w:eastAsia="MS Mincho" w:cs="Times New Roman"/>
                <w:noProof/>
              </w:rPr>
            </w:pPr>
            <w:r>
              <w:rPr>
                <w:noProof/>
              </w:rPr>
              <w:t>M</w:t>
            </w:r>
          </w:p>
        </w:tc>
        <w:tc>
          <w:tcPr>
            <w:tcW w:w="1518" w:type="dxa"/>
            <w:shd w:val="clear" w:color="auto" w:fill="C6EFCE"/>
            <w:noWrap/>
          </w:tcPr>
          <w:p w14:paraId="34AFA365" w14:textId="5D0596A8" w:rsidR="0065073E" w:rsidRDefault="000A0998">
            <w:pPr>
              <w:pStyle w:val="P68B1DB1-Normal12"/>
              <w:spacing w:after="0" w:line="240" w:lineRule="auto"/>
              <w:rPr>
                <w:rFonts w:eastAsia="MS Mincho" w:cs="Times New Roman"/>
                <w:noProof/>
              </w:rPr>
            </w:pPr>
            <w:r>
              <w:rPr>
                <w:noProof/>
              </w:rPr>
              <w:t xml:space="preserve">Maa- ja kaupunkialueiden kunnostamista koskevan lain konsolidoidun tekstin muutoksen voimaantulo </w:t>
            </w:r>
          </w:p>
        </w:tc>
        <w:tc>
          <w:tcPr>
            <w:tcW w:w="1241" w:type="dxa"/>
            <w:shd w:val="clear" w:color="auto" w:fill="C6EFCE"/>
            <w:noWrap/>
          </w:tcPr>
          <w:p w14:paraId="511C2A04" w14:textId="3A7195F4" w:rsidR="0065073E" w:rsidRDefault="000A0998">
            <w:pPr>
              <w:pStyle w:val="P68B1DB1-Normal12"/>
              <w:spacing w:after="0" w:line="240" w:lineRule="auto"/>
              <w:jc w:val="center"/>
              <w:rPr>
                <w:rFonts w:eastAsia="MS Mincho" w:cs="Times New Roman"/>
                <w:noProof/>
              </w:rPr>
            </w:pPr>
            <w:r>
              <w:rPr>
                <w:noProof/>
              </w:rPr>
              <w:t>Voimaantuloa koskevan muutetun lain säännös</w:t>
            </w:r>
          </w:p>
        </w:tc>
        <w:tc>
          <w:tcPr>
            <w:tcW w:w="829" w:type="dxa"/>
            <w:shd w:val="clear" w:color="auto" w:fill="C6EFCE"/>
            <w:noWrap/>
          </w:tcPr>
          <w:p w14:paraId="4084AA81" w14:textId="77777777" w:rsidR="0065073E" w:rsidRDefault="0065073E">
            <w:pPr>
              <w:spacing w:after="0" w:line="240" w:lineRule="auto"/>
              <w:jc w:val="right"/>
              <w:rPr>
                <w:rFonts w:ascii="Times New Roman" w:eastAsia="MS Mincho" w:hAnsi="Times New Roman" w:cs="Times New Roman"/>
                <w:noProof/>
                <w:sz w:val="18"/>
              </w:rPr>
            </w:pPr>
          </w:p>
        </w:tc>
        <w:tc>
          <w:tcPr>
            <w:tcW w:w="966" w:type="dxa"/>
            <w:shd w:val="clear" w:color="auto" w:fill="C6EFCE"/>
            <w:noWrap/>
          </w:tcPr>
          <w:p w14:paraId="3C8DE28B" w14:textId="77777777" w:rsidR="0065073E" w:rsidRDefault="0065073E">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2A38B382" w14:textId="77777777" w:rsidR="0065073E" w:rsidRDefault="0065073E">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5C4B40DD" w14:textId="4C8BF3DC"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4E0458CB" w14:textId="4C86333E" w:rsidR="0065073E" w:rsidRDefault="000A0998">
            <w:pPr>
              <w:pStyle w:val="P68B1DB1-Normal12"/>
              <w:spacing w:after="0" w:line="240" w:lineRule="auto"/>
              <w:jc w:val="center"/>
              <w:rPr>
                <w:rFonts w:eastAsia="MS Mincho" w:cs="Times New Roman"/>
                <w:noProof/>
              </w:rPr>
            </w:pPr>
            <w:r>
              <w:rPr>
                <w:noProof/>
              </w:rPr>
              <w:t xml:space="preserve"> 2025</w:t>
            </w:r>
          </w:p>
        </w:tc>
        <w:tc>
          <w:tcPr>
            <w:tcW w:w="6888" w:type="dxa"/>
            <w:shd w:val="clear" w:color="auto" w:fill="C6EFCE"/>
            <w:noWrap/>
          </w:tcPr>
          <w:p w14:paraId="17CF3CEA" w14:textId="5E1751E3" w:rsidR="0065073E" w:rsidRDefault="000A0998">
            <w:pPr>
              <w:pStyle w:val="P68B1DB1-Normal12"/>
              <w:spacing w:after="0" w:line="240" w:lineRule="auto"/>
              <w:jc w:val="both"/>
              <w:rPr>
                <w:rFonts w:eastAsia="MS Mincho" w:cs="Times New Roman"/>
                <w:noProof/>
              </w:rPr>
            </w:pPr>
            <w:r>
              <w:rPr>
                <w:noProof/>
              </w:rPr>
              <w:t>Lokakuun 30. päivänä annetulla kuninkaallisella asetuksella 7/2015 hyväksytyn maa- ja kaupunkialueiden kunnostamista koskevan lain konsolidoidun tekstin muutoksen voimaantulo. Muutoksella otetaan käyttöön toimenpiteitä, joilla nopeutetaan rakennusten kunnostamiseen ja rakennusten rakentamiseen sosiaalista asuntotuotantoa varten liittyviä kaupunkisuunnittelumenettelyjä.</w:t>
            </w:r>
          </w:p>
        </w:tc>
      </w:tr>
      <w:tr w:rsidR="0065073E" w14:paraId="07844CC8" w14:textId="77777777">
        <w:trPr>
          <w:trHeight w:val="309"/>
        </w:trPr>
        <w:tc>
          <w:tcPr>
            <w:tcW w:w="832" w:type="dxa"/>
            <w:shd w:val="clear" w:color="auto" w:fill="C6EFCE"/>
            <w:noWrap/>
          </w:tcPr>
          <w:p w14:paraId="0873ECA3" w14:textId="49855681" w:rsidR="0065073E" w:rsidRDefault="000A0998">
            <w:pPr>
              <w:pStyle w:val="P68B1DB1-Normal12"/>
              <w:spacing w:after="0" w:line="240" w:lineRule="auto"/>
              <w:jc w:val="center"/>
              <w:rPr>
                <w:rFonts w:cs="Times New Roman"/>
                <w:noProof/>
              </w:rPr>
            </w:pPr>
            <w:r>
              <w:rPr>
                <w:noProof/>
              </w:rPr>
              <w:t>L3</w:t>
            </w:r>
          </w:p>
        </w:tc>
        <w:tc>
          <w:tcPr>
            <w:tcW w:w="829" w:type="dxa"/>
            <w:shd w:val="clear" w:color="auto" w:fill="C6EFCE"/>
            <w:noWrap/>
          </w:tcPr>
          <w:p w14:paraId="6249CDB4" w14:textId="04C0F159" w:rsidR="0065073E" w:rsidRDefault="000A0998">
            <w:pPr>
              <w:pStyle w:val="P68B1DB1-Normal12"/>
              <w:spacing w:after="0" w:line="240" w:lineRule="auto"/>
              <w:jc w:val="center"/>
              <w:rPr>
                <w:rFonts w:eastAsia="MS Mincho" w:cs="Times New Roman"/>
                <w:noProof/>
              </w:rPr>
            </w:pPr>
            <w:r>
              <w:rPr>
                <w:noProof/>
              </w:rPr>
              <w:t>C2.R7</w:t>
            </w:r>
          </w:p>
        </w:tc>
        <w:tc>
          <w:tcPr>
            <w:tcW w:w="828" w:type="dxa"/>
            <w:shd w:val="clear" w:color="auto" w:fill="C6EFCE"/>
            <w:noWrap/>
          </w:tcPr>
          <w:p w14:paraId="44655DD6" w14:textId="04C0F159" w:rsidR="0065073E" w:rsidRDefault="000A0998">
            <w:pPr>
              <w:pStyle w:val="P68B1DB1-Normal12"/>
              <w:spacing w:after="0" w:line="240" w:lineRule="auto"/>
              <w:jc w:val="center"/>
              <w:rPr>
                <w:rFonts w:eastAsia="MS Mincho" w:cs="Times New Roman"/>
                <w:noProof/>
              </w:rPr>
            </w:pPr>
            <w:r>
              <w:rPr>
                <w:noProof/>
              </w:rPr>
              <w:t>M</w:t>
            </w:r>
          </w:p>
        </w:tc>
        <w:tc>
          <w:tcPr>
            <w:tcW w:w="1518" w:type="dxa"/>
            <w:shd w:val="clear" w:color="auto" w:fill="C6EFCE"/>
            <w:noWrap/>
          </w:tcPr>
          <w:p w14:paraId="7FCDC6B6" w14:textId="04C0F159" w:rsidR="0065073E" w:rsidRDefault="000A0998">
            <w:pPr>
              <w:pStyle w:val="P68B1DB1-Normal12"/>
              <w:spacing w:after="0" w:line="240" w:lineRule="auto"/>
              <w:rPr>
                <w:rFonts w:eastAsia="MS Mincho" w:cs="Times New Roman"/>
                <w:noProof/>
              </w:rPr>
            </w:pPr>
            <w:r>
              <w:rPr>
                <w:noProof/>
              </w:rPr>
              <w:t>Rakennuslupamenettelyjen yksinkertaistamista ja virtaviivaistamista koskevan parhaiden käytäntöjen oppaan julkaiseminen</w:t>
            </w:r>
          </w:p>
        </w:tc>
        <w:tc>
          <w:tcPr>
            <w:tcW w:w="1241" w:type="dxa"/>
            <w:shd w:val="clear" w:color="auto" w:fill="C6EFCE"/>
            <w:noWrap/>
          </w:tcPr>
          <w:p w14:paraId="144D2A82" w14:textId="54EF3D42" w:rsidR="0065073E" w:rsidRDefault="000A0998">
            <w:pPr>
              <w:pStyle w:val="P68B1DB1-Normal12"/>
              <w:spacing w:after="0" w:line="240" w:lineRule="auto"/>
              <w:jc w:val="center"/>
              <w:rPr>
                <w:rFonts w:eastAsia="MS Mincho" w:cs="Times New Roman"/>
                <w:noProof/>
              </w:rPr>
            </w:pPr>
            <w:r>
              <w:rPr>
                <w:noProof/>
              </w:rPr>
              <w:t>Julkaiseminen verkossa</w:t>
            </w:r>
          </w:p>
        </w:tc>
        <w:tc>
          <w:tcPr>
            <w:tcW w:w="829" w:type="dxa"/>
            <w:shd w:val="clear" w:color="auto" w:fill="C6EFCE"/>
            <w:noWrap/>
          </w:tcPr>
          <w:p w14:paraId="6F647066" w14:textId="343CA82C" w:rsidR="0065073E" w:rsidRDefault="0065073E">
            <w:pPr>
              <w:spacing w:after="0" w:line="240" w:lineRule="auto"/>
              <w:jc w:val="right"/>
              <w:rPr>
                <w:rFonts w:ascii="Times New Roman" w:eastAsia="MS Mincho" w:hAnsi="Times New Roman" w:cs="Times New Roman"/>
                <w:noProof/>
                <w:sz w:val="18"/>
              </w:rPr>
            </w:pPr>
          </w:p>
        </w:tc>
        <w:tc>
          <w:tcPr>
            <w:tcW w:w="966" w:type="dxa"/>
            <w:shd w:val="clear" w:color="auto" w:fill="C6EFCE"/>
            <w:noWrap/>
          </w:tcPr>
          <w:p w14:paraId="7B38FB94" w14:textId="57EB123C" w:rsidR="0065073E" w:rsidRDefault="0065073E">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541846CA" w14:textId="3768BCF4" w:rsidR="0065073E" w:rsidRDefault="0065073E">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42608E1F" w14:textId="088E2098"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0D3913D5" w14:textId="27794172" w:rsidR="0065073E" w:rsidRDefault="000A0998">
            <w:pPr>
              <w:pStyle w:val="P68B1DB1-Normal12"/>
              <w:spacing w:after="0" w:line="240" w:lineRule="auto"/>
              <w:jc w:val="center"/>
              <w:rPr>
                <w:rFonts w:eastAsia="MS Mincho" w:cs="Times New Roman"/>
                <w:noProof/>
              </w:rPr>
            </w:pPr>
            <w:r>
              <w:rPr>
                <w:noProof/>
              </w:rPr>
              <w:t>2025</w:t>
            </w:r>
          </w:p>
        </w:tc>
        <w:tc>
          <w:tcPr>
            <w:tcW w:w="6888" w:type="dxa"/>
            <w:shd w:val="clear" w:color="auto" w:fill="C6EFCE"/>
            <w:noWrap/>
          </w:tcPr>
          <w:p w14:paraId="61BA7A50" w14:textId="3FAD521F" w:rsidR="0065073E" w:rsidRDefault="000A0998">
            <w:pPr>
              <w:pStyle w:val="P68B1DB1-Normal12"/>
              <w:spacing w:after="0" w:line="240" w:lineRule="auto"/>
              <w:jc w:val="both"/>
              <w:rPr>
                <w:rFonts w:cs="Times New Roman"/>
                <w:noProof/>
              </w:rPr>
            </w:pPr>
            <w:r>
              <w:rPr>
                <w:noProof/>
              </w:rPr>
              <w:t>Suosituksia ja parhaita käytäntöjä sisältävän oppaan julkaiseminen, jolla pyritään yksinkertaistamaan ja nopeuttamaan kaupunkisuunnittelun lupamenettelyjä kannustamalla i) tietojen ja kokemusten vaihtoa paikallis-, alue- ja keskushallinnon hallintojen välillä, ii) toimenpiteitä prosessien systematisoimiseksi ja optimoimiseksi sekä iii) pilottihankkeiden tulevaa kehittämistä erilaisissa alueellisissa yhteyksissä.</w:t>
            </w:r>
          </w:p>
        </w:tc>
      </w:tr>
      <w:tr w:rsidR="0065073E" w14:paraId="38D56DF5" w14:textId="77777777">
        <w:trPr>
          <w:trHeight w:val="309"/>
        </w:trPr>
        <w:tc>
          <w:tcPr>
            <w:tcW w:w="832" w:type="dxa"/>
            <w:shd w:val="clear" w:color="auto" w:fill="C6EFCE"/>
            <w:noWrap/>
          </w:tcPr>
          <w:p w14:paraId="581D0E86" w14:textId="61284E5C" w:rsidR="0065073E" w:rsidRDefault="000A0998">
            <w:pPr>
              <w:pStyle w:val="P68B1DB1-Normal12"/>
              <w:spacing w:after="0" w:line="240" w:lineRule="auto"/>
              <w:jc w:val="center"/>
              <w:rPr>
                <w:rFonts w:cs="Times New Roman"/>
                <w:noProof/>
              </w:rPr>
            </w:pPr>
            <w:r>
              <w:rPr>
                <w:noProof/>
              </w:rPr>
              <w:t>L4</w:t>
            </w:r>
          </w:p>
        </w:tc>
        <w:tc>
          <w:tcPr>
            <w:tcW w:w="829" w:type="dxa"/>
            <w:shd w:val="clear" w:color="auto" w:fill="C6EFCE"/>
            <w:noWrap/>
          </w:tcPr>
          <w:p w14:paraId="6DC31959" w14:textId="3382D85A" w:rsidR="0065073E" w:rsidRDefault="000A0998">
            <w:pPr>
              <w:pStyle w:val="P68B1DB1-Normal12"/>
              <w:spacing w:after="0" w:line="240" w:lineRule="auto"/>
              <w:jc w:val="center"/>
              <w:rPr>
                <w:rFonts w:cs="Times New Roman"/>
                <w:noProof/>
              </w:rPr>
            </w:pPr>
            <w:r>
              <w:rPr>
                <w:noProof/>
              </w:rPr>
              <w:t>C2.I7</w:t>
            </w:r>
          </w:p>
        </w:tc>
        <w:tc>
          <w:tcPr>
            <w:tcW w:w="828" w:type="dxa"/>
            <w:shd w:val="clear" w:color="auto" w:fill="C6EFCE"/>
            <w:noWrap/>
          </w:tcPr>
          <w:p w14:paraId="70B05008" w14:textId="04C0F159" w:rsidR="0065073E" w:rsidRDefault="000A0998">
            <w:pPr>
              <w:pStyle w:val="P68B1DB1-Normal12"/>
              <w:spacing w:after="0" w:line="240" w:lineRule="auto"/>
              <w:jc w:val="center"/>
              <w:rPr>
                <w:rFonts w:eastAsia="MS Mincho" w:cs="Times New Roman"/>
                <w:noProof/>
              </w:rPr>
            </w:pPr>
            <w:r>
              <w:rPr>
                <w:noProof/>
              </w:rPr>
              <w:t>M</w:t>
            </w:r>
          </w:p>
        </w:tc>
        <w:tc>
          <w:tcPr>
            <w:tcW w:w="1518" w:type="dxa"/>
            <w:shd w:val="clear" w:color="auto" w:fill="C6EFCE"/>
            <w:noWrap/>
          </w:tcPr>
          <w:p w14:paraId="36FB47E8" w14:textId="5CCF2693" w:rsidR="0065073E" w:rsidRDefault="000A0998">
            <w:pPr>
              <w:pStyle w:val="P68B1DB1-Normal12"/>
              <w:spacing w:after="0" w:line="240" w:lineRule="auto"/>
              <w:rPr>
                <w:rFonts w:eastAsia="MS Mincho" w:cs="Times New Roman"/>
                <w:noProof/>
              </w:rPr>
            </w:pPr>
            <w:r>
              <w:rPr>
                <w:noProof/>
              </w:rPr>
              <w:t>Täytäntöönpanosopimus</w:t>
            </w:r>
          </w:p>
        </w:tc>
        <w:tc>
          <w:tcPr>
            <w:tcW w:w="1241" w:type="dxa"/>
            <w:shd w:val="clear" w:color="auto" w:fill="C6EFCE"/>
            <w:noWrap/>
          </w:tcPr>
          <w:p w14:paraId="610252A4" w14:textId="1207B9F6" w:rsidR="0065073E" w:rsidRDefault="000A0998">
            <w:pPr>
              <w:pStyle w:val="P68B1DB1-Normal12"/>
              <w:spacing w:after="0" w:line="240" w:lineRule="auto"/>
              <w:jc w:val="center"/>
              <w:rPr>
                <w:rFonts w:eastAsia="MS Mincho" w:cs="Times New Roman"/>
                <w:noProof/>
              </w:rPr>
            </w:pPr>
            <w:r>
              <w:rPr>
                <w:noProof/>
              </w:rPr>
              <w:t>Täytäntöönpanosopimuksen voimaantulo </w:t>
            </w:r>
          </w:p>
        </w:tc>
        <w:tc>
          <w:tcPr>
            <w:tcW w:w="829" w:type="dxa"/>
            <w:shd w:val="clear" w:color="auto" w:fill="C6EFCE"/>
            <w:noWrap/>
          </w:tcPr>
          <w:p w14:paraId="312942BC" w14:textId="77777777" w:rsidR="0065073E" w:rsidRDefault="0065073E">
            <w:pPr>
              <w:spacing w:after="0" w:line="240" w:lineRule="auto"/>
              <w:jc w:val="center"/>
              <w:rPr>
                <w:rFonts w:ascii="Times New Roman" w:eastAsia="MS Mincho" w:hAnsi="Times New Roman" w:cs="Times New Roman"/>
                <w:noProof/>
                <w:sz w:val="18"/>
              </w:rPr>
            </w:pPr>
          </w:p>
        </w:tc>
        <w:tc>
          <w:tcPr>
            <w:tcW w:w="966" w:type="dxa"/>
            <w:shd w:val="clear" w:color="auto" w:fill="C6EFCE"/>
            <w:noWrap/>
          </w:tcPr>
          <w:p w14:paraId="16F1E204" w14:textId="77777777" w:rsidR="0065073E" w:rsidRDefault="0065073E">
            <w:pPr>
              <w:spacing w:after="0" w:line="240" w:lineRule="auto"/>
              <w:jc w:val="center"/>
              <w:rPr>
                <w:rFonts w:ascii="Times New Roman" w:eastAsia="MS Mincho" w:hAnsi="Times New Roman" w:cs="Times New Roman"/>
                <w:noProof/>
                <w:sz w:val="18"/>
              </w:rPr>
            </w:pPr>
          </w:p>
        </w:tc>
        <w:tc>
          <w:tcPr>
            <w:tcW w:w="600" w:type="dxa"/>
            <w:shd w:val="clear" w:color="auto" w:fill="C6EFCE"/>
            <w:noWrap/>
          </w:tcPr>
          <w:p w14:paraId="58788460" w14:textId="77777777" w:rsidR="0065073E" w:rsidRDefault="0065073E">
            <w:pPr>
              <w:spacing w:after="0" w:line="240" w:lineRule="auto"/>
              <w:jc w:val="center"/>
              <w:rPr>
                <w:rFonts w:ascii="Times New Roman" w:eastAsia="MS Mincho" w:hAnsi="Times New Roman" w:cs="Times New Roman"/>
                <w:noProof/>
                <w:sz w:val="18"/>
              </w:rPr>
            </w:pPr>
          </w:p>
        </w:tc>
        <w:tc>
          <w:tcPr>
            <w:tcW w:w="368" w:type="dxa"/>
            <w:shd w:val="clear" w:color="auto" w:fill="C6EFCE"/>
            <w:noWrap/>
          </w:tcPr>
          <w:p w14:paraId="227B374F" w14:textId="2DD063CB"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6C05A2C5" w14:textId="0E982D44" w:rsidR="0065073E" w:rsidRDefault="000A0998">
            <w:pPr>
              <w:pStyle w:val="P68B1DB1-Normal12"/>
              <w:spacing w:after="0" w:line="240" w:lineRule="auto"/>
              <w:jc w:val="center"/>
              <w:rPr>
                <w:rFonts w:eastAsia="MS Mincho" w:cs="Times New Roman"/>
                <w:noProof/>
              </w:rPr>
            </w:pPr>
            <w:r>
              <w:rPr>
                <w:noProof/>
              </w:rPr>
              <w:t>2023</w:t>
            </w:r>
          </w:p>
        </w:tc>
        <w:tc>
          <w:tcPr>
            <w:tcW w:w="6888" w:type="dxa"/>
            <w:shd w:val="clear" w:color="auto" w:fill="C6EFCE"/>
            <w:noWrap/>
          </w:tcPr>
          <w:p w14:paraId="2F424DF0" w14:textId="4D75BCB4" w:rsidR="0065073E" w:rsidRDefault="000A0998">
            <w:pPr>
              <w:pStyle w:val="P68B1DB1-Normal12"/>
              <w:spacing w:after="0" w:line="240" w:lineRule="auto"/>
              <w:rPr>
                <w:rFonts w:eastAsia="Times New Roman" w:cs="Times New Roman"/>
                <w:noProof/>
              </w:rPr>
            </w:pPr>
            <w:r>
              <w:rPr>
                <w:noProof/>
              </w:rPr>
              <w:t>Täytäntöönpanosopimuksen voimaantulo.</w:t>
            </w:r>
          </w:p>
        </w:tc>
      </w:tr>
      <w:tr w:rsidR="0065073E" w14:paraId="2CD0167A" w14:textId="77777777">
        <w:trPr>
          <w:trHeight w:val="309"/>
        </w:trPr>
        <w:tc>
          <w:tcPr>
            <w:tcW w:w="832" w:type="dxa"/>
            <w:shd w:val="clear" w:color="auto" w:fill="C6EFCE"/>
            <w:noWrap/>
          </w:tcPr>
          <w:p w14:paraId="392D9D71" w14:textId="56AACBAD" w:rsidR="0065073E" w:rsidRDefault="000A0998">
            <w:pPr>
              <w:pStyle w:val="P68B1DB1-Normal12"/>
              <w:spacing w:after="0" w:line="240" w:lineRule="auto"/>
              <w:jc w:val="center"/>
              <w:rPr>
                <w:rFonts w:cs="Times New Roman"/>
                <w:noProof/>
              </w:rPr>
            </w:pPr>
            <w:r>
              <w:rPr>
                <w:noProof/>
              </w:rPr>
              <w:t>L5</w:t>
            </w:r>
          </w:p>
        </w:tc>
        <w:tc>
          <w:tcPr>
            <w:tcW w:w="829" w:type="dxa"/>
            <w:shd w:val="clear" w:color="auto" w:fill="C6EFCE"/>
            <w:noWrap/>
          </w:tcPr>
          <w:p w14:paraId="25FDDC15" w14:textId="5CA09D84" w:rsidR="0065073E" w:rsidRDefault="000A0998">
            <w:pPr>
              <w:pStyle w:val="P68B1DB1-Normal12"/>
              <w:spacing w:after="0" w:line="240" w:lineRule="auto"/>
              <w:jc w:val="center"/>
              <w:rPr>
                <w:rFonts w:eastAsia="MS Mincho" w:cs="Times New Roman"/>
                <w:noProof/>
              </w:rPr>
            </w:pPr>
            <w:r>
              <w:rPr>
                <w:noProof/>
              </w:rPr>
              <w:t>C2.I7</w:t>
            </w:r>
          </w:p>
        </w:tc>
        <w:tc>
          <w:tcPr>
            <w:tcW w:w="828" w:type="dxa"/>
            <w:shd w:val="clear" w:color="auto" w:fill="C6EFCE"/>
            <w:noWrap/>
          </w:tcPr>
          <w:p w14:paraId="16F0D7EA" w14:textId="345E298E" w:rsidR="0065073E" w:rsidRDefault="000A0998">
            <w:pPr>
              <w:pStyle w:val="P68B1DB1-Normal12"/>
              <w:spacing w:after="0" w:line="240" w:lineRule="auto"/>
              <w:jc w:val="center"/>
              <w:rPr>
                <w:rFonts w:cs="Times New Roman"/>
                <w:noProof/>
              </w:rPr>
            </w:pPr>
            <w:r>
              <w:rPr>
                <w:noProof/>
              </w:rPr>
              <w:t>T</w:t>
            </w:r>
          </w:p>
        </w:tc>
        <w:tc>
          <w:tcPr>
            <w:tcW w:w="1518" w:type="dxa"/>
            <w:shd w:val="clear" w:color="auto" w:fill="C6EFCE"/>
            <w:noWrap/>
          </w:tcPr>
          <w:p w14:paraId="3097EE05" w14:textId="60F6E4CE" w:rsidR="0065073E" w:rsidRDefault="000A0998">
            <w:pPr>
              <w:pStyle w:val="P68B1DB1-Normal12"/>
              <w:spacing w:after="0" w:line="240" w:lineRule="auto"/>
              <w:rPr>
                <w:rFonts w:eastAsia="Times New Roman" w:cs="Times New Roman"/>
                <w:noProof/>
              </w:rPr>
            </w:pPr>
            <w:r>
              <w:rPr>
                <w:noProof/>
              </w:rPr>
              <w:t>ICO:n lainajärjestely sosiaalisen asuntotuotannon edistämiseksi: Lopullisten edunsaajien kanssa allekirjoitetut oikeudelliset sopimukset (I)</w:t>
            </w:r>
          </w:p>
        </w:tc>
        <w:tc>
          <w:tcPr>
            <w:tcW w:w="1241" w:type="dxa"/>
            <w:shd w:val="clear" w:color="auto" w:fill="C6EFCE"/>
            <w:noWrap/>
          </w:tcPr>
          <w:p w14:paraId="4F9310A1" w14:textId="7AB4A014" w:rsidR="0065073E" w:rsidRDefault="000A0998">
            <w:pPr>
              <w:pStyle w:val="P68B1DB1-Normal12"/>
              <w:spacing w:after="0" w:line="240" w:lineRule="auto"/>
              <w:jc w:val="center"/>
              <w:rPr>
                <w:rFonts w:eastAsia="MS Mincho" w:cs="Times New Roman"/>
                <w:noProof/>
              </w:rPr>
            </w:pPr>
            <w:r>
              <w:rPr>
                <w:noProof/>
              </w:rPr>
              <w:t>Oikeudellisten rahoitussopimusten voimaantulo</w:t>
            </w:r>
          </w:p>
        </w:tc>
        <w:tc>
          <w:tcPr>
            <w:tcW w:w="829" w:type="dxa"/>
            <w:shd w:val="clear" w:color="auto" w:fill="C6EFCE"/>
            <w:noWrap/>
          </w:tcPr>
          <w:p w14:paraId="57F1D005" w14:textId="77777777" w:rsidR="0065073E" w:rsidRDefault="0065073E">
            <w:pPr>
              <w:spacing w:after="0" w:line="240" w:lineRule="auto"/>
              <w:jc w:val="center"/>
              <w:rPr>
                <w:rFonts w:ascii="Times New Roman" w:eastAsia="MS Mincho" w:hAnsi="Times New Roman" w:cs="Times New Roman"/>
                <w:noProof/>
                <w:sz w:val="18"/>
              </w:rPr>
            </w:pPr>
          </w:p>
        </w:tc>
        <w:tc>
          <w:tcPr>
            <w:tcW w:w="966" w:type="dxa"/>
            <w:shd w:val="clear" w:color="auto" w:fill="C6EFCE"/>
            <w:noWrap/>
          </w:tcPr>
          <w:p w14:paraId="72C6405B" w14:textId="39EBCFBA" w:rsidR="0065073E" w:rsidRDefault="000A0998">
            <w:pPr>
              <w:pStyle w:val="P68B1DB1-Normal12"/>
              <w:spacing w:after="0" w:line="240" w:lineRule="auto"/>
              <w:jc w:val="center"/>
              <w:rPr>
                <w:rFonts w:eastAsia="MS Mincho" w:cs="Times New Roman"/>
                <w:noProof/>
              </w:rPr>
            </w:pPr>
            <w:r>
              <w:rPr>
                <w:noProof/>
              </w:rPr>
              <w:t>0</w:t>
            </w:r>
          </w:p>
        </w:tc>
        <w:tc>
          <w:tcPr>
            <w:tcW w:w="600" w:type="dxa"/>
            <w:shd w:val="clear" w:color="auto" w:fill="C6EFCE"/>
            <w:noWrap/>
          </w:tcPr>
          <w:p w14:paraId="3A9FDC85" w14:textId="21C170F1" w:rsidR="0065073E" w:rsidRDefault="000A0998">
            <w:pPr>
              <w:pStyle w:val="P68B1DB1-Normal12"/>
              <w:spacing w:after="0" w:line="240" w:lineRule="auto"/>
              <w:jc w:val="center"/>
              <w:rPr>
                <w:rFonts w:eastAsia="MS Mincho" w:cs="Times New Roman"/>
                <w:noProof/>
              </w:rPr>
            </w:pPr>
            <w:r>
              <w:rPr>
                <w:noProof/>
              </w:rPr>
              <w:t>40 %</w:t>
            </w:r>
          </w:p>
        </w:tc>
        <w:tc>
          <w:tcPr>
            <w:tcW w:w="368" w:type="dxa"/>
            <w:shd w:val="clear" w:color="auto" w:fill="C6EFCE"/>
            <w:noWrap/>
          </w:tcPr>
          <w:p w14:paraId="21DB9EBA" w14:textId="00934B7F"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01651932" w14:textId="611A3511" w:rsidR="0065073E" w:rsidRDefault="000A0998">
            <w:pPr>
              <w:pStyle w:val="P68B1DB1-Normal12"/>
              <w:spacing w:after="0" w:line="240" w:lineRule="auto"/>
              <w:jc w:val="center"/>
              <w:rPr>
                <w:rFonts w:eastAsia="MS Mincho" w:cs="Times New Roman"/>
                <w:noProof/>
              </w:rPr>
            </w:pPr>
            <w:r>
              <w:rPr>
                <w:noProof/>
              </w:rPr>
              <w:t>2025</w:t>
            </w:r>
          </w:p>
        </w:tc>
        <w:tc>
          <w:tcPr>
            <w:tcW w:w="6888" w:type="dxa"/>
            <w:shd w:val="clear" w:color="auto" w:fill="C6EFCE"/>
            <w:noWrap/>
          </w:tcPr>
          <w:p w14:paraId="51ED6664" w14:textId="414B348B" w:rsidR="0065073E" w:rsidRDefault="000A0998">
            <w:pPr>
              <w:pStyle w:val="P68B1DB1-Normal12"/>
              <w:spacing w:after="0" w:line="240" w:lineRule="auto"/>
              <w:rPr>
                <w:rFonts w:eastAsia="Times New Roman" w:cs="Times New Roman"/>
                <w:noProof/>
              </w:rPr>
            </w:pPr>
            <w:r>
              <w:rPr>
                <w:noProof/>
              </w:rPr>
              <w:t xml:space="preserve">ICO:n ja sen valitsemien välittäjien on oltava tehneet lopullisten edunsaajien kanssa oikeudellisia rahoitussopimuksia, joiden määrä on tarpeen, jotta vähintään 40 prosenttia elpymis- ja palautumistukivälineen investoinneista voidaan käyttää tukivälineeseen (ottaen huomioon hallinnointipalkkiot). ICO laatii elpymis- ja palautumistukivälinettä koskevan asetuksen liitteessä VI esitetyn menetelmän mukaisesti raportin, jossa esitetään yksityiskohtaisesti ilmastotavoitteita edistävän rahoituksen prosenttiosuus. </w:t>
            </w:r>
          </w:p>
        </w:tc>
      </w:tr>
      <w:tr w:rsidR="0065073E" w14:paraId="746F530B" w14:textId="77777777">
        <w:trPr>
          <w:trHeight w:val="1347"/>
        </w:trPr>
        <w:tc>
          <w:tcPr>
            <w:tcW w:w="832" w:type="dxa"/>
            <w:shd w:val="clear" w:color="auto" w:fill="C6EFCE"/>
            <w:noWrap/>
          </w:tcPr>
          <w:p w14:paraId="4E2B308E" w14:textId="0CF5707A" w:rsidR="0065073E" w:rsidRDefault="000A0998">
            <w:pPr>
              <w:pStyle w:val="P68B1DB1-Normal12"/>
              <w:spacing w:line="240" w:lineRule="auto"/>
              <w:jc w:val="center"/>
              <w:rPr>
                <w:rFonts w:cs="Times New Roman"/>
                <w:noProof/>
              </w:rPr>
            </w:pPr>
            <w:r>
              <w:rPr>
                <w:noProof/>
              </w:rPr>
              <w:t>L6</w:t>
            </w:r>
          </w:p>
        </w:tc>
        <w:tc>
          <w:tcPr>
            <w:tcW w:w="829" w:type="dxa"/>
            <w:shd w:val="clear" w:color="auto" w:fill="C6EFCE"/>
            <w:noWrap/>
          </w:tcPr>
          <w:p w14:paraId="058524C6" w14:textId="0333633D" w:rsidR="0065073E" w:rsidRDefault="000A0998">
            <w:pPr>
              <w:pStyle w:val="P68B1DB1-Normal12"/>
              <w:spacing w:line="240" w:lineRule="auto"/>
              <w:jc w:val="center"/>
              <w:rPr>
                <w:rFonts w:cs="Times New Roman"/>
                <w:noProof/>
              </w:rPr>
            </w:pPr>
            <w:r>
              <w:rPr>
                <w:noProof/>
              </w:rPr>
              <w:t>C2.I7</w:t>
            </w:r>
          </w:p>
        </w:tc>
        <w:tc>
          <w:tcPr>
            <w:tcW w:w="828" w:type="dxa"/>
            <w:shd w:val="clear" w:color="auto" w:fill="C6EFCE"/>
            <w:noWrap/>
          </w:tcPr>
          <w:p w14:paraId="304E6E44" w14:textId="005A04C6" w:rsidR="0065073E" w:rsidRDefault="000A0998">
            <w:pPr>
              <w:pStyle w:val="P68B1DB1-Normal12"/>
              <w:spacing w:line="240" w:lineRule="auto"/>
              <w:jc w:val="center"/>
              <w:rPr>
                <w:rFonts w:cs="Times New Roman"/>
                <w:noProof/>
              </w:rPr>
            </w:pPr>
            <w:r>
              <w:rPr>
                <w:noProof/>
              </w:rPr>
              <w:t>T</w:t>
            </w:r>
          </w:p>
        </w:tc>
        <w:tc>
          <w:tcPr>
            <w:tcW w:w="1518" w:type="dxa"/>
            <w:shd w:val="clear" w:color="auto" w:fill="C6EFCE"/>
            <w:noWrap/>
          </w:tcPr>
          <w:p w14:paraId="428F4723" w14:textId="5B70B40B" w:rsidR="0065073E" w:rsidRDefault="000A0998">
            <w:pPr>
              <w:pStyle w:val="P68B1DB1-Normal12"/>
              <w:spacing w:line="240" w:lineRule="auto"/>
              <w:rPr>
                <w:rFonts w:eastAsia="Times New Roman" w:cs="Times New Roman"/>
                <w:noProof/>
              </w:rPr>
            </w:pPr>
            <w:r>
              <w:rPr>
                <w:noProof/>
              </w:rPr>
              <w:t>ICO:n lainajärjestely sosiaalisen asuntotuotannon edistämiseksi: Lopullisten edunsaajien kanssa allekirjoitetut oikeudelliset sopimukset (II)</w:t>
            </w:r>
          </w:p>
        </w:tc>
        <w:tc>
          <w:tcPr>
            <w:tcW w:w="1241" w:type="dxa"/>
            <w:shd w:val="clear" w:color="auto" w:fill="C6EFCE"/>
            <w:noWrap/>
          </w:tcPr>
          <w:p w14:paraId="5C08B433" w14:textId="0DB80089" w:rsidR="0065073E" w:rsidRDefault="000A0998">
            <w:pPr>
              <w:pStyle w:val="P68B1DB1-Normal12"/>
              <w:spacing w:line="240" w:lineRule="auto"/>
              <w:jc w:val="center"/>
              <w:rPr>
                <w:rFonts w:eastAsia="MS Mincho" w:cs="Times New Roman"/>
                <w:noProof/>
              </w:rPr>
            </w:pPr>
            <w:r>
              <w:rPr>
                <w:noProof/>
              </w:rPr>
              <w:t>Oikeudellisten rahoitussopimusten voimaantulo</w:t>
            </w:r>
          </w:p>
        </w:tc>
        <w:tc>
          <w:tcPr>
            <w:tcW w:w="829" w:type="dxa"/>
            <w:shd w:val="clear" w:color="auto" w:fill="C6EFCE"/>
            <w:noWrap/>
          </w:tcPr>
          <w:p w14:paraId="2D173D44" w14:textId="0FCC8573" w:rsidR="0065073E" w:rsidRDefault="0065073E">
            <w:pPr>
              <w:spacing w:line="240" w:lineRule="auto"/>
              <w:jc w:val="center"/>
              <w:rPr>
                <w:rFonts w:ascii="Times New Roman" w:eastAsia="MS Mincho" w:hAnsi="Times New Roman" w:cs="Times New Roman"/>
                <w:noProof/>
                <w:sz w:val="18"/>
              </w:rPr>
            </w:pPr>
          </w:p>
        </w:tc>
        <w:tc>
          <w:tcPr>
            <w:tcW w:w="966" w:type="dxa"/>
            <w:shd w:val="clear" w:color="auto" w:fill="C6EFCE"/>
            <w:noWrap/>
          </w:tcPr>
          <w:p w14:paraId="4D6F13DE" w14:textId="21999F9C" w:rsidR="0065073E" w:rsidRDefault="000A0998">
            <w:pPr>
              <w:pStyle w:val="P68B1DB1-Normal12"/>
              <w:spacing w:line="240" w:lineRule="auto"/>
              <w:jc w:val="center"/>
              <w:rPr>
                <w:rFonts w:eastAsia="MS Mincho" w:cs="Times New Roman"/>
                <w:noProof/>
              </w:rPr>
            </w:pPr>
            <w:r>
              <w:rPr>
                <w:noProof/>
              </w:rPr>
              <w:t>40 %</w:t>
            </w:r>
          </w:p>
        </w:tc>
        <w:tc>
          <w:tcPr>
            <w:tcW w:w="600" w:type="dxa"/>
            <w:shd w:val="clear" w:color="auto" w:fill="C6EFCE"/>
            <w:noWrap/>
          </w:tcPr>
          <w:p w14:paraId="0246FBFE" w14:textId="2C356C95" w:rsidR="0065073E" w:rsidRDefault="000A0998">
            <w:pPr>
              <w:pStyle w:val="P68B1DB1-Normal12"/>
              <w:spacing w:line="240" w:lineRule="auto"/>
              <w:jc w:val="center"/>
              <w:rPr>
                <w:rFonts w:eastAsia="MS Mincho" w:cs="Times New Roman"/>
                <w:noProof/>
              </w:rPr>
            </w:pPr>
            <w:r>
              <w:rPr>
                <w:noProof/>
              </w:rPr>
              <w:t>100 %</w:t>
            </w:r>
          </w:p>
        </w:tc>
        <w:tc>
          <w:tcPr>
            <w:tcW w:w="368" w:type="dxa"/>
            <w:shd w:val="clear" w:color="auto" w:fill="C6EFCE"/>
            <w:noWrap/>
          </w:tcPr>
          <w:p w14:paraId="443766DD" w14:textId="1C897B17" w:rsidR="0065073E" w:rsidRDefault="000A0998">
            <w:pPr>
              <w:pStyle w:val="P68B1DB1-Normal12"/>
              <w:spacing w:line="240" w:lineRule="auto"/>
              <w:jc w:val="center"/>
              <w:rPr>
                <w:rFonts w:eastAsia="MS Mincho" w:cs="Times New Roman"/>
                <w:noProof/>
              </w:rPr>
            </w:pPr>
            <w:r>
              <w:rPr>
                <w:noProof/>
              </w:rPr>
              <w:t>Q3</w:t>
            </w:r>
          </w:p>
        </w:tc>
        <w:tc>
          <w:tcPr>
            <w:tcW w:w="553" w:type="dxa"/>
            <w:shd w:val="clear" w:color="auto" w:fill="C6EFCE"/>
            <w:noWrap/>
          </w:tcPr>
          <w:p w14:paraId="4C89FFCC" w14:textId="13364794" w:rsidR="0065073E" w:rsidRDefault="000A0998">
            <w:pPr>
              <w:pStyle w:val="P68B1DB1-Normal12"/>
              <w:spacing w:line="240" w:lineRule="auto"/>
              <w:jc w:val="center"/>
              <w:rPr>
                <w:rFonts w:eastAsia="MS Mincho" w:cs="Times New Roman"/>
                <w:noProof/>
              </w:rPr>
            </w:pPr>
            <w:r>
              <w:rPr>
                <w:noProof/>
              </w:rPr>
              <w:t>2026</w:t>
            </w:r>
          </w:p>
        </w:tc>
        <w:tc>
          <w:tcPr>
            <w:tcW w:w="6888" w:type="dxa"/>
            <w:shd w:val="clear" w:color="auto" w:fill="C6EFCE"/>
            <w:noWrap/>
          </w:tcPr>
          <w:p w14:paraId="6A232E7E" w14:textId="06BB6E20" w:rsidR="0065073E" w:rsidRDefault="000A0998">
            <w:pPr>
              <w:pStyle w:val="P68B1DB1-Normal12"/>
              <w:spacing w:line="240" w:lineRule="auto"/>
              <w:rPr>
                <w:rFonts w:eastAsia="MS Mincho" w:cs="Times New Roman"/>
                <w:noProof/>
                <w:highlight w:val="yellow"/>
              </w:rPr>
            </w:pPr>
            <w:r>
              <w:rPr>
                <w:noProof/>
              </w:rPr>
              <w:t>ICO:n ja sen valitsemien välittäjien on täytynyt tehdä lopullisten edunsaajien kanssa oikeudellisia rahoitussopimuksia määrästä, joka on tarpeen, jotta elpymis- ja palautumistukivälineen investoinneista voidaan käyttää tukivälineeseen 100 prosenttia (ottaen huomioon hallinnointipalkkiot). Vähintään 53 prosentilla tästä rahoituksesta on edistettävä ilmastotavoitteita elpymis- ja palautumistukivälinettä koskevan asetuksen liitteessä VI esitetyn menetelmän mukaisesti.</w:t>
            </w:r>
          </w:p>
        </w:tc>
      </w:tr>
      <w:tr w:rsidR="0065073E" w14:paraId="6B2B8293" w14:textId="77777777">
        <w:trPr>
          <w:trHeight w:val="309"/>
        </w:trPr>
        <w:tc>
          <w:tcPr>
            <w:tcW w:w="832" w:type="dxa"/>
            <w:shd w:val="clear" w:color="auto" w:fill="C6EFCE"/>
            <w:noWrap/>
          </w:tcPr>
          <w:p w14:paraId="1CF3BA19" w14:textId="0C399F54" w:rsidR="0065073E" w:rsidRDefault="000A0998">
            <w:pPr>
              <w:pStyle w:val="P68B1DB1-Normal12"/>
              <w:spacing w:line="240" w:lineRule="auto"/>
              <w:jc w:val="center"/>
              <w:rPr>
                <w:rFonts w:cs="Times New Roman"/>
                <w:noProof/>
              </w:rPr>
            </w:pPr>
            <w:r>
              <w:rPr>
                <w:noProof/>
              </w:rPr>
              <w:t>L7</w:t>
            </w:r>
          </w:p>
        </w:tc>
        <w:tc>
          <w:tcPr>
            <w:tcW w:w="829" w:type="dxa"/>
            <w:shd w:val="clear" w:color="auto" w:fill="C6EFCE"/>
            <w:noWrap/>
          </w:tcPr>
          <w:p w14:paraId="1408412B" w14:textId="7DB586C1" w:rsidR="0065073E" w:rsidRDefault="000A0998">
            <w:pPr>
              <w:pStyle w:val="P68B1DB1-Normal12"/>
              <w:spacing w:line="240" w:lineRule="auto"/>
              <w:jc w:val="center"/>
              <w:rPr>
                <w:rFonts w:cs="Times New Roman"/>
                <w:noProof/>
              </w:rPr>
            </w:pPr>
            <w:r>
              <w:rPr>
                <w:noProof/>
              </w:rPr>
              <w:t>C2.I7</w:t>
            </w:r>
          </w:p>
        </w:tc>
        <w:tc>
          <w:tcPr>
            <w:tcW w:w="828" w:type="dxa"/>
            <w:shd w:val="clear" w:color="auto" w:fill="C6EFCE"/>
            <w:noWrap/>
          </w:tcPr>
          <w:p w14:paraId="10367F2B" w14:textId="065962E0" w:rsidR="0065073E" w:rsidRDefault="000A0998">
            <w:pPr>
              <w:pStyle w:val="P68B1DB1-Normal12"/>
              <w:spacing w:line="240" w:lineRule="auto"/>
              <w:jc w:val="center"/>
              <w:rPr>
                <w:rFonts w:eastAsia="Times New Roman" w:cs="Times New Roman"/>
                <w:noProof/>
              </w:rPr>
            </w:pPr>
            <w:r>
              <w:rPr>
                <w:noProof/>
              </w:rPr>
              <w:t>M</w:t>
            </w:r>
          </w:p>
        </w:tc>
        <w:tc>
          <w:tcPr>
            <w:tcW w:w="1518" w:type="dxa"/>
            <w:shd w:val="clear" w:color="auto" w:fill="C6EFCE"/>
            <w:noWrap/>
          </w:tcPr>
          <w:p w14:paraId="7C8F71CB" w14:textId="5F7C72DA" w:rsidR="0065073E" w:rsidRDefault="000A0998">
            <w:pPr>
              <w:pStyle w:val="P68B1DB1-Normal12"/>
              <w:spacing w:line="240" w:lineRule="auto"/>
              <w:rPr>
                <w:rFonts w:eastAsia="Times New Roman" w:cs="Times New Roman"/>
                <w:noProof/>
              </w:rPr>
            </w:pPr>
            <w:r>
              <w:rPr>
                <w:noProof/>
              </w:rPr>
              <w:t>ICO:n lainajärjestely sosiaalisen asuntotuotannon edistämiseksi: Ministeriö on saanut investoinnin päätökseen</w:t>
            </w:r>
          </w:p>
        </w:tc>
        <w:tc>
          <w:tcPr>
            <w:tcW w:w="1241" w:type="dxa"/>
            <w:shd w:val="clear" w:color="auto" w:fill="C6EFCE"/>
            <w:noWrap/>
          </w:tcPr>
          <w:p w14:paraId="71336454" w14:textId="444EFBFF" w:rsidR="0065073E" w:rsidRDefault="000A0998">
            <w:pPr>
              <w:pStyle w:val="P68B1DB1-Normal12"/>
              <w:spacing w:line="240" w:lineRule="auto"/>
              <w:jc w:val="center"/>
              <w:rPr>
                <w:rFonts w:eastAsia="Times New Roman" w:cs="Times New Roman"/>
                <w:noProof/>
              </w:rPr>
            </w:pPr>
            <w:r>
              <w:rPr>
                <w:noProof/>
              </w:rPr>
              <w:t>Siirtotodistus</w:t>
            </w:r>
          </w:p>
        </w:tc>
        <w:tc>
          <w:tcPr>
            <w:tcW w:w="829" w:type="dxa"/>
            <w:shd w:val="clear" w:color="auto" w:fill="C6EFCE"/>
            <w:noWrap/>
          </w:tcPr>
          <w:p w14:paraId="25B9BE26" w14:textId="4D610181" w:rsidR="0065073E" w:rsidRDefault="0065073E">
            <w:pPr>
              <w:spacing w:line="240" w:lineRule="auto"/>
              <w:jc w:val="center"/>
              <w:rPr>
                <w:rFonts w:ascii="Times New Roman" w:eastAsia="Times New Roman" w:hAnsi="Times New Roman" w:cs="Times New Roman"/>
                <w:noProof/>
                <w:sz w:val="18"/>
              </w:rPr>
            </w:pPr>
          </w:p>
        </w:tc>
        <w:tc>
          <w:tcPr>
            <w:tcW w:w="966" w:type="dxa"/>
            <w:shd w:val="clear" w:color="auto" w:fill="C6EFCE"/>
            <w:noWrap/>
          </w:tcPr>
          <w:p w14:paraId="122EAD9D" w14:textId="40776BE9" w:rsidR="0065073E" w:rsidRDefault="0065073E">
            <w:pPr>
              <w:spacing w:line="240" w:lineRule="auto"/>
              <w:jc w:val="center"/>
              <w:rPr>
                <w:rFonts w:ascii="Times New Roman" w:eastAsia="Times New Roman" w:hAnsi="Times New Roman" w:cs="Times New Roman"/>
                <w:noProof/>
                <w:sz w:val="18"/>
              </w:rPr>
            </w:pPr>
          </w:p>
        </w:tc>
        <w:tc>
          <w:tcPr>
            <w:tcW w:w="600" w:type="dxa"/>
            <w:shd w:val="clear" w:color="auto" w:fill="C6EFCE"/>
            <w:noWrap/>
          </w:tcPr>
          <w:p w14:paraId="7D2A09D9" w14:textId="0C44DE8B" w:rsidR="0065073E" w:rsidRDefault="0065073E">
            <w:pPr>
              <w:spacing w:line="240" w:lineRule="auto"/>
              <w:jc w:val="center"/>
              <w:rPr>
                <w:rFonts w:ascii="Times New Roman" w:eastAsia="Times New Roman" w:hAnsi="Times New Roman" w:cs="Times New Roman"/>
                <w:noProof/>
                <w:sz w:val="18"/>
              </w:rPr>
            </w:pPr>
          </w:p>
        </w:tc>
        <w:tc>
          <w:tcPr>
            <w:tcW w:w="368" w:type="dxa"/>
            <w:shd w:val="clear" w:color="auto" w:fill="C6EFCE"/>
            <w:noWrap/>
          </w:tcPr>
          <w:p w14:paraId="28734C61" w14:textId="6143EC0F" w:rsidR="0065073E" w:rsidRDefault="000A0998">
            <w:pPr>
              <w:pStyle w:val="P68B1DB1-Normal12"/>
              <w:spacing w:line="240" w:lineRule="auto"/>
              <w:jc w:val="center"/>
              <w:rPr>
                <w:rFonts w:eastAsia="Times New Roman" w:cs="Times New Roman"/>
                <w:noProof/>
              </w:rPr>
            </w:pPr>
            <w:r>
              <w:rPr>
                <w:noProof/>
              </w:rPr>
              <w:t>Q3</w:t>
            </w:r>
          </w:p>
        </w:tc>
        <w:tc>
          <w:tcPr>
            <w:tcW w:w="553" w:type="dxa"/>
            <w:shd w:val="clear" w:color="auto" w:fill="C6EFCE"/>
            <w:noWrap/>
          </w:tcPr>
          <w:p w14:paraId="56C6C541" w14:textId="16AFCE3E" w:rsidR="0065073E" w:rsidRDefault="000A0998">
            <w:pPr>
              <w:pStyle w:val="P68B1DB1-Normal12"/>
              <w:spacing w:line="240" w:lineRule="auto"/>
              <w:jc w:val="center"/>
              <w:rPr>
                <w:rFonts w:eastAsia="Times New Roman" w:cs="Times New Roman"/>
                <w:noProof/>
              </w:rPr>
            </w:pPr>
            <w:r>
              <w:rPr>
                <w:noProof/>
              </w:rPr>
              <w:t>2026</w:t>
            </w:r>
          </w:p>
        </w:tc>
        <w:tc>
          <w:tcPr>
            <w:tcW w:w="6888" w:type="dxa"/>
            <w:shd w:val="clear" w:color="auto" w:fill="C6EFCE"/>
            <w:noWrap/>
          </w:tcPr>
          <w:p w14:paraId="7E8991B2" w14:textId="017421DC" w:rsidR="0065073E" w:rsidRDefault="000A0998">
            <w:pPr>
              <w:pStyle w:val="P68B1DB1-Normal12"/>
              <w:spacing w:line="240" w:lineRule="auto"/>
              <w:rPr>
                <w:rFonts w:eastAsia="Times New Roman" w:cs="Times New Roman"/>
                <w:noProof/>
              </w:rPr>
            </w:pPr>
            <w:r>
              <w:rPr>
                <w:noProof/>
              </w:rPr>
              <w:t>Espanjan on siirrettävä 4000000000 euroa ICO-järjestelyyn.</w:t>
            </w:r>
          </w:p>
          <w:p w14:paraId="0F7D42DE" w14:textId="42AE55C2" w:rsidR="0065073E" w:rsidRDefault="0065073E">
            <w:pPr>
              <w:spacing w:line="240" w:lineRule="auto"/>
              <w:rPr>
                <w:rFonts w:ascii="Times New Roman" w:eastAsia="Times New Roman" w:hAnsi="Times New Roman" w:cs="Times New Roman"/>
                <w:noProof/>
                <w:sz w:val="18"/>
              </w:rPr>
            </w:pPr>
          </w:p>
        </w:tc>
      </w:tr>
    </w:tbl>
    <w:p w14:paraId="1FC39945"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3FF61C03" w14:textId="77777777" w:rsidR="0065073E" w:rsidRDefault="000A0998">
      <w:pPr>
        <w:pStyle w:val="P68B1DB1-Heading12"/>
        <w:rPr>
          <w:rFonts w:cs="Times New Roman"/>
          <w:noProof/>
        </w:rPr>
      </w:pPr>
      <w:r>
        <w:rPr>
          <w:noProof/>
        </w:rPr>
        <w:t>C. OSA 03: Maatalous- ja kalastusjärjestelmän ekologinen ja digitaalinen muutos</w:t>
      </w:r>
    </w:p>
    <w:p w14:paraId="7393EFBB" w14:textId="77777777" w:rsidR="0065073E" w:rsidRDefault="000A0998">
      <w:pPr>
        <w:pStyle w:val="P68B1DB1-Normal4"/>
        <w:spacing w:before="120" w:after="120" w:line="240" w:lineRule="auto"/>
        <w:jc w:val="both"/>
        <w:rPr>
          <w:rFonts w:cs="Times New Roman"/>
          <w:noProof/>
        </w:rPr>
      </w:pPr>
      <w:r>
        <w:rPr>
          <w:noProof/>
        </w:rPr>
        <w:t>Tällä Espanjan elpymis- ja palautumissuunnitelman osa-alueella on parannettava maatalouselintarvike- ja kalatalousalan kestävyyttä, kilpailukykyä ja palautumiskykyä taloudellisesti, ekologisesti ja sosiaalisesti. Tämän tavoitteen saavuttamiseksi Espanjan elpymis- ja palautumissuunnitelman tähän komponenttiin sisältyvissä investoinneissa ja uudistuksissa keskitytään</w:t>
      </w:r>
      <w:r>
        <w:rPr>
          <w:b/>
          <w:noProof/>
        </w:rPr>
        <w:t xml:space="preserve"> </w:t>
      </w:r>
      <w:r>
        <w:rPr>
          <w:noProof/>
        </w:rPr>
        <w:t>seuraaviin osatekijöihin:</w:t>
      </w:r>
    </w:p>
    <w:p w14:paraId="7108D29F" w14:textId="77777777" w:rsidR="0065073E" w:rsidRDefault="000A0998">
      <w:pPr>
        <w:pStyle w:val="P68B1DB1-Normal4"/>
        <w:numPr>
          <w:ilvl w:val="0"/>
          <w:numId w:val="73"/>
        </w:numPr>
        <w:spacing w:before="120" w:after="120" w:line="240" w:lineRule="auto"/>
        <w:ind w:left="425" w:hanging="425"/>
        <w:contextualSpacing/>
        <w:jc w:val="both"/>
        <w:rPr>
          <w:rFonts w:cs="Times New Roman"/>
          <w:noProof/>
        </w:rPr>
      </w:pPr>
      <w:r>
        <w:rPr>
          <w:noProof/>
        </w:rPr>
        <w:t>Kastelun tehokkuuden ja kestävyyden parantaminen;</w:t>
      </w:r>
    </w:p>
    <w:p w14:paraId="2967FDFE" w14:textId="77777777" w:rsidR="0065073E" w:rsidRDefault="000A0998">
      <w:pPr>
        <w:pStyle w:val="P68B1DB1-Normal4"/>
        <w:numPr>
          <w:ilvl w:val="0"/>
          <w:numId w:val="73"/>
        </w:numPr>
        <w:spacing w:before="120" w:after="120" w:line="240" w:lineRule="auto"/>
        <w:ind w:left="425" w:hanging="425"/>
        <w:contextualSpacing/>
        <w:jc w:val="both"/>
        <w:rPr>
          <w:rFonts w:cs="Times New Roman"/>
          <w:noProof/>
        </w:rPr>
      </w:pPr>
      <w:r>
        <w:rPr>
          <w:noProof/>
        </w:rPr>
        <w:t>maatalouden ja karjankasvatuksen kestävyyden ja kilpailukyvyn parantaminen;</w:t>
      </w:r>
    </w:p>
    <w:p w14:paraId="43D2A3C8" w14:textId="77777777" w:rsidR="0065073E" w:rsidRDefault="000A0998">
      <w:pPr>
        <w:pStyle w:val="P68B1DB1-Normal4"/>
        <w:numPr>
          <w:ilvl w:val="0"/>
          <w:numId w:val="73"/>
        </w:numPr>
        <w:spacing w:before="120" w:after="120" w:line="240" w:lineRule="auto"/>
        <w:ind w:left="425" w:hanging="425"/>
        <w:contextualSpacing/>
        <w:jc w:val="both"/>
        <w:rPr>
          <w:rFonts w:cs="Times New Roman"/>
          <w:noProof/>
        </w:rPr>
      </w:pPr>
      <w:r>
        <w:rPr>
          <w:noProof/>
        </w:rPr>
        <w:t>laaditaan strategia, jolla edistetään digitalisaatiota koko maatalouselintarvikealalla ja maaseudulla; ja</w:t>
      </w:r>
    </w:p>
    <w:p w14:paraId="02B938DA" w14:textId="77777777" w:rsidR="0065073E" w:rsidRDefault="000A0998">
      <w:pPr>
        <w:pStyle w:val="P68B1DB1-Normal4"/>
        <w:numPr>
          <w:ilvl w:val="0"/>
          <w:numId w:val="73"/>
        </w:numPr>
        <w:spacing w:before="120" w:after="120" w:line="240" w:lineRule="auto"/>
        <w:ind w:left="426" w:hanging="426"/>
        <w:jc w:val="both"/>
        <w:rPr>
          <w:rFonts w:cs="Times New Roman"/>
          <w:noProof/>
        </w:rPr>
      </w:pPr>
      <w:r>
        <w:rPr>
          <w:noProof/>
        </w:rPr>
        <w:t>kalastusalan kestävyyden, tutkimuksen, innovoinnin ja digitalisaation edistäminen.</w:t>
      </w:r>
    </w:p>
    <w:p w14:paraId="3730B049" w14:textId="77777777" w:rsidR="0065073E" w:rsidRDefault="000A0998">
      <w:pPr>
        <w:pStyle w:val="P68B1DB1-Normal4"/>
        <w:spacing w:before="120" w:after="120" w:line="240" w:lineRule="auto"/>
        <w:jc w:val="both"/>
        <w:rPr>
          <w:rFonts w:cs="Times New Roman"/>
          <w:noProof/>
        </w:rPr>
      </w:pPr>
      <w:r>
        <w:rPr>
          <w:noProof/>
        </w:rPr>
        <w:t>Komponentissa käsitellään maakohtaisia suosituksia innovointiin ja energiatehokkuuteen tehtävien investointien edistämisestä (maakohtainen suositus 3 2019), digitaalisen oppimisen saatavuuden parantamisesta (maakohtainen suositus 2 2020) sekä julkisten ja yksityisten investointien edistämisestä ja vihreän siirtymän edistämisestä (maakohtainen suositus 3 2020).</w:t>
      </w:r>
    </w:p>
    <w:p w14:paraId="6079AE52" w14:textId="77777777" w:rsidR="0065073E" w:rsidRDefault="000A0998">
      <w:pPr>
        <w:pStyle w:val="P68B1DB1-Normal4"/>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3807EE3C" w14:textId="77777777" w:rsidR="0065073E" w:rsidRDefault="000A0998">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C.1 </w:t>
      </w:r>
      <w:r>
        <w:rPr>
          <w:noProof/>
        </w:rPr>
        <w:t xml:space="preserve"> </w:t>
      </w:r>
      <w:r>
        <w:rPr>
          <w:rFonts w:ascii="Times New Roman" w:hAnsi="Times New Roman"/>
          <w:b/>
          <w:noProof/>
          <w:sz w:val="24"/>
          <w:u w:val="single"/>
        </w:rPr>
        <w:t>Kuvaus uudistuksista ja investoinneista, joita rahoitetaan rahoitustuella, jota ei makseta takaisin</w:t>
      </w:r>
    </w:p>
    <w:p w14:paraId="1234D340" w14:textId="77777777" w:rsidR="0065073E" w:rsidRDefault="000A0998">
      <w:pPr>
        <w:pStyle w:val="P68B1DB1-Normal5"/>
        <w:spacing w:before="120" w:after="120" w:line="240" w:lineRule="auto"/>
        <w:jc w:val="both"/>
        <w:rPr>
          <w:rFonts w:cs="Times New Roman"/>
          <w:noProof/>
        </w:rPr>
      </w:pPr>
      <w:r>
        <w:rPr>
          <w:noProof/>
        </w:rPr>
        <w:t>Uudistus 1 (C3.R1) – Elintarvikeketjun kauppasuhteita koskevien sääntöjen muuttaminen, mukaan lukien toimenpiteistä elintarvikeketjun toiminnan parantamiseksi 2. elokuuta 2007 annetun lain 12/2013 muuttaminen</w:t>
      </w:r>
    </w:p>
    <w:p w14:paraId="2518E7B7" w14:textId="77777777" w:rsidR="0065073E" w:rsidRDefault="000A0998">
      <w:pPr>
        <w:pStyle w:val="P68B1DB1-Normal4"/>
        <w:spacing w:before="120" w:after="120" w:line="240" w:lineRule="auto"/>
        <w:jc w:val="both"/>
        <w:rPr>
          <w:rFonts w:cs="Times New Roman"/>
          <w:noProof/>
        </w:rPr>
      </w:pPr>
      <w:r>
        <w:rPr>
          <w:noProof/>
        </w:rPr>
        <w:t>Tämän toimenpiteen tavoitteena on parantaa elintarvikeketjun toimintaa muuttamalla elintarvikeketjun kauppasuhteita sääntelevää kansallista lainsäädäntöä (laki 12/2013) muun muassa direktiivin (EU) 2019/633 saattamista osaksi kansallista lainsäädäntöä, mutta mennään sitä pidemmälle. Toimenpiteen on katettava vähintään:</w:t>
      </w:r>
    </w:p>
    <w:p w14:paraId="311FCBFE" w14:textId="77777777" w:rsidR="0065073E" w:rsidRDefault="000A0998">
      <w:pPr>
        <w:pStyle w:val="P68B1DB1-Normal4"/>
        <w:numPr>
          <w:ilvl w:val="0"/>
          <w:numId w:val="74"/>
        </w:numPr>
        <w:spacing w:before="120" w:after="120" w:line="240" w:lineRule="auto"/>
        <w:ind w:left="425" w:hanging="425"/>
        <w:contextualSpacing/>
        <w:jc w:val="both"/>
        <w:rPr>
          <w:rFonts w:cs="Times New Roman"/>
          <w:noProof/>
        </w:rPr>
      </w:pPr>
      <w:r>
        <w:rPr>
          <w:noProof/>
        </w:rPr>
        <w:t>Lain soveltamisalan laajentaminen siten, että siihen sisällytetään i) kauppasuhteet sekä jäsenvaltioihin että kolmansiin maihin aina, kun toimija sijaitsee Espanjassa, ja ii) raaka-aineet ja muut Euroopan unionin toiminnasta tehdyn sopimuksen liitteen I soveltamisalaan kuuluvat tuotteet;</w:t>
      </w:r>
    </w:p>
    <w:p w14:paraId="4735A7DF" w14:textId="77777777" w:rsidR="0065073E" w:rsidRDefault="000A0998">
      <w:pPr>
        <w:pStyle w:val="P68B1DB1-Normal4"/>
        <w:numPr>
          <w:ilvl w:val="0"/>
          <w:numId w:val="74"/>
        </w:numPr>
        <w:spacing w:before="120" w:after="120" w:line="240" w:lineRule="auto"/>
        <w:ind w:left="425" w:hanging="425"/>
        <w:contextualSpacing/>
        <w:jc w:val="both"/>
        <w:rPr>
          <w:rFonts w:cs="Times New Roman"/>
          <w:noProof/>
        </w:rPr>
      </w:pPr>
      <w:r>
        <w:rPr>
          <w:noProof/>
        </w:rPr>
        <w:t>elintarvikesopimusten vähimmäissisällön laajentaminen sisällyttämällä siihen i) sopimussakkoja, ii) ylivoimaisesta esteestä johtuvia poikkeuksia ja iii) viittaus osapuolten sovittelupyyntöön, jossa käsitellään tapauksia, joissa sopimusta ei ole tehty;</w:t>
      </w:r>
    </w:p>
    <w:p w14:paraId="0E244484" w14:textId="77777777" w:rsidR="0065073E" w:rsidRDefault="000A0998">
      <w:pPr>
        <w:pStyle w:val="P68B1DB1-Normal4"/>
        <w:numPr>
          <w:ilvl w:val="0"/>
          <w:numId w:val="74"/>
        </w:numPr>
        <w:spacing w:before="120" w:after="120" w:line="240" w:lineRule="auto"/>
        <w:ind w:left="425" w:hanging="425"/>
        <w:contextualSpacing/>
        <w:jc w:val="both"/>
        <w:rPr>
          <w:rFonts w:cs="Times New Roman"/>
          <w:noProof/>
        </w:rPr>
      </w:pPr>
      <w:r>
        <w:rPr>
          <w:noProof/>
        </w:rPr>
        <w:t>sopimattomien kaupallisten menettelyjen luettelon laajentaminen, kuten sopimusten yksipuolinen muuttaminen määrällisesti tai myymättä jääneiden tuotteiden palauttaminen; ja</w:t>
      </w:r>
    </w:p>
    <w:p w14:paraId="7CDA0286" w14:textId="77777777" w:rsidR="0065073E" w:rsidRDefault="000A0998">
      <w:pPr>
        <w:numPr>
          <w:ilvl w:val="0"/>
          <w:numId w:val="74"/>
        </w:numPr>
        <w:spacing w:before="120" w:after="120" w:line="240" w:lineRule="auto"/>
        <w:ind w:left="426" w:hanging="426"/>
        <w:jc w:val="both"/>
        <w:rPr>
          <w:rFonts w:ascii="Times New Roman" w:hAnsi="Times New Roman" w:cs="Times New Roman"/>
          <w:noProof/>
          <w:sz w:val="24"/>
        </w:rPr>
      </w:pPr>
      <w:r>
        <w:rPr>
          <w:rFonts w:ascii="Times New Roman" w:hAnsi="Times New Roman"/>
          <w:noProof/>
          <w:sz w:val="24"/>
        </w:rPr>
        <w:t>tunnustetaan, että elintarviketieto- ja -valvontavirasto on elin, joka vastaa kansallisen lainsäädännön noudattamisen tarkastamiseen tarvittavan valvontajärjestelmän perustamisesta ja kehittämisestä, ja toimii yhteyspisteenä lainvalvontaviranomaisten sekä Euroopan komission ja itsehallintoalueiden välistä yhteistyötä varten omilla alueillaan.</w:t>
      </w:r>
      <w:r>
        <w:rPr>
          <w:noProof/>
        </w:rPr>
        <w:tab/>
      </w:r>
    </w:p>
    <w:p w14:paraId="50CF7AFA" w14:textId="77777777" w:rsidR="0065073E" w:rsidRDefault="000A0998">
      <w:pPr>
        <w:pStyle w:val="P68B1DB1-Normal4"/>
        <w:spacing w:before="120" w:after="120" w:line="240" w:lineRule="auto"/>
        <w:jc w:val="both"/>
        <w:rPr>
          <w:rFonts w:cs="Times New Roman"/>
          <w:noProof/>
        </w:rPr>
      </w:pPr>
      <w:r>
        <w:rPr>
          <w:noProof/>
        </w:rPr>
        <w:t>Toimenpide täydentää i) 25. helmikuuta 2020 annettua kuninkaan asetusta 5/2020, jolla hyväksyttiin maataloutta ja elintarvikkeita koskevia kiireellisiä toimenpiteitä, ja ii) lakia 8/2020 kiireellisistä toimenpiteistä elintarvikeketjun toiminnan parantamiseksi annetun lain 12/2013 muuttamiseksi.</w:t>
      </w:r>
    </w:p>
    <w:p w14:paraId="652B9321"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2021 mennessä.</w:t>
      </w:r>
    </w:p>
    <w:p w14:paraId="65CF45F9" w14:textId="77777777" w:rsidR="0065073E" w:rsidRDefault="000A0998">
      <w:pPr>
        <w:pStyle w:val="P68B1DB1-Normal5"/>
        <w:spacing w:before="120" w:after="120" w:line="240" w:lineRule="auto"/>
        <w:jc w:val="both"/>
        <w:rPr>
          <w:rFonts w:cs="Times New Roman"/>
          <w:noProof/>
        </w:rPr>
      </w:pPr>
      <w:bookmarkStart w:id="7" w:name="_Hlk144118141"/>
      <w:r>
        <w:rPr>
          <w:noProof/>
        </w:rPr>
        <w:t>Uudistus 2 (C3.R2) – Karjankasvatuksen ympäristökestävyyttä koskevan sääntelykehyksen kehittäminen ja tarkistaminen</w:t>
      </w:r>
    </w:p>
    <w:bookmarkEnd w:id="7"/>
    <w:p w14:paraId="1D9E2DBB" w14:textId="77777777" w:rsidR="0065073E" w:rsidRDefault="000A0998">
      <w:pPr>
        <w:pStyle w:val="P68B1DB1-Normal4"/>
        <w:spacing w:before="120" w:after="120" w:line="240" w:lineRule="auto"/>
        <w:jc w:val="both"/>
        <w:rPr>
          <w:rFonts w:cs="Times New Roman"/>
          <w:noProof/>
        </w:rPr>
      </w:pPr>
      <w:r>
        <w:rPr>
          <w:noProof/>
        </w:rPr>
        <w:t>Tällä toimenpiteellä parannetaan kotieläintuotannon ympäristökestävyyttä kehittämällä ja tarkistamalla lainsäädäntökehystä seuraavasti:</w:t>
      </w:r>
    </w:p>
    <w:p w14:paraId="28ED085C" w14:textId="77777777" w:rsidR="0065073E" w:rsidRDefault="000A0998">
      <w:pPr>
        <w:pStyle w:val="P68B1DB1-Normal4"/>
        <w:numPr>
          <w:ilvl w:val="0"/>
          <w:numId w:val="75"/>
        </w:numPr>
        <w:spacing w:before="120" w:after="120" w:line="240" w:lineRule="auto"/>
        <w:ind w:left="425" w:hanging="425"/>
        <w:contextualSpacing/>
        <w:jc w:val="both"/>
        <w:rPr>
          <w:rFonts w:cs="Times New Roman"/>
          <w:noProof/>
        </w:rPr>
      </w:pPr>
      <w:r>
        <w:rPr>
          <w:noProof/>
        </w:rPr>
        <w:t>Kehitetään yleinen rekisteri parhaista käytettävissä olevista tekniikoista (BAT), jotta voidaan helpottaa epäpuhtaus- ja kasvihuonekaasupäästöjen laskemista sika- ja siipikarjatiloilla sekä muiden ympäristötietojen kattamista. Se tarjoaa paremman arvion siitä, miten karjankasvattajat noudattavat kasvihuonekaasu- ja epäpuhtauspäästösitoumuksia.</w:t>
      </w:r>
    </w:p>
    <w:p w14:paraId="664D0C51" w14:textId="77777777" w:rsidR="0065073E" w:rsidRDefault="000A0998">
      <w:pPr>
        <w:pStyle w:val="P68B1DB1-Normal4"/>
        <w:numPr>
          <w:ilvl w:val="0"/>
          <w:numId w:val="75"/>
        </w:numPr>
        <w:spacing w:before="120" w:after="120" w:line="240" w:lineRule="auto"/>
        <w:ind w:left="426" w:hanging="426"/>
        <w:jc w:val="both"/>
        <w:rPr>
          <w:rFonts w:cs="Times New Roman"/>
          <w:noProof/>
        </w:rPr>
      </w:pPr>
      <w:r>
        <w:rPr>
          <w:noProof/>
        </w:rPr>
        <w:t>Tarkistetaan asteittain karjankasvatusalan suunnittelulainsäädäntöä, jossa vahvistetaan sijaintia, etäisyyttä, kokoa, terveysoloja, bioturvallisuutta sekä ympäristön ja eläinten hyvinvoinnin infrastruktuuria koskevat vaatimukset maatiloilla, joilla se on jo käytössä (sianviljely), sekä luodaan uusi sääntelykehys aloille (siipikarjatalous), joita ei ole vielä säännelty. Siinä vahvistetaan yksittäiset alakohtaiset päästövähennysvelvoitteet, joissa vahvistetaan vaatimukset sen mukaan, miten ne edistävät epäpuhtauksien syntymistä, suhteellisuusperiaatetta noudattaen.</w:t>
      </w:r>
    </w:p>
    <w:p w14:paraId="3BDCBD98" w14:textId="77777777" w:rsidR="0065073E" w:rsidRDefault="000A0998">
      <w:pPr>
        <w:pStyle w:val="P68B1DB1-Normal4"/>
        <w:spacing w:before="120" w:after="120" w:line="240" w:lineRule="auto"/>
        <w:jc w:val="both"/>
        <w:rPr>
          <w:rFonts w:cs="Times New Roman"/>
          <w:noProof/>
        </w:rPr>
      </w:pPr>
      <w:r>
        <w:rPr>
          <w:noProof/>
        </w:rPr>
        <w:t>Toimenpide sisältää molemmat säännökset, jotka on määrä julkaista vuoden 2022 loppuun mennessä. Siinä ennakoidaan myös, että sika- ja siipikarjatiloilla on oltava käytössä parhaiden käytettävissä olevien tekniikoiden yleinen rekisteri 31 päivään joulukuuta 2023 mennessä. Tarkistettua suunnittelulainsäädäntöä on sovellettava asteittain noin kahden vuoden kuluessa sen julkaisemisesta.</w:t>
      </w:r>
    </w:p>
    <w:p w14:paraId="5DF9BC92" w14:textId="5F439EE1" w:rsidR="0065073E" w:rsidRDefault="000A0998">
      <w:pPr>
        <w:pStyle w:val="P68B1DB1-Normal4"/>
        <w:spacing w:before="120" w:after="120" w:line="240" w:lineRule="auto"/>
        <w:contextualSpacing/>
        <w:jc w:val="both"/>
        <w:rPr>
          <w:rFonts w:cs="Times New Roman"/>
          <w:noProof/>
        </w:rPr>
      </w:pPr>
      <w:r>
        <w:rPr>
          <w:noProof/>
        </w:rPr>
        <w:t>Lisäksi tämän toimenpiteen tavoitteena on</w:t>
      </w:r>
    </w:p>
    <w:p w14:paraId="2098B483" w14:textId="2D2F2221" w:rsidR="0065073E" w:rsidRDefault="000A0998">
      <w:pPr>
        <w:pStyle w:val="P68B1DB1-Normal4"/>
        <w:numPr>
          <w:ilvl w:val="0"/>
          <w:numId w:val="269"/>
        </w:numPr>
        <w:spacing w:before="120" w:after="120" w:line="240" w:lineRule="auto"/>
        <w:ind w:left="425" w:hanging="425"/>
        <w:contextualSpacing/>
        <w:jc w:val="both"/>
        <w:rPr>
          <w:rFonts w:cs="Times New Roman"/>
          <w:noProof/>
        </w:rPr>
      </w:pPr>
      <w:r>
        <w:rPr>
          <w:noProof/>
        </w:rPr>
        <w:t xml:space="preserve">Eläinkuljetusten bioturvaamisen parantaminen tarttuvien eläintautien osalta. Uudessa asetuksessa digitalisaatio ja uudet teknologiat sisällytetään ajoneuvoihin, joita käytetään kuljetus-, puhdistus- ja desinfiointikeskuksina. </w:t>
      </w:r>
    </w:p>
    <w:p w14:paraId="22473C04" w14:textId="6D01DF04" w:rsidR="0065073E" w:rsidRDefault="000A0998">
      <w:pPr>
        <w:pStyle w:val="P68B1DB1-Normal4"/>
        <w:numPr>
          <w:ilvl w:val="0"/>
          <w:numId w:val="269"/>
        </w:numPr>
        <w:spacing w:before="120" w:after="120" w:line="240" w:lineRule="auto"/>
        <w:ind w:left="425" w:hanging="425"/>
        <w:contextualSpacing/>
        <w:jc w:val="both"/>
        <w:rPr>
          <w:rFonts w:cs="Times New Roman"/>
          <w:noProof/>
        </w:rPr>
      </w:pPr>
      <w:r>
        <w:rPr>
          <w:noProof/>
        </w:rPr>
        <w:t xml:space="preserve">Antibioottien käytön sääntely kotieläinlajeissa käyttämällä menetelmää, jolla lasketaan antibioottien säännöllinen ja neljännesvuosittainen kulutus eläintilakohtaisesti ja kansallinen viiteindikaattori. Asetuksessa kuvataan tulosten perusteella toteutettavat toimenpiteet. Lainsäädännön siirtymäaika on yksi vuosi niiden kotieläintilojen osalta, joilla ei ole alakohtaisessa lainsäädännössään velvoitetta käyttää yhdennettyä hallintojärjestelmää.   </w:t>
      </w:r>
    </w:p>
    <w:p w14:paraId="3129CDA9" w14:textId="77777777" w:rsidR="0065073E" w:rsidRDefault="0065073E">
      <w:pPr>
        <w:spacing w:before="120" w:after="120" w:line="240" w:lineRule="auto"/>
        <w:ind w:left="425"/>
        <w:contextualSpacing/>
        <w:jc w:val="both"/>
        <w:rPr>
          <w:rFonts w:ascii="Times New Roman" w:hAnsi="Times New Roman" w:cs="Times New Roman"/>
          <w:noProof/>
          <w:sz w:val="24"/>
        </w:rPr>
      </w:pPr>
    </w:p>
    <w:p w14:paraId="223A83E5" w14:textId="74661DE4" w:rsidR="0065073E" w:rsidRDefault="000A0998">
      <w:pPr>
        <w:pStyle w:val="P68B1DB1-Normal4"/>
        <w:spacing w:before="120" w:after="120" w:line="240" w:lineRule="auto"/>
        <w:contextualSpacing/>
        <w:jc w:val="both"/>
        <w:rPr>
          <w:rFonts w:cs="Times New Roman"/>
          <w:noProof/>
        </w:rPr>
      </w:pPr>
      <w:r>
        <w:rPr>
          <w:noProof/>
        </w:rPr>
        <w:t>Toimenpiteen täytäntöönpano on saatettava päätökseen 30 päivään kesäkuuta 2024 mennessä.</w:t>
      </w:r>
    </w:p>
    <w:p w14:paraId="17685D86" w14:textId="77777777" w:rsidR="0065073E" w:rsidRDefault="0065073E">
      <w:pPr>
        <w:spacing w:before="120" w:after="120" w:line="240" w:lineRule="auto"/>
        <w:jc w:val="both"/>
        <w:rPr>
          <w:rFonts w:ascii="Times New Roman" w:hAnsi="Times New Roman" w:cs="Times New Roman"/>
          <w:noProof/>
          <w:sz w:val="24"/>
          <w:u w:val="single"/>
        </w:rPr>
      </w:pPr>
    </w:p>
    <w:p w14:paraId="7008C47F" w14:textId="77777777" w:rsidR="0065073E" w:rsidRDefault="000A0998">
      <w:pPr>
        <w:pStyle w:val="P68B1DB1-Normal5"/>
        <w:spacing w:before="120" w:after="120" w:line="240" w:lineRule="auto"/>
        <w:jc w:val="both"/>
        <w:rPr>
          <w:rFonts w:cs="Times New Roman"/>
          <w:noProof/>
        </w:rPr>
      </w:pPr>
      <w:r>
        <w:rPr>
          <w:noProof/>
        </w:rPr>
        <w:t>Uudistus 3 (C3.R3) – Maatalousmaan kestävää ravitsemusta koskeva lainsäädäntökehys ja maatalousperäistä saastumista koskeva lainsäädäntö</w:t>
      </w:r>
    </w:p>
    <w:p w14:paraId="4FF389C3" w14:textId="77777777" w:rsidR="0065073E" w:rsidRDefault="000A0998">
      <w:pPr>
        <w:pStyle w:val="P68B1DB1-Normal4"/>
        <w:spacing w:before="120" w:after="120" w:line="240" w:lineRule="auto"/>
        <w:jc w:val="both"/>
        <w:rPr>
          <w:rFonts w:cs="Times New Roman"/>
          <w:noProof/>
        </w:rPr>
      </w:pPr>
      <w:r>
        <w:rPr>
          <w:noProof/>
        </w:rPr>
        <w:t>Tämän toimenpiteen tavoitteena on säännellä maatalouden lannoitusta, jotta voidaan puuttua johdonmukaisesti eri ravinteiden lähteisiin maatalousmaahan. Lisäksi se antaa viljelijöille teknistä neuvontaa, jotta he voivat täyttää lakisääteiset vaatimukset ja järkeistää lannoitusta. Toimintasuunnitelmilla on määrä I) puuttua ilmastonmuutoksen kielteisiin vaikutuksiin; II) vähentää maataloudesta peräisin olevien nitraattien ja fosfaattien aiheuttamaa vesien pilaantumista; ja iii) parantaa ilmanlaatua.</w:t>
      </w:r>
    </w:p>
    <w:p w14:paraId="30D53276" w14:textId="77777777" w:rsidR="0065073E" w:rsidRDefault="000A0998">
      <w:pPr>
        <w:pStyle w:val="P68B1DB1-Normal4"/>
        <w:spacing w:before="120" w:after="120" w:line="240" w:lineRule="auto"/>
        <w:jc w:val="both"/>
        <w:rPr>
          <w:rFonts w:cs="Times New Roman"/>
          <w:noProof/>
        </w:rPr>
      </w:pPr>
      <w:r>
        <w:rPr>
          <w:noProof/>
        </w:rPr>
        <w:t>Ehdotettu lainsäädäntökehys liittyy toiseen oikeudelliseen välineeseen: luonnos kuninkaalliseksi asetukseksi vesien suojelemisesta maataloudesta peräisin olevien nitraattien aiheuttamalta hajakuormitukselta (joka korvaa 16. helmikuuta 1996 annetun kuninkaallisen asetuksen 261/1996). Se liittyy myös toimintasuunnitelman laatimiseen erityisesti maataloudesta peräisin olevien nitraattien aiheuttaman hajakuormituksen ehkäisemiseksi, korjaamiseksi ja vähentämiseksi. Tällä toimenpiteellä otetaan käyttöön kuninkaallinen asetus, jolla saatetaan osaksi kansallista lainsäädäntöä vesien suojelemisesta maataloudesta peräisin olevien nitraattien aiheuttamalta pilaantumiselta 12 päivänä joulukuuta 1991 annettu direktiivi 91/676/ETY ja jossa asetetaan nitraattidirektiiviä kunnianhimoisemmat tavoitteet ja lisätään lähentymistä vesipolitiikan puitedirektiivin mukaisiin vesisuunnittelun tavoitteisiin.</w:t>
      </w:r>
    </w:p>
    <w:p w14:paraId="21CE4873"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maaliskuuta 2023 mennessä. </w:t>
      </w:r>
    </w:p>
    <w:p w14:paraId="5EC2BBD2" w14:textId="77777777" w:rsidR="0065073E" w:rsidRDefault="000A0998">
      <w:pPr>
        <w:pStyle w:val="P68B1DB1-Normal5"/>
        <w:spacing w:before="120" w:after="120" w:line="240" w:lineRule="auto"/>
        <w:jc w:val="both"/>
        <w:rPr>
          <w:rFonts w:cs="Times New Roman"/>
          <w:noProof/>
        </w:rPr>
      </w:pPr>
      <w:r>
        <w:rPr>
          <w:noProof/>
        </w:rPr>
        <w:t>Uudistus 4 (C3.R4) – Espanjan kastelun hallinnoinnin ja kestävän hoidon edistäminen</w:t>
      </w:r>
    </w:p>
    <w:p w14:paraId="4BA48D99" w14:textId="77777777" w:rsidR="0065073E" w:rsidRDefault="000A0998">
      <w:pPr>
        <w:pStyle w:val="P68B1DB1-Normal4"/>
        <w:spacing w:before="120" w:after="120" w:line="240" w:lineRule="auto"/>
        <w:jc w:val="both"/>
        <w:rPr>
          <w:rFonts w:cs="Times New Roman"/>
          <w:noProof/>
        </w:rPr>
      </w:pPr>
      <w:r>
        <w:rPr>
          <w:noProof/>
        </w:rPr>
        <w:t>Tämän toimenpiteen tavoitteena on perustaa kansallisella tasolla hallintomekanismi, jonka avulla kaikki asianomaiset alat ja viranomaisten tasot voivat tehdä kastelua koskevaa yhteistyötä. Tähän sisältyvät ympäristökestävyys, täytäntöönpanokriteerit ja sovellettavaan lainsäädäntöön liittyvät näkökohdat. Toimenpiteellä perustetaan Espanjassa kastelun kestävyyden seurantakeskus, joka antaa tietoja kastelun taloudellisista, sosiaalisista ja ympäristövaikutuksista alueella.</w:t>
      </w:r>
    </w:p>
    <w:p w14:paraId="326A145B" w14:textId="77777777" w:rsidR="0065073E" w:rsidRDefault="000A0998">
      <w:pPr>
        <w:pStyle w:val="P68B1DB1-Normal4"/>
        <w:spacing w:before="120" w:after="120" w:line="240" w:lineRule="auto"/>
        <w:jc w:val="both"/>
        <w:rPr>
          <w:rFonts w:cs="Times New Roman"/>
          <w:noProof/>
          <w:u w:val="single"/>
        </w:rPr>
      </w:pPr>
      <w:r>
        <w:rPr>
          <w:noProof/>
        </w:rPr>
        <w:t>Uudistuksen täytäntöönpano on saatettava päätökseen 31 päivään joulukuuta 2022 mennessä.</w:t>
      </w:r>
    </w:p>
    <w:p w14:paraId="0A0562DB" w14:textId="77777777" w:rsidR="0065073E" w:rsidRDefault="000A0998">
      <w:pPr>
        <w:pStyle w:val="P68B1DB1-Normal5"/>
        <w:spacing w:before="120" w:after="120" w:line="240" w:lineRule="auto"/>
        <w:jc w:val="both"/>
        <w:rPr>
          <w:rFonts w:cs="Times New Roman"/>
          <w:noProof/>
        </w:rPr>
      </w:pPr>
      <w:r>
        <w:rPr>
          <w:noProof/>
        </w:rPr>
        <w:t>Uudistus 5 (C3.R5) – Maatalous- ja maaseutualueiden digitalisointistrategian toisen toimintasuunnitelman täytäntöönpano</w:t>
      </w:r>
    </w:p>
    <w:p w14:paraId="11992691" w14:textId="77777777" w:rsidR="0065073E" w:rsidRDefault="000A0998">
      <w:pPr>
        <w:pStyle w:val="P68B1DB1-Normal4"/>
        <w:spacing w:before="120" w:after="120" w:line="240" w:lineRule="auto"/>
        <w:jc w:val="both"/>
        <w:rPr>
          <w:rFonts w:cs="Times New Roman"/>
          <w:noProof/>
        </w:rPr>
      </w:pPr>
      <w:r>
        <w:rPr>
          <w:noProof/>
        </w:rPr>
        <w:t xml:space="preserve">Tällä toimenpiteellä pyritään jatkamaan Espanjan hallituksen maaliskuussa 2019 hyväksymän maatalouselintarvikkeiden ja maaseudun digitalisointia koskevan Espanjan strategian täytäntöönpanoa. Toimenpiteessä on esitettävä toinen toimintasuunnitelma, joka vastaa strategian kolmea perustavoitetta: I) digitaalisen kuilun kaventaminen; II) datan käytön edistäminen; ja iii) liiketoiminnan kehittämisen ja uusien liiketoimintamallien edistäminen. </w:t>
      </w:r>
    </w:p>
    <w:p w14:paraId="1DCF0FDA" w14:textId="77777777" w:rsidR="0065073E" w:rsidRDefault="000A0998">
      <w:pPr>
        <w:pStyle w:val="P68B1DB1-Normal4"/>
        <w:spacing w:before="120" w:after="120" w:line="240" w:lineRule="auto"/>
        <w:jc w:val="both"/>
        <w:rPr>
          <w:rFonts w:cs="Times New Roman"/>
          <w:noProof/>
        </w:rPr>
      </w:pPr>
      <w:r>
        <w:rPr>
          <w:noProof/>
        </w:rPr>
        <w:t>Toimenpiteellä tuetaan edelleen digitaalisten prosessien ja taitojen käyttöönottoa ja sisällyttämistä maaseutualueisiin ja niiden sosiaaliseen rakenteeseen liittyvään taloudelliseen toimintaan. Toimenpiteellä on suunniteltava, laadittava ja pantava täytäntöön maatalouselintarvikealan ja maaseutualueiden digitalisointistrategian toinen toimintasuunnitelma.</w:t>
      </w:r>
    </w:p>
    <w:p w14:paraId="1392C3C9"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701358BE" w14:textId="77777777" w:rsidR="0065073E" w:rsidRDefault="000A0998">
      <w:pPr>
        <w:pStyle w:val="P68B1DB1-Normal5"/>
        <w:spacing w:before="120" w:after="120" w:line="240" w:lineRule="auto"/>
        <w:jc w:val="both"/>
        <w:rPr>
          <w:rFonts w:cs="Times New Roman"/>
          <w:noProof/>
        </w:rPr>
      </w:pPr>
      <w:bookmarkStart w:id="8" w:name="_Hlk144117478"/>
      <w:r>
        <w:rPr>
          <w:noProof/>
        </w:rPr>
        <w:t>Uudistus 6 (C3.R6) – Kestävän kalastuksen sääntelyä koskevan kansallisen sääntelykehyksen tarkistaminen</w:t>
      </w:r>
    </w:p>
    <w:bookmarkEnd w:id="8"/>
    <w:p w14:paraId="168525BC" w14:textId="77777777" w:rsidR="0065073E" w:rsidRDefault="000A0998">
      <w:pPr>
        <w:pStyle w:val="P68B1DB1-Normal4"/>
        <w:spacing w:before="120" w:after="120" w:line="240" w:lineRule="auto"/>
        <w:jc w:val="both"/>
        <w:rPr>
          <w:rFonts w:cs="Times New Roman"/>
          <w:noProof/>
        </w:rPr>
      </w:pPr>
      <w:r>
        <w:rPr>
          <w:noProof/>
        </w:rPr>
        <w:t>Tämän toimenpiteen tavoitteena on I) edistää taloudellisen ja sosiaalisen kestävyyden sisällyttämistä kalastuksenhoitoon; II) parantaa oikeusvarmuutta kaikille kalastusalan toimijoille; ja iii) lisätä kalastuksenhoidon avoimuutta, nykyaikaistamista ja digitalisointia. Toimenpiteessä on otettava huomioon EU:n politiikkojen ja haasteiden tavoitteet, mukaan lukien yhteisen kalastuspolitiikan uudistus, vuoteen 2030 ulottuva biodiversiteettistrategia, meristrategiat ja kestävän kehityksen tavoitteet.</w:t>
      </w:r>
    </w:p>
    <w:p w14:paraId="45B4B9BE" w14:textId="77777777" w:rsidR="0065073E" w:rsidRDefault="000A0998">
      <w:pPr>
        <w:pStyle w:val="P68B1DB1-Normal4"/>
        <w:spacing w:before="120" w:after="120" w:line="240" w:lineRule="auto"/>
        <w:jc w:val="both"/>
        <w:rPr>
          <w:rFonts w:cs="Times New Roman"/>
          <w:noProof/>
        </w:rPr>
      </w:pPr>
      <w:r>
        <w:rPr>
          <w:noProof/>
        </w:rPr>
        <w:t>Näiden tavoitteiden saavuttamiseksi toimenpiteellä on saavutettava seuraavat tavoitteet:</w:t>
      </w:r>
    </w:p>
    <w:p w14:paraId="3290735B" w14:textId="77777777" w:rsidR="0065073E" w:rsidRDefault="000A0998">
      <w:pPr>
        <w:pStyle w:val="P68B1DB1-Normal4"/>
        <w:numPr>
          <w:ilvl w:val="0"/>
          <w:numId w:val="76"/>
        </w:numPr>
        <w:spacing w:before="120" w:after="120" w:line="240" w:lineRule="auto"/>
        <w:ind w:left="425" w:hanging="425"/>
        <w:contextualSpacing/>
        <w:jc w:val="both"/>
        <w:rPr>
          <w:rFonts w:cs="Times New Roman"/>
          <w:noProof/>
        </w:rPr>
      </w:pPr>
      <w:bookmarkStart w:id="9" w:name="_Hlk144117739"/>
      <w:r>
        <w:rPr>
          <w:noProof/>
        </w:rPr>
        <w:t xml:space="preserve">Tarkistetaan nykyistä kalastuslakia sen mukauttamiseksi kalastusalan uusiin kestävyyskriteereihin ja tutkimustarpeisiin; </w:t>
      </w:r>
    </w:p>
    <w:p w14:paraId="5C15178B" w14:textId="77777777" w:rsidR="0065073E" w:rsidRDefault="000A0998">
      <w:pPr>
        <w:pStyle w:val="P68B1DB1-Normal4"/>
        <w:numPr>
          <w:ilvl w:val="0"/>
          <w:numId w:val="76"/>
        </w:numPr>
        <w:spacing w:before="120" w:after="120" w:line="240" w:lineRule="auto"/>
        <w:ind w:left="425" w:hanging="425"/>
        <w:contextualSpacing/>
        <w:jc w:val="both"/>
        <w:rPr>
          <w:rFonts w:cs="Times New Roman"/>
          <w:noProof/>
        </w:rPr>
      </w:pPr>
      <w:bookmarkStart w:id="10" w:name="_Hlk144117746"/>
      <w:bookmarkEnd w:id="9"/>
      <w:r>
        <w:rPr>
          <w:noProof/>
        </w:rPr>
        <w:t>kansallisten kalastusalueiden eri välineiden, menetelmien ja väestölaskentojen hallinnoinnin päivittäminen kuninkaallisella asetuksella; ja</w:t>
      </w:r>
    </w:p>
    <w:p w14:paraId="042E0201" w14:textId="77777777" w:rsidR="0065073E" w:rsidRDefault="000A0998">
      <w:pPr>
        <w:pStyle w:val="P68B1DB1-Normal4"/>
        <w:numPr>
          <w:ilvl w:val="0"/>
          <w:numId w:val="76"/>
        </w:numPr>
        <w:spacing w:before="120" w:after="120" w:line="240" w:lineRule="auto"/>
        <w:ind w:left="426" w:hanging="426"/>
        <w:jc w:val="both"/>
        <w:rPr>
          <w:rFonts w:cs="Times New Roman"/>
          <w:noProof/>
        </w:rPr>
      </w:pPr>
      <w:bookmarkStart w:id="11" w:name="_Hlk144117704"/>
      <w:r>
        <w:rPr>
          <w:noProof/>
        </w:rPr>
        <w:t>kalastuksen valvonta-, tarkastus- ja seuraamusjärjestelmien nykyaikaistamista koskevan lain täytäntöönpano.</w:t>
      </w:r>
    </w:p>
    <w:bookmarkEnd w:id="10"/>
    <w:bookmarkEnd w:id="11"/>
    <w:p w14:paraId="16CACB9E" w14:textId="77777777" w:rsidR="0065073E" w:rsidRDefault="000A0998">
      <w:pPr>
        <w:pStyle w:val="P68B1DB1-Normal4"/>
        <w:spacing w:before="120" w:after="120" w:line="240" w:lineRule="auto"/>
        <w:jc w:val="both"/>
        <w:rPr>
          <w:rFonts w:cs="Times New Roman"/>
          <w:noProof/>
        </w:rPr>
      </w:pPr>
      <w:r>
        <w:rPr>
          <w:noProof/>
        </w:rPr>
        <w:t xml:space="preserve">Kansallisten kalastusalueiden eri välineiden, menetelmien ja valitusten hallinnoinnin parantamista koskeva kuninkaallinen asetus on tarkoitus julkaista 30. kesäkuuta 2022 mennessä. </w:t>
      </w:r>
    </w:p>
    <w:p w14:paraId="2DC96A53" w14:textId="3D1A5832" w:rsidR="0065073E" w:rsidRDefault="000A0998">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72D1D3BF" w14:textId="77777777" w:rsidR="0065073E" w:rsidRDefault="000A0998">
      <w:pPr>
        <w:pStyle w:val="P68B1DB1-Normal5"/>
        <w:spacing w:before="120" w:after="120" w:line="240" w:lineRule="auto"/>
        <w:jc w:val="both"/>
        <w:rPr>
          <w:rFonts w:cs="Times New Roman"/>
          <w:noProof/>
        </w:rPr>
      </w:pPr>
      <w:r>
        <w:rPr>
          <w:noProof/>
        </w:rPr>
        <w:t xml:space="preserve">Investointi 1 (C3.I1) – Suunnitelma kastelun tehokkuuden ja kestävyyden parantamiseksi </w:t>
      </w:r>
    </w:p>
    <w:p w14:paraId="6302894E" w14:textId="77777777" w:rsidR="0065073E" w:rsidRDefault="000A0998">
      <w:pPr>
        <w:pStyle w:val="P68B1DB1-Normal4"/>
        <w:spacing w:before="120" w:after="120" w:line="240" w:lineRule="auto"/>
        <w:jc w:val="both"/>
        <w:rPr>
          <w:rFonts w:cs="Times New Roman"/>
          <w:noProof/>
        </w:rPr>
      </w:pPr>
      <w:r>
        <w:rPr>
          <w:noProof/>
        </w:rPr>
        <w:t>Tämän toimenpiteen tavoitteena on parantaa kastelun tehokkuutta ja kestävyyttä valittujen toimien avulla. Sen on edistettävä vedensäästöä ja energiatehokkuutta kastelutoiminnassa. Näitä ovat:</w:t>
      </w:r>
    </w:p>
    <w:p w14:paraId="376E0EC4" w14:textId="77777777" w:rsidR="0065073E" w:rsidRDefault="000A0998">
      <w:pPr>
        <w:pStyle w:val="P68B1DB1-Normal4"/>
        <w:numPr>
          <w:ilvl w:val="0"/>
          <w:numId w:val="81"/>
        </w:numPr>
        <w:spacing w:before="120" w:after="120" w:line="240" w:lineRule="auto"/>
        <w:ind w:left="425" w:hanging="425"/>
        <w:contextualSpacing/>
        <w:jc w:val="both"/>
        <w:rPr>
          <w:rFonts w:cs="Times New Roman"/>
          <w:noProof/>
        </w:rPr>
      </w:pPr>
      <w:r>
        <w:rPr>
          <w:noProof/>
        </w:rPr>
        <w:t>Nykyaikaistamistoimet, mukaan lukien vähintään seuraavat: I) toimet alueilla, joilla pinta- tai pohjavesi korvataan käyttämällä epätavanomaisia vesivaroja (kuten asetuksen (EU) 2020/741 mukaista kierrätettyä vettä ja suolanpoistoa teknisten ohjeiden 2021/C58/01 mukaisesti) osana nykyaikaistamisprosessia; ja ii) toimet, joilla lisätään vedensäästöä tai vähennetään entisestään veden kysyntää tai saadaan aikaan suurempia energiansäästöjä;</w:t>
      </w:r>
    </w:p>
    <w:p w14:paraId="72FEE5A3" w14:textId="77777777" w:rsidR="0065073E" w:rsidRDefault="000A0998">
      <w:pPr>
        <w:pStyle w:val="P68B1DB1-Normal4"/>
        <w:numPr>
          <w:ilvl w:val="0"/>
          <w:numId w:val="81"/>
        </w:numPr>
        <w:spacing w:before="120" w:after="120" w:line="240" w:lineRule="auto"/>
        <w:ind w:left="425" w:hanging="425"/>
        <w:contextualSpacing/>
        <w:jc w:val="both"/>
        <w:rPr>
          <w:rFonts w:cs="Times New Roman"/>
          <w:noProof/>
        </w:rPr>
      </w:pPr>
      <w:r>
        <w:rPr>
          <w:noProof/>
        </w:rPr>
        <w:t>nykyaikaistetaan kastelujärjestelmiä, joilla on energiavaikutuksia, mukaan lukien i) sellaisten toimien etuuskohtelu, joissa ei tarvita sähköä, verrattuna niihin, jotka tarvitsevat sähköä tai edellyttävät uusiutuvaa energiaa; ja ii) nykyaikaistamistoimenpiteet, joilla helpotetaan energiaomavaraisuutta, mukaan lukien uusiutuvan energian käyttö; ja</w:t>
      </w:r>
    </w:p>
    <w:p w14:paraId="1E9DE30C" w14:textId="77777777" w:rsidR="0065073E" w:rsidRDefault="000A0998">
      <w:pPr>
        <w:pStyle w:val="P68B1DB1-Normal4"/>
        <w:numPr>
          <w:ilvl w:val="0"/>
          <w:numId w:val="81"/>
        </w:numPr>
        <w:spacing w:before="120" w:after="120" w:line="240" w:lineRule="auto"/>
        <w:ind w:left="426" w:hanging="426"/>
        <w:jc w:val="both"/>
        <w:rPr>
          <w:rFonts w:cs="Times New Roman"/>
          <w:noProof/>
        </w:rPr>
      </w:pPr>
      <w:r>
        <w:rPr>
          <w:noProof/>
        </w:rPr>
        <w:t>uusien teknologioiden edistäminen, kuten I) toimet, jotka mahdollistavat uusien teknologioiden ja innovaatioiden paremman käyttöönoton keinokastelun tehostamiseksi; ja ii) toimet, joissa ehdotetaan kastelun nykyaikaistamisen tehostamista.</w:t>
      </w:r>
    </w:p>
    <w:p w14:paraId="1A33E4FC" w14:textId="77777777" w:rsidR="0065073E" w:rsidRDefault="000A0998">
      <w:pPr>
        <w:pStyle w:val="P68B1DB1-Normal4"/>
        <w:spacing w:before="120" w:after="120" w:line="240" w:lineRule="auto"/>
        <w:jc w:val="both"/>
        <w:rPr>
          <w:rFonts w:cs="Times New Roman"/>
          <w:noProof/>
        </w:rPr>
      </w:pPr>
      <w:r>
        <w:rPr>
          <w:noProof/>
        </w:rPr>
        <w:t xml:space="preserve">Toimenpiteen toteuttamisesta vastaa julkinen yritys </w:t>
      </w:r>
      <w:r>
        <w:rPr>
          <w:i/>
          <w:noProof/>
        </w:rPr>
        <w:t>Sociedad Estatal de Infraestructuras Agrarias</w:t>
      </w:r>
      <w:r>
        <w:rPr>
          <w:noProof/>
        </w:rPr>
        <w:t xml:space="preserve"> (SEIASA). Tätä varten maatalous-, kalastus- ja elintarvikeministeriön (MAPA) ja SEIASAn välisellä sopimuksella säännellään kastelun nykyaikaistamiseen tehtävien investointien julkista ja yksityistä rahoitusjärjestelmää, hankkeiden valintaperusteita, suunnitelman täytäntöönpanomenettelyjä sekä toteutettavien toimien luetteloa. Toimien luetteloon on sisällyttävä vähintään seuraavat:</w:t>
      </w:r>
    </w:p>
    <w:p w14:paraId="1A5D4B3F" w14:textId="77777777" w:rsidR="0065073E" w:rsidRDefault="000A0998">
      <w:pPr>
        <w:pStyle w:val="P68B1DB1-Normal4"/>
        <w:numPr>
          <w:ilvl w:val="0"/>
          <w:numId w:val="83"/>
        </w:numPr>
        <w:spacing w:before="120" w:after="120" w:line="240" w:lineRule="auto"/>
        <w:ind w:left="357" w:hanging="357"/>
        <w:contextualSpacing/>
        <w:jc w:val="both"/>
        <w:rPr>
          <w:rFonts w:cs="Times New Roman"/>
          <w:noProof/>
        </w:rPr>
      </w:pPr>
      <w:r>
        <w:rPr>
          <w:noProof/>
        </w:rPr>
        <w:t xml:space="preserve">Pohja- tai pintaveden käytön korvaaminen epätavanomaisilla vesivaroilla (uusiovesi tai suolanpoistovesi noudattaen teknisiä ohjeita ”ei merkittävää haittaa” (2021/C58/01)); </w:t>
      </w:r>
    </w:p>
    <w:p w14:paraId="4EB8D444" w14:textId="77777777" w:rsidR="0065073E" w:rsidRDefault="000A0998">
      <w:pPr>
        <w:pStyle w:val="P68B1DB1-Normal4"/>
        <w:numPr>
          <w:ilvl w:val="0"/>
          <w:numId w:val="83"/>
        </w:numPr>
        <w:spacing w:before="120" w:after="120" w:line="240" w:lineRule="auto"/>
        <w:ind w:left="357" w:hanging="357"/>
        <w:contextualSpacing/>
        <w:jc w:val="both"/>
        <w:rPr>
          <w:rFonts w:cs="Times New Roman"/>
          <w:noProof/>
        </w:rPr>
      </w:pPr>
      <w:r>
        <w:rPr>
          <w:noProof/>
        </w:rPr>
        <w:t>sellaisten vedensäätöjärjestelmien (vesisäiliöiden) käyttöönotto, jotka mahdollistavat painokastelun;</w:t>
      </w:r>
    </w:p>
    <w:p w14:paraId="71771AF9" w14:textId="77777777" w:rsidR="0065073E" w:rsidRDefault="000A0998">
      <w:pPr>
        <w:pStyle w:val="P68B1DB1-Normal4"/>
        <w:numPr>
          <w:ilvl w:val="0"/>
          <w:numId w:val="83"/>
        </w:numPr>
        <w:spacing w:before="120" w:after="120" w:line="240" w:lineRule="auto"/>
        <w:ind w:left="357" w:hanging="357"/>
        <w:contextualSpacing/>
        <w:jc w:val="both"/>
        <w:rPr>
          <w:rFonts w:cs="Times New Roman"/>
          <w:noProof/>
        </w:rPr>
      </w:pPr>
      <w:r>
        <w:rPr>
          <w:noProof/>
        </w:rPr>
        <w:t>ulkoilmaojien korvaaminen maanalaisilla putkilla;</w:t>
      </w:r>
    </w:p>
    <w:p w14:paraId="604535BE" w14:textId="77777777" w:rsidR="0065073E" w:rsidRDefault="000A0998">
      <w:pPr>
        <w:pStyle w:val="P68B1DB1-Normal4"/>
        <w:numPr>
          <w:ilvl w:val="0"/>
          <w:numId w:val="83"/>
        </w:numPr>
        <w:spacing w:before="120" w:after="120" w:line="240" w:lineRule="auto"/>
        <w:ind w:left="357" w:hanging="357"/>
        <w:contextualSpacing/>
        <w:jc w:val="both"/>
        <w:rPr>
          <w:rFonts w:cs="Times New Roman"/>
          <w:noProof/>
        </w:rPr>
      </w:pPr>
      <w:r>
        <w:rPr>
          <w:noProof/>
        </w:rPr>
        <w:t>suodatus- ja pumppausjärjestelmien rakentaminen; ja</w:t>
      </w:r>
    </w:p>
    <w:p w14:paraId="2312E5D1" w14:textId="77777777" w:rsidR="0065073E" w:rsidRDefault="000A0998">
      <w:pPr>
        <w:pStyle w:val="P68B1DB1-Normal4"/>
        <w:numPr>
          <w:ilvl w:val="0"/>
          <w:numId w:val="83"/>
        </w:numPr>
        <w:spacing w:before="120" w:after="120" w:line="240" w:lineRule="auto"/>
        <w:jc w:val="both"/>
        <w:rPr>
          <w:rFonts w:cs="Times New Roman"/>
          <w:noProof/>
        </w:rPr>
      </w:pPr>
      <w:r>
        <w:rPr>
          <w:noProof/>
        </w:rPr>
        <w:t>mittareiden ja etähallintajärjestelmien asentaminen.</w:t>
      </w:r>
    </w:p>
    <w:p w14:paraId="38A38CF1" w14:textId="77777777" w:rsidR="0065073E" w:rsidRDefault="000A0998">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suolanpoistovesi on tuotettava käyttäen parasta saatavilla olevaa tekniikkaa, jonka ympäristövaikutukset ovat alalla vähäisimmät. Kaikki kastelutoimet on toteutettava vesipolitiikan puitedirektiivin mukaisesti, tarvittavat ympäristövaikutusten arvioinnit on suoritettava direktiivien 2009/147/EY ja 92/43/ETY mukaisesti ja ympäristön suojelemiseksi tarvittavat lieventämistoimet on toteutettava.</w:t>
      </w:r>
    </w:p>
    <w:p w14:paraId="20F6D375"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62A9AEE7"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19B2E2EB" w14:textId="77777777" w:rsidR="0065073E" w:rsidRDefault="000A0998">
      <w:pPr>
        <w:pStyle w:val="P68B1DB1-Normal5"/>
        <w:spacing w:before="120" w:after="120" w:line="240" w:lineRule="auto"/>
        <w:jc w:val="both"/>
        <w:rPr>
          <w:rFonts w:cs="Times New Roman"/>
          <w:noProof/>
        </w:rPr>
      </w:pPr>
      <w:r>
        <w:rPr>
          <w:noProof/>
        </w:rPr>
        <w:t xml:space="preserve">Investointi 2 (C3.I2) – Suunnitelma maatalouden ja karjankasvatuksen kestävyyden ja kilpailukyvyn parantamiseksi (I): Eläin- ja kasvinterveyslaboratorioiden nykyaikaistaminen </w:t>
      </w:r>
    </w:p>
    <w:p w14:paraId="2AB9C24A" w14:textId="77777777" w:rsidR="0065073E" w:rsidRDefault="000A0998">
      <w:pPr>
        <w:pStyle w:val="P68B1DB1-Normal4"/>
        <w:spacing w:before="120" w:after="120" w:line="240" w:lineRule="auto"/>
        <w:jc w:val="both"/>
        <w:rPr>
          <w:rFonts w:cs="Times New Roman"/>
          <w:noProof/>
        </w:rPr>
      </w:pPr>
      <w:r>
        <w:rPr>
          <w:noProof/>
        </w:rPr>
        <w:t>Tällä toimenpiteellä parannetaan maatalous- ja karjankasvatusalan elintarviketurvaa varmistamalla nopeat toimet eläintautien, myös ihmisiin vaikuttavien tautien, sekä kasvintuhoojien taudinpurkausten torjumiseksi rakentamalla laitoksia, joiden bioturvallisuustaso on 3. Toimenpiteellä on erityisesti varmistettava seuraavien laitosten käyttöönotto:</w:t>
      </w:r>
    </w:p>
    <w:p w14:paraId="45F0ABAF" w14:textId="77777777" w:rsidR="0065073E" w:rsidRDefault="000A0998">
      <w:pPr>
        <w:pStyle w:val="P68B1DB1-Normal4"/>
        <w:numPr>
          <w:ilvl w:val="0"/>
          <w:numId w:val="84"/>
        </w:numPr>
        <w:spacing w:before="120" w:after="120" w:line="240" w:lineRule="auto"/>
        <w:ind w:left="357" w:hanging="357"/>
        <w:contextualSpacing/>
        <w:jc w:val="both"/>
        <w:rPr>
          <w:rFonts w:cs="Times New Roman"/>
          <w:noProof/>
        </w:rPr>
      </w:pPr>
      <w:r>
        <w:rPr>
          <w:noProof/>
        </w:rPr>
        <w:t>tason 3 biologinen turvallisuuslaboratorio (LSCA-Santa Fe);</w:t>
      </w:r>
    </w:p>
    <w:p w14:paraId="7A8D5F63" w14:textId="77777777" w:rsidR="0065073E" w:rsidRDefault="000A0998">
      <w:pPr>
        <w:pStyle w:val="P68B1DB1-Normal4"/>
        <w:numPr>
          <w:ilvl w:val="0"/>
          <w:numId w:val="84"/>
        </w:numPr>
        <w:spacing w:before="120" w:after="120" w:line="240" w:lineRule="auto"/>
        <w:ind w:left="357" w:hanging="357"/>
        <w:contextualSpacing/>
        <w:jc w:val="both"/>
        <w:rPr>
          <w:rFonts w:cs="Times New Roman"/>
          <w:noProof/>
        </w:rPr>
      </w:pPr>
      <w:r>
        <w:rPr>
          <w:noProof/>
        </w:rPr>
        <w:t>tason 3 biologinen eläinten turvallisuutta koskeva laitos (LCV-Algete); ja</w:t>
      </w:r>
    </w:p>
    <w:p w14:paraId="6D5D30E8" w14:textId="77777777" w:rsidR="0065073E" w:rsidRDefault="000A0998">
      <w:pPr>
        <w:pStyle w:val="P68B1DB1-Normal4"/>
        <w:numPr>
          <w:ilvl w:val="0"/>
          <w:numId w:val="84"/>
        </w:numPr>
        <w:spacing w:before="120" w:after="120" w:line="240" w:lineRule="auto"/>
        <w:jc w:val="both"/>
        <w:rPr>
          <w:rFonts w:cs="Times New Roman"/>
          <w:noProof/>
        </w:rPr>
      </w:pPr>
      <w:r>
        <w:rPr>
          <w:noProof/>
        </w:rPr>
        <w:t>kansallinen kasvinterveyslaboratorio Lugossa.</w:t>
      </w:r>
    </w:p>
    <w:p w14:paraId="59041FD8" w14:textId="0A984E81" w:rsidR="0065073E" w:rsidRDefault="000A0998">
      <w:pPr>
        <w:pStyle w:val="P68B1DB1-Normal4"/>
        <w:spacing w:before="120" w:after="120" w:line="240" w:lineRule="auto"/>
        <w:jc w:val="both"/>
        <w:rPr>
          <w:rFonts w:cs="Times New Roman"/>
          <w:noProof/>
          <w:u w:val="single"/>
        </w:rPr>
      </w:pPr>
      <w:r>
        <w:rPr>
          <w:noProof/>
        </w:rPr>
        <w:t>Investoinnin toteutus saatetaan päätökseen viimeistään 30. kesäkuuta 2026.</w:t>
      </w:r>
    </w:p>
    <w:p w14:paraId="7503F97D" w14:textId="77777777" w:rsidR="0065073E" w:rsidRDefault="000A0998">
      <w:pPr>
        <w:pStyle w:val="P68B1DB1-Normal5"/>
        <w:spacing w:before="120" w:after="120" w:line="240" w:lineRule="auto"/>
        <w:jc w:val="both"/>
        <w:rPr>
          <w:rFonts w:cs="Times New Roman"/>
          <w:noProof/>
        </w:rPr>
      </w:pPr>
      <w:r>
        <w:rPr>
          <w:noProof/>
        </w:rPr>
        <w:t xml:space="preserve">Investointi 3 (C3.I3) – Suunnitelma maatalouden ja karjankasvatuksen kestävyyden ja kilpailukyvyn parantamiseksi (II): Valmiuksien ja bioturvaamisjärjestelmien vahvistaminen taimitarhoissa, puhdistus- ja desinfiointikeskuksissa </w:t>
      </w:r>
    </w:p>
    <w:p w14:paraId="14BC482A" w14:textId="77777777" w:rsidR="0065073E" w:rsidRDefault="000A0998">
      <w:pPr>
        <w:pStyle w:val="P68B1DB1-Normal4"/>
        <w:spacing w:before="120" w:after="120" w:line="240" w:lineRule="auto"/>
        <w:jc w:val="both"/>
        <w:rPr>
          <w:rFonts w:cs="Times New Roman"/>
          <w:noProof/>
        </w:rPr>
      </w:pPr>
      <w:r>
        <w:rPr>
          <w:noProof/>
        </w:rPr>
        <w:t xml:space="preserve">Tällä toimenpiteellä vahvistetaan sellaisten eläintautien ja kasvintuhoojien ehkäisyä ja suojelua, joiden esiintyvyys on lisääntynyt ilmastonmuutoksen vuoksi, parantamalla valmiuksien kehittämistä ja bioturvallisuusjärjestelmiä taimitarhoissa sekä puhdistus- ja desinfiointikeskuksissa. Sillä vahvistetaan bioturvallisuusjärjestelmiä kasvien lisäysaineistoa tuottavissa laitoksissa, joilla on tärkeä rooli kasvintuhoojista vapaan aineiston hankkimisessa ja kasvinsuojeluaineiden käytön vähentämisessä. </w:t>
      </w:r>
    </w:p>
    <w:p w14:paraId="09913FC4" w14:textId="77777777" w:rsidR="0065073E" w:rsidRDefault="000A0998">
      <w:pPr>
        <w:pStyle w:val="P68B1DB1-Normal4"/>
        <w:spacing w:before="120" w:after="120" w:line="240" w:lineRule="auto"/>
        <w:jc w:val="both"/>
        <w:rPr>
          <w:rFonts w:cs="Times New Roman"/>
          <w:noProof/>
        </w:rPr>
      </w:pPr>
      <w:r>
        <w:rPr>
          <w:noProof/>
        </w:rPr>
        <w:t xml:space="preserve">Tuki myönnetään kasvien lisäysaineistoa tuottaville maatiloille ja elävien eläinten kuljetusvälineiden puhdistus- ja desinfiointikeskuksille kohdennettuna investointitukena. Avustuksia on tarkoitus myöntää erityisesti automaation, robotisaation ja uusien puhdistus- ja desinfiointijärjestelmien, kuten lämpödesinfioinnin, asentamiseen. </w:t>
      </w:r>
    </w:p>
    <w:p w14:paraId="7804C26F" w14:textId="77777777" w:rsidR="0065073E" w:rsidRDefault="000A0998">
      <w:pPr>
        <w:pStyle w:val="P68B1DB1-Normal4"/>
        <w:spacing w:before="120" w:after="120" w:line="240" w:lineRule="auto"/>
        <w:jc w:val="both"/>
        <w:rPr>
          <w:rFonts w:cs="Times New Roman"/>
          <w:noProof/>
        </w:rPr>
      </w:pPr>
      <w:r>
        <w:rPr>
          <w:noProof/>
        </w:rPr>
        <w:t>Toimenpiteeseen sisältyy vähintään 465 puhdistus- ja desinfiointikeskuksen vahvistaminen sekä kasvien lisäysaineistoa tuottavien keskusten vahvistaminen lisäämällä koulutusta ja bioturvallisuusjärjestelmiä.</w:t>
      </w:r>
    </w:p>
    <w:p w14:paraId="5590D1C9" w14:textId="7291F610" w:rsidR="0065073E" w:rsidRDefault="000A0998">
      <w:pPr>
        <w:pStyle w:val="P68B1DB1-Normal4"/>
        <w:spacing w:before="120" w:after="120" w:line="240" w:lineRule="auto"/>
        <w:jc w:val="both"/>
        <w:rPr>
          <w:rFonts w:cs="Times New Roman"/>
          <w:noProof/>
        </w:rPr>
      </w:pPr>
      <w:r>
        <w:rPr>
          <w:noProof/>
        </w:rPr>
        <w:t>Investoinnin toteutus on saatettava päätökseen 30 päivään syyskuuta 2024 mennessä.</w:t>
      </w:r>
    </w:p>
    <w:p w14:paraId="4D9D5B08" w14:textId="77777777" w:rsidR="0065073E" w:rsidRDefault="000A0998">
      <w:pPr>
        <w:pStyle w:val="P68B1DB1-Normal5"/>
        <w:spacing w:before="120" w:after="120" w:line="240" w:lineRule="auto"/>
        <w:jc w:val="both"/>
        <w:rPr>
          <w:rFonts w:cs="Times New Roman"/>
          <w:noProof/>
        </w:rPr>
      </w:pPr>
      <w:r>
        <w:rPr>
          <w:noProof/>
        </w:rPr>
        <w:t xml:space="preserve">Investointi 4 (C3.I4) – Suunnitelma maatalouden ja karjankasvatuksen kestävyyden ja kilpailukyvyn parantamiseksi (III): Täsmäviljelyyn, energiatehokkuuteen ja kiertotalouteen tehtävät investoinnit maatalous- ja karjankasvatusalalla </w:t>
      </w:r>
    </w:p>
    <w:p w14:paraId="75E59DDF" w14:textId="77777777" w:rsidR="0065073E" w:rsidRDefault="000A0998">
      <w:pPr>
        <w:pStyle w:val="P68B1DB1-Normal4"/>
        <w:spacing w:before="120" w:after="120" w:line="240" w:lineRule="auto"/>
        <w:jc w:val="both"/>
        <w:rPr>
          <w:rFonts w:cs="Times New Roman"/>
          <w:noProof/>
        </w:rPr>
      </w:pPr>
      <w:r>
        <w:rPr>
          <w:noProof/>
        </w:rPr>
        <w:t xml:space="preserve">Tällä toimenpiteellä edistetään maatalous- ja karjankasvatusalan kestävyyttä ja kilpailukykyä investoimalla seuraaviin: I) täsmäviljely; II) energiatehokkuus; III) kiertotalous; ja iv) uusiutuvan energian käyttöä. </w:t>
      </w:r>
    </w:p>
    <w:p w14:paraId="182A33E1" w14:textId="77777777" w:rsidR="0065073E" w:rsidRDefault="000A0998">
      <w:pPr>
        <w:pStyle w:val="P68B1DB1-Normal4"/>
        <w:spacing w:before="120" w:after="120" w:line="240" w:lineRule="auto"/>
        <w:jc w:val="both"/>
        <w:rPr>
          <w:rFonts w:cs="Times New Roman"/>
          <w:noProof/>
        </w:rPr>
      </w:pPr>
      <w:r>
        <w:rPr>
          <w:noProof/>
        </w:rPr>
        <w:t xml:space="preserve">Investoinnit liittyvät erityisesti seuraaviin: </w:t>
      </w:r>
    </w:p>
    <w:p w14:paraId="0B534188" w14:textId="77777777" w:rsidR="0065073E" w:rsidRDefault="000A0998">
      <w:pPr>
        <w:pStyle w:val="P68B1DB1-Normal4"/>
        <w:numPr>
          <w:ilvl w:val="0"/>
          <w:numId w:val="85"/>
        </w:numPr>
        <w:spacing w:before="120" w:after="120" w:line="240" w:lineRule="auto"/>
        <w:ind w:left="357" w:hanging="357"/>
        <w:contextualSpacing/>
        <w:jc w:val="both"/>
        <w:rPr>
          <w:rFonts w:cs="Times New Roman"/>
          <w:noProof/>
        </w:rPr>
      </w:pPr>
      <w:r>
        <w:rPr>
          <w:noProof/>
        </w:rPr>
        <w:t xml:space="preserve">Otetaan käyttöön uusia järjestelmiä, joilla hallitaan maatalousjätettä sekä karjan jätevesiä ja niiden sivutuotteita, mukaan lukien rakenneuudistukset; </w:t>
      </w:r>
    </w:p>
    <w:p w14:paraId="6A0A438D" w14:textId="77777777" w:rsidR="0065073E" w:rsidRDefault="000A0998">
      <w:pPr>
        <w:pStyle w:val="P68B1DB1-Normal4"/>
        <w:numPr>
          <w:ilvl w:val="0"/>
          <w:numId w:val="85"/>
        </w:numPr>
        <w:spacing w:before="120" w:after="120" w:line="240" w:lineRule="auto"/>
        <w:ind w:left="357" w:hanging="357"/>
        <w:contextualSpacing/>
        <w:jc w:val="both"/>
        <w:rPr>
          <w:rFonts w:cs="Times New Roman"/>
          <w:noProof/>
        </w:rPr>
      </w:pPr>
      <w:r>
        <w:rPr>
          <w:noProof/>
        </w:rPr>
        <w:t xml:space="preserve">kasvihuoneiden, niiden laitosten ja laitteiden nykyaikaistaminen; </w:t>
      </w:r>
    </w:p>
    <w:p w14:paraId="0E4AA40F" w14:textId="77777777" w:rsidR="0065073E" w:rsidRDefault="000A0998">
      <w:pPr>
        <w:pStyle w:val="P68B1DB1-Normal4"/>
        <w:numPr>
          <w:ilvl w:val="0"/>
          <w:numId w:val="85"/>
        </w:numPr>
        <w:spacing w:before="120" w:after="120" w:line="240" w:lineRule="auto"/>
        <w:ind w:left="357" w:hanging="357"/>
        <w:contextualSpacing/>
        <w:jc w:val="both"/>
        <w:rPr>
          <w:rFonts w:cs="Times New Roman"/>
          <w:noProof/>
        </w:rPr>
      </w:pPr>
      <w:r>
        <w:rPr>
          <w:noProof/>
        </w:rPr>
        <w:t>edistetään biokaasujen ja uusiutuvien energialähteiden käyttöä; ja</w:t>
      </w:r>
    </w:p>
    <w:p w14:paraId="5A639482" w14:textId="77777777" w:rsidR="0065073E" w:rsidRDefault="000A0998">
      <w:pPr>
        <w:pStyle w:val="P68B1DB1-Normal4"/>
        <w:numPr>
          <w:ilvl w:val="0"/>
          <w:numId w:val="85"/>
        </w:numPr>
        <w:spacing w:before="120" w:after="120" w:line="240" w:lineRule="auto"/>
        <w:jc w:val="both"/>
        <w:rPr>
          <w:rFonts w:cs="Times New Roman"/>
          <w:noProof/>
        </w:rPr>
      </w:pPr>
      <w:r>
        <w:rPr>
          <w:noProof/>
        </w:rPr>
        <w:t>reaaliaikaisten tietojen kerääminen antureilla, jotka mahdollistavat täsmäviljelyn ja -teknologian käytön maatiloilla, mukaan lukien satelliittinavigointijärjestelmien (GNSS) käyttöönotto ja maantieteellinen paikannus karjankasvatuksessa.</w:t>
      </w:r>
    </w:p>
    <w:p w14:paraId="7D8DD025" w14:textId="77777777" w:rsidR="0065073E" w:rsidRDefault="000A0998">
      <w:pPr>
        <w:pStyle w:val="P68B1DB1-Normal4"/>
        <w:spacing w:before="120" w:after="120" w:line="240" w:lineRule="auto"/>
        <w:jc w:val="both"/>
        <w:rPr>
          <w:rFonts w:cs="Times New Roman"/>
          <w:noProof/>
        </w:rPr>
      </w:pPr>
      <w:r>
        <w:rPr>
          <w:noProof/>
        </w:rPr>
        <w:t>Toimenpide on toteutettava erillisinä tai yhteisinä sijoituksina maatiloihin tai maatalousalan palveluyrityksiin. Vähintään 5000 maatilan on täytynyt saada päätökseen täsmäviljelyä, energiatehokkuutta, kiertotaloutta ja uusiutuvan energian käyttöä koskevat hankkeet.</w:t>
      </w:r>
    </w:p>
    <w:p w14:paraId="5E653E8F" w14:textId="77777777" w:rsidR="0065073E" w:rsidRDefault="000A0998">
      <w:pPr>
        <w:pStyle w:val="P68B1DB1-Normal4"/>
        <w:spacing w:before="120" w:after="120" w:line="240" w:lineRule="auto"/>
        <w:jc w:val="both"/>
        <w:rPr>
          <w:rFonts w:cs="Times New Roman"/>
          <w:noProof/>
          <w:u w:val="single"/>
        </w:rPr>
      </w:pPr>
      <w:r>
        <w:rPr>
          <w:noProof/>
        </w:rPr>
        <w:t>Investoinnin toteutus saatetaan päätökseen viimeistään 30. kesäkuuta 2026.</w:t>
      </w:r>
    </w:p>
    <w:p w14:paraId="5787123F" w14:textId="77777777" w:rsidR="0065073E" w:rsidRDefault="000A0998">
      <w:pPr>
        <w:pStyle w:val="P68B1DB1-Normal5"/>
        <w:spacing w:before="120" w:after="120" w:line="240" w:lineRule="auto"/>
        <w:jc w:val="both"/>
        <w:rPr>
          <w:rFonts w:cs="Times New Roman"/>
          <w:noProof/>
        </w:rPr>
      </w:pPr>
      <w:r>
        <w:rPr>
          <w:noProof/>
        </w:rPr>
        <w:t xml:space="preserve">Investointi 5 (C3.I5) – Maatalous- ja metsätalousalan ja maaseutuympäristön digitalisointistrategia: maatalouselintarvike- ja metsätalousalan sekä maaseutuympäristön digitalisaatiota ja yrittäjyyttä tukevien toimien kehittäminen </w:t>
      </w:r>
    </w:p>
    <w:p w14:paraId="21E6740E" w14:textId="77777777" w:rsidR="0065073E" w:rsidRDefault="000A0998">
      <w:pPr>
        <w:pStyle w:val="P68B1DB1-Normal4"/>
        <w:spacing w:before="120" w:after="120" w:line="240" w:lineRule="auto"/>
        <w:jc w:val="both"/>
        <w:rPr>
          <w:rFonts w:cs="Times New Roman"/>
          <w:noProof/>
        </w:rPr>
      </w:pPr>
      <w:r>
        <w:rPr>
          <w:noProof/>
        </w:rPr>
        <w:t>Tässä toimenpiteessä on esitettävä toimet, jotka sisältyvät Espanjan hallituksen maaliskuussa 2019 hyväksymään maatalouselintarvike-, metsätalous- ja maaseutualojen digitalisointistrategiaan ja sen toiseen toimintasuunnitelmaan 2021–2023. Toimiin on sisällyttävä:</w:t>
      </w:r>
    </w:p>
    <w:p w14:paraId="288244F9" w14:textId="77777777" w:rsidR="0065073E" w:rsidRDefault="000A0998">
      <w:pPr>
        <w:pStyle w:val="P68B1DB1-Normal4"/>
        <w:numPr>
          <w:ilvl w:val="0"/>
          <w:numId w:val="77"/>
        </w:numPr>
        <w:spacing w:before="120" w:after="120" w:line="240" w:lineRule="auto"/>
        <w:ind w:left="425" w:hanging="425"/>
        <w:contextualSpacing/>
        <w:jc w:val="both"/>
        <w:rPr>
          <w:rFonts w:cs="Times New Roman"/>
          <w:noProof/>
        </w:rPr>
      </w:pPr>
      <w:r>
        <w:rPr>
          <w:noProof/>
        </w:rPr>
        <w:t>Erityinen rahoitustuki maatalouselintarvikealan pk-yrityksille, jotta voidaan kannustaa innovatiivisia ja digitaalisia liiketoimintahankkeita tarjoamalla osallistavia lainoja;</w:t>
      </w:r>
    </w:p>
    <w:p w14:paraId="50C1BDF4" w14:textId="77777777" w:rsidR="0065073E" w:rsidRDefault="000A0998">
      <w:pPr>
        <w:pStyle w:val="P68B1DB1-Normal4"/>
        <w:numPr>
          <w:ilvl w:val="0"/>
          <w:numId w:val="77"/>
        </w:numPr>
        <w:spacing w:before="120" w:after="120" w:line="240" w:lineRule="auto"/>
        <w:ind w:left="425" w:hanging="425"/>
        <w:contextualSpacing/>
        <w:jc w:val="both"/>
        <w:rPr>
          <w:rFonts w:cs="Times New Roman"/>
          <w:noProof/>
        </w:rPr>
      </w:pPr>
      <w:r>
        <w:rPr>
          <w:noProof/>
        </w:rPr>
        <w:t>maatalouselintarvikealan yrityksille tarkoitettu digitaali-innovointikeskittymä, joka toteutetaan sisäisellä sopimuksella ja julkisilla hankinnoilla kilpailuttamalla;</w:t>
      </w:r>
    </w:p>
    <w:p w14:paraId="447F264E" w14:textId="77777777" w:rsidR="0065073E" w:rsidRDefault="000A0998">
      <w:pPr>
        <w:pStyle w:val="P68B1DB1-Normal4"/>
        <w:numPr>
          <w:ilvl w:val="0"/>
          <w:numId w:val="77"/>
        </w:numPr>
        <w:spacing w:before="120" w:after="120" w:line="240" w:lineRule="auto"/>
        <w:ind w:left="425" w:hanging="425"/>
        <w:contextualSpacing/>
        <w:jc w:val="both"/>
        <w:rPr>
          <w:rFonts w:cs="Times New Roman"/>
          <w:noProof/>
        </w:rPr>
      </w:pPr>
      <w:r>
        <w:rPr>
          <w:noProof/>
        </w:rPr>
        <w:t>maatalouselintarvikealan digitalisaation seurantakeskus MAPA:n ja yhteistyöelimen välisellä kumppanuussopimuksella; ja</w:t>
      </w:r>
    </w:p>
    <w:p w14:paraId="61C3C163" w14:textId="77777777" w:rsidR="0065073E" w:rsidRDefault="000A0998">
      <w:pPr>
        <w:pStyle w:val="P68B1DB1-Normal4"/>
        <w:numPr>
          <w:ilvl w:val="0"/>
          <w:numId w:val="77"/>
        </w:numPr>
        <w:spacing w:before="120" w:after="120" w:line="240" w:lineRule="auto"/>
        <w:ind w:left="426" w:hanging="426"/>
        <w:jc w:val="both"/>
        <w:rPr>
          <w:rFonts w:cs="Times New Roman"/>
          <w:noProof/>
        </w:rPr>
      </w:pPr>
      <w:r>
        <w:rPr>
          <w:noProof/>
        </w:rPr>
        <w:t>maatalouden tieto- ja tietojärjestelmän (AKIS) neuvonantajien foorumi, joka toimii välineenä, jolla edistetään tietämyksen ja tiedon siirtoa AKIS-toimijoiden välillä ja joka toteutetaan sisäisen sopimuksen ja julkisten hankintojen avulla kilpailuttamalla.</w:t>
      </w:r>
    </w:p>
    <w:p w14:paraId="32BC8D05" w14:textId="77777777" w:rsidR="0065073E" w:rsidRDefault="000A0998">
      <w:pPr>
        <w:pStyle w:val="P68B1DB1-Normal4"/>
        <w:spacing w:before="120" w:after="120" w:line="240" w:lineRule="auto"/>
        <w:jc w:val="both"/>
        <w:rPr>
          <w:rFonts w:cs="Times New Roman"/>
          <w:noProof/>
        </w:rPr>
      </w:pPr>
      <w:r>
        <w:rPr>
          <w:noProof/>
        </w:rPr>
        <w:t xml:space="preserve">Toimenpiteen osana vähintään 60 maatalouselintarvikealan pk-yrityksen on toteutettava innovatiivisia ja digitaalisia liiketoimintahankkeita, joiden on oltava ”ei merkittävää haittaa” -periaatteen mukaisia (2021/C58/01) ja jotka rahoitetaan osallistavilla lainoilla vuoden 2023 loppuun mennessä. </w:t>
      </w:r>
    </w:p>
    <w:p w14:paraId="6B1ACAB3" w14:textId="77777777" w:rsidR="0065073E" w:rsidRDefault="000A0998">
      <w:pPr>
        <w:pStyle w:val="P68B1DB1-Text118"/>
        <w:ind w:left="0"/>
        <w:rPr>
          <w:rFonts w:cs="Times New Roman"/>
          <w:noProof/>
        </w:rPr>
      </w:pPr>
      <w:r>
        <w:rPr>
          <w:noProof/>
        </w:rPr>
        <w:t xml:space="preserve">Sen varmistamiseksi, että toimenpide on ”ei merkittävää haittaa” -periaatteen mukaisten teknisten ohjeiden (2021/C58/01), maatalous-, kalastus- ja elintarvikeministeriön ja </w:t>
      </w:r>
      <w:r>
        <w:rPr>
          <w:i/>
          <w:noProof/>
        </w:rPr>
        <w:t>Empresa Nacional de Innovaciónin (</w:t>
      </w:r>
      <w:r>
        <w:rPr>
          <w:noProof/>
        </w:rPr>
        <w:t xml:space="preserve"> ENISA) välisen oikeudellisen sopimuksen ja rahoitusvälineen myöhemmän investointipolitiikan mukainen </w:t>
      </w:r>
    </w:p>
    <w:p w14:paraId="66580EAC" w14:textId="77777777" w:rsidR="0065073E" w:rsidRDefault="000A0998">
      <w:pPr>
        <w:pStyle w:val="P68B1DB1-Text118"/>
        <w:numPr>
          <w:ilvl w:val="0"/>
          <w:numId w:val="195"/>
        </w:numPr>
        <w:ind w:left="714" w:hanging="357"/>
        <w:contextualSpacing/>
        <w:rPr>
          <w:rFonts w:cs="Times New Roman"/>
          <w:noProof/>
        </w:rPr>
      </w:pPr>
      <w:r>
        <w:rPr>
          <w:noProof/>
        </w:rPr>
        <w:t>vaatia InvestEU-rahaston kestävyysarviointia koskevien komission teknisten ohjeiden soveltamista; ja</w:t>
      </w:r>
    </w:p>
    <w:p w14:paraId="393CB774" w14:textId="77777777" w:rsidR="0065073E" w:rsidRDefault="000A0998">
      <w:pPr>
        <w:pStyle w:val="Text1"/>
        <w:numPr>
          <w:ilvl w:val="0"/>
          <w:numId w:val="195"/>
        </w:numPr>
        <w:ind w:left="714" w:hanging="357"/>
        <w:contextualSpacing/>
        <w:rPr>
          <w:rFonts w:ascii="Times New Roman" w:hAnsi="Times New Roman" w:cs="Times New Roman"/>
          <w:noProof/>
        </w:rPr>
      </w:pPr>
      <w:r>
        <w:rPr>
          <w:rFonts w:ascii="Times New Roman" w:hAnsi="Times New Roman"/>
          <w:noProof/>
        </w:rPr>
        <w:t>sulkea seuraava luettelo toiminnoista ja omaisuuseristä tukikelpoisuuden ulkopuolelle: I) fossiilisiin polttoaineisiin liittyvät toiminnot ja omaisuuserät, mukaan lukien loppupään käyttö</w:t>
      </w:r>
      <w:r>
        <w:rPr>
          <w:rStyle w:val="FootnoteReference"/>
          <w:rFonts w:ascii="Times New Roman" w:hAnsi="Times New Roman" w:cs="Times New Roman"/>
          <w:noProof/>
        </w:rPr>
        <w:footnoteReference w:id="11"/>
      </w:r>
      <w:r>
        <w:rPr>
          <w:rFonts w:ascii="Times New Roman" w:hAnsi="Times New Roman"/>
          <w:noProof/>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rPr>
        <w:footnoteReference w:id="12"/>
      </w:r>
      <w:r>
        <w:rPr>
          <w:rFonts w:ascii="Times New Roman" w:hAnsi="Times New Roman"/>
          <w:noProof/>
        </w:rPr>
        <w:t>; III) jätteen kaatopaikkoihin, polttolaitoksiin ja mekaanisiin biologisiin käsittelylaitoksiin liittyvä toiminta</w:t>
      </w:r>
      <w:r>
        <w:rPr>
          <w:rStyle w:val="FootnoteReference"/>
          <w:rFonts w:ascii="Times New Roman" w:hAnsi="Times New Roman" w:cs="Times New Roman"/>
          <w:noProof/>
        </w:rPr>
        <w:footnoteReference w:id="13"/>
      </w:r>
      <w:r>
        <w:rPr>
          <w:rFonts w:ascii="Times New Roman" w:hAnsi="Times New Roman"/>
          <w:noProof/>
        </w:rPr>
        <w:t xml:space="preserve"> ja omaisuus</w:t>
      </w:r>
      <w:r>
        <w:rPr>
          <w:rStyle w:val="FootnoteReference"/>
          <w:rFonts w:ascii="Times New Roman" w:hAnsi="Times New Roman" w:cs="Times New Roman"/>
          <w:noProof/>
        </w:rPr>
        <w:footnoteReference w:id="14"/>
      </w:r>
      <w:r>
        <w:rPr>
          <w:rFonts w:ascii="Times New Roman" w:hAnsi="Times New Roman"/>
          <w:noProof/>
        </w:rPr>
        <w:t xml:space="preserve">; ja iv) toiminnot ja omaisuus, joissa jätteiden pitkän aikavälin loppukäsittely voi aiheuttaa haittaa ympäristölle; </w:t>
      </w:r>
    </w:p>
    <w:p w14:paraId="5C96C0E7" w14:textId="77777777" w:rsidR="0065073E" w:rsidRDefault="000A0998">
      <w:pPr>
        <w:pStyle w:val="P68B1DB1-Text118"/>
        <w:numPr>
          <w:ilvl w:val="0"/>
          <w:numId w:val="195"/>
        </w:numPr>
        <w:rPr>
          <w:rFonts w:cs="Times New Roman"/>
          <w:noProof/>
        </w:rPr>
      </w:pPr>
      <w:r>
        <w:rPr>
          <w:noProof/>
        </w:rPr>
        <w:t>edellytetään, että ENISA varmentaa, että hankkeet ovat asiaankuuluvan EU:n ja kansallisen ympäristölainsäädännön mukaisia, kaikkien transaktioiden osalta, myös niiden, jotka on vapautettu kestävyysarvioinnista.</w:t>
      </w:r>
    </w:p>
    <w:p w14:paraId="0EAA64EC" w14:textId="77777777" w:rsidR="0065073E" w:rsidRDefault="000A0998">
      <w:pPr>
        <w:pStyle w:val="P68B1DB1-Normal4"/>
        <w:spacing w:before="120" w:after="120" w:line="240" w:lineRule="auto"/>
        <w:jc w:val="both"/>
        <w:rPr>
          <w:rFonts w:cs="Times New Roman"/>
          <w:noProof/>
        </w:rPr>
      </w:pPr>
      <w:r>
        <w:rPr>
          <w:noProof/>
        </w:rPr>
        <w:t xml:space="preserve">Mitään hiilidioksidin talteenottoon ja varastointiin liittyviä toimia ei tueta. </w:t>
      </w:r>
    </w:p>
    <w:p w14:paraId="07BE4ACA"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5DB45D12" w14:textId="77777777" w:rsidR="0065073E" w:rsidRDefault="000A0998">
      <w:pPr>
        <w:pStyle w:val="P68B1DB1-Normal5"/>
        <w:spacing w:before="120" w:after="120" w:line="240" w:lineRule="auto"/>
        <w:jc w:val="both"/>
        <w:rPr>
          <w:rFonts w:cs="Times New Roman"/>
          <w:noProof/>
        </w:rPr>
      </w:pPr>
      <w:r>
        <w:rPr>
          <w:noProof/>
        </w:rPr>
        <w:t xml:space="preserve">Investointi 6 (C3.I6) – Suunnitelma kalastusalan kestävyyden, tutkimuksen, innovoinnin ja digitalisaation edistämiseksi (I): Kalastuksen kannalta merkittävien merialueiden verkoston nykyaikaistaminen </w:t>
      </w:r>
    </w:p>
    <w:p w14:paraId="5BE7D24B" w14:textId="77777777" w:rsidR="0065073E" w:rsidRDefault="000A0998">
      <w:pPr>
        <w:pStyle w:val="P68B1DB1-Normal4"/>
        <w:spacing w:before="120" w:after="120" w:line="240" w:lineRule="auto"/>
        <w:jc w:val="both"/>
        <w:rPr>
          <w:rFonts w:cs="Times New Roman"/>
          <w:noProof/>
        </w:rPr>
      </w:pPr>
      <w:r>
        <w:rPr>
          <w:noProof/>
        </w:rPr>
        <w:t>Tämän toimenpiteen tavoitteena on nykyaikaistaa kalastukselle tärkeiden merialueiden verkostoa seuraavin toimin:</w:t>
      </w:r>
    </w:p>
    <w:p w14:paraId="65B6E506" w14:textId="77777777" w:rsidR="0065073E" w:rsidRDefault="000A0998">
      <w:pPr>
        <w:pStyle w:val="P68B1DB1-Normal4"/>
        <w:numPr>
          <w:ilvl w:val="0"/>
          <w:numId w:val="78"/>
        </w:numPr>
        <w:spacing w:before="120" w:after="120" w:line="240" w:lineRule="auto"/>
        <w:ind w:left="425" w:hanging="425"/>
        <w:contextualSpacing/>
        <w:jc w:val="both"/>
        <w:rPr>
          <w:rFonts w:cs="Times New Roman"/>
          <w:noProof/>
        </w:rPr>
      </w:pPr>
      <w:r>
        <w:rPr>
          <w:noProof/>
        </w:rPr>
        <w:t>Kahden erityiskäyttöön tarkoitetun tukialuksen hankinta varastojen toiminnan valvonnan ja tarkkailun varmistamiseksi;</w:t>
      </w:r>
    </w:p>
    <w:p w14:paraId="6010D33B" w14:textId="7719209E" w:rsidR="0065073E" w:rsidRDefault="000A0998">
      <w:pPr>
        <w:pStyle w:val="P68B1DB1-Normal4"/>
        <w:numPr>
          <w:ilvl w:val="0"/>
          <w:numId w:val="78"/>
        </w:numPr>
        <w:spacing w:before="120" w:after="120" w:line="240" w:lineRule="auto"/>
        <w:ind w:left="425" w:hanging="425"/>
        <w:contextualSpacing/>
        <w:jc w:val="both"/>
        <w:rPr>
          <w:rFonts w:cs="Times New Roman"/>
          <w:noProof/>
        </w:rPr>
      </w:pPr>
      <w:r>
        <w:rPr>
          <w:noProof/>
        </w:rPr>
        <w:t>tieto- ja viestintätekniikan käyttöönotto reservien valvonnan ja seurannan mahdollistamiseksi hankkimalla vähintään miehittämättömiä ilma-aluksia, joilla on riittävät valtuudet valvonta- ja seurantatoimien mahdollistamiseksi ja olemassa olevien keinojen optimoimiseksi;</w:t>
      </w:r>
    </w:p>
    <w:p w14:paraId="23F7DD70" w14:textId="77777777" w:rsidR="0065073E" w:rsidRDefault="000A0998">
      <w:pPr>
        <w:pStyle w:val="P68B1DB1-Normal4"/>
        <w:numPr>
          <w:ilvl w:val="0"/>
          <w:numId w:val="78"/>
        </w:numPr>
        <w:spacing w:before="120" w:after="120" w:line="240" w:lineRule="auto"/>
        <w:ind w:left="425" w:hanging="425"/>
        <w:contextualSpacing/>
        <w:jc w:val="both"/>
        <w:rPr>
          <w:rFonts w:cs="Times New Roman"/>
          <w:noProof/>
        </w:rPr>
      </w:pPr>
      <w:r>
        <w:rPr>
          <w:noProof/>
        </w:rPr>
        <w:t>reserviverkoston laajentaminen perustamalla uusi merialue; ja</w:t>
      </w:r>
    </w:p>
    <w:p w14:paraId="3BD0D107" w14:textId="40331327" w:rsidR="0065073E" w:rsidRDefault="000A0998">
      <w:pPr>
        <w:pStyle w:val="P68B1DB1-Normal4"/>
        <w:numPr>
          <w:ilvl w:val="0"/>
          <w:numId w:val="78"/>
        </w:numPr>
        <w:spacing w:before="120" w:after="120" w:line="240" w:lineRule="auto"/>
        <w:ind w:left="426" w:hanging="426"/>
        <w:jc w:val="both"/>
        <w:rPr>
          <w:rFonts w:cs="Times New Roman"/>
          <w:noProof/>
        </w:rPr>
      </w:pPr>
      <w:r>
        <w:rPr>
          <w:noProof/>
        </w:rPr>
        <w:t xml:space="preserve">nykyisen merialueen </w:t>
      </w:r>
      <w:r>
        <w:rPr>
          <w:i/>
          <w:noProof/>
        </w:rPr>
        <w:t>Isla de Alboránin ja</w:t>
      </w:r>
      <w:r>
        <w:rPr>
          <w:noProof/>
        </w:rPr>
        <w:t xml:space="preserve"> sen ympäristön päivittäminen, jotta voidaan helpottaa sen saatavuutta, parantaa sen energiatehokkuutta ja varustaa se asianmukaisilla välineillä (tutkaradioyhteys niemimaalle) varannon seuraamiseksi ja valvomiseksi. </w:t>
      </w:r>
    </w:p>
    <w:p w14:paraId="04349FDD" w14:textId="77777777" w:rsidR="0065073E" w:rsidRDefault="000A0998">
      <w:pPr>
        <w:pStyle w:val="P68B1DB1-Normal4"/>
        <w:spacing w:before="120" w:after="120" w:line="240" w:lineRule="auto"/>
        <w:jc w:val="both"/>
        <w:rPr>
          <w:rFonts w:cs="Times New Roman"/>
          <w:noProof/>
        </w:rPr>
      </w:pPr>
      <w:r>
        <w:rPr>
          <w:noProof/>
        </w:rPr>
        <w:t xml:space="preserve">Kahden erityistukialuksen hankinta ja valvonnan ja seurannan mahdollistavan tieto- ja viestintätekniikan käyttöönotto toteutetaan julkisten hankintamenettelyjen avulla. </w:t>
      </w:r>
    </w:p>
    <w:p w14:paraId="121BFA3E" w14:textId="00FD380F" w:rsidR="0065073E" w:rsidRDefault="000A0998">
      <w:pPr>
        <w:pStyle w:val="P68B1DB1-Normal4"/>
        <w:spacing w:before="120" w:after="120" w:line="240" w:lineRule="auto"/>
        <w:jc w:val="both"/>
        <w:rPr>
          <w:rFonts w:cs="Times New Roman"/>
          <w:noProof/>
        </w:rPr>
      </w:pPr>
      <w:r>
        <w:rPr>
          <w:noProof/>
        </w:rPr>
        <w:t xml:space="preserve">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kahden erityiskäyttöön tarkoitetun tukialuksen on oltava parasta saatavilla olevaa tekniikkaa, jonka ympäristövaikutukset ovat alalla vähäisimmät. Merialueiden verkoston laajentamiseen liittyvän investoinnin on koostuttava uuden merialueen perustamista koskevasta tutkimuksesta, joka on tarkoitus toteuttaa sisäisellä sopimuksella. Sama koskee </w:t>
      </w:r>
      <w:r>
        <w:rPr>
          <w:i/>
          <w:noProof/>
        </w:rPr>
        <w:t>Isla de Alboránin varannon</w:t>
      </w:r>
      <w:r>
        <w:rPr>
          <w:noProof/>
        </w:rPr>
        <w:t xml:space="preserve"> ja sen ympäristön päivittämiseksi suunniteltuja töitä, joihin on sisällyttävä tarvittava tutkimus energian rakentamisesta ja optimoinnista.</w:t>
      </w:r>
    </w:p>
    <w:p w14:paraId="531A07C6"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31. joulukuuta 2024.</w:t>
      </w:r>
    </w:p>
    <w:p w14:paraId="7ECF0FEF"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84"/>
          <w:headerReference w:type="default" r:id="rId85"/>
          <w:footerReference w:type="even" r:id="rId86"/>
          <w:footerReference w:type="default" r:id="rId87"/>
          <w:headerReference w:type="first" r:id="rId88"/>
          <w:footerReference w:type="first" r:id="rId89"/>
          <w:pgSz w:w="11907" w:h="16839"/>
          <w:pgMar w:top="1134" w:right="1134" w:bottom="1134" w:left="1134" w:header="567" w:footer="567" w:gutter="0"/>
          <w:cols w:space="720"/>
          <w:docGrid w:linePitch="360"/>
        </w:sectPr>
      </w:pPr>
    </w:p>
    <w:p w14:paraId="07DA216E" w14:textId="77777777" w:rsidR="0065073E" w:rsidRDefault="000A0998">
      <w:pPr>
        <w:pStyle w:val="P68B1DB1-Normal5"/>
        <w:spacing w:before="120" w:after="120" w:line="240" w:lineRule="auto"/>
        <w:jc w:val="both"/>
        <w:rPr>
          <w:rFonts w:cs="Times New Roman"/>
          <w:noProof/>
        </w:rPr>
      </w:pPr>
      <w:r>
        <w:rPr>
          <w:noProof/>
        </w:rPr>
        <w:t>Investointi 7 (C3.I7) – Suunnitelma kalastusalan kestävyyden, tutkimuksen, innovoinnin ja digitalisaation edistämiseksi (II): Kalastus- ja vesiviljelyalan tutkimuksen edistäminen ja koulutuksen tukeminen</w:t>
      </w:r>
    </w:p>
    <w:p w14:paraId="5079C142" w14:textId="77777777" w:rsidR="0065073E" w:rsidRDefault="000A0998">
      <w:pPr>
        <w:pStyle w:val="P68B1DB1-Normal4"/>
        <w:spacing w:before="120" w:after="120" w:line="240" w:lineRule="auto"/>
        <w:jc w:val="both"/>
        <w:rPr>
          <w:rFonts w:cs="Times New Roman"/>
          <w:noProof/>
        </w:rPr>
      </w:pPr>
      <w:r>
        <w:rPr>
          <w:noProof/>
        </w:rPr>
        <w:t>Tällä toimenpiteellä parannetaan kalastuksenhoitoa koskevan päätöksenteon perustana olevan tieteellisen tiedon määrää ja laatua. Toimenpiteeseen kuuluvat: I) vähintään kahden akustisen näytteenottimen hankinta kahden olemassa olevan kalastus- ja oseanografisen tutkimusaluksen varustamiseksi pelagisten lajien eri kantojen tieteellistä arviointia varten saatujen tietojen laadun varmistamiseksi; ja ii) kalastuksen ja vesiviljelyn tutkimuksen edistäminen ekosysteemilähtöisen lähestymistavan varmistamiseksi kalastuksenhoitoa koskevassa päätöksenteossa.</w:t>
      </w:r>
    </w:p>
    <w:p w14:paraId="3FF3E691" w14:textId="77777777" w:rsidR="0065073E" w:rsidRDefault="000A0998">
      <w:pPr>
        <w:pStyle w:val="P68B1DB1-Normal4"/>
        <w:spacing w:before="120" w:after="120" w:line="240" w:lineRule="auto"/>
        <w:jc w:val="both"/>
        <w:rPr>
          <w:rFonts w:cs="Times New Roman"/>
          <w:noProof/>
        </w:rPr>
      </w:pPr>
      <w:r>
        <w:rPr>
          <w:noProof/>
        </w:rPr>
        <w:t>Näiden kahden akustisen näytteenottimen hankinta toteutetaan julkisella hankintamenettelyllä, jossa tarjous tehdään yksinoikeudella. Kalastus- ja vesiviljelyalan tutkimusta edistetään allekirjoittamalla sopimuksia julkisten tutkimuslaitosten kanssa ja osoittamalla tarvittaessa omia varoja alukselle tulevien tarkkailijoiden palvelukseen ottamista tai tarjouskilpailuja varten.</w:t>
      </w:r>
    </w:p>
    <w:p w14:paraId="28C7456C" w14:textId="77777777" w:rsidR="0065073E" w:rsidRDefault="000A0998">
      <w:pPr>
        <w:pStyle w:val="P68B1DB1-Normal4"/>
        <w:spacing w:before="120" w:after="120" w:line="240" w:lineRule="auto"/>
        <w:jc w:val="both"/>
        <w:rPr>
          <w:rFonts w:cs="Times New Roman"/>
          <w:noProof/>
        </w:rPr>
      </w:pPr>
      <w:r>
        <w:rPr>
          <w:noProof/>
        </w:rPr>
        <w:t>Investoinnin toteutus on saatettava päätökseen 30 päivään kesäkuuta 2022 mennessä.</w:t>
      </w:r>
    </w:p>
    <w:p w14:paraId="44C6B4CF" w14:textId="77777777" w:rsidR="0065073E" w:rsidRDefault="000A0998">
      <w:pPr>
        <w:pStyle w:val="P68B1DB1-Normal5"/>
        <w:spacing w:before="120" w:after="120" w:line="240" w:lineRule="auto"/>
        <w:jc w:val="both"/>
        <w:rPr>
          <w:rFonts w:cs="Times New Roman"/>
          <w:noProof/>
        </w:rPr>
      </w:pPr>
      <w:r>
        <w:rPr>
          <w:noProof/>
        </w:rPr>
        <w:t xml:space="preserve">Investointi 8 (C3.I8) – Suunnitelma kalastusalan kestävyyden, tutkimuksen, innovoinnin ja digitalisaation edistämiseksi (III): Tekninen kehitys ja innovointi kalastus- ja vesiviljelyalalla </w:t>
      </w:r>
    </w:p>
    <w:p w14:paraId="10034A14" w14:textId="77777777" w:rsidR="0065073E" w:rsidRDefault="000A0998">
      <w:pPr>
        <w:pStyle w:val="P68B1DB1-Normal4"/>
        <w:spacing w:before="120" w:after="120" w:line="240" w:lineRule="auto"/>
        <w:jc w:val="both"/>
        <w:rPr>
          <w:rFonts w:cs="Times New Roman"/>
          <w:noProof/>
        </w:rPr>
      </w:pPr>
      <w:r>
        <w:rPr>
          <w:noProof/>
        </w:rPr>
        <w:t>Tämän toimenpiteen tavoitteena on luoda ympäristön, talouden ja yhteiskunnan kannalta kestävämpi kalastus- ja vesiviljelyala kahden toimintalinjan avulla:</w:t>
      </w:r>
    </w:p>
    <w:p w14:paraId="3F2F72A7" w14:textId="77777777" w:rsidR="0065073E" w:rsidRDefault="000A0998">
      <w:pPr>
        <w:pStyle w:val="P68B1DB1-Normal4"/>
        <w:numPr>
          <w:ilvl w:val="0"/>
          <w:numId w:val="79"/>
        </w:numPr>
        <w:spacing w:before="120" w:after="120" w:line="240" w:lineRule="auto"/>
        <w:ind w:left="425" w:hanging="425"/>
        <w:contextualSpacing/>
        <w:jc w:val="both"/>
        <w:rPr>
          <w:rFonts w:cs="Times New Roman"/>
          <w:noProof/>
        </w:rPr>
      </w:pPr>
      <w:r>
        <w:rPr>
          <w:noProof/>
        </w:rPr>
        <w:t>Julkisen ja yksityisen sektorin kumppanuuksien luominen sinisen kasvun vauhdittamiseksi alalla sellaisten hankkeiden toteuttamiseksi, jotka toimivat sinisen talouden prosessien katalysaattoreina; ja</w:t>
      </w:r>
    </w:p>
    <w:p w14:paraId="5FDFD627" w14:textId="77777777" w:rsidR="0065073E" w:rsidRDefault="000A0998">
      <w:pPr>
        <w:pStyle w:val="P68B1DB1-Normal4"/>
        <w:numPr>
          <w:ilvl w:val="0"/>
          <w:numId w:val="79"/>
        </w:numPr>
        <w:spacing w:before="120" w:after="120" w:line="240" w:lineRule="auto"/>
        <w:ind w:left="426" w:hanging="426"/>
        <w:jc w:val="both"/>
        <w:rPr>
          <w:rFonts w:cs="Times New Roman"/>
          <w:noProof/>
        </w:rPr>
      </w:pPr>
      <w:r>
        <w:rPr>
          <w:noProof/>
        </w:rPr>
        <w:t xml:space="preserve">alan teknologisen kehityksen ja innovoinnin tukeminen. </w:t>
      </w:r>
    </w:p>
    <w:p w14:paraId="5A889EEB" w14:textId="77777777" w:rsidR="0065073E" w:rsidRDefault="000A0998">
      <w:pPr>
        <w:pStyle w:val="P68B1DB1-Normal4"/>
        <w:spacing w:before="120" w:after="120" w:line="240" w:lineRule="auto"/>
        <w:jc w:val="both"/>
        <w:rPr>
          <w:rFonts w:cs="Times New Roman"/>
          <w:noProof/>
        </w:rPr>
      </w:pPr>
      <w:r>
        <w:rPr>
          <w:noProof/>
        </w:rPr>
        <w:t>Toimenpiteen tarkoituksena on saattaa päätökseen vähintään 20 tutkimus-, kehitys- ja innovointihanketta, joilla otetaan käyttöön uusia teknologioita, jotka edistävät kalastus- ja vesiviljelyalan häiriönsietokykyä ja kestävyyttä.</w:t>
      </w:r>
    </w:p>
    <w:p w14:paraId="38FD27C3" w14:textId="77777777" w:rsidR="0065073E" w:rsidRDefault="000A0998">
      <w:pPr>
        <w:pStyle w:val="P68B1DB1-Normal4"/>
        <w:spacing w:before="120" w:after="120" w:line="240" w:lineRule="auto"/>
        <w:jc w:val="both"/>
        <w:rPr>
          <w:rFonts w:cs="Times New Roman"/>
          <w:noProof/>
        </w:rPr>
      </w:pPr>
      <w:r>
        <w:rPr>
          <w:noProof/>
        </w:rPr>
        <w:t>Investoinnin toteutus on saatettava päätökseen 31 päivään joulukuuta 2023 mennessä.</w:t>
      </w:r>
    </w:p>
    <w:p w14:paraId="6E88A54F" w14:textId="77777777" w:rsidR="0065073E" w:rsidRDefault="000A0998">
      <w:pPr>
        <w:pStyle w:val="P68B1DB1-Normal5"/>
        <w:spacing w:before="120" w:after="120" w:line="240" w:lineRule="auto"/>
        <w:jc w:val="both"/>
        <w:rPr>
          <w:rFonts w:cs="Times New Roman"/>
          <w:noProof/>
        </w:rPr>
      </w:pPr>
      <w:r>
        <w:rPr>
          <w:noProof/>
        </w:rPr>
        <w:t xml:space="preserve">Investointi 9 (C3.I9) – Suunnitelma kalastusalan kestävyyden, tutkimuksen, innovoinnin ja digitalisaation edistämiseksi (IV): Digitalisaatio ja tieto- ja viestintätekniikan käyttö kalastusalalla </w:t>
      </w:r>
    </w:p>
    <w:p w14:paraId="3685C600" w14:textId="77777777" w:rsidR="0065073E" w:rsidRDefault="000A0998">
      <w:pPr>
        <w:pStyle w:val="P68B1DB1-Normal4"/>
        <w:spacing w:before="120" w:after="120" w:line="240" w:lineRule="auto"/>
        <w:jc w:val="both"/>
        <w:rPr>
          <w:rFonts w:cs="Times New Roman"/>
          <w:noProof/>
        </w:rPr>
      </w:pPr>
      <w:r>
        <w:rPr>
          <w:noProof/>
        </w:rPr>
        <w:t>Tämän toimenpiteen tarkoituksena on parantaa kalastustoiminnan valvontaa ympäristön kestävyyden sekä kalastusalan keskipitkän ja pitkän aikavälin elinkelpoisuuden varmistamiseksi. Toimenpide koostuu kahdesta toimintalinjasta:</w:t>
      </w:r>
    </w:p>
    <w:p w14:paraId="10654A36" w14:textId="77777777" w:rsidR="0065073E" w:rsidRDefault="000A0998">
      <w:pPr>
        <w:pStyle w:val="P68B1DB1-Normal4"/>
        <w:numPr>
          <w:ilvl w:val="0"/>
          <w:numId w:val="80"/>
        </w:numPr>
        <w:spacing w:before="120" w:after="120" w:line="240" w:lineRule="auto"/>
        <w:ind w:left="425" w:hanging="425"/>
        <w:contextualSpacing/>
        <w:jc w:val="both"/>
        <w:rPr>
          <w:rFonts w:cs="Times New Roman"/>
          <w:noProof/>
        </w:rPr>
      </w:pPr>
      <w:r>
        <w:rPr>
          <w:noProof/>
        </w:rPr>
        <w:t>Kalastus- ja vesiviljelyalan digitalisointia koskeva tukijärjestelmä, mukaan lukien i) tuki saaliiden sähköiseen toimittamiseen käytettäviin laitteisiin ja niiden maantieteelliseen sijaintiin alle 12 metrin pituisten alusten osalta; ja ii) tuki sellaisen valvontajärjestelmän asentamiseen, jossa käytetään kameroita kalastuksen etävalvontaan ja saaliiden poisheittämisen torjuntaan yli 24 metrin pituisilla aluksilla; ja</w:t>
      </w:r>
    </w:p>
    <w:p w14:paraId="77EEACF1" w14:textId="77777777" w:rsidR="0065073E" w:rsidRDefault="000A0998">
      <w:pPr>
        <w:pStyle w:val="P68B1DB1-Normal4"/>
        <w:numPr>
          <w:ilvl w:val="0"/>
          <w:numId w:val="80"/>
        </w:numPr>
        <w:spacing w:before="120" w:after="120" w:line="240" w:lineRule="auto"/>
        <w:ind w:left="426" w:hanging="426"/>
        <w:jc w:val="both"/>
        <w:rPr>
          <w:rFonts w:cs="Times New Roman"/>
          <w:noProof/>
        </w:rPr>
      </w:pPr>
      <w:r>
        <w:rPr>
          <w:noProof/>
        </w:rPr>
        <w:t xml:space="preserve">kalastuksen valvontaa koskevat nykyaikaiset tieto- ja viestintätekniset ratkaisut, mukaan lukien i) saaliiden rekisteröintijärjestelmä, jossa voidaan seurata alle 12 metrin pituisia aluksia; II) droonien lentopalvelun perustaminen kalastuksen valvontaa ja tarkkailua varten sekä yli 24 metrin pituisten kalastusalusten saaliiden etäseurantajärjestelmä; ja iii) laitteet ja ohjelmistot (eli toisen palomuurin asentaminen), joilla vahvistetaan Espanjan kalastustietojärjestelmän turvallisuutta. </w:t>
      </w:r>
    </w:p>
    <w:p w14:paraId="0873398E" w14:textId="77777777" w:rsidR="0065073E" w:rsidRDefault="000A0998">
      <w:pPr>
        <w:pStyle w:val="P68B1DB1-Normal4"/>
        <w:spacing w:before="120" w:after="120" w:line="240" w:lineRule="auto"/>
        <w:jc w:val="both"/>
        <w:rPr>
          <w:rFonts w:cs="Times New Roman"/>
          <w:noProof/>
        </w:rPr>
      </w:pPr>
      <w:r>
        <w:rPr>
          <w:noProof/>
        </w:rPr>
        <w:t>Espanjan kalastus- ja vesiviljelyalan digitalisointi toteutetaan avustuksina tarjouskilpailuihin, ja nykyaikaisten tieto- ja viestintäteknisten ratkaisujen täytäntöönpano kalastuksen valvontaa varten toteutetaan avointen ja keskitettyjen hankintojen kautta.</w:t>
      </w:r>
    </w:p>
    <w:p w14:paraId="63A8A9F0"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31. joulukuuta 2024.</w:t>
      </w:r>
    </w:p>
    <w:p w14:paraId="3C3B31F3" w14:textId="77777777" w:rsidR="0065073E" w:rsidRDefault="000A0998">
      <w:pPr>
        <w:pStyle w:val="P68B1DB1-Normal5"/>
        <w:spacing w:before="120" w:after="120" w:line="240" w:lineRule="auto"/>
        <w:jc w:val="both"/>
        <w:rPr>
          <w:rFonts w:cs="Times New Roman"/>
          <w:noProof/>
        </w:rPr>
      </w:pPr>
      <w:r>
        <w:rPr>
          <w:noProof/>
        </w:rPr>
        <w:t>Investointi 10 (C3.I10) – Suunnitelma kalastusalan kestävyyden, tutkimuksen, innovoinnin ja digitalisaation edistämiseksi (V): Tuki laittoman, ilmoittamattoman ja sääntelemättömän kalastuksen torjuntaan</w:t>
      </w:r>
    </w:p>
    <w:p w14:paraId="0F153A69" w14:textId="77777777" w:rsidR="0065073E" w:rsidRDefault="000A0998">
      <w:pPr>
        <w:pStyle w:val="P68B1DB1-Normal4"/>
        <w:spacing w:before="120" w:after="120" w:line="240" w:lineRule="auto"/>
        <w:jc w:val="both"/>
        <w:rPr>
          <w:rFonts w:cs="Times New Roman"/>
          <w:noProof/>
        </w:rPr>
      </w:pPr>
      <w:r>
        <w:rPr>
          <w:noProof/>
        </w:rPr>
        <w:t>Tällä toimenpiteellä tuetaan laittoman, ilmoittamattoman ja sääntelemättömän kalastuksen torjuntaa, joka on edelleen uhka meriekosysteemeille. Tätä varten toimenpiteellä tuetaan seuraavia investointeja:</w:t>
      </w:r>
    </w:p>
    <w:p w14:paraId="5AAA67EC" w14:textId="77777777" w:rsidR="0065073E" w:rsidRDefault="000A0998">
      <w:pPr>
        <w:pStyle w:val="P68B1DB1-Normal4"/>
        <w:numPr>
          <w:ilvl w:val="0"/>
          <w:numId w:val="82"/>
        </w:numPr>
        <w:spacing w:before="120" w:after="120" w:line="240" w:lineRule="auto"/>
        <w:ind w:left="425" w:hanging="425"/>
        <w:contextualSpacing/>
        <w:jc w:val="both"/>
        <w:rPr>
          <w:rFonts w:cs="Times New Roman"/>
          <w:noProof/>
        </w:rPr>
      </w:pPr>
      <w:r>
        <w:rPr>
          <w:noProof/>
        </w:rPr>
        <w:t>Neljän partioaluksen hankinta; ja</w:t>
      </w:r>
    </w:p>
    <w:p w14:paraId="427E0998" w14:textId="77777777" w:rsidR="0065073E" w:rsidRDefault="000A0998">
      <w:pPr>
        <w:pStyle w:val="P68B1DB1-Normal4"/>
        <w:numPr>
          <w:ilvl w:val="0"/>
          <w:numId w:val="82"/>
        </w:numPr>
        <w:spacing w:before="120" w:after="120" w:line="240" w:lineRule="auto"/>
        <w:ind w:left="426" w:hanging="426"/>
        <w:jc w:val="both"/>
        <w:rPr>
          <w:rFonts w:cs="Times New Roman"/>
          <w:noProof/>
        </w:rPr>
      </w:pPr>
      <w:r>
        <w:rPr>
          <w:noProof/>
        </w:rPr>
        <w:t xml:space="preserve">kolmen aavan meren partioaluksen nykyaikaistaminen, joita käytetään laittoman, ilmoitetun ja sääntelemättömän kalastuksen torjuntaan. </w:t>
      </w:r>
    </w:p>
    <w:p w14:paraId="2330BD62" w14:textId="77777777" w:rsidR="0065073E" w:rsidRDefault="000A0998">
      <w:pPr>
        <w:pStyle w:val="P68B1DB1-Normal4"/>
        <w:spacing w:before="120" w:after="120" w:line="240" w:lineRule="auto"/>
        <w:jc w:val="both"/>
        <w:rPr>
          <w:rFonts w:cs="Times New Roman"/>
          <w:noProof/>
        </w:rPr>
      </w:pPr>
      <w:r>
        <w:rPr>
          <w:noProof/>
        </w:rPr>
        <w:t xml:space="preserve">Toimenpide pannaan täytäntöön valvonta-alusten rakentamista koskevalla julkisella hankintamenettelyllä ja muuttamalla Espanjan laivaston kanssa tehtyä sopimusta, kun on kyse offshore-partioaluksista, jotka tarjoavat oikeudellisen suojan edellä mainittuja nykyaikaistamistöitä hallinnoivalle laivastolle tehtävälle siirrolle. </w:t>
      </w:r>
    </w:p>
    <w:p w14:paraId="78209AC5" w14:textId="77777777" w:rsidR="0065073E" w:rsidRDefault="000A0998">
      <w:pPr>
        <w:pStyle w:val="P68B1DB1-Normal4"/>
        <w:spacing w:before="120" w:after="120" w:line="240" w:lineRule="auto"/>
        <w:jc w:val="both"/>
        <w:rPr>
          <w:rFonts w:cs="Times New Roman"/>
          <w:noProof/>
        </w:rPr>
      </w:pPr>
      <w:r>
        <w:rPr>
          <w:noProof/>
        </w:rPr>
        <w:t xml:space="preserve">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alusten hankinnassa ja nykyaikaistamisessa on käytettävä parasta käytettävissä olevaa tekniikkaa, jonka ympäristövaikutukset ovat alalla vähäisimmät. </w:t>
      </w:r>
    </w:p>
    <w:p w14:paraId="5521310B" w14:textId="77777777" w:rsidR="0065073E" w:rsidRDefault="000A0998">
      <w:pPr>
        <w:pStyle w:val="P68B1DB1-Normal4"/>
        <w:spacing w:before="120" w:after="120" w:line="240" w:lineRule="auto"/>
        <w:jc w:val="both"/>
        <w:rPr>
          <w:rFonts w:cs="Times New Roman"/>
          <w:noProof/>
          <w:u w:val="single"/>
        </w:rPr>
      </w:pPr>
      <w:r>
        <w:rPr>
          <w:noProof/>
        </w:rPr>
        <w:t>Investoinnin toteutus saatetaan päätökseen viimeistään 31. joulukuuta 2022.</w:t>
      </w:r>
    </w:p>
    <w:p w14:paraId="23C67E2D" w14:textId="77777777" w:rsidR="0065073E" w:rsidRDefault="000A0998">
      <w:pPr>
        <w:pStyle w:val="P68B1DB1-Normal5"/>
        <w:spacing w:before="120" w:after="120" w:line="240" w:lineRule="auto"/>
        <w:jc w:val="both"/>
        <w:rPr>
          <w:rFonts w:cs="Times New Roman"/>
          <w:noProof/>
        </w:rPr>
      </w:pPr>
      <w:r>
        <w:rPr>
          <w:noProof/>
        </w:rPr>
        <w:t xml:space="preserve">Investointi 11 (C3.I11) – Suunnitelma kalastusalan kestävyyden, tutkimuksen, innovoinnin ja digitalisaation edistämiseksi (VI): Kalastusalan rahoitustuki </w:t>
      </w:r>
    </w:p>
    <w:p w14:paraId="34D83F9F" w14:textId="77777777" w:rsidR="0065073E" w:rsidRDefault="000A0998">
      <w:pPr>
        <w:pStyle w:val="P68B1DB1-Normal4"/>
        <w:spacing w:before="120" w:after="120" w:line="240" w:lineRule="auto"/>
        <w:jc w:val="both"/>
        <w:rPr>
          <w:rFonts w:cs="Times New Roman"/>
          <w:noProof/>
        </w:rPr>
      </w:pPr>
      <w:r>
        <w:rPr>
          <w:noProof/>
        </w:rPr>
        <w:t xml:space="preserve">Tällä toimenpiteellä rahoitetaan kalastusalan investointihankkeita myöntämällä laina </w:t>
      </w:r>
      <w:r>
        <w:rPr>
          <w:i/>
          <w:noProof/>
        </w:rPr>
        <w:t>Sociedad Anónima Estatal de Caución Agrarialle (SAECA</w:t>
      </w:r>
      <w:r>
        <w:rPr>
          <w:noProof/>
        </w:rPr>
        <w:t>). Toimenpiteen tavoitteena on luoda rahoitusväline kestävää kalastusta koskeviin toimiin liittyville hankkeille, joita ovat muun muassa seuraavat: I) työ- ja turvallisuusolosuhteiden parantaminen; II) prosessien ja järjestelmien digitalisointi; III) tuotteiden arvon ja jäljitettävyyden parantaminen; IV) etsitään uusia tuotteita ja esillepanoja, mukaan lukien pakkaukset; ja v) innovoinnin, energiaparannusten ja -tehokkuuden edistäminen sekä siirtyminen energiaan, jonka ilmastovaikutukset ovat vähäisemmät.</w:t>
      </w:r>
    </w:p>
    <w:p w14:paraId="0403E22F" w14:textId="77777777" w:rsidR="0065073E" w:rsidRDefault="000A0998">
      <w:pPr>
        <w:pStyle w:val="P68B1DB1-Normal4"/>
        <w:spacing w:before="120" w:after="120" w:line="240" w:lineRule="auto"/>
        <w:jc w:val="both"/>
        <w:rPr>
          <w:rFonts w:cs="Times New Roman"/>
          <w:noProof/>
        </w:rPr>
      </w:pPr>
      <w:r>
        <w:rPr>
          <w:noProof/>
        </w:rPr>
        <w:t>Toimenpide pannaan täytäntöön maatalous-, kalastus- ja elintarvikeministeriön ja SAECAn välisellä sopimuksella kalastusalan investointihankkeiden rahoittamisen tukemiseksi. Mekanismi perustuu SAECA:lle myönnettyyn lainaan sellaisen budjettikohdan luomiseksi, jonka tarkoituksena on taata hankkeiden uudelleentakaus kestävään kalastustoimintaan liittyvillä toimilla. Sopimukseen on sisällyttävä ehto, jolla taataan, että tällä rahoituksella tehdyt investoinnit ovat ”ei merkittävää haittaa” -periaatetta koskevien teknisten ohjeiden (2021/C58/01) mukaisia.</w:t>
      </w:r>
    </w:p>
    <w:p w14:paraId="2F1A6EED" w14:textId="77777777" w:rsidR="0065073E" w:rsidRDefault="000A0998">
      <w:pPr>
        <w:pStyle w:val="P68B1DB1-Text118"/>
        <w:ind w:left="0"/>
        <w:rPr>
          <w:rFonts w:cs="Times New Roman"/>
          <w:noProof/>
        </w:rPr>
      </w:pPr>
      <w:r>
        <w:rPr>
          <w:noProof/>
        </w:rPr>
        <w:t xml:space="preserve">Sen varmistamiseksi, että toimenpide on ”ei merkittävää haittaa” -periaatteen mukainen (2021/C58/01), maatalous-, kalastus- ja elintarvikeministeriön ja SAECA:n välisessä oikeudellisessa sopimuksessa ja rahoitusvälineen myöhemmässä investointipolitiikassa on </w:t>
      </w:r>
    </w:p>
    <w:p w14:paraId="460501DF" w14:textId="77777777" w:rsidR="0065073E" w:rsidRDefault="000A0998">
      <w:pPr>
        <w:pStyle w:val="P68B1DB1-Text118"/>
        <w:numPr>
          <w:ilvl w:val="0"/>
          <w:numId w:val="196"/>
        </w:numPr>
        <w:ind w:left="714" w:hanging="357"/>
        <w:contextualSpacing/>
        <w:rPr>
          <w:rFonts w:cs="Times New Roman"/>
          <w:noProof/>
        </w:rPr>
      </w:pPr>
      <w:r>
        <w:rPr>
          <w:noProof/>
        </w:rPr>
        <w:t>vaatia InvestEU-rahaston kestävyysarviointia koskevien komission teknisten ohjeiden soveltamista; ja</w:t>
      </w:r>
    </w:p>
    <w:p w14:paraId="773373C3" w14:textId="77777777" w:rsidR="0065073E" w:rsidRDefault="000A0998">
      <w:pPr>
        <w:pStyle w:val="Text1"/>
        <w:numPr>
          <w:ilvl w:val="0"/>
          <w:numId w:val="196"/>
        </w:numPr>
        <w:ind w:left="714" w:hanging="357"/>
        <w:contextualSpacing/>
        <w:rPr>
          <w:rFonts w:ascii="Times New Roman" w:hAnsi="Times New Roman" w:cs="Times New Roman"/>
          <w:noProof/>
        </w:rPr>
      </w:pPr>
      <w:r>
        <w:rPr>
          <w:rFonts w:ascii="Times New Roman" w:hAnsi="Times New Roman"/>
          <w:noProof/>
        </w:rPr>
        <w:t>sulkea seuraava luettelo toiminnoista ja omaisuuseristä tukikelpoisuuden ulkopuolelle: I) fossiilisiin polttoaineisiin liittyvät toiminnot ja omaisuuserät, mukaan lukien loppupään käyttö</w:t>
      </w:r>
      <w:r>
        <w:rPr>
          <w:rStyle w:val="FootnoteReference"/>
          <w:rFonts w:ascii="Times New Roman" w:hAnsi="Times New Roman" w:cs="Times New Roman"/>
          <w:noProof/>
        </w:rPr>
        <w:footnoteReference w:id="15"/>
      </w:r>
      <w:r>
        <w:rPr>
          <w:rFonts w:ascii="Times New Roman" w:hAnsi="Times New Roman"/>
          <w:noProof/>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rPr>
        <w:footnoteReference w:id="16"/>
      </w:r>
      <w:r>
        <w:rPr>
          <w:rFonts w:ascii="Times New Roman" w:hAnsi="Times New Roman"/>
          <w:noProof/>
        </w:rPr>
        <w:t>; III) jätteen kaatopaikkoihin, polttolaitoksiin ja mekaanisiin biologisiin käsittelylaitoksiin liittyvä toiminta</w:t>
      </w:r>
      <w:r>
        <w:rPr>
          <w:rStyle w:val="FootnoteReference"/>
          <w:rFonts w:ascii="Times New Roman" w:hAnsi="Times New Roman" w:cs="Times New Roman"/>
          <w:noProof/>
        </w:rPr>
        <w:footnoteReference w:id="17"/>
      </w:r>
      <w:r>
        <w:rPr>
          <w:rFonts w:ascii="Times New Roman" w:hAnsi="Times New Roman"/>
          <w:noProof/>
        </w:rPr>
        <w:t xml:space="preserve"> ja omaisuus</w:t>
      </w:r>
      <w:r>
        <w:rPr>
          <w:rStyle w:val="FootnoteReference"/>
          <w:rFonts w:ascii="Times New Roman" w:hAnsi="Times New Roman" w:cs="Times New Roman"/>
          <w:noProof/>
        </w:rPr>
        <w:footnoteReference w:id="18"/>
      </w:r>
      <w:r>
        <w:rPr>
          <w:rFonts w:ascii="Times New Roman" w:hAnsi="Times New Roman"/>
          <w:noProof/>
        </w:rPr>
        <w:t>; ja iv) toiminnot ja omaisuus, joissa jätteiden pitkän aikavälin loppukäsittely voi aiheuttaa haittaa ympäristölle; ja</w:t>
      </w:r>
    </w:p>
    <w:p w14:paraId="21A033D6" w14:textId="77777777" w:rsidR="0065073E" w:rsidRDefault="000A0998">
      <w:pPr>
        <w:pStyle w:val="P68B1DB1-Text118"/>
        <w:numPr>
          <w:ilvl w:val="0"/>
          <w:numId w:val="196"/>
        </w:numPr>
        <w:rPr>
          <w:rFonts w:cs="Times New Roman"/>
          <w:noProof/>
        </w:rPr>
      </w:pPr>
      <w:r>
        <w:rPr>
          <w:noProof/>
        </w:rPr>
        <w:t>vaatia, että SAECA tarkistaa, että hankkeet ovat asiaankuuluvan EU:n ja kansallisen ympäristölainsäädännön mukaisia, kaikkien toimien osalta, myös niiden, jotka on vapautettu kestävyysarvioinnista.</w:t>
      </w:r>
    </w:p>
    <w:p w14:paraId="1ACA65E4" w14:textId="77777777" w:rsidR="0065073E" w:rsidRDefault="000A0998">
      <w:pPr>
        <w:pStyle w:val="P68B1DB1-Normal4"/>
        <w:spacing w:before="120" w:after="120" w:line="240" w:lineRule="auto"/>
        <w:jc w:val="both"/>
        <w:rPr>
          <w:rFonts w:cs="Times New Roman"/>
          <w:noProof/>
        </w:rPr>
      </w:pPr>
      <w:r>
        <w:rPr>
          <w:noProof/>
        </w:rPr>
        <w:t>Investoinnin toteutus on saatettava päätökseen 30 päivään kesäkuuta 2022 mennessä.</w:t>
      </w:r>
    </w:p>
    <w:p w14:paraId="1FA4A2A6" w14:textId="77777777" w:rsidR="0065073E" w:rsidRDefault="000A0998">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C.2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4A95577" w14:textId="77777777" w:rsidR="0065073E" w:rsidRDefault="000A0998">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0562CB0E"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829"/>
        <w:gridCol w:w="1051"/>
        <w:gridCol w:w="2809"/>
        <w:gridCol w:w="1242"/>
        <w:gridCol w:w="828"/>
        <w:gridCol w:w="966"/>
        <w:gridCol w:w="691"/>
        <w:gridCol w:w="415"/>
        <w:gridCol w:w="553"/>
        <w:gridCol w:w="5236"/>
      </w:tblGrid>
      <w:tr w:rsidR="0065073E" w14:paraId="6356C3BA" w14:textId="77777777">
        <w:trPr>
          <w:trHeight w:val="309"/>
          <w:tblHeader/>
        </w:trPr>
        <w:tc>
          <w:tcPr>
            <w:tcW w:w="832" w:type="dxa"/>
            <w:tcBorders>
              <w:bottom w:val="nil"/>
            </w:tcBorders>
            <w:shd w:val="clear" w:color="auto" w:fill="C6D9F1" w:themeFill="text2" w:themeFillTint="33"/>
            <w:noWrap/>
            <w:vAlign w:val="center"/>
          </w:tcPr>
          <w:p w14:paraId="62583AFD"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6DA1E61E" w14:textId="77777777" w:rsidR="0065073E" w:rsidRDefault="000A0998">
            <w:pPr>
              <w:pStyle w:val="P68B1DB1-Normal8"/>
              <w:spacing w:after="0" w:line="240" w:lineRule="auto"/>
              <w:jc w:val="center"/>
              <w:rPr>
                <w:rFonts w:cs="Times New Roman"/>
                <w:noProof/>
              </w:rPr>
            </w:pPr>
            <w:r>
              <w:rPr>
                <w:noProof/>
              </w:rPr>
              <w:t>Toimenpide</w:t>
            </w:r>
          </w:p>
        </w:tc>
        <w:tc>
          <w:tcPr>
            <w:tcW w:w="1051" w:type="dxa"/>
            <w:tcBorders>
              <w:bottom w:val="nil"/>
            </w:tcBorders>
            <w:shd w:val="clear" w:color="auto" w:fill="C6D9F1" w:themeFill="text2" w:themeFillTint="33"/>
            <w:noWrap/>
            <w:vAlign w:val="center"/>
          </w:tcPr>
          <w:p w14:paraId="099D9751"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809" w:type="dxa"/>
            <w:tcBorders>
              <w:bottom w:val="nil"/>
            </w:tcBorders>
            <w:shd w:val="clear" w:color="auto" w:fill="C6D9F1" w:themeFill="text2" w:themeFillTint="33"/>
            <w:noWrap/>
            <w:vAlign w:val="center"/>
          </w:tcPr>
          <w:p w14:paraId="5D4478A0" w14:textId="77777777" w:rsidR="0065073E" w:rsidRDefault="000A0998">
            <w:pPr>
              <w:pStyle w:val="P68B1DB1-Normal8"/>
              <w:spacing w:after="0" w:line="240" w:lineRule="auto"/>
              <w:jc w:val="center"/>
              <w:rPr>
                <w:rFonts w:cs="Times New Roman"/>
                <w:noProof/>
              </w:rPr>
            </w:pPr>
            <w:r>
              <w:rPr>
                <w:noProof/>
              </w:rPr>
              <w:t>Nimi</w:t>
            </w:r>
          </w:p>
        </w:tc>
        <w:tc>
          <w:tcPr>
            <w:tcW w:w="1242" w:type="dxa"/>
            <w:tcBorders>
              <w:bottom w:val="nil"/>
            </w:tcBorders>
            <w:shd w:val="clear" w:color="auto" w:fill="C6D9F1" w:themeFill="text2" w:themeFillTint="33"/>
            <w:noWrap/>
            <w:vAlign w:val="center"/>
          </w:tcPr>
          <w:p w14:paraId="6F976713"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85" w:type="dxa"/>
            <w:gridSpan w:val="3"/>
            <w:shd w:val="clear" w:color="auto" w:fill="C6D9F1" w:themeFill="text2" w:themeFillTint="33"/>
            <w:noWrap/>
            <w:vAlign w:val="center"/>
          </w:tcPr>
          <w:p w14:paraId="4054A7C9"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vAlign w:val="center"/>
          </w:tcPr>
          <w:p w14:paraId="5A77FFC3" w14:textId="77777777" w:rsidR="0065073E" w:rsidRDefault="000A0998">
            <w:pPr>
              <w:pStyle w:val="P68B1DB1-Normal8"/>
              <w:spacing w:after="0" w:line="240" w:lineRule="auto"/>
              <w:jc w:val="center"/>
              <w:rPr>
                <w:rFonts w:cs="Times New Roman"/>
                <w:noProof/>
              </w:rPr>
            </w:pPr>
            <w:r>
              <w:rPr>
                <w:noProof/>
              </w:rPr>
              <w:t>Aika</w:t>
            </w:r>
          </w:p>
        </w:tc>
        <w:tc>
          <w:tcPr>
            <w:tcW w:w="5236" w:type="dxa"/>
            <w:tcBorders>
              <w:bottom w:val="nil"/>
            </w:tcBorders>
            <w:shd w:val="clear" w:color="auto" w:fill="C6D9F1" w:themeFill="text2" w:themeFillTint="33"/>
            <w:noWrap/>
            <w:vAlign w:val="center"/>
          </w:tcPr>
          <w:p w14:paraId="7DF1CA4F"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C0DE7C1" w14:textId="77777777">
        <w:trPr>
          <w:trHeight w:val="309"/>
          <w:tblHeader/>
        </w:trPr>
        <w:tc>
          <w:tcPr>
            <w:tcW w:w="832" w:type="dxa"/>
            <w:tcBorders>
              <w:top w:val="nil"/>
            </w:tcBorders>
            <w:shd w:val="clear" w:color="auto" w:fill="C6D9F1" w:themeFill="text2" w:themeFillTint="33"/>
            <w:noWrap/>
          </w:tcPr>
          <w:p w14:paraId="34CE0A41"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62EBF3C5" w14:textId="77777777" w:rsidR="0065073E" w:rsidRDefault="0065073E">
            <w:pPr>
              <w:spacing w:after="0" w:line="240" w:lineRule="auto"/>
              <w:jc w:val="center"/>
              <w:rPr>
                <w:rFonts w:ascii="Times New Roman" w:hAnsi="Times New Roman" w:cs="Times New Roman"/>
                <w:b/>
                <w:noProof/>
                <w:sz w:val="18"/>
              </w:rPr>
            </w:pPr>
          </w:p>
        </w:tc>
        <w:tc>
          <w:tcPr>
            <w:tcW w:w="1051" w:type="dxa"/>
            <w:tcBorders>
              <w:top w:val="nil"/>
            </w:tcBorders>
            <w:shd w:val="clear" w:color="auto" w:fill="C6D9F1" w:themeFill="text2" w:themeFillTint="33"/>
            <w:noWrap/>
          </w:tcPr>
          <w:p w14:paraId="6D98A12B" w14:textId="77777777" w:rsidR="0065073E" w:rsidRDefault="0065073E">
            <w:pPr>
              <w:spacing w:after="0" w:line="240" w:lineRule="auto"/>
              <w:jc w:val="center"/>
              <w:rPr>
                <w:rFonts w:ascii="Times New Roman" w:hAnsi="Times New Roman" w:cs="Times New Roman"/>
                <w:b/>
                <w:noProof/>
                <w:sz w:val="18"/>
              </w:rPr>
            </w:pPr>
          </w:p>
        </w:tc>
        <w:tc>
          <w:tcPr>
            <w:tcW w:w="2809" w:type="dxa"/>
            <w:tcBorders>
              <w:top w:val="nil"/>
            </w:tcBorders>
            <w:shd w:val="clear" w:color="auto" w:fill="C6D9F1" w:themeFill="text2" w:themeFillTint="33"/>
            <w:noWrap/>
          </w:tcPr>
          <w:p w14:paraId="2946DB82" w14:textId="77777777" w:rsidR="0065073E" w:rsidRDefault="0065073E">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5997CC1D" w14:textId="77777777" w:rsidR="0065073E" w:rsidRDefault="0065073E">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0DC741B2"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vAlign w:val="center"/>
          </w:tcPr>
          <w:p w14:paraId="45A1BAA3" w14:textId="68A337D0" w:rsidR="0065073E" w:rsidRDefault="000A0998">
            <w:pPr>
              <w:pStyle w:val="P68B1DB1-Normal8"/>
              <w:spacing w:after="0" w:line="240" w:lineRule="auto"/>
              <w:jc w:val="center"/>
              <w:rPr>
                <w:rFonts w:cs="Times New Roman"/>
                <w:noProof/>
              </w:rPr>
            </w:pPr>
            <w:r>
              <w:rPr>
                <w:noProof/>
              </w:rPr>
              <w:t>Lähtötaso</w:t>
            </w:r>
          </w:p>
        </w:tc>
        <w:tc>
          <w:tcPr>
            <w:tcW w:w="691" w:type="dxa"/>
            <w:shd w:val="clear" w:color="auto" w:fill="C6D9F1" w:themeFill="text2" w:themeFillTint="33"/>
            <w:noWrap/>
            <w:vAlign w:val="center"/>
          </w:tcPr>
          <w:p w14:paraId="642BD0C5"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vAlign w:val="center"/>
          </w:tcPr>
          <w:p w14:paraId="74DC4EC1"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C34323D" w14:textId="77777777" w:rsidR="0065073E" w:rsidRDefault="000A0998">
            <w:pPr>
              <w:pStyle w:val="P68B1DB1-Normal8"/>
              <w:spacing w:after="0" w:line="240" w:lineRule="auto"/>
              <w:jc w:val="center"/>
              <w:rPr>
                <w:rFonts w:cs="Times New Roman"/>
                <w:noProof/>
              </w:rPr>
            </w:pPr>
            <w:r>
              <w:rPr>
                <w:noProof/>
              </w:rPr>
              <w:t>Vuosi</w:t>
            </w:r>
          </w:p>
        </w:tc>
        <w:tc>
          <w:tcPr>
            <w:tcW w:w="5236" w:type="dxa"/>
            <w:tcBorders>
              <w:top w:val="nil"/>
            </w:tcBorders>
            <w:shd w:val="clear" w:color="auto" w:fill="C6D9F1" w:themeFill="text2" w:themeFillTint="33"/>
            <w:noWrap/>
          </w:tcPr>
          <w:p w14:paraId="110FFD37" w14:textId="77777777" w:rsidR="0065073E" w:rsidRDefault="0065073E">
            <w:pPr>
              <w:spacing w:after="0" w:line="240" w:lineRule="auto"/>
              <w:rPr>
                <w:rFonts w:ascii="Times New Roman" w:hAnsi="Times New Roman" w:cs="Times New Roman"/>
                <w:b/>
                <w:noProof/>
                <w:sz w:val="18"/>
              </w:rPr>
            </w:pPr>
          </w:p>
        </w:tc>
      </w:tr>
      <w:tr w:rsidR="0065073E" w14:paraId="1EB1ADBE" w14:textId="77777777">
        <w:trPr>
          <w:trHeight w:val="309"/>
        </w:trPr>
        <w:tc>
          <w:tcPr>
            <w:tcW w:w="832" w:type="dxa"/>
            <w:shd w:val="clear" w:color="auto" w:fill="C6EFCE"/>
            <w:noWrap/>
          </w:tcPr>
          <w:p w14:paraId="61A51A77" w14:textId="77777777" w:rsidR="0065073E" w:rsidRDefault="000A0998">
            <w:pPr>
              <w:pStyle w:val="P68B1DB1-Normal12"/>
              <w:spacing w:after="0" w:line="240" w:lineRule="auto"/>
              <w:jc w:val="center"/>
              <w:rPr>
                <w:rFonts w:eastAsia="MS Mincho" w:cs="Times New Roman"/>
                <w:noProof/>
              </w:rPr>
            </w:pPr>
            <w:r>
              <w:rPr>
                <w:noProof/>
              </w:rPr>
              <w:t>39</w:t>
            </w:r>
          </w:p>
        </w:tc>
        <w:tc>
          <w:tcPr>
            <w:tcW w:w="829" w:type="dxa"/>
            <w:shd w:val="clear" w:color="auto" w:fill="C6EFCE"/>
            <w:noWrap/>
          </w:tcPr>
          <w:p w14:paraId="2EA089AC" w14:textId="77777777" w:rsidR="0065073E" w:rsidRDefault="000A0998">
            <w:pPr>
              <w:pStyle w:val="P68B1DB1-Normal12"/>
              <w:spacing w:after="0" w:line="240" w:lineRule="auto"/>
              <w:jc w:val="center"/>
              <w:rPr>
                <w:rFonts w:eastAsia="MS Mincho" w:cs="Times New Roman"/>
                <w:noProof/>
              </w:rPr>
            </w:pPr>
            <w:r>
              <w:rPr>
                <w:noProof/>
              </w:rPr>
              <w:t>C3.R1</w:t>
            </w:r>
          </w:p>
        </w:tc>
        <w:tc>
          <w:tcPr>
            <w:tcW w:w="1051" w:type="dxa"/>
            <w:shd w:val="clear" w:color="auto" w:fill="C6EFCE"/>
            <w:noWrap/>
          </w:tcPr>
          <w:p w14:paraId="50046019"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82F7252" w14:textId="6DCA8D46" w:rsidR="0065073E" w:rsidRDefault="000A0998">
            <w:pPr>
              <w:pStyle w:val="P68B1DB1-Normal12"/>
              <w:spacing w:after="0" w:line="240" w:lineRule="auto"/>
              <w:rPr>
                <w:rFonts w:eastAsia="MS Mincho" w:cs="Times New Roman"/>
                <w:noProof/>
              </w:rPr>
            </w:pPr>
            <w:r>
              <w:rPr>
                <w:noProof/>
              </w:rPr>
              <w:t>Maataloutta ja elintarvikkeita koskevista kiireellisistä toimenpiteistä annetun kuninkaallisen asetuksen 5/2020 ja elintarvikeketjun toimintaa parantavista toimenpiteistä annetun lain 12/2013 muuttamisesta annetun lain 8/2020 voimaantulo</w:t>
            </w:r>
          </w:p>
        </w:tc>
        <w:tc>
          <w:tcPr>
            <w:tcW w:w="1242" w:type="dxa"/>
            <w:shd w:val="clear" w:color="auto" w:fill="C6EFCE"/>
            <w:noWrap/>
          </w:tcPr>
          <w:p w14:paraId="407A7AE4" w14:textId="77777777" w:rsidR="0065073E" w:rsidRDefault="000A0998">
            <w:pPr>
              <w:pStyle w:val="P68B1DB1-Normal12"/>
              <w:spacing w:after="0" w:line="240" w:lineRule="auto"/>
              <w:jc w:val="center"/>
              <w:rPr>
                <w:rFonts w:eastAsia="MS Mincho" w:cs="Times New Roman"/>
                <w:noProof/>
              </w:rPr>
            </w:pPr>
            <w:r>
              <w:rPr>
                <w:noProof/>
              </w:rPr>
              <w:t>Kuninkaan asetuksen 5/2020, lain 8/2020 ja voimaantulosta annetun lain 12/2013 säännökset</w:t>
            </w:r>
          </w:p>
        </w:tc>
        <w:tc>
          <w:tcPr>
            <w:tcW w:w="828" w:type="dxa"/>
            <w:shd w:val="clear" w:color="auto" w:fill="C6EFCE"/>
            <w:noWrap/>
          </w:tcPr>
          <w:p w14:paraId="325CE300"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25DD3341"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23DD831B"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68D4F30"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0C877E0" w14:textId="77777777" w:rsidR="0065073E" w:rsidRDefault="000A0998">
            <w:pPr>
              <w:pStyle w:val="P68B1DB1-Normal12"/>
              <w:spacing w:after="0" w:line="240" w:lineRule="auto"/>
              <w:jc w:val="center"/>
              <w:rPr>
                <w:rFonts w:eastAsia="MS Mincho" w:cs="Times New Roman"/>
                <w:noProof/>
              </w:rPr>
            </w:pPr>
            <w:r>
              <w:rPr>
                <w:noProof/>
              </w:rPr>
              <w:t>2020</w:t>
            </w:r>
          </w:p>
        </w:tc>
        <w:tc>
          <w:tcPr>
            <w:tcW w:w="5236" w:type="dxa"/>
            <w:shd w:val="clear" w:color="auto" w:fill="C6EFCE"/>
            <w:noWrap/>
          </w:tcPr>
          <w:p w14:paraId="04BB5652"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Voimaan tulee kuninkaan asetus 5/2020 (helmikuu 25 päivänä 2020), joka sisältää maataloutta ja elintarvikkeita koskevia kiireellisiä toimenpiteitä, jotta voidaan parantaa elintarvikeketjun toimintaa muuttamalla elintarvikeketjun kauppasuhteita koskevaa kansallista lainsäädäntöä. Päätavoitteena on varmistaa, että elintarvikkeiden hinnat kattavat tuotantokustannukset, välttää arvon häviäminen elintarvikeketjussa ja kieltää myynninedistäminen, jonka tarkoituksena on johtaa kuluttajia harhaan tuotteiden hinnasta ja imagosta.</w:t>
            </w:r>
            <w:r>
              <w:rPr>
                <w:noProof/>
              </w:rPr>
              <w:t xml:space="preserve"> </w:t>
            </w:r>
            <w:r>
              <w:rPr>
                <w:noProof/>
              </w:rPr>
              <w:br/>
            </w:r>
            <w:r>
              <w:rPr>
                <w:rFonts w:ascii="Times New Roman" w:hAnsi="Times New Roman"/>
                <w:noProof/>
                <w:sz w:val="18"/>
              </w:rPr>
              <w:t>Kiireellisistä toimenpiteistä elintarvikeketjun toiminnan parantamiseksi annetun lain 12/2013 muuttamisesta annetun lain 8/2020 voimaantulo, jotta edellä mainittu kuninkaan asetus voidaan vahvistaa antamalla laki.</w:t>
            </w:r>
          </w:p>
        </w:tc>
      </w:tr>
      <w:tr w:rsidR="0065073E" w14:paraId="77A2137B" w14:textId="77777777">
        <w:trPr>
          <w:trHeight w:val="309"/>
        </w:trPr>
        <w:tc>
          <w:tcPr>
            <w:tcW w:w="832" w:type="dxa"/>
            <w:shd w:val="clear" w:color="auto" w:fill="C6EFCE"/>
            <w:noWrap/>
          </w:tcPr>
          <w:p w14:paraId="704A35C2" w14:textId="77777777" w:rsidR="0065073E" w:rsidRDefault="000A0998">
            <w:pPr>
              <w:pStyle w:val="P68B1DB1-Normal12"/>
              <w:spacing w:after="0" w:line="240" w:lineRule="auto"/>
              <w:jc w:val="center"/>
              <w:rPr>
                <w:rFonts w:eastAsia="MS Mincho" w:cs="Times New Roman"/>
                <w:noProof/>
              </w:rPr>
            </w:pPr>
            <w:r>
              <w:rPr>
                <w:noProof/>
              </w:rPr>
              <w:t>40</w:t>
            </w:r>
          </w:p>
        </w:tc>
        <w:tc>
          <w:tcPr>
            <w:tcW w:w="829" w:type="dxa"/>
            <w:shd w:val="clear" w:color="auto" w:fill="C6EFCE"/>
            <w:noWrap/>
          </w:tcPr>
          <w:p w14:paraId="3BE130A3" w14:textId="77777777" w:rsidR="0065073E" w:rsidRDefault="000A0998">
            <w:pPr>
              <w:pStyle w:val="P68B1DB1-Normal12"/>
              <w:spacing w:after="0" w:line="240" w:lineRule="auto"/>
              <w:jc w:val="center"/>
              <w:rPr>
                <w:rFonts w:eastAsia="MS Mincho" w:cs="Times New Roman"/>
                <w:noProof/>
              </w:rPr>
            </w:pPr>
            <w:r>
              <w:rPr>
                <w:noProof/>
              </w:rPr>
              <w:t>C3.R1</w:t>
            </w:r>
          </w:p>
        </w:tc>
        <w:tc>
          <w:tcPr>
            <w:tcW w:w="1051" w:type="dxa"/>
            <w:shd w:val="clear" w:color="auto" w:fill="C6EFCE"/>
            <w:noWrap/>
          </w:tcPr>
          <w:p w14:paraId="799EC85C"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59502C5" w14:textId="77777777" w:rsidR="0065073E" w:rsidRDefault="000A0998">
            <w:pPr>
              <w:pStyle w:val="P68B1DB1-Normal12"/>
              <w:spacing w:after="0" w:line="240" w:lineRule="auto"/>
              <w:rPr>
                <w:rFonts w:eastAsia="MS Mincho" w:cs="Times New Roman"/>
                <w:noProof/>
              </w:rPr>
            </w:pPr>
            <w:r>
              <w:rPr>
                <w:noProof/>
              </w:rPr>
              <w:t xml:space="preserve">Elintarvikeketjun toimintaa parantavista toimenpiteistä annetun lain 12/2013 toisen muutoksen voimaantulo </w:t>
            </w:r>
          </w:p>
        </w:tc>
        <w:tc>
          <w:tcPr>
            <w:tcW w:w="1242" w:type="dxa"/>
            <w:shd w:val="clear" w:color="auto" w:fill="C6EFCE"/>
            <w:noWrap/>
          </w:tcPr>
          <w:p w14:paraId="2599AC3B" w14:textId="77777777" w:rsidR="0065073E" w:rsidRDefault="000A0998">
            <w:pPr>
              <w:pStyle w:val="P68B1DB1-Normal12"/>
              <w:spacing w:after="0" w:line="240" w:lineRule="auto"/>
              <w:jc w:val="center"/>
              <w:rPr>
                <w:rFonts w:eastAsia="MS Mincho" w:cs="Times New Roman"/>
                <w:noProof/>
              </w:rPr>
            </w:pPr>
            <w:r>
              <w:rPr>
                <w:noProof/>
              </w:rPr>
              <w:t>Voimaantuloa koskevan lain 12/2013 säännös</w:t>
            </w:r>
          </w:p>
        </w:tc>
        <w:tc>
          <w:tcPr>
            <w:tcW w:w="828" w:type="dxa"/>
            <w:shd w:val="clear" w:color="auto" w:fill="C6EFCE"/>
            <w:noWrap/>
          </w:tcPr>
          <w:p w14:paraId="28CE8CB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1895D3B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FDE0BDC"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D0FD3D3"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F366D60" w14:textId="77777777" w:rsidR="0065073E" w:rsidRDefault="000A0998">
            <w:pPr>
              <w:pStyle w:val="P68B1DB1-Normal12"/>
              <w:spacing w:after="0" w:line="240" w:lineRule="auto"/>
              <w:jc w:val="center"/>
              <w:rPr>
                <w:rFonts w:eastAsia="MS Mincho" w:cs="Times New Roman"/>
                <w:noProof/>
              </w:rPr>
            </w:pPr>
            <w:r>
              <w:rPr>
                <w:noProof/>
              </w:rPr>
              <w:t>2021</w:t>
            </w:r>
          </w:p>
        </w:tc>
        <w:tc>
          <w:tcPr>
            <w:tcW w:w="5236" w:type="dxa"/>
            <w:shd w:val="clear" w:color="auto" w:fill="C6EFCE"/>
            <w:noWrap/>
          </w:tcPr>
          <w:p w14:paraId="53B6E5A7" w14:textId="77777777" w:rsidR="0065073E" w:rsidRDefault="000A0998">
            <w:pPr>
              <w:pStyle w:val="P68B1DB1-Normal12"/>
              <w:spacing w:after="0" w:line="240" w:lineRule="auto"/>
              <w:rPr>
                <w:rFonts w:eastAsia="MS Mincho" w:cs="Times New Roman"/>
                <w:noProof/>
              </w:rPr>
            </w:pPr>
            <w:r>
              <w:rPr>
                <w:noProof/>
              </w:rPr>
              <w:t xml:space="preserve">Elintarvikeketjun toimintaa parantavista toimenpiteistä direktiivin (EU) 2019/633 vähimmäisvaatimusten lisäksi annetun lain 12/2013 toisen muutoksen voimaantulo. Tällä lainsäädäntömuutoksella edistetään erilaisia toimia, joilla pyritään avoimempaan ja tasapainoisempaan elintarvikkeiden arvoketjuun, mikä merkitsee muutoksia i) lain soveltamisalan laajentamiseen kauppasuhteisiin, II) elintarvikesopimusten vähimmäissisältöä laajennetaan käytännöllisesti katsoen kaikkiin liiketoimiin. </w:t>
            </w:r>
          </w:p>
        </w:tc>
      </w:tr>
      <w:tr w:rsidR="0065073E" w14:paraId="56651C19" w14:textId="77777777">
        <w:trPr>
          <w:trHeight w:val="309"/>
        </w:trPr>
        <w:tc>
          <w:tcPr>
            <w:tcW w:w="832" w:type="dxa"/>
            <w:shd w:val="clear" w:color="auto" w:fill="C6EFCE"/>
            <w:noWrap/>
          </w:tcPr>
          <w:p w14:paraId="245D991A" w14:textId="77777777" w:rsidR="0065073E" w:rsidRDefault="000A0998">
            <w:pPr>
              <w:pStyle w:val="P68B1DB1-Normal12"/>
              <w:spacing w:after="0" w:line="240" w:lineRule="auto"/>
              <w:jc w:val="center"/>
              <w:rPr>
                <w:rFonts w:eastAsia="MS Mincho" w:cs="Times New Roman"/>
                <w:noProof/>
              </w:rPr>
            </w:pPr>
            <w:r>
              <w:rPr>
                <w:noProof/>
              </w:rPr>
              <w:t>41</w:t>
            </w:r>
          </w:p>
        </w:tc>
        <w:tc>
          <w:tcPr>
            <w:tcW w:w="829" w:type="dxa"/>
            <w:shd w:val="clear" w:color="auto" w:fill="C6EFCE"/>
            <w:noWrap/>
          </w:tcPr>
          <w:p w14:paraId="3F301039" w14:textId="77777777" w:rsidR="0065073E" w:rsidRDefault="000A0998">
            <w:pPr>
              <w:pStyle w:val="P68B1DB1-Normal12"/>
              <w:spacing w:after="0" w:line="240" w:lineRule="auto"/>
              <w:jc w:val="center"/>
              <w:rPr>
                <w:rFonts w:eastAsia="MS Mincho" w:cs="Times New Roman"/>
                <w:noProof/>
              </w:rPr>
            </w:pPr>
            <w:r>
              <w:rPr>
                <w:noProof/>
              </w:rPr>
              <w:t>C3.R2</w:t>
            </w:r>
          </w:p>
        </w:tc>
        <w:tc>
          <w:tcPr>
            <w:tcW w:w="1051" w:type="dxa"/>
            <w:shd w:val="clear" w:color="auto" w:fill="C6EFCE"/>
            <w:noWrap/>
          </w:tcPr>
          <w:p w14:paraId="748CD6EC"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44E3E4D1" w14:textId="77777777" w:rsidR="0065073E" w:rsidRDefault="000A0998">
            <w:pPr>
              <w:pStyle w:val="P68B1DB1-Normal12"/>
              <w:spacing w:after="0" w:line="240" w:lineRule="auto"/>
              <w:rPr>
                <w:rFonts w:eastAsia="MS Mincho" w:cs="Times New Roman"/>
                <w:noProof/>
              </w:rPr>
            </w:pPr>
            <w:r>
              <w:rPr>
                <w:noProof/>
              </w:rPr>
              <w:t>Sääntelykehyksen voimaantulo, jotta voidaan kehittää maatilojen parhaita käytettävissä olevia tekniikoita koskeva yleinen rekisteri, josta saadaan tietoa epäpuhtaus- ja kasvihuonekaasupäästöistä, ja uudistetaan suunnittelulainsäädäntöä, johon sisältyy tiloja koskevia kriteerejä eri aloilla</w:t>
            </w:r>
          </w:p>
        </w:tc>
        <w:tc>
          <w:tcPr>
            <w:tcW w:w="1242" w:type="dxa"/>
            <w:shd w:val="clear" w:color="auto" w:fill="C6EFCE"/>
            <w:noWrap/>
          </w:tcPr>
          <w:p w14:paraId="02B63BCD" w14:textId="77777777" w:rsidR="0065073E" w:rsidRDefault="000A0998">
            <w:pPr>
              <w:pStyle w:val="P68B1DB1-Normal12"/>
              <w:spacing w:after="0" w:line="240" w:lineRule="auto"/>
              <w:jc w:val="center"/>
              <w:rPr>
                <w:rFonts w:eastAsia="MS Mincho" w:cs="Times New Roman"/>
                <w:noProof/>
              </w:rPr>
            </w:pPr>
            <w:r>
              <w:rPr>
                <w:noProof/>
              </w:rPr>
              <w:t>Voimaantuloa koskevan sääntelykehyksen säännös</w:t>
            </w:r>
          </w:p>
        </w:tc>
        <w:tc>
          <w:tcPr>
            <w:tcW w:w="828" w:type="dxa"/>
            <w:shd w:val="clear" w:color="auto" w:fill="C6EFCE"/>
            <w:noWrap/>
          </w:tcPr>
          <w:p w14:paraId="6C1031F9"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CE745D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D14932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0263436"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454DE2D5" w14:textId="77777777"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5C19F011" w14:textId="77777777" w:rsidR="0065073E" w:rsidRDefault="000A0998">
            <w:pPr>
              <w:pStyle w:val="P68B1DB1-Normal12"/>
              <w:spacing w:after="0" w:line="240" w:lineRule="auto"/>
              <w:rPr>
                <w:rFonts w:eastAsia="MS Mincho" w:cs="Times New Roman"/>
                <w:noProof/>
              </w:rPr>
            </w:pPr>
            <w:r>
              <w:rPr>
                <w:noProof/>
              </w:rPr>
              <w:t>Parhaiden käytettävissä olevien tekniikoiden yleisen rekisterin kehittämistä koskevan sääntelykehyksen on helpotettava epäpuhtaus- ja kasvihuonekaasupäästöjen laskemista sika- ja siipikarjatiloilla sekä muiden ympäristötietojen kirjaamista. Karjankasvatusalan suunnittelulainsäädännön asteittaisella tarkistamisella on säänneltävä tilojen sijaintia, kokoa, hygieniaolosuhteita ja infrastruktuureja koskevia vaatimuksia, muutettava sikatiloja koskevia vaatimuksia ja luotava uusi sääntelykehys siipikarja-alalle.</w:t>
            </w:r>
          </w:p>
        </w:tc>
      </w:tr>
      <w:tr w:rsidR="0065073E" w14:paraId="40128808" w14:textId="77777777">
        <w:trPr>
          <w:trHeight w:val="309"/>
        </w:trPr>
        <w:tc>
          <w:tcPr>
            <w:tcW w:w="832" w:type="dxa"/>
            <w:shd w:val="clear" w:color="auto" w:fill="C6EFCE"/>
            <w:noWrap/>
          </w:tcPr>
          <w:p w14:paraId="0C2CDCBB" w14:textId="1802298C" w:rsidR="0065073E" w:rsidRDefault="000A0998">
            <w:pPr>
              <w:pStyle w:val="P68B1DB1-Normal12"/>
              <w:spacing w:after="0" w:line="240" w:lineRule="auto"/>
              <w:jc w:val="center"/>
              <w:rPr>
                <w:rFonts w:cs="Times New Roman"/>
                <w:noProof/>
              </w:rPr>
            </w:pPr>
            <w:r>
              <w:rPr>
                <w:noProof/>
              </w:rPr>
              <w:t>422</w:t>
            </w:r>
          </w:p>
        </w:tc>
        <w:tc>
          <w:tcPr>
            <w:tcW w:w="829" w:type="dxa"/>
            <w:shd w:val="clear" w:color="auto" w:fill="C6EFCE"/>
            <w:noWrap/>
          </w:tcPr>
          <w:p w14:paraId="301CA15D" w14:textId="2600A4CC" w:rsidR="0065073E" w:rsidRDefault="000A0998">
            <w:pPr>
              <w:pStyle w:val="P68B1DB1-Normal12"/>
              <w:spacing w:after="0" w:line="240" w:lineRule="auto"/>
              <w:jc w:val="center"/>
              <w:rPr>
                <w:rFonts w:cs="Times New Roman"/>
                <w:noProof/>
              </w:rPr>
            </w:pPr>
            <w:r>
              <w:rPr>
                <w:noProof/>
              </w:rPr>
              <w:t>C3.R2</w:t>
            </w:r>
          </w:p>
        </w:tc>
        <w:tc>
          <w:tcPr>
            <w:tcW w:w="1051" w:type="dxa"/>
            <w:shd w:val="clear" w:color="auto" w:fill="C6EFCE"/>
            <w:noWrap/>
          </w:tcPr>
          <w:p w14:paraId="556745CD" w14:textId="01BEDDC9" w:rsidR="0065073E" w:rsidRDefault="000A0998">
            <w:pPr>
              <w:pStyle w:val="P68B1DB1-Normal12"/>
              <w:spacing w:after="0" w:line="240" w:lineRule="auto"/>
              <w:jc w:val="center"/>
              <w:rPr>
                <w:rFonts w:cs="Times New Roman"/>
                <w:noProof/>
              </w:rPr>
            </w:pPr>
            <w:r>
              <w:rPr>
                <w:noProof/>
              </w:rPr>
              <w:t>M</w:t>
            </w:r>
          </w:p>
        </w:tc>
        <w:tc>
          <w:tcPr>
            <w:tcW w:w="2809" w:type="dxa"/>
            <w:shd w:val="clear" w:color="auto" w:fill="C6EFCE"/>
            <w:noWrap/>
          </w:tcPr>
          <w:p w14:paraId="75ED9B37" w14:textId="124F19ED" w:rsidR="0065073E" w:rsidRDefault="000A0998">
            <w:pPr>
              <w:pStyle w:val="P68B1DB1-Normal12"/>
              <w:spacing w:after="0" w:line="240" w:lineRule="auto"/>
              <w:rPr>
                <w:rFonts w:cs="Times New Roman"/>
                <w:noProof/>
              </w:rPr>
            </w:pPr>
            <w:r>
              <w:rPr>
                <w:noProof/>
              </w:rPr>
              <w:t>Eläinkuljetusten bioturvaamisen parantamista koskevan asetuksen ja antibioottien kestävää käyttöä eläinlajeissa koskevan asetuksen voimaantulo</w:t>
            </w:r>
          </w:p>
        </w:tc>
        <w:tc>
          <w:tcPr>
            <w:tcW w:w="1242" w:type="dxa"/>
            <w:shd w:val="clear" w:color="auto" w:fill="C6EFCE"/>
            <w:noWrap/>
          </w:tcPr>
          <w:p w14:paraId="376893B4" w14:textId="7FA24B86" w:rsidR="0065073E" w:rsidRDefault="000A0998">
            <w:pPr>
              <w:pStyle w:val="P68B1DB1-Normal12"/>
              <w:spacing w:after="0" w:line="240" w:lineRule="auto"/>
              <w:jc w:val="center"/>
              <w:rPr>
                <w:rFonts w:cs="Times New Roman"/>
                <w:noProof/>
              </w:rPr>
            </w:pPr>
            <w:r>
              <w:rPr>
                <w:noProof/>
              </w:rPr>
              <w:t>Kuninkaan asetuksen voimaantulosäännös</w:t>
            </w:r>
          </w:p>
        </w:tc>
        <w:tc>
          <w:tcPr>
            <w:tcW w:w="828" w:type="dxa"/>
            <w:shd w:val="clear" w:color="auto" w:fill="C6EFCE"/>
            <w:noWrap/>
          </w:tcPr>
          <w:p w14:paraId="41F72AA5" w14:textId="10384DE4" w:rsidR="0065073E" w:rsidRDefault="000A0998">
            <w:pPr>
              <w:pStyle w:val="P68B1DB1-Normal12"/>
              <w:spacing w:after="0" w:line="240" w:lineRule="auto"/>
              <w:jc w:val="right"/>
              <w:rPr>
                <w:rFonts w:cs="Times New Roman"/>
                <w:noProof/>
              </w:rPr>
            </w:pPr>
            <w:r>
              <w:rPr>
                <w:noProof/>
              </w:rPr>
              <w:t xml:space="preserve"> </w:t>
            </w:r>
          </w:p>
        </w:tc>
        <w:tc>
          <w:tcPr>
            <w:tcW w:w="966" w:type="dxa"/>
            <w:shd w:val="clear" w:color="auto" w:fill="C6EFCE"/>
            <w:noWrap/>
          </w:tcPr>
          <w:p w14:paraId="422BD601" w14:textId="5B10E131" w:rsidR="0065073E" w:rsidRDefault="000A0998">
            <w:pPr>
              <w:pStyle w:val="P68B1DB1-Normal12"/>
              <w:spacing w:after="0" w:line="240" w:lineRule="auto"/>
              <w:jc w:val="right"/>
              <w:rPr>
                <w:rFonts w:cs="Times New Roman"/>
                <w:noProof/>
              </w:rPr>
            </w:pPr>
            <w:r>
              <w:rPr>
                <w:noProof/>
              </w:rPr>
              <w:t xml:space="preserve"> </w:t>
            </w:r>
          </w:p>
        </w:tc>
        <w:tc>
          <w:tcPr>
            <w:tcW w:w="691" w:type="dxa"/>
            <w:shd w:val="clear" w:color="auto" w:fill="C6EFCE"/>
            <w:noWrap/>
          </w:tcPr>
          <w:p w14:paraId="26BDCAF1" w14:textId="319C0BF0" w:rsidR="0065073E" w:rsidRDefault="000A0998">
            <w:pPr>
              <w:pStyle w:val="P68B1DB1-Normal12"/>
              <w:spacing w:after="0" w:line="240" w:lineRule="auto"/>
              <w:jc w:val="right"/>
              <w:rPr>
                <w:rFonts w:cs="Times New Roman"/>
                <w:noProof/>
              </w:rPr>
            </w:pPr>
            <w:r>
              <w:rPr>
                <w:noProof/>
              </w:rPr>
              <w:t xml:space="preserve"> </w:t>
            </w:r>
          </w:p>
        </w:tc>
        <w:tc>
          <w:tcPr>
            <w:tcW w:w="415" w:type="dxa"/>
            <w:shd w:val="clear" w:color="auto" w:fill="C6EFCE"/>
            <w:noWrap/>
          </w:tcPr>
          <w:p w14:paraId="5A1F4C93" w14:textId="4A82C8AF"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7DC9991C" w14:textId="1659BAE4" w:rsidR="0065073E" w:rsidRDefault="000A0998">
            <w:pPr>
              <w:pStyle w:val="P68B1DB1-Normal12"/>
              <w:spacing w:after="0" w:line="240" w:lineRule="auto"/>
              <w:jc w:val="center"/>
              <w:rPr>
                <w:rFonts w:cs="Times New Roman"/>
                <w:noProof/>
              </w:rPr>
            </w:pPr>
            <w:r>
              <w:rPr>
                <w:noProof/>
              </w:rPr>
              <w:t>2023</w:t>
            </w:r>
          </w:p>
        </w:tc>
        <w:tc>
          <w:tcPr>
            <w:tcW w:w="5236" w:type="dxa"/>
            <w:shd w:val="clear" w:color="auto" w:fill="C6EFCE"/>
            <w:noWrap/>
          </w:tcPr>
          <w:p w14:paraId="0B638417" w14:textId="05C3D8F7" w:rsidR="0065073E" w:rsidRDefault="000A0998">
            <w:pPr>
              <w:pStyle w:val="P68B1DB1-Normal12"/>
              <w:spacing w:line="257" w:lineRule="auto"/>
              <w:jc w:val="both"/>
              <w:rPr>
                <w:rFonts w:eastAsia="MS Mincho" w:cs="Times New Roman"/>
                <w:noProof/>
              </w:rPr>
            </w:pPr>
            <w:r>
              <w:rPr>
                <w:noProof/>
              </w:rPr>
              <w:t>Eläinkuljetusten bioturvallisuuden parantamista koskevan kuninkaallisen asetuksen ja antibioottien kestävää käyttöä eläinlajeissa koskevan kuninkaallisen asetuksen voimaantulo toimenpiteen kuvauksen mukaisesti.</w:t>
            </w:r>
          </w:p>
          <w:p w14:paraId="3A03D516" w14:textId="77777777" w:rsidR="0065073E" w:rsidRDefault="0065073E">
            <w:pPr>
              <w:spacing w:after="0" w:line="240" w:lineRule="auto"/>
              <w:rPr>
                <w:rFonts w:ascii="Times New Roman" w:hAnsi="Times New Roman" w:cs="Times New Roman"/>
                <w:noProof/>
                <w:sz w:val="18"/>
              </w:rPr>
            </w:pPr>
          </w:p>
        </w:tc>
      </w:tr>
      <w:tr w:rsidR="0065073E" w14:paraId="6769C491" w14:textId="77777777">
        <w:trPr>
          <w:trHeight w:val="309"/>
        </w:trPr>
        <w:tc>
          <w:tcPr>
            <w:tcW w:w="832" w:type="dxa"/>
            <w:shd w:val="clear" w:color="auto" w:fill="C6EFCE"/>
            <w:noWrap/>
          </w:tcPr>
          <w:p w14:paraId="21C9D991" w14:textId="77777777" w:rsidR="0065073E" w:rsidRDefault="000A0998">
            <w:pPr>
              <w:pStyle w:val="P68B1DB1-Normal12"/>
              <w:spacing w:after="0" w:line="240" w:lineRule="auto"/>
              <w:jc w:val="center"/>
              <w:rPr>
                <w:rFonts w:eastAsia="MS Mincho" w:cs="Times New Roman"/>
                <w:noProof/>
              </w:rPr>
            </w:pPr>
            <w:r>
              <w:rPr>
                <w:noProof/>
              </w:rPr>
              <w:t>42</w:t>
            </w:r>
          </w:p>
        </w:tc>
        <w:tc>
          <w:tcPr>
            <w:tcW w:w="829" w:type="dxa"/>
            <w:shd w:val="clear" w:color="auto" w:fill="C6EFCE"/>
            <w:noWrap/>
          </w:tcPr>
          <w:p w14:paraId="5A189353" w14:textId="77777777" w:rsidR="0065073E" w:rsidRDefault="000A0998">
            <w:pPr>
              <w:pStyle w:val="P68B1DB1-Normal12"/>
              <w:spacing w:after="0" w:line="240" w:lineRule="auto"/>
              <w:jc w:val="center"/>
              <w:rPr>
                <w:rFonts w:eastAsia="MS Mincho" w:cs="Times New Roman"/>
                <w:noProof/>
              </w:rPr>
            </w:pPr>
            <w:r>
              <w:rPr>
                <w:noProof/>
              </w:rPr>
              <w:t>C3.R3</w:t>
            </w:r>
          </w:p>
        </w:tc>
        <w:tc>
          <w:tcPr>
            <w:tcW w:w="1051" w:type="dxa"/>
            <w:shd w:val="clear" w:color="auto" w:fill="C6EFCE"/>
            <w:noWrap/>
          </w:tcPr>
          <w:p w14:paraId="477EF257"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3FA9F6A1" w14:textId="77777777" w:rsidR="0065073E" w:rsidRDefault="000A0998">
            <w:pPr>
              <w:pStyle w:val="P68B1DB1-Normal12"/>
              <w:spacing w:after="0" w:line="240" w:lineRule="auto"/>
              <w:rPr>
                <w:rFonts w:eastAsia="MS Mincho" w:cs="Times New Roman"/>
                <w:noProof/>
              </w:rPr>
            </w:pPr>
            <w:r>
              <w:rPr>
                <w:noProof/>
              </w:rPr>
              <w:t>Maatalousmaan kestävää ravitsemusta koskevan sääntelykehyksen voimaantulo.</w:t>
            </w:r>
          </w:p>
        </w:tc>
        <w:tc>
          <w:tcPr>
            <w:tcW w:w="1242" w:type="dxa"/>
            <w:shd w:val="clear" w:color="auto" w:fill="C6EFCE"/>
            <w:noWrap/>
          </w:tcPr>
          <w:p w14:paraId="35C35665" w14:textId="77777777" w:rsidR="0065073E" w:rsidRDefault="000A0998">
            <w:pPr>
              <w:pStyle w:val="P68B1DB1-Normal12"/>
              <w:spacing w:after="0" w:line="240" w:lineRule="auto"/>
              <w:jc w:val="center"/>
              <w:rPr>
                <w:rFonts w:eastAsia="MS Mincho" w:cs="Times New Roman"/>
                <w:noProof/>
              </w:rPr>
            </w:pPr>
            <w:r>
              <w:rPr>
                <w:noProof/>
              </w:rPr>
              <w:t>Voimaantuloa koskeva normatiivinen kehys</w:t>
            </w:r>
          </w:p>
        </w:tc>
        <w:tc>
          <w:tcPr>
            <w:tcW w:w="828" w:type="dxa"/>
            <w:shd w:val="clear" w:color="auto" w:fill="C6EFCE"/>
            <w:noWrap/>
          </w:tcPr>
          <w:p w14:paraId="253B970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52553B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56051E4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4B5F073" w14:textId="77777777" w:rsidR="0065073E" w:rsidRDefault="000A0998">
            <w:pPr>
              <w:pStyle w:val="P68B1DB1-Normal12"/>
              <w:spacing w:after="0" w:line="240" w:lineRule="auto"/>
              <w:jc w:val="center"/>
              <w:rPr>
                <w:rFonts w:eastAsia="MS Mincho" w:cs="Times New Roman"/>
                <w:noProof/>
              </w:rPr>
            </w:pPr>
            <w:r>
              <w:rPr>
                <w:noProof/>
              </w:rPr>
              <w:t>ENSIMMÄINEN VUOSINELJÄNNES</w:t>
            </w:r>
          </w:p>
        </w:tc>
        <w:tc>
          <w:tcPr>
            <w:tcW w:w="553" w:type="dxa"/>
            <w:shd w:val="clear" w:color="auto" w:fill="C6EFCE"/>
            <w:noWrap/>
          </w:tcPr>
          <w:p w14:paraId="094D2E42" w14:textId="77777777" w:rsidR="0065073E" w:rsidRDefault="000A0998">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3CC5FFD3" w14:textId="77777777" w:rsidR="0065073E" w:rsidRDefault="000A0998">
            <w:pPr>
              <w:pStyle w:val="P68B1DB1-Normal12"/>
              <w:spacing w:after="0" w:line="240" w:lineRule="auto"/>
              <w:rPr>
                <w:rFonts w:eastAsia="MS Mincho" w:cs="Times New Roman"/>
                <w:noProof/>
              </w:rPr>
            </w:pPr>
            <w:r>
              <w:rPr>
                <w:noProof/>
              </w:rPr>
              <w:t xml:space="preserve">Tämän sääntelykehyksen tarkoituksena on säännellä lannoitustyötä ja edistää viljelijöille annettavaa teknistä neuvontaa lannoituksen järkeistämiseksi ja lakisääteisten vaatimusten täyttämiseksi. </w:t>
            </w:r>
          </w:p>
        </w:tc>
      </w:tr>
      <w:tr w:rsidR="0065073E" w14:paraId="37DD0363" w14:textId="77777777">
        <w:trPr>
          <w:trHeight w:val="309"/>
        </w:trPr>
        <w:tc>
          <w:tcPr>
            <w:tcW w:w="832" w:type="dxa"/>
            <w:shd w:val="clear" w:color="auto" w:fill="C6EFCE"/>
            <w:noWrap/>
          </w:tcPr>
          <w:p w14:paraId="55739EF0" w14:textId="77777777" w:rsidR="0065073E" w:rsidRDefault="000A0998">
            <w:pPr>
              <w:pStyle w:val="P68B1DB1-Normal12"/>
              <w:spacing w:after="0" w:line="240" w:lineRule="auto"/>
              <w:jc w:val="center"/>
              <w:rPr>
                <w:rFonts w:eastAsia="MS Mincho" w:cs="Times New Roman"/>
                <w:noProof/>
              </w:rPr>
            </w:pPr>
            <w:r>
              <w:rPr>
                <w:noProof/>
              </w:rPr>
              <w:t>43</w:t>
            </w:r>
          </w:p>
        </w:tc>
        <w:tc>
          <w:tcPr>
            <w:tcW w:w="829" w:type="dxa"/>
            <w:shd w:val="clear" w:color="auto" w:fill="C6EFCE"/>
            <w:noWrap/>
          </w:tcPr>
          <w:p w14:paraId="11E8956A" w14:textId="77777777" w:rsidR="0065073E" w:rsidRDefault="000A0998">
            <w:pPr>
              <w:pStyle w:val="P68B1DB1-Normal12"/>
              <w:spacing w:after="0" w:line="240" w:lineRule="auto"/>
              <w:jc w:val="center"/>
              <w:rPr>
                <w:rFonts w:eastAsia="MS Mincho" w:cs="Times New Roman"/>
                <w:noProof/>
              </w:rPr>
            </w:pPr>
            <w:r>
              <w:rPr>
                <w:noProof/>
              </w:rPr>
              <w:t>C3.R4</w:t>
            </w:r>
          </w:p>
        </w:tc>
        <w:tc>
          <w:tcPr>
            <w:tcW w:w="1051" w:type="dxa"/>
            <w:shd w:val="clear" w:color="auto" w:fill="C6EFCE"/>
            <w:noWrap/>
          </w:tcPr>
          <w:p w14:paraId="5AD787E6"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7832744C" w14:textId="77777777" w:rsidR="0065073E" w:rsidRDefault="000A0998">
            <w:pPr>
              <w:pStyle w:val="P68B1DB1-Normal12"/>
              <w:spacing w:after="0" w:line="240" w:lineRule="auto"/>
              <w:rPr>
                <w:rFonts w:eastAsia="MS Mincho" w:cs="Times New Roman"/>
                <w:noProof/>
              </w:rPr>
            </w:pPr>
            <w:r>
              <w:rPr>
                <w:noProof/>
              </w:rPr>
              <w:t>Espanjan kastelujärjestelmän parantamiseen tähtäävästä hallintomekanismista annetun kuninkaallisen asetuksen voimaantulo.</w:t>
            </w:r>
          </w:p>
        </w:tc>
        <w:tc>
          <w:tcPr>
            <w:tcW w:w="1242" w:type="dxa"/>
            <w:shd w:val="clear" w:color="auto" w:fill="C6EFCE"/>
            <w:noWrap/>
          </w:tcPr>
          <w:p w14:paraId="10FCA3E8" w14:textId="77777777" w:rsidR="0065073E" w:rsidRDefault="000A0998">
            <w:pPr>
              <w:pStyle w:val="P68B1DB1-Normal12"/>
              <w:spacing w:after="0" w:line="240" w:lineRule="auto"/>
              <w:jc w:val="center"/>
              <w:rPr>
                <w:rFonts w:eastAsia="MS Mincho" w:cs="Times New Roman"/>
                <w:noProof/>
              </w:rPr>
            </w:pPr>
            <w:r>
              <w:rPr>
                <w:noProof/>
              </w:rPr>
              <w:t xml:space="preserve">Kuninkaan asetuksen voimaantuloa koskeva säännös </w:t>
            </w:r>
          </w:p>
        </w:tc>
        <w:tc>
          <w:tcPr>
            <w:tcW w:w="828" w:type="dxa"/>
            <w:shd w:val="clear" w:color="auto" w:fill="C6EFCE"/>
            <w:noWrap/>
          </w:tcPr>
          <w:p w14:paraId="554EF5F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E235B9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66AC4DF1"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B2E4500"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57ED589" w14:textId="77777777"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253F0D80" w14:textId="77777777" w:rsidR="0065073E" w:rsidRDefault="000A0998">
            <w:pPr>
              <w:pStyle w:val="P68B1DB1-Normal12"/>
              <w:spacing w:after="0" w:line="240" w:lineRule="auto"/>
              <w:rPr>
                <w:rFonts w:eastAsia="MS Mincho" w:cs="Times New Roman"/>
                <w:noProof/>
              </w:rPr>
            </w:pPr>
            <w:r>
              <w:rPr>
                <w:noProof/>
              </w:rPr>
              <w:t>Kuninkaallisella asetuksella perustetaan kansallisen tason hallintomekanismi, jonka avulla asianomaiset alat voivat tehdä yhteistyötä Espanjan kasteluun liittyvissä kysymyksissä, kuten kestävyys, toteutuskriteerit, asetukset jne. Sen tarkoituksena on myös perustaa kestävän kastelun seurantakeskus Espanjaan.</w:t>
            </w:r>
          </w:p>
        </w:tc>
      </w:tr>
      <w:tr w:rsidR="0065073E" w14:paraId="19DF5004" w14:textId="77777777">
        <w:trPr>
          <w:trHeight w:val="309"/>
        </w:trPr>
        <w:tc>
          <w:tcPr>
            <w:tcW w:w="832" w:type="dxa"/>
            <w:shd w:val="clear" w:color="auto" w:fill="C6EFCE"/>
            <w:noWrap/>
          </w:tcPr>
          <w:p w14:paraId="64397A95" w14:textId="77777777" w:rsidR="0065073E" w:rsidRDefault="000A0998">
            <w:pPr>
              <w:pStyle w:val="P68B1DB1-Normal12"/>
              <w:spacing w:after="0" w:line="240" w:lineRule="auto"/>
              <w:jc w:val="center"/>
              <w:rPr>
                <w:rFonts w:eastAsia="MS Mincho" w:cs="Times New Roman"/>
                <w:noProof/>
              </w:rPr>
            </w:pPr>
            <w:r>
              <w:rPr>
                <w:noProof/>
              </w:rPr>
              <w:t>44</w:t>
            </w:r>
          </w:p>
        </w:tc>
        <w:tc>
          <w:tcPr>
            <w:tcW w:w="829" w:type="dxa"/>
            <w:shd w:val="clear" w:color="auto" w:fill="C6EFCE"/>
            <w:noWrap/>
          </w:tcPr>
          <w:p w14:paraId="7D07F206" w14:textId="77777777" w:rsidR="0065073E" w:rsidRDefault="000A0998">
            <w:pPr>
              <w:pStyle w:val="P68B1DB1-Normal12"/>
              <w:spacing w:after="0" w:line="240" w:lineRule="auto"/>
              <w:jc w:val="center"/>
              <w:rPr>
                <w:rFonts w:eastAsia="MS Mincho" w:cs="Times New Roman"/>
                <w:noProof/>
              </w:rPr>
            </w:pPr>
            <w:r>
              <w:rPr>
                <w:noProof/>
              </w:rPr>
              <w:t>C3.R5</w:t>
            </w:r>
          </w:p>
        </w:tc>
        <w:tc>
          <w:tcPr>
            <w:tcW w:w="1051" w:type="dxa"/>
            <w:shd w:val="clear" w:color="auto" w:fill="C6EFCE"/>
            <w:noWrap/>
          </w:tcPr>
          <w:p w14:paraId="0D3EABE3"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80F306B" w14:textId="77777777" w:rsidR="0065073E" w:rsidRDefault="000A0998">
            <w:pPr>
              <w:pStyle w:val="P68B1DB1-Normal12"/>
              <w:spacing w:after="0" w:line="240" w:lineRule="auto"/>
              <w:rPr>
                <w:rFonts w:eastAsia="MS Mincho" w:cs="Times New Roman"/>
                <w:noProof/>
              </w:rPr>
            </w:pPr>
            <w:r>
              <w:rPr>
                <w:noProof/>
              </w:rPr>
              <w:t>Maatalouselintarvikealan ja maaseutualueiden digitalisointistrategiaa koskevan toisen toimintasuunnitelman hyväksyminen.</w:t>
            </w:r>
          </w:p>
        </w:tc>
        <w:tc>
          <w:tcPr>
            <w:tcW w:w="1242" w:type="dxa"/>
            <w:shd w:val="clear" w:color="auto" w:fill="C6EFCE"/>
            <w:noWrap/>
          </w:tcPr>
          <w:p w14:paraId="2DAF3BAF" w14:textId="77777777" w:rsidR="0065073E" w:rsidRDefault="000A0998">
            <w:pPr>
              <w:pStyle w:val="P68B1DB1-Normal12"/>
              <w:spacing w:after="0" w:line="240" w:lineRule="auto"/>
              <w:jc w:val="center"/>
              <w:rPr>
                <w:rFonts w:eastAsia="MS Mincho" w:cs="Times New Roman"/>
                <w:noProof/>
              </w:rPr>
            </w:pPr>
            <w:r>
              <w:rPr>
                <w:noProof/>
              </w:rPr>
              <w:t>Julkaisu maatalousministeriön verkkosivuilla</w:t>
            </w:r>
          </w:p>
        </w:tc>
        <w:tc>
          <w:tcPr>
            <w:tcW w:w="828" w:type="dxa"/>
            <w:shd w:val="clear" w:color="auto" w:fill="C6EFCE"/>
            <w:noWrap/>
          </w:tcPr>
          <w:p w14:paraId="131F8F3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55E230F"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0A8DB01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1213C6B"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23B3A032" w14:textId="77777777"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31655646" w14:textId="77777777" w:rsidR="0065073E" w:rsidRDefault="000A0998">
            <w:pPr>
              <w:pStyle w:val="P68B1DB1-Normal12"/>
              <w:spacing w:after="0" w:line="240" w:lineRule="auto"/>
              <w:rPr>
                <w:rFonts w:eastAsia="MS Mincho" w:cs="Times New Roman"/>
                <w:noProof/>
              </w:rPr>
            </w:pPr>
            <w:r>
              <w:rPr>
                <w:noProof/>
              </w:rPr>
              <w:t xml:space="preserve">Toimenpiteellä on varmistettava maatalouselintarvikealan ja maaseutuympäristön digitalisointistrategian jatkuvuus toisella suunnitelmalla, jonka tavoitteena on kaventaa digitaalista kuilua, edistää datan käyttöä sekä edistää yritystoiminnan kehittämistä ja uusia liiketoimintamalleja. </w:t>
            </w:r>
          </w:p>
        </w:tc>
      </w:tr>
      <w:tr w:rsidR="0065073E" w14:paraId="6F3FDDA7" w14:textId="77777777">
        <w:trPr>
          <w:trHeight w:val="309"/>
        </w:trPr>
        <w:tc>
          <w:tcPr>
            <w:tcW w:w="832" w:type="dxa"/>
            <w:shd w:val="clear" w:color="auto" w:fill="C6EFCE"/>
            <w:noWrap/>
          </w:tcPr>
          <w:p w14:paraId="43FBD11F" w14:textId="77777777" w:rsidR="0065073E" w:rsidRDefault="000A0998">
            <w:pPr>
              <w:pStyle w:val="P68B1DB1-Normal12"/>
              <w:spacing w:after="0" w:line="240" w:lineRule="auto"/>
              <w:jc w:val="center"/>
              <w:rPr>
                <w:rFonts w:eastAsia="MS Mincho" w:cs="Times New Roman"/>
                <w:noProof/>
              </w:rPr>
            </w:pPr>
            <w:r>
              <w:rPr>
                <w:noProof/>
              </w:rPr>
              <w:t>45</w:t>
            </w:r>
          </w:p>
        </w:tc>
        <w:tc>
          <w:tcPr>
            <w:tcW w:w="829" w:type="dxa"/>
            <w:shd w:val="clear" w:color="auto" w:fill="C6EFCE"/>
            <w:noWrap/>
          </w:tcPr>
          <w:p w14:paraId="2E01EC5D" w14:textId="77777777" w:rsidR="0065073E" w:rsidRDefault="000A0998">
            <w:pPr>
              <w:pStyle w:val="P68B1DB1-Normal12"/>
              <w:spacing w:after="0" w:line="240" w:lineRule="auto"/>
              <w:jc w:val="center"/>
              <w:rPr>
                <w:rFonts w:eastAsia="MS Mincho" w:cs="Times New Roman"/>
                <w:noProof/>
              </w:rPr>
            </w:pPr>
            <w:r>
              <w:rPr>
                <w:noProof/>
              </w:rPr>
              <w:t>C3.R6</w:t>
            </w:r>
          </w:p>
        </w:tc>
        <w:tc>
          <w:tcPr>
            <w:tcW w:w="1051" w:type="dxa"/>
            <w:shd w:val="clear" w:color="auto" w:fill="C6EFCE"/>
            <w:noWrap/>
          </w:tcPr>
          <w:p w14:paraId="4E82A334" w14:textId="7777777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53B192B7" w14:textId="77777777" w:rsidR="0065073E" w:rsidRDefault="000A0998">
            <w:pPr>
              <w:pStyle w:val="P68B1DB1-Normal12"/>
              <w:spacing w:after="0" w:line="240" w:lineRule="auto"/>
              <w:rPr>
                <w:rFonts w:eastAsia="MS Mincho" w:cs="Times New Roman"/>
                <w:noProof/>
              </w:rPr>
            </w:pPr>
            <w:r>
              <w:rPr>
                <w:noProof/>
              </w:rPr>
              <w:t xml:space="preserve">Kansallisten kalastusalueiden hoitoa koskevan kuninkaallisen asetuksen voimaantulo </w:t>
            </w:r>
          </w:p>
        </w:tc>
        <w:tc>
          <w:tcPr>
            <w:tcW w:w="1242" w:type="dxa"/>
            <w:shd w:val="clear" w:color="auto" w:fill="C6EFCE"/>
            <w:noWrap/>
          </w:tcPr>
          <w:p w14:paraId="57042A16" w14:textId="77777777" w:rsidR="0065073E" w:rsidRDefault="000A0998">
            <w:pPr>
              <w:pStyle w:val="P68B1DB1-Normal12"/>
              <w:spacing w:after="0" w:line="240" w:lineRule="auto"/>
              <w:jc w:val="center"/>
              <w:rPr>
                <w:rFonts w:eastAsia="MS Mincho" w:cs="Times New Roman"/>
                <w:noProof/>
              </w:rPr>
            </w:pPr>
            <w:r>
              <w:rPr>
                <w:noProof/>
              </w:rPr>
              <w:t>Kuninkaan asetuksen voimaantuloa koskeva säännös</w:t>
            </w:r>
          </w:p>
        </w:tc>
        <w:tc>
          <w:tcPr>
            <w:tcW w:w="828" w:type="dxa"/>
            <w:shd w:val="clear" w:color="auto" w:fill="C6EFCE"/>
            <w:noWrap/>
          </w:tcPr>
          <w:p w14:paraId="03D8BA8D" w14:textId="77777777" w:rsidR="0065073E" w:rsidRDefault="000A0998">
            <w:pPr>
              <w:pStyle w:val="P68B1DB1-Normal12"/>
              <w:spacing w:after="0" w:line="240" w:lineRule="auto"/>
              <w:jc w:val="center"/>
              <w:rPr>
                <w:rFonts w:eastAsia="MS Mincho" w:cs="Times New Roman"/>
                <w:noProof/>
              </w:rPr>
            </w:pPr>
            <w:r>
              <w:rPr>
                <w:noProof/>
              </w:rPr>
              <w:t xml:space="preserve"> </w:t>
            </w:r>
          </w:p>
        </w:tc>
        <w:tc>
          <w:tcPr>
            <w:tcW w:w="966" w:type="dxa"/>
            <w:shd w:val="clear" w:color="auto" w:fill="C6EFCE"/>
            <w:noWrap/>
          </w:tcPr>
          <w:p w14:paraId="69A0658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2EA285A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3288100"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3041507C" w14:textId="77777777"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0AA2858" w14:textId="77777777" w:rsidR="0065073E" w:rsidRDefault="000A0998">
            <w:pPr>
              <w:pStyle w:val="P68B1DB1-Normal12"/>
              <w:spacing w:after="0" w:line="240" w:lineRule="auto"/>
              <w:rPr>
                <w:rFonts w:eastAsia="MS Mincho" w:cs="Times New Roman"/>
                <w:noProof/>
              </w:rPr>
            </w:pPr>
            <w:r>
              <w:rPr>
                <w:noProof/>
              </w:rPr>
              <w:t>Kuninkaan asetuksella yhdenmukaistetaan kansallisten kalastusalueiden eri välineiden, menetelmien ja väestölaskentojen hallinnointi, helpotetaan liiketoiminnan parempaa hallinnointia ja otetaan huomioon EU:n tärkeimpien politiikkojen ja haasteiden, kuten yhteisen kalastuspolitiikan uudistuksen, vuoteen 2030 ulottuvan biodiversiteettistrategian, meristrategioiden tai kestävän kehityksen tavoitteiden, tavoitteet.</w:t>
            </w:r>
          </w:p>
        </w:tc>
      </w:tr>
      <w:tr w:rsidR="0065073E" w14:paraId="5BDD290F" w14:textId="77777777">
        <w:trPr>
          <w:trHeight w:val="309"/>
        </w:trPr>
        <w:tc>
          <w:tcPr>
            <w:tcW w:w="832" w:type="dxa"/>
            <w:shd w:val="clear" w:color="auto" w:fill="C6EFCE"/>
            <w:noWrap/>
          </w:tcPr>
          <w:p w14:paraId="23AFD0D9" w14:textId="60B7F2D5" w:rsidR="0065073E" w:rsidRDefault="000A0998">
            <w:pPr>
              <w:pStyle w:val="P68B1DB1-Normal12"/>
              <w:spacing w:after="0" w:line="240" w:lineRule="auto"/>
              <w:jc w:val="center"/>
              <w:rPr>
                <w:rFonts w:cs="Times New Roman"/>
                <w:noProof/>
              </w:rPr>
            </w:pPr>
            <w:r>
              <w:rPr>
                <w:noProof/>
              </w:rPr>
              <w:t>423</w:t>
            </w:r>
          </w:p>
        </w:tc>
        <w:tc>
          <w:tcPr>
            <w:tcW w:w="829" w:type="dxa"/>
            <w:shd w:val="clear" w:color="auto" w:fill="C6EFCE"/>
            <w:noWrap/>
          </w:tcPr>
          <w:p w14:paraId="2AEBE349" w14:textId="0BEBCD58" w:rsidR="0065073E" w:rsidRDefault="000A0998">
            <w:pPr>
              <w:pStyle w:val="P68B1DB1-Normal12"/>
              <w:spacing w:after="0" w:line="240" w:lineRule="auto"/>
              <w:jc w:val="center"/>
              <w:rPr>
                <w:rFonts w:cs="Times New Roman"/>
                <w:noProof/>
              </w:rPr>
            </w:pPr>
            <w:r>
              <w:rPr>
                <w:noProof/>
              </w:rPr>
              <w:t>C3.R6</w:t>
            </w:r>
          </w:p>
        </w:tc>
        <w:tc>
          <w:tcPr>
            <w:tcW w:w="1051" w:type="dxa"/>
            <w:shd w:val="clear" w:color="auto" w:fill="C6EFCE"/>
            <w:noWrap/>
          </w:tcPr>
          <w:p w14:paraId="367B21D1" w14:textId="70315506" w:rsidR="0065073E" w:rsidRDefault="000A0998">
            <w:pPr>
              <w:pStyle w:val="P68B1DB1-Normal12"/>
              <w:spacing w:after="0" w:line="240" w:lineRule="auto"/>
              <w:jc w:val="center"/>
              <w:rPr>
                <w:rFonts w:cs="Times New Roman"/>
                <w:noProof/>
              </w:rPr>
            </w:pPr>
            <w:r>
              <w:rPr>
                <w:noProof/>
              </w:rPr>
              <w:t>M</w:t>
            </w:r>
          </w:p>
        </w:tc>
        <w:tc>
          <w:tcPr>
            <w:tcW w:w="2809" w:type="dxa"/>
            <w:shd w:val="clear" w:color="auto" w:fill="C6EFCE"/>
            <w:noWrap/>
          </w:tcPr>
          <w:p w14:paraId="2CCD0E8B" w14:textId="2F97BFE4" w:rsidR="0065073E" w:rsidRDefault="000A0998">
            <w:pPr>
              <w:pStyle w:val="P68B1DB1-Normal12"/>
              <w:spacing w:after="0" w:line="240" w:lineRule="auto"/>
              <w:rPr>
                <w:rFonts w:cs="Times New Roman"/>
                <w:noProof/>
              </w:rPr>
            </w:pPr>
            <w:r>
              <w:rPr>
                <w:noProof/>
              </w:rPr>
              <w:t>Kalastuslain ja kalastuksen valvonta-, tarkastus- ja seuraamusjärjestelmien nykyaikaistamista koskevan lain tarkistaminen tulee voimaan.</w:t>
            </w:r>
          </w:p>
        </w:tc>
        <w:tc>
          <w:tcPr>
            <w:tcW w:w="1242" w:type="dxa"/>
            <w:shd w:val="clear" w:color="auto" w:fill="C6EFCE"/>
            <w:noWrap/>
          </w:tcPr>
          <w:p w14:paraId="51B3A623" w14:textId="02ED56CF" w:rsidR="0065073E" w:rsidRDefault="000A0998">
            <w:pPr>
              <w:pStyle w:val="P68B1DB1-Normal12"/>
              <w:spacing w:after="0" w:line="240" w:lineRule="auto"/>
              <w:jc w:val="center"/>
              <w:rPr>
                <w:rFonts w:cs="Times New Roman"/>
                <w:noProof/>
              </w:rPr>
            </w:pPr>
            <w:r>
              <w:rPr>
                <w:noProof/>
              </w:rPr>
              <w:t>Sen voimaantuloa koskeviin lakeihin sisältyvä säännös</w:t>
            </w:r>
          </w:p>
        </w:tc>
        <w:tc>
          <w:tcPr>
            <w:tcW w:w="828" w:type="dxa"/>
            <w:shd w:val="clear" w:color="auto" w:fill="C6EFCE"/>
            <w:noWrap/>
          </w:tcPr>
          <w:p w14:paraId="73F97D08" w14:textId="77777777" w:rsidR="0065073E" w:rsidRDefault="0065073E">
            <w:pPr>
              <w:spacing w:after="0" w:line="240" w:lineRule="auto"/>
              <w:jc w:val="center"/>
              <w:rPr>
                <w:rFonts w:ascii="Times New Roman" w:hAnsi="Times New Roman" w:cs="Times New Roman"/>
                <w:noProof/>
                <w:sz w:val="18"/>
              </w:rPr>
            </w:pPr>
          </w:p>
        </w:tc>
        <w:tc>
          <w:tcPr>
            <w:tcW w:w="966" w:type="dxa"/>
            <w:shd w:val="clear" w:color="auto" w:fill="C6EFCE"/>
            <w:noWrap/>
          </w:tcPr>
          <w:p w14:paraId="453E8076" w14:textId="77777777" w:rsidR="0065073E" w:rsidRDefault="0065073E">
            <w:pPr>
              <w:spacing w:after="0" w:line="240" w:lineRule="auto"/>
              <w:jc w:val="right"/>
              <w:rPr>
                <w:rFonts w:ascii="Times New Roman" w:hAnsi="Times New Roman" w:cs="Times New Roman"/>
                <w:noProof/>
                <w:sz w:val="18"/>
              </w:rPr>
            </w:pPr>
          </w:p>
        </w:tc>
        <w:tc>
          <w:tcPr>
            <w:tcW w:w="691" w:type="dxa"/>
            <w:shd w:val="clear" w:color="auto" w:fill="C6EFCE"/>
            <w:noWrap/>
          </w:tcPr>
          <w:p w14:paraId="09D2FFB8" w14:textId="77777777" w:rsidR="0065073E" w:rsidRDefault="0065073E">
            <w:pPr>
              <w:spacing w:after="0" w:line="240" w:lineRule="auto"/>
              <w:jc w:val="right"/>
              <w:rPr>
                <w:rFonts w:ascii="Times New Roman" w:hAnsi="Times New Roman" w:cs="Times New Roman"/>
                <w:noProof/>
                <w:sz w:val="18"/>
              </w:rPr>
            </w:pPr>
          </w:p>
        </w:tc>
        <w:tc>
          <w:tcPr>
            <w:tcW w:w="415" w:type="dxa"/>
            <w:shd w:val="clear" w:color="auto" w:fill="C6EFCE"/>
            <w:noWrap/>
          </w:tcPr>
          <w:p w14:paraId="7EA8E8F1" w14:textId="5AD2F59F"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30FD611C" w14:textId="6A25C647" w:rsidR="0065073E" w:rsidRDefault="000A0998">
            <w:pPr>
              <w:pStyle w:val="P68B1DB1-Normal12"/>
              <w:spacing w:after="0" w:line="240" w:lineRule="auto"/>
              <w:jc w:val="center"/>
              <w:rPr>
                <w:rFonts w:cs="Times New Roman"/>
                <w:noProof/>
              </w:rPr>
            </w:pPr>
            <w:r>
              <w:rPr>
                <w:noProof/>
              </w:rPr>
              <w:t>2026</w:t>
            </w:r>
          </w:p>
        </w:tc>
        <w:tc>
          <w:tcPr>
            <w:tcW w:w="5236" w:type="dxa"/>
            <w:shd w:val="clear" w:color="auto" w:fill="C6EFCE"/>
            <w:noWrap/>
          </w:tcPr>
          <w:p w14:paraId="038336E2" w14:textId="45672338" w:rsidR="0065073E" w:rsidRDefault="000A0998">
            <w:pPr>
              <w:pStyle w:val="P68B1DB1-Normal12"/>
              <w:spacing w:after="0" w:line="240" w:lineRule="auto"/>
              <w:rPr>
                <w:rFonts w:cs="Times New Roman"/>
                <w:noProof/>
              </w:rPr>
            </w:pPr>
            <w:r>
              <w:rPr>
                <w:noProof/>
              </w:rPr>
              <w:t>Kalastuslain ja kalastuksen valvonta-, tarkastus- ja seuraamusjärjestelmien nykyaikaistamisesta annetun lain tarkistuksen voimaantulo toimenpiteen kuvauksen mukaisesti.</w:t>
            </w:r>
          </w:p>
        </w:tc>
      </w:tr>
      <w:tr w:rsidR="0065073E" w14:paraId="48ABB541" w14:textId="77777777">
        <w:trPr>
          <w:trHeight w:val="309"/>
        </w:trPr>
        <w:tc>
          <w:tcPr>
            <w:tcW w:w="832" w:type="dxa"/>
            <w:shd w:val="clear" w:color="auto" w:fill="C6EFCE"/>
            <w:noWrap/>
          </w:tcPr>
          <w:p w14:paraId="0750B6FA" w14:textId="5FEB1B58" w:rsidR="0065073E" w:rsidRDefault="000A0998">
            <w:pPr>
              <w:pStyle w:val="P68B1DB1-Normal12"/>
              <w:spacing w:after="0" w:line="240" w:lineRule="auto"/>
              <w:jc w:val="center"/>
              <w:rPr>
                <w:rFonts w:cs="Times New Roman"/>
                <w:noProof/>
              </w:rPr>
            </w:pPr>
            <w:r>
              <w:rPr>
                <w:noProof/>
              </w:rPr>
              <w:t>46</w:t>
            </w:r>
          </w:p>
        </w:tc>
        <w:tc>
          <w:tcPr>
            <w:tcW w:w="829" w:type="dxa"/>
            <w:shd w:val="clear" w:color="auto" w:fill="C6EFCE"/>
            <w:noWrap/>
          </w:tcPr>
          <w:p w14:paraId="52841C32" w14:textId="5984E8B1" w:rsidR="0065073E" w:rsidRDefault="000A0998">
            <w:pPr>
              <w:pStyle w:val="P68B1DB1-Normal12"/>
              <w:spacing w:after="0"/>
              <w:jc w:val="center"/>
              <w:rPr>
                <w:rFonts w:cs="Times New Roman"/>
                <w:noProof/>
              </w:rPr>
            </w:pPr>
            <w:r>
              <w:rPr>
                <w:noProof/>
              </w:rPr>
              <w:t>C3.I1</w:t>
            </w:r>
          </w:p>
        </w:tc>
        <w:tc>
          <w:tcPr>
            <w:tcW w:w="1051" w:type="dxa"/>
            <w:shd w:val="clear" w:color="auto" w:fill="C6EFCE"/>
            <w:noWrap/>
          </w:tcPr>
          <w:p w14:paraId="3779626A" w14:textId="5ADFB374" w:rsidR="0065073E" w:rsidRDefault="000A0998">
            <w:pPr>
              <w:pStyle w:val="P68B1DB1-Normal12"/>
              <w:spacing w:after="0"/>
              <w:jc w:val="center"/>
              <w:rPr>
                <w:rFonts w:cs="Times New Roman"/>
                <w:noProof/>
              </w:rPr>
            </w:pPr>
            <w:r>
              <w:rPr>
                <w:noProof/>
              </w:rPr>
              <w:t>T</w:t>
            </w:r>
          </w:p>
        </w:tc>
        <w:tc>
          <w:tcPr>
            <w:tcW w:w="2809" w:type="dxa"/>
            <w:shd w:val="clear" w:color="auto" w:fill="C6EFCE"/>
            <w:noWrap/>
          </w:tcPr>
          <w:p w14:paraId="30D32596" w14:textId="52F44B39" w:rsidR="0065073E" w:rsidRDefault="000A0998">
            <w:pPr>
              <w:pStyle w:val="P68B1DB1-Normal12"/>
              <w:spacing w:after="0"/>
              <w:jc w:val="both"/>
              <w:rPr>
                <w:rFonts w:cs="Times New Roman"/>
                <w:noProof/>
              </w:rPr>
            </w:pPr>
            <w:r>
              <w:rPr>
                <w:noProof/>
              </w:rPr>
              <w:t>Maatalous-, kalastus- ja elintarvikeministeriön (MAPA) ja SEIASAn välisen, kasteltujen alueiden parantamisen ja kestävyyden tukemista koskevan sopimuksen voimaantulo (ensimmäinen vaihe)</w:t>
            </w:r>
          </w:p>
        </w:tc>
        <w:tc>
          <w:tcPr>
            <w:tcW w:w="1242" w:type="dxa"/>
            <w:shd w:val="clear" w:color="auto" w:fill="C6EFCE"/>
            <w:noWrap/>
          </w:tcPr>
          <w:p w14:paraId="1BA8419B" w14:textId="32E5C9C6" w:rsidR="0065073E" w:rsidRDefault="0065073E">
            <w:pPr>
              <w:spacing w:after="0"/>
              <w:jc w:val="both"/>
              <w:rPr>
                <w:rFonts w:ascii="Times New Roman" w:hAnsi="Times New Roman" w:cs="Times New Roman"/>
                <w:noProof/>
                <w:sz w:val="18"/>
              </w:rPr>
            </w:pPr>
          </w:p>
        </w:tc>
        <w:tc>
          <w:tcPr>
            <w:tcW w:w="828" w:type="dxa"/>
            <w:shd w:val="clear" w:color="auto" w:fill="C6EFCE"/>
            <w:noWrap/>
          </w:tcPr>
          <w:p w14:paraId="00F69AA2" w14:textId="6055BA41" w:rsidR="0065073E" w:rsidRDefault="000A0998">
            <w:pPr>
              <w:pStyle w:val="P68B1DB1-Normal12"/>
              <w:spacing w:after="0" w:line="240" w:lineRule="auto"/>
              <w:jc w:val="right"/>
              <w:rPr>
                <w:rFonts w:cs="Times New Roman"/>
                <w:noProof/>
              </w:rPr>
            </w:pPr>
            <w:r>
              <w:rPr>
                <w:noProof/>
              </w:rPr>
              <w:t>Miljoonaa euroa</w:t>
            </w:r>
          </w:p>
          <w:p w14:paraId="2D568180" w14:textId="68449AFA" w:rsidR="0065073E" w:rsidRDefault="0065073E">
            <w:pPr>
              <w:spacing w:after="0"/>
              <w:jc w:val="right"/>
              <w:rPr>
                <w:rFonts w:ascii="Times New Roman" w:hAnsi="Times New Roman" w:cs="Times New Roman"/>
                <w:noProof/>
                <w:sz w:val="18"/>
              </w:rPr>
            </w:pPr>
          </w:p>
        </w:tc>
        <w:tc>
          <w:tcPr>
            <w:tcW w:w="966" w:type="dxa"/>
            <w:shd w:val="clear" w:color="auto" w:fill="C6EFCE"/>
            <w:noWrap/>
          </w:tcPr>
          <w:p w14:paraId="6E8C024D" w14:textId="0F96F2ED" w:rsidR="0065073E" w:rsidRDefault="000A0998">
            <w:pPr>
              <w:pStyle w:val="P68B1DB1-Normal12"/>
              <w:spacing w:after="0"/>
              <w:jc w:val="center"/>
              <w:rPr>
                <w:rFonts w:cs="Times New Roman"/>
                <w:noProof/>
              </w:rPr>
            </w:pPr>
            <w:r>
              <w:rPr>
                <w:noProof/>
              </w:rPr>
              <w:t>0</w:t>
            </w:r>
          </w:p>
        </w:tc>
        <w:tc>
          <w:tcPr>
            <w:tcW w:w="691" w:type="dxa"/>
            <w:shd w:val="clear" w:color="auto" w:fill="C6EFCE"/>
            <w:noWrap/>
          </w:tcPr>
          <w:p w14:paraId="5E555695" w14:textId="2CF218CF" w:rsidR="0065073E" w:rsidRDefault="000A0998">
            <w:pPr>
              <w:pStyle w:val="P68B1DB1-Normal12"/>
              <w:spacing w:after="0"/>
              <w:jc w:val="center"/>
              <w:rPr>
                <w:rFonts w:cs="Times New Roman"/>
                <w:noProof/>
              </w:rPr>
            </w:pPr>
            <w:r>
              <w:rPr>
                <w:noProof/>
              </w:rPr>
              <w:t>260</w:t>
            </w:r>
          </w:p>
        </w:tc>
        <w:tc>
          <w:tcPr>
            <w:tcW w:w="415" w:type="dxa"/>
            <w:shd w:val="clear" w:color="auto" w:fill="C6EFCE"/>
            <w:noWrap/>
          </w:tcPr>
          <w:p w14:paraId="769D54F7" w14:textId="5EAE90B5" w:rsidR="0065073E" w:rsidRDefault="000A0998">
            <w:pPr>
              <w:pStyle w:val="P68B1DB1-Normal12"/>
              <w:spacing w:after="0"/>
              <w:jc w:val="center"/>
              <w:rPr>
                <w:rFonts w:cs="Times New Roman"/>
                <w:noProof/>
              </w:rPr>
            </w:pPr>
            <w:r>
              <w:rPr>
                <w:noProof/>
              </w:rPr>
              <w:t>Q3</w:t>
            </w:r>
          </w:p>
        </w:tc>
        <w:tc>
          <w:tcPr>
            <w:tcW w:w="553" w:type="dxa"/>
            <w:shd w:val="clear" w:color="auto" w:fill="C6EFCE"/>
            <w:noWrap/>
          </w:tcPr>
          <w:p w14:paraId="0F52CF20" w14:textId="69F2473B" w:rsidR="0065073E" w:rsidRDefault="000A0998">
            <w:pPr>
              <w:pStyle w:val="P68B1DB1-Normal12"/>
              <w:spacing w:after="0"/>
              <w:jc w:val="center"/>
              <w:rPr>
                <w:rFonts w:cs="Times New Roman"/>
                <w:noProof/>
              </w:rPr>
            </w:pPr>
            <w:r>
              <w:rPr>
                <w:noProof/>
              </w:rPr>
              <w:t>2021</w:t>
            </w:r>
          </w:p>
        </w:tc>
        <w:tc>
          <w:tcPr>
            <w:tcW w:w="5236" w:type="dxa"/>
            <w:shd w:val="clear" w:color="auto" w:fill="C6EFCE"/>
            <w:noWrap/>
          </w:tcPr>
          <w:p w14:paraId="79D3D6CC" w14:textId="0EA391EE" w:rsidR="0065073E" w:rsidRDefault="000A0998">
            <w:pPr>
              <w:pStyle w:val="P68B1DB1-Normal12"/>
              <w:spacing w:after="0"/>
              <w:jc w:val="both"/>
              <w:rPr>
                <w:rFonts w:cs="Times New Roman"/>
                <w:noProof/>
              </w:rPr>
            </w:pPr>
            <w:r>
              <w:rPr>
                <w:noProof/>
              </w:rPr>
              <w:t xml:space="preserve">Maatalous-, kalastus- ja elintarvikeministeriön (MAPA) ja SEIASAn (ensimmäinen vaihe) välinen yhteistyösopimus; Tämän investoinnin avulla toteutettavan kastelun tehokkuuden ja kestävyyden parantamista koskevan suunnitelman ehdot on pantava täytäntöön 260000000 eurolla. Tällä oikeudellisella normilla säännellään muun muassa kastelun nykyaikaistamiseen tehtävien investointien julkista/yksityistä rahoitusjärjestelmää, hankkeiden valintaperusteita, suunnitelman toteuttamismenettelyjä sekä luetteloa tämän toimenpiteen mukaiseen talousarvion toteuttamiseen liittyvistä toimista. </w:t>
            </w:r>
          </w:p>
        </w:tc>
      </w:tr>
      <w:tr w:rsidR="0065073E" w14:paraId="6CBDEA99" w14:textId="77777777">
        <w:trPr>
          <w:trHeight w:val="309"/>
        </w:trPr>
        <w:tc>
          <w:tcPr>
            <w:tcW w:w="832" w:type="dxa"/>
            <w:shd w:val="clear" w:color="auto" w:fill="C6EFCE"/>
            <w:noWrap/>
          </w:tcPr>
          <w:p w14:paraId="53F5FDCC" w14:textId="342215BA" w:rsidR="0065073E" w:rsidRDefault="000A0998">
            <w:pPr>
              <w:pStyle w:val="P68B1DB1-Normal12"/>
              <w:spacing w:line="240" w:lineRule="auto"/>
              <w:jc w:val="center"/>
              <w:rPr>
                <w:rFonts w:cs="Times New Roman"/>
                <w:noProof/>
              </w:rPr>
            </w:pPr>
            <w:r>
              <w:rPr>
                <w:noProof/>
              </w:rPr>
              <w:t>47</w:t>
            </w:r>
          </w:p>
        </w:tc>
        <w:tc>
          <w:tcPr>
            <w:tcW w:w="829" w:type="dxa"/>
            <w:shd w:val="clear" w:color="auto" w:fill="C6EFCE"/>
            <w:noWrap/>
          </w:tcPr>
          <w:p w14:paraId="64FBB728" w14:textId="1AA8583D" w:rsidR="0065073E" w:rsidRDefault="000A0998">
            <w:pPr>
              <w:pStyle w:val="P68B1DB1-Normal12"/>
              <w:jc w:val="center"/>
              <w:rPr>
                <w:rFonts w:eastAsia="MS Mincho" w:cs="Times New Roman"/>
                <w:noProof/>
              </w:rPr>
            </w:pPr>
            <w:r>
              <w:rPr>
                <w:noProof/>
              </w:rPr>
              <w:t>C3.I1</w:t>
            </w:r>
          </w:p>
        </w:tc>
        <w:tc>
          <w:tcPr>
            <w:tcW w:w="1051" w:type="dxa"/>
            <w:shd w:val="clear" w:color="auto" w:fill="C6EFCE"/>
            <w:noWrap/>
          </w:tcPr>
          <w:p w14:paraId="27F2A861" w14:textId="474DE391" w:rsidR="0065073E" w:rsidRDefault="000A0998">
            <w:pPr>
              <w:pStyle w:val="P68B1DB1-Normal12"/>
              <w:jc w:val="center"/>
              <w:rPr>
                <w:rFonts w:eastAsia="MS Mincho" w:cs="Times New Roman"/>
                <w:noProof/>
              </w:rPr>
            </w:pPr>
            <w:r>
              <w:rPr>
                <w:noProof/>
              </w:rPr>
              <w:t>T</w:t>
            </w:r>
          </w:p>
        </w:tc>
        <w:tc>
          <w:tcPr>
            <w:tcW w:w="2809" w:type="dxa"/>
            <w:shd w:val="clear" w:color="auto" w:fill="C6EFCE"/>
            <w:noWrap/>
          </w:tcPr>
          <w:p w14:paraId="1AB834DC" w14:textId="12200F7D" w:rsidR="0065073E" w:rsidRDefault="000A0998">
            <w:pPr>
              <w:pStyle w:val="P68B1DB1-Normal12"/>
              <w:jc w:val="both"/>
              <w:rPr>
                <w:rFonts w:eastAsia="MS Mincho" w:cs="Times New Roman"/>
                <w:noProof/>
              </w:rPr>
            </w:pPr>
            <w:r>
              <w:rPr>
                <w:noProof/>
              </w:rPr>
              <w:t>Maatalous-, kalastus- ja elintarvikeministeriön (MAPA) ja SEIASAn välisen kasteltujen alueiden parantamisen ja kestävyyden tukemista koskevan sopimuksen täytäntöönpano (toinen vaihe)</w:t>
            </w:r>
          </w:p>
        </w:tc>
        <w:tc>
          <w:tcPr>
            <w:tcW w:w="1242" w:type="dxa"/>
            <w:shd w:val="clear" w:color="auto" w:fill="C6EFCE"/>
            <w:noWrap/>
          </w:tcPr>
          <w:p w14:paraId="2F9ACA8D" w14:textId="0C857BE8" w:rsidR="0065073E" w:rsidRDefault="0065073E">
            <w:pPr>
              <w:jc w:val="both"/>
              <w:rPr>
                <w:rFonts w:ascii="Times New Roman" w:eastAsia="MS Mincho" w:hAnsi="Times New Roman" w:cs="Times New Roman"/>
                <w:noProof/>
                <w:sz w:val="18"/>
              </w:rPr>
            </w:pPr>
          </w:p>
        </w:tc>
        <w:tc>
          <w:tcPr>
            <w:tcW w:w="828" w:type="dxa"/>
            <w:shd w:val="clear" w:color="auto" w:fill="C6EFCE"/>
            <w:noWrap/>
          </w:tcPr>
          <w:p w14:paraId="4CA86D2C" w14:textId="72FEF1C5" w:rsidR="0065073E" w:rsidRDefault="000A0998">
            <w:pPr>
              <w:pStyle w:val="P68B1DB1-Normal12"/>
              <w:jc w:val="right"/>
              <w:rPr>
                <w:rFonts w:eastAsia="MS Mincho" w:cs="Times New Roman"/>
                <w:noProof/>
              </w:rPr>
            </w:pPr>
            <w:r>
              <w:rPr>
                <w:noProof/>
              </w:rPr>
              <w:t xml:space="preserve"> Miljoonaa euroa</w:t>
            </w:r>
          </w:p>
        </w:tc>
        <w:tc>
          <w:tcPr>
            <w:tcW w:w="966" w:type="dxa"/>
            <w:shd w:val="clear" w:color="auto" w:fill="C6EFCE"/>
            <w:noWrap/>
          </w:tcPr>
          <w:p w14:paraId="28C1EA42" w14:textId="398DF7B8" w:rsidR="0065073E" w:rsidRDefault="000A0998">
            <w:pPr>
              <w:pStyle w:val="P68B1DB1-Normal12"/>
              <w:jc w:val="center"/>
              <w:rPr>
                <w:rFonts w:eastAsia="MS Mincho" w:cs="Times New Roman"/>
                <w:noProof/>
              </w:rPr>
            </w:pPr>
            <w:r>
              <w:rPr>
                <w:noProof/>
              </w:rPr>
              <w:t>0</w:t>
            </w:r>
          </w:p>
        </w:tc>
        <w:tc>
          <w:tcPr>
            <w:tcW w:w="691" w:type="dxa"/>
            <w:shd w:val="clear" w:color="auto" w:fill="C6EFCE"/>
            <w:noWrap/>
          </w:tcPr>
          <w:p w14:paraId="4A8791FA" w14:textId="16653014" w:rsidR="0065073E" w:rsidRDefault="000A0998">
            <w:pPr>
              <w:pStyle w:val="P68B1DB1-Normal12"/>
              <w:jc w:val="center"/>
              <w:rPr>
                <w:rFonts w:eastAsia="MS Mincho" w:cs="Times New Roman"/>
                <w:noProof/>
              </w:rPr>
            </w:pPr>
            <w:r>
              <w:rPr>
                <w:noProof/>
              </w:rPr>
              <w:t>303</w:t>
            </w:r>
          </w:p>
        </w:tc>
        <w:tc>
          <w:tcPr>
            <w:tcW w:w="415" w:type="dxa"/>
            <w:shd w:val="clear" w:color="auto" w:fill="C6EFCE"/>
            <w:noWrap/>
          </w:tcPr>
          <w:p w14:paraId="27AD45C1" w14:textId="42F227C3" w:rsidR="0065073E" w:rsidRDefault="000A0998">
            <w:pPr>
              <w:pStyle w:val="P68B1DB1-Normal12"/>
              <w:jc w:val="center"/>
              <w:rPr>
                <w:rFonts w:eastAsia="MS Mincho" w:cs="Times New Roman"/>
                <w:noProof/>
              </w:rPr>
            </w:pPr>
            <w:r>
              <w:rPr>
                <w:noProof/>
              </w:rPr>
              <w:t>Q4</w:t>
            </w:r>
          </w:p>
        </w:tc>
        <w:tc>
          <w:tcPr>
            <w:tcW w:w="553" w:type="dxa"/>
            <w:shd w:val="clear" w:color="auto" w:fill="C6EFCE"/>
            <w:noWrap/>
          </w:tcPr>
          <w:p w14:paraId="401541CC" w14:textId="5EEC3C07" w:rsidR="0065073E" w:rsidRDefault="000A0998">
            <w:pPr>
              <w:pStyle w:val="P68B1DB1-Normal12"/>
              <w:jc w:val="center"/>
              <w:rPr>
                <w:rFonts w:eastAsia="MS Mincho" w:cs="Times New Roman"/>
                <w:noProof/>
              </w:rPr>
            </w:pPr>
            <w:r>
              <w:rPr>
                <w:noProof/>
              </w:rPr>
              <w:t>2022</w:t>
            </w:r>
          </w:p>
        </w:tc>
        <w:tc>
          <w:tcPr>
            <w:tcW w:w="5236" w:type="dxa"/>
            <w:shd w:val="clear" w:color="auto" w:fill="C6EFCE"/>
            <w:noWrap/>
          </w:tcPr>
          <w:p w14:paraId="6AB7ED07" w14:textId="27C7D0BB" w:rsidR="0065073E" w:rsidRDefault="000A0998">
            <w:pPr>
              <w:pStyle w:val="P68B1DB1-Normal12"/>
              <w:rPr>
                <w:rFonts w:eastAsia="MS Mincho" w:cs="Times New Roman"/>
                <w:noProof/>
              </w:rPr>
            </w:pPr>
            <w:r>
              <w:rPr>
                <w:noProof/>
              </w:rPr>
              <w:t>Maatalous-, kalastus- ja elintarvikeministeriön (MAPA) ja SEIASAn (vaihe II) välinen yhteistyösopimus; 303000000 euroa talousarvion toteuttamisesta) pannaan täytäntöön tämän investointihankkeen yhteydessä toteutettavan kastelun tehokkuuden ja kestävyyden parantamista koskevan suunnitelman ehdot. Tällä oikeudellisella normilla säännellään muun muassa kastelun nykyaikaistamiseen tehtävien investointien julkista/yksityistä rahoitusjärjestelmää, hankkeiden valintaperusteita, suunnitelman toteuttamismenettelyjä sekä luetteloa tämän toimenpiteen mukaiseen talousarvion toteuttamiseen liittyvistä toimista.</w:t>
            </w:r>
          </w:p>
        </w:tc>
      </w:tr>
      <w:tr w:rsidR="0065073E" w14:paraId="7577C33F" w14:textId="77777777">
        <w:trPr>
          <w:trHeight w:val="309"/>
        </w:trPr>
        <w:tc>
          <w:tcPr>
            <w:tcW w:w="832" w:type="dxa"/>
            <w:shd w:val="clear" w:color="auto" w:fill="C6EFCE"/>
            <w:noWrap/>
          </w:tcPr>
          <w:p w14:paraId="36D2D02A" w14:textId="68F8EBAD" w:rsidR="0065073E" w:rsidRDefault="000A0998">
            <w:pPr>
              <w:pStyle w:val="P68B1DB1-Normal12"/>
              <w:spacing w:line="240" w:lineRule="auto"/>
              <w:jc w:val="center"/>
              <w:rPr>
                <w:rFonts w:cs="Times New Roman"/>
                <w:noProof/>
              </w:rPr>
            </w:pPr>
            <w:r>
              <w:rPr>
                <w:noProof/>
              </w:rPr>
              <w:t>424</w:t>
            </w:r>
          </w:p>
        </w:tc>
        <w:tc>
          <w:tcPr>
            <w:tcW w:w="829" w:type="dxa"/>
            <w:shd w:val="clear" w:color="auto" w:fill="C6EFCE"/>
            <w:noWrap/>
          </w:tcPr>
          <w:p w14:paraId="5088AA62" w14:textId="30762D2E" w:rsidR="0065073E" w:rsidRDefault="000A0998">
            <w:pPr>
              <w:pStyle w:val="P68B1DB1-Normal12"/>
              <w:jc w:val="center"/>
              <w:rPr>
                <w:rFonts w:cs="Times New Roman"/>
                <w:noProof/>
              </w:rPr>
            </w:pPr>
            <w:r>
              <w:rPr>
                <w:noProof/>
              </w:rPr>
              <w:t>C3.I1</w:t>
            </w:r>
          </w:p>
        </w:tc>
        <w:tc>
          <w:tcPr>
            <w:tcW w:w="1051" w:type="dxa"/>
            <w:shd w:val="clear" w:color="auto" w:fill="C6EFCE"/>
            <w:noWrap/>
          </w:tcPr>
          <w:p w14:paraId="25FD4440" w14:textId="40B015AD" w:rsidR="0065073E" w:rsidRDefault="000A0998">
            <w:pPr>
              <w:pStyle w:val="P68B1DB1-Normal12"/>
              <w:jc w:val="center"/>
              <w:rPr>
                <w:rFonts w:cs="Times New Roman"/>
                <w:noProof/>
              </w:rPr>
            </w:pPr>
            <w:r>
              <w:rPr>
                <w:noProof/>
              </w:rPr>
              <w:t>T</w:t>
            </w:r>
          </w:p>
        </w:tc>
        <w:tc>
          <w:tcPr>
            <w:tcW w:w="2809" w:type="dxa"/>
            <w:shd w:val="clear" w:color="auto" w:fill="C6EFCE"/>
            <w:noWrap/>
          </w:tcPr>
          <w:p w14:paraId="00300C24" w14:textId="3E3C7121" w:rsidR="0065073E" w:rsidRDefault="000A0998">
            <w:pPr>
              <w:pStyle w:val="P68B1DB1-Normal12"/>
              <w:jc w:val="both"/>
              <w:rPr>
                <w:rFonts w:cs="Times New Roman"/>
                <w:noProof/>
              </w:rPr>
            </w:pPr>
            <w:r>
              <w:rPr>
                <w:noProof/>
              </w:rPr>
              <w:t>Maatalous-, kalastus- ja elintarvikeministeriön (MAPA) ja SEIASAn väliseen sopimukseen kasteltujen alueiden parantamisen ja kestävyyden tukemisesta tehdyn lisäyksen täytäntöönpano (toinen vaihe)</w:t>
            </w:r>
          </w:p>
        </w:tc>
        <w:tc>
          <w:tcPr>
            <w:tcW w:w="1242" w:type="dxa"/>
            <w:shd w:val="clear" w:color="auto" w:fill="C6EFCE"/>
            <w:noWrap/>
          </w:tcPr>
          <w:p w14:paraId="4E4E8018" w14:textId="77777777" w:rsidR="0065073E" w:rsidRDefault="0065073E">
            <w:pPr>
              <w:jc w:val="both"/>
              <w:rPr>
                <w:rFonts w:ascii="Times New Roman" w:eastAsia="MS Mincho" w:hAnsi="Times New Roman" w:cs="Times New Roman"/>
                <w:noProof/>
                <w:sz w:val="18"/>
              </w:rPr>
            </w:pPr>
          </w:p>
        </w:tc>
        <w:tc>
          <w:tcPr>
            <w:tcW w:w="828" w:type="dxa"/>
            <w:shd w:val="clear" w:color="auto" w:fill="C6EFCE"/>
            <w:noWrap/>
          </w:tcPr>
          <w:p w14:paraId="3494E958" w14:textId="2FCCCC51" w:rsidR="0065073E" w:rsidRDefault="000A0998">
            <w:pPr>
              <w:pStyle w:val="P68B1DB1-Normal12"/>
              <w:jc w:val="right"/>
              <w:rPr>
                <w:rFonts w:cs="Times New Roman"/>
                <w:noProof/>
              </w:rPr>
            </w:pPr>
            <w:r>
              <w:rPr>
                <w:noProof/>
              </w:rPr>
              <w:t xml:space="preserve"> Miljoonaa euroa</w:t>
            </w:r>
          </w:p>
        </w:tc>
        <w:tc>
          <w:tcPr>
            <w:tcW w:w="966" w:type="dxa"/>
            <w:shd w:val="clear" w:color="auto" w:fill="C6EFCE"/>
            <w:noWrap/>
          </w:tcPr>
          <w:p w14:paraId="4FC8A7EA" w14:textId="5EC70449" w:rsidR="0065073E" w:rsidRDefault="000A0998">
            <w:pPr>
              <w:pStyle w:val="P68B1DB1-Normal12"/>
              <w:jc w:val="center"/>
              <w:rPr>
                <w:rFonts w:cs="Times New Roman"/>
                <w:noProof/>
              </w:rPr>
            </w:pPr>
            <w:r>
              <w:rPr>
                <w:noProof/>
              </w:rPr>
              <w:t>303</w:t>
            </w:r>
          </w:p>
        </w:tc>
        <w:tc>
          <w:tcPr>
            <w:tcW w:w="691" w:type="dxa"/>
            <w:shd w:val="clear" w:color="auto" w:fill="C6EFCE"/>
            <w:noWrap/>
          </w:tcPr>
          <w:p w14:paraId="5FDE98C4" w14:textId="13FC3B97" w:rsidR="0065073E" w:rsidRDefault="000A0998">
            <w:pPr>
              <w:pStyle w:val="P68B1DB1-Normal12"/>
              <w:jc w:val="center"/>
              <w:rPr>
                <w:rFonts w:cs="Times New Roman"/>
                <w:noProof/>
              </w:rPr>
            </w:pPr>
            <w:r>
              <w:rPr>
                <w:noProof/>
              </w:rPr>
              <w:t>453</w:t>
            </w:r>
          </w:p>
        </w:tc>
        <w:tc>
          <w:tcPr>
            <w:tcW w:w="415" w:type="dxa"/>
            <w:shd w:val="clear" w:color="auto" w:fill="C6EFCE"/>
            <w:noWrap/>
          </w:tcPr>
          <w:p w14:paraId="79979275" w14:textId="4E86C5E1" w:rsidR="0065073E" w:rsidRDefault="000A0998">
            <w:pPr>
              <w:pStyle w:val="P68B1DB1-Normal12"/>
              <w:jc w:val="center"/>
              <w:rPr>
                <w:rFonts w:cs="Times New Roman"/>
                <w:noProof/>
              </w:rPr>
            </w:pPr>
            <w:r>
              <w:rPr>
                <w:noProof/>
              </w:rPr>
              <w:t>Q4</w:t>
            </w:r>
          </w:p>
        </w:tc>
        <w:tc>
          <w:tcPr>
            <w:tcW w:w="553" w:type="dxa"/>
            <w:shd w:val="clear" w:color="auto" w:fill="C6EFCE"/>
            <w:noWrap/>
          </w:tcPr>
          <w:p w14:paraId="46DA8AFD" w14:textId="23622128" w:rsidR="0065073E" w:rsidRDefault="000A0998">
            <w:pPr>
              <w:pStyle w:val="P68B1DB1-Normal12"/>
              <w:jc w:val="center"/>
              <w:rPr>
                <w:rFonts w:cs="Times New Roman"/>
                <w:noProof/>
              </w:rPr>
            </w:pPr>
            <w:r>
              <w:rPr>
                <w:noProof/>
              </w:rPr>
              <w:t>2023</w:t>
            </w:r>
          </w:p>
        </w:tc>
        <w:tc>
          <w:tcPr>
            <w:tcW w:w="5236" w:type="dxa"/>
            <w:shd w:val="clear" w:color="auto" w:fill="C6EFCE"/>
            <w:noWrap/>
          </w:tcPr>
          <w:p w14:paraId="4912E8BF" w14:textId="573B8FFB" w:rsidR="0065073E" w:rsidRDefault="000A0998">
            <w:pPr>
              <w:pStyle w:val="P68B1DB1-Normal12"/>
              <w:rPr>
                <w:rFonts w:cs="Times New Roman"/>
                <w:noProof/>
              </w:rPr>
            </w:pPr>
            <w:r>
              <w:rPr>
                <w:noProof/>
              </w:rPr>
              <w:t>Lisäys maatalous-, kalastus- ja elintarvikeministeriön (MAPA) ja SEIASAn väliseen yhteistyösopimukseen (vaiheen II laajentaminen; 150000000 euroa talousarvion toteuttamisesta) pannaan täytäntöön tämän investointihankkeen yhteydessä toteutettavan kastelun tehokkuuden ja kestävyyden parantamista koskevan suunnitelman ehdot. Tällä oikeudellisella normilla säännellään muun muassa kastelun nykyaikaistamiseen tehtävien investointien julkista/yksityistä rahoitusjärjestelmää, hankkeiden valintaperusteita, suunnitelman toteuttamismenettelyjä sekä luetteloa tämän toimenpiteen mukaiseen talousarvion toteuttamiseen liittyvistä toimista.  (Perustaso: Kesäkuuta 2022 tavoitteen 47 perusteella)</w:t>
            </w:r>
          </w:p>
        </w:tc>
      </w:tr>
      <w:tr w:rsidR="0065073E" w14:paraId="0B6296AC" w14:textId="77777777">
        <w:trPr>
          <w:trHeight w:val="309"/>
        </w:trPr>
        <w:tc>
          <w:tcPr>
            <w:tcW w:w="832" w:type="dxa"/>
            <w:shd w:val="clear" w:color="auto" w:fill="C6EFCE"/>
            <w:noWrap/>
          </w:tcPr>
          <w:p w14:paraId="28E52AA1" w14:textId="354ADA0D" w:rsidR="0065073E" w:rsidRDefault="000A0998">
            <w:pPr>
              <w:pStyle w:val="P68B1DB1-Normal12"/>
              <w:spacing w:after="0" w:line="240" w:lineRule="auto"/>
              <w:jc w:val="center"/>
              <w:rPr>
                <w:rFonts w:eastAsia="MS Mincho" w:cs="Times New Roman"/>
                <w:noProof/>
              </w:rPr>
            </w:pPr>
            <w:r>
              <w:rPr>
                <w:noProof/>
              </w:rPr>
              <w:t>48</w:t>
            </w:r>
          </w:p>
        </w:tc>
        <w:tc>
          <w:tcPr>
            <w:tcW w:w="829" w:type="dxa"/>
            <w:shd w:val="clear" w:color="auto" w:fill="C6EFCE"/>
            <w:noWrap/>
          </w:tcPr>
          <w:p w14:paraId="023805EF" w14:textId="77777777" w:rsidR="0065073E" w:rsidRDefault="000A0998">
            <w:pPr>
              <w:pStyle w:val="P68B1DB1-Normal12"/>
              <w:spacing w:after="0" w:line="240" w:lineRule="auto"/>
              <w:jc w:val="center"/>
              <w:rPr>
                <w:rFonts w:eastAsia="MS Mincho" w:cs="Times New Roman"/>
                <w:noProof/>
              </w:rPr>
            </w:pPr>
            <w:r>
              <w:rPr>
                <w:noProof/>
              </w:rPr>
              <w:t>C3.I1</w:t>
            </w:r>
          </w:p>
        </w:tc>
        <w:tc>
          <w:tcPr>
            <w:tcW w:w="1051" w:type="dxa"/>
            <w:shd w:val="clear" w:color="auto" w:fill="C6EFCE"/>
            <w:noWrap/>
          </w:tcPr>
          <w:p w14:paraId="55F394AC" w14:textId="7777777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37A0B2C3" w14:textId="65364637" w:rsidR="0065073E" w:rsidRDefault="000A0998">
            <w:pPr>
              <w:pStyle w:val="P68B1DB1-Normal12"/>
              <w:spacing w:after="0" w:line="240" w:lineRule="auto"/>
              <w:rPr>
                <w:rFonts w:eastAsia="MS Mincho" w:cs="Times New Roman"/>
                <w:noProof/>
              </w:rPr>
            </w:pPr>
            <w:r>
              <w:rPr>
                <w:noProof/>
              </w:rPr>
              <w:t xml:space="preserve">Kastelujärjestelmien nykyaikaistaminen vedensäästön ja energiatehokkuuden osalta  </w:t>
            </w:r>
          </w:p>
        </w:tc>
        <w:tc>
          <w:tcPr>
            <w:tcW w:w="1242" w:type="dxa"/>
            <w:shd w:val="clear" w:color="auto" w:fill="C6EFCE"/>
            <w:noWrap/>
          </w:tcPr>
          <w:p w14:paraId="1F72F646"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69A22CFF" w14:textId="5A648E9A" w:rsidR="0065073E" w:rsidRDefault="000A0998">
            <w:pPr>
              <w:pStyle w:val="P68B1DB1-Normal12"/>
              <w:spacing w:after="0" w:line="240" w:lineRule="auto"/>
              <w:jc w:val="right"/>
              <w:rPr>
                <w:rFonts w:eastAsia="MS Mincho" w:cs="Times New Roman"/>
                <w:noProof/>
              </w:rPr>
            </w:pPr>
            <w:r>
              <w:rPr>
                <w:noProof/>
              </w:rPr>
              <w:t>Lukumäärä (hehtaaria)</w:t>
            </w:r>
          </w:p>
        </w:tc>
        <w:tc>
          <w:tcPr>
            <w:tcW w:w="966" w:type="dxa"/>
            <w:shd w:val="clear" w:color="auto" w:fill="C6EFCE"/>
            <w:noWrap/>
          </w:tcPr>
          <w:p w14:paraId="5D56E414" w14:textId="7777777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65BA75C7" w14:textId="1A054656" w:rsidR="0065073E" w:rsidRDefault="000A0998">
            <w:pPr>
              <w:pStyle w:val="P68B1DB1-Normal12"/>
              <w:spacing w:after="0" w:line="240" w:lineRule="auto"/>
              <w:jc w:val="right"/>
              <w:rPr>
                <w:rFonts w:eastAsia="MS Mincho" w:cs="Times New Roman"/>
                <w:noProof/>
              </w:rPr>
            </w:pPr>
            <w:r>
              <w:rPr>
                <w:noProof/>
              </w:rPr>
              <w:t>125 000</w:t>
            </w:r>
          </w:p>
        </w:tc>
        <w:tc>
          <w:tcPr>
            <w:tcW w:w="415" w:type="dxa"/>
            <w:shd w:val="clear" w:color="auto" w:fill="C6EFCE"/>
            <w:noWrap/>
          </w:tcPr>
          <w:p w14:paraId="7757B762" w14:textId="30E4530E"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5177A41D" w14:textId="07F9D794" w:rsidR="0065073E" w:rsidRDefault="000A0998">
            <w:pPr>
              <w:pStyle w:val="P68B1DB1-Normal12"/>
              <w:spacing w:after="0" w:line="240" w:lineRule="auto"/>
              <w:jc w:val="center"/>
              <w:rPr>
                <w:rFonts w:eastAsia="MS Mincho" w:cs="Times New Roman"/>
                <w:noProof/>
              </w:rPr>
            </w:pPr>
            <w:r>
              <w:rPr>
                <w:noProof/>
              </w:rPr>
              <w:t>2026</w:t>
            </w:r>
          </w:p>
        </w:tc>
        <w:tc>
          <w:tcPr>
            <w:tcW w:w="5236" w:type="dxa"/>
            <w:shd w:val="clear" w:color="auto" w:fill="C6EFCE"/>
            <w:noWrap/>
          </w:tcPr>
          <w:p w14:paraId="3EA8274B" w14:textId="7C567330" w:rsidR="0065073E" w:rsidRDefault="000A0998">
            <w:pPr>
              <w:pStyle w:val="P68B1DB1-Normal12"/>
              <w:spacing w:after="0" w:line="240" w:lineRule="auto"/>
              <w:rPr>
                <w:rFonts w:eastAsia="MS Mincho" w:cs="Times New Roman"/>
                <w:noProof/>
              </w:rPr>
            </w:pPr>
            <w:r>
              <w:rPr>
                <w:noProof/>
              </w:rPr>
              <w:t>Vähintään 125000 hehtaaria kastelujärjestelmiä on nykyaikaistettu vedensäästön ja energiatehokkuuden osalta. Elpymis- ja palautumissuunnitelman investoinneilla nykyaikaistettu pinta-ala sekä toteutettujen toimien tyyppi on otettava huomioon SEIASAn I vedenkäyttäjäyhteisöjen kanssa tekemissä yhteistyösopimuksissa. Näissä sopimuksissa vahvistetaan erityistoimet, jotka on toteutettava vedensäästön ja energiatehokkuuden takaamiseksi nykyaikaistetuissa kastelujärjestelmissä. Tässä suunnitelmassa on toteutettava muun muassa seuraavat toimet: I)Pohja- tai pintaveden käytön korvaaminen käyttämällä epätavanomaisia vesivaroja (jotka on kierrätetty tai poistettu suolasta ”ei merkittävää haittaa” -periaatteen mukaisesti) (2021/C58/01) ii) sellaisten vedensääntelyjärjestelmien täytäntöönpano, jotka mahdollistavat kastelun (korkeuseroa siten, että veden kuljetus ei edellytä energian käyttöä), iii) korvaamalla fossiilisista lähteistä peräisin oleva energia, jota tarvitaan pumppaamiseen uusiutuvilla energialähteillä (pääasiassa aurinkosähköllä), iv) betonista tai maasta valmistettujen ulkoilmaojien korvaaminen hautausputkilla, v) suodatus- ja pumppausasemien rakentaminen ja vi) mittareiden ja kaukohallintajärjestelmien asentaminen. Vuoden 2026 toiseen neljännekseen mennessä vähintään 125000 hehtaaria kastelujärjestelmiä nykyaikaistetaan vedensäästön ja energiatehokkuuden osalta, mikä voidaan todentaa SIEASAn ja kasteluyhteisöjen välisillä sopimuksilla.</w:t>
            </w:r>
          </w:p>
        </w:tc>
      </w:tr>
      <w:tr w:rsidR="0065073E" w14:paraId="16112381" w14:textId="77777777">
        <w:trPr>
          <w:trHeight w:val="309"/>
        </w:trPr>
        <w:tc>
          <w:tcPr>
            <w:tcW w:w="832" w:type="dxa"/>
            <w:shd w:val="clear" w:color="auto" w:fill="C6EFCE"/>
            <w:noWrap/>
          </w:tcPr>
          <w:p w14:paraId="20228FB5" w14:textId="05046FB4" w:rsidR="0065073E" w:rsidRDefault="000A0998">
            <w:pPr>
              <w:pStyle w:val="P68B1DB1-Normal12"/>
              <w:spacing w:after="0" w:line="240" w:lineRule="auto"/>
              <w:jc w:val="center"/>
              <w:rPr>
                <w:rFonts w:cs="Times New Roman"/>
                <w:noProof/>
              </w:rPr>
            </w:pPr>
            <w:r>
              <w:rPr>
                <w:noProof/>
              </w:rPr>
              <w:t>421</w:t>
            </w:r>
          </w:p>
        </w:tc>
        <w:tc>
          <w:tcPr>
            <w:tcW w:w="829" w:type="dxa"/>
            <w:shd w:val="clear" w:color="auto" w:fill="C6EFCE"/>
            <w:noWrap/>
          </w:tcPr>
          <w:p w14:paraId="68EFC70D" w14:textId="163DFC93" w:rsidR="0065073E" w:rsidRDefault="000A0998">
            <w:pPr>
              <w:pStyle w:val="P68B1DB1-Normal12"/>
              <w:spacing w:after="0" w:line="240" w:lineRule="auto"/>
              <w:jc w:val="center"/>
              <w:rPr>
                <w:rFonts w:cs="Times New Roman"/>
                <w:noProof/>
              </w:rPr>
            </w:pPr>
            <w:r>
              <w:rPr>
                <w:noProof/>
              </w:rPr>
              <w:t>C3.I2</w:t>
            </w:r>
          </w:p>
        </w:tc>
        <w:tc>
          <w:tcPr>
            <w:tcW w:w="1051" w:type="dxa"/>
            <w:shd w:val="clear" w:color="auto" w:fill="C6EFCE"/>
            <w:noWrap/>
          </w:tcPr>
          <w:p w14:paraId="51B435AF" w14:textId="630F3F02" w:rsidR="0065073E" w:rsidRDefault="000A0998">
            <w:pPr>
              <w:pStyle w:val="P68B1DB1-Normal12"/>
              <w:spacing w:after="0" w:line="240" w:lineRule="auto"/>
              <w:jc w:val="center"/>
              <w:rPr>
                <w:rFonts w:cs="Times New Roman"/>
                <w:noProof/>
              </w:rPr>
            </w:pPr>
            <w:r>
              <w:rPr>
                <w:noProof/>
              </w:rPr>
              <w:t>T</w:t>
            </w:r>
          </w:p>
        </w:tc>
        <w:tc>
          <w:tcPr>
            <w:tcW w:w="2809" w:type="dxa"/>
            <w:shd w:val="clear" w:color="auto" w:fill="C6EFCE"/>
            <w:noWrap/>
          </w:tcPr>
          <w:p w14:paraId="097C4D00" w14:textId="5AF124FD" w:rsidR="0065073E" w:rsidRDefault="000A0998">
            <w:pPr>
              <w:pStyle w:val="P68B1DB1-Normal12"/>
              <w:spacing w:after="0" w:line="240" w:lineRule="auto"/>
              <w:rPr>
                <w:rFonts w:cs="Times New Roman"/>
                <w:noProof/>
              </w:rPr>
            </w:pPr>
            <w:r>
              <w:rPr>
                <w:noProof/>
              </w:rPr>
              <w:t>Bioturvallisuustason 3 laboratorion ja kansallisen kasvinterveyslaboratorion rakentamisen loppuun saattaminen.</w:t>
            </w:r>
          </w:p>
        </w:tc>
        <w:tc>
          <w:tcPr>
            <w:tcW w:w="1242" w:type="dxa"/>
            <w:shd w:val="clear" w:color="auto" w:fill="C6EFCE"/>
            <w:noWrap/>
          </w:tcPr>
          <w:p w14:paraId="00A2A4FD"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AA022EC" w14:textId="7024E203" w:rsidR="0065073E" w:rsidRDefault="000A0998">
            <w:pPr>
              <w:pStyle w:val="P68B1DB1-Normal12"/>
              <w:spacing w:after="0" w:line="240" w:lineRule="auto"/>
              <w:jc w:val="right"/>
              <w:rPr>
                <w:rFonts w:cs="Times New Roman"/>
                <w:noProof/>
              </w:rPr>
            </w:pPr>
            <w:r>
              <w:rPr>
                <w:noProof/>
              </w:rPr>
              <w:t>Määrä</w:t>
            </w:r>
          </w:p>
        </w:tc>
        <w:tc>
          <w:tcPr>
            <w:tcW w:w="966" w:type="dxa"/>
            <w:shd w:val="clear" w:color="auto" w:fill="C6EFCE"/>
            <w:noWrap/>
          </w:tcPr>
          <w:p w14:paraId="6C68AD98" w14:textId="77777777" w:rsidR="0065073E" w:rsidRDefault="0065073E">
            <w:pPr>
              <w:spacing w:after="0" w:line="240" w:lineRule="auto"/>
              <w:jc w:val="right"/>
              <w:rPr>
                <w:rFonts w:ascii="Times New Roman" w:hAnsi="Times New Roman" w:cs="Times New Roman"/>
                <w:noProof/>
                <w:sz w:val="18"/>
              </w:rPr>
            </w:pPr>
          </w:p>
        </w:tc>
        <w:tc>
          <w:tcPr>
            <w:tcW w:w="691" w:type="dxa"/>
            <w:shd w:val="clear" w:color="auto" w:fill="C6EFCE"/>
            <w:noWrap/>
          </w:tcPr>
          <w:p w14:paraId="06D8A153" w14:textId="51FF80B4" w:rsidR="0065073E" w:rsidRDefault="000A0998">
            <w:pPr>
              <w:pStyle w:val="P68B1DB1-Normal12"/>
              <w:spacing w:after="0" w:line="240" w:lineRule="auto"/>
              <w:jc w:val="right"/>
              <w:rPr>
                <w:rFonts w:cs="Times New Roman"/>
                <w:noProof/>
              </w:rPr>
            </w:pPr>
            <w:r>
              <w:rPr>
                <w:noProof/>
              </w:rPr>
              <w:t>2</w:t>
            </w:r>
          </w:p>
        </w:tc>
        <w:tc>
          <w:tcPr>
            <w:tcW w:w="415" w:type="dxa"/>
            <w:shd w:val="clear" w:color="auto" w:fill="C6EFCE"/>
            <w:noWrap/>
          </w:tcPr>
          <w:p w14:paraId="3FB19F6E" w14:textId="51F95DB8" w:rsidR="0065073E" w:rsidRDefault="000A0998">
            <w:pPr>
              <w:pStyle w:val="P68B1DB1-Normal12"/>
              <w:spacing w:after="0" w:line="240" w:lineRule="auto"/>
              <w:jc w:val="center"/>
              <w:rPr>
                <w:rFonts w:cs="Times New Roman"/>
                <w:noProof/>
              </w:rPr>
            </w:pPr>
            <w:r>
              <w:rPr>
                <w:noProof/>
              </w:rPr>
              <w:t>ENSIMMÄINEN VUOSINELJÄNNES</w:t>
            </w:r>
          </w:p>
        </w:tc>
        <w:tc>
          <w:tcPr>
            <w:tcW w:w="553" w:type="dxa"/>
            <w:shd w:val="clear" w:color="auto" w:fill="C6EFCE"/>
            <w:noWrap/>
          </w:tcPr>
          <w:p w14:paraId="1C3E143B" w14:textId="668D3DFF" w:rsidR="0065073E" w:rsidRDefault="000A0998">
            <w:pPr>
              <w:pStyle w:val="P68B1DB1-Normal12"/>
              <w:spacing w:after="0" w:line="240" w:lineRule="auto"/>
              <w:jc w:val="center"/>
              <w:rPr>
                <w:rFonts w:cs="Times New Roman"/>
                <w:noProof/>
              </w:rPr>
            </w:pPr>
            <w:r>
              <w:rPr>
                <w:noProof/>
              </w:rPr>
              <w:t>2025</w:t>
            </w:r>
          </w:p>
        </w:tc>
        <w:tc>
          <w:tcPr>
            <w:tcW w:w="5236" w:type="dxa"/>
            <w:shd w:val="clear" w:color="auto" w:fill="C6EFCE"/>
            <w:noWrap/>
          </w:tcPr>
          <w:p w14:paraId="149AEA09" w14:textId="53905DE4" w:rsidR="0065073E" w:rsidRDefault="000A0998">
            <w:pPr>
              <w:pStyle w:val="P68B1DB1-Normal12"/>
              <w:spacing w:after="0" w:line="240" w:lineRule="auto"/>
              <w:rPr>
                <w:rFonts w:cs="Times New Roman"/>
                <w:noProof/>
              </w:rPr>
            </w:pPr>
            <w:r>
              <w:rPr>
                <w:noProof/>
              </w:rPr>
              <w:t>Tason 3 biologisen turvallisuuden laboratorion (LCSA – Santa Fe) ja kansallisen kasvinterveyslaboratorion rakentamisen loppuun saattaminen Lugossa.</w:t>
            </w:r>
          </w:p>
        </w:tc>
      </w:tr>
      <w:tr w:rsidR="0065073E" w14:paraId="3C0A710D" w14:textId="77777777">
        <w:trPr>
          <w:trHeight w:val="309"/>
        </w:trPr>
        <w:tc>
          <w:tcPr>
            <w:tcW w:w="832" w:type="dxa"/>
            <w:shd w:val="clear" w:color="auto" w:fill="C6EFCE"/>
            <w:noWrap/>
          </w:tcPr>
          <w:p w14:paraId="12424CF8" w14:textId="54319176" w:rsidR="0065073E" w:rsidRDefault="000A0998">
            <w:pPr>
              <w:pStyle w:val="P68B1DB1-Normal12"/>
              <w:spacing w:after="0" w:line="240" w:lineRule="auto"/>
              <w:jc w:val="center"/>
              <w:rPr>
                <w:rFonts w:cs="Times New Roman"/>
                <w:noProof/>
              </w:rPr>
            </w:pPr>
            <w:r>
              <w:rPr>
                <w:noProof/>
              </w:rPr>
              <w:t>49</w:t>
            </w:r>
          </w:p>
        </w:tc>
        <w:tc>
          <w:tcPr>
            <w:tcW w:w="829" w:type="dxa"/>
            <w:shd w:val="clear" w:color="auto" w:fill="C6EFCE"/>
            <w:noWrap/>
          </w:tcPr>
          <w:p w14:paraId="148F71E4" w14:textId="5E05A255" w:rsidR="0065073E" w:rsidRDefault="000A0998">
            <w:pPr>
              <w:pStyle w:val="P68B1DB1-Normal12"/>
              <w:spacing w:after="0" w:line="240" w:lineRule="auto"/>
              <w:jc w:val="center"/>
              <w:rPr>
                <w:rFonts w:cs="Times New Roman"/>
                <w:noProof/>
              </w:rPr>
            </w:pPr>
            <w:r>
              <w:rPr>
                <w:noProof/>
              </w:rPr>
              <w:t>C3.I2</w:t>
            </w:r>
          </w:p>
        </w:tc>
        <w:tc>
          <w:tcPr>
            <w:tcW w:w="1051" w:type="dxa"/>
            <w:shd w:val="clear" w:color="auto" w:fill="C6EFCE"/>
            <w:noWrap/>
          </w:tcPr>
          <w:p w14:paraId="5E1104F7" w14:textId="56875245" w:rsidR="0065073E" w:rsidRDefault="000A0998">
            <w:pPr>
              <w:pStyle w:val="P68B1DB1-Normal12"/>
              <w:spacing w:after="0" w:line="240" w:lineRule="auto"/>
              <w:jc w:val="center"/>
              <w:rPr>
                <w:rFonts w:cs="Times New Roman"/>
                <w:noProof/>
              </w:rPr>
            </w:pPr>
            <w:r>
              <w:rPr>
                <w:noProof/>
              </w:rPr>
              <w:t>T</w:t>
            </w:r>
          </w:p>
        </w:tc>
        <w:tc>
          <w:tcPr>
            <w:tcW w:w="2809" w:type="dxa"/>
            <w:shd w:val="clear" w:color="auto" w:fill="C6EFCE"/>
            <w:noWrap/>
          </w:tcPr>
          <w:p w14:paraId="4DF864B7" w14:textId="0D5C4563" w:rsidR="0065073E" w:rsidRDefault="000A0998">
            <w:pPr>
              <w:pStyle w:val="P68B1DB1-Normal12"/>
              <w:spacing w:after="0" w:line="240" w:lineRule="auto"/>
              <w:rPr>
                <w:rFonts w:cs="Times New Roman"/>
                <w:noProof/>
              </w:rPr>
            </w:pPr>
            <w:r>
              <w:rPr>
                <w:noProof/>
              </w:rPr>
              <w:t xml:space="preserve">Bioturvallisuustason 3 eläintilojen rakentamisen loppuun saattaminen. </w:t>
            </w:r>
          </w:p>
        </w:tc>
        <w:tc>
          <w:tcPr>
            <w:tcW w:w="1242" w:type="dxa"/>
            <w:shd w:val="clear" w:color="auto" w:fill="C6EFCE"/>
            <w:noWrap/>
          </w:tcPr>
          <w:p w14:paraId="4D3C8EB5"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73B8182" w14:textId="751D5AB5" w:rsidR="0065073E" w:rsidRDefault="000A0998">
            <w:pPr>
              <w:pStyle w:val="P68B1DB1-Normal12"/>
              <w:spacing w:after="0" w:line="240" w:lineRule="auto"/>
              <w:jc w:val="right"/>
              <w:rPr>
                <w:rFonts w:cs="Times New Roman"/>
                <w:noProof/>
              </w:rPr>
            </w:pPr>
            <w:r>
              <w:rPr>
                <w:noProof/>
              </w:rPr>
              <w:t>Määrä</w:t>
            </w:r>
          </w:p>
        </w:tc>
        <w:tc>
          <w:tcPr>
            <w:tcW w:w="966" w:type="dxa"/>
            <w:shd w:val="clear" w:color="auto" w:fill="C6EFCE"/>
            <w:noWrap/>
          </w:tcPr>
          <w:p w14:paraId="30E42435" w14:textId="3418A787" w:rsidR="0065073E" w:rsidRDefault="000A0998">
            <w:pPr>
              <w:pStyle w:val="P68B1DB1-Normal12"/>
              <w:spacing w:after="0" w:line="240" w:lineRule="auto"/>
              <w:jc w:val="right"/>
              <w:rPr>
                <w:rFonts w:cs="Times New Roman"/>
                <w:noProof/>
              </w:rPr>
            </w:pPr>
            <w:r>
              <w:rPr>
                <w:noProof/>
              </w:rPr>
              <w:t>0</w:t>
            </w:r>
          </w:p>
        </w:tc>
        <w:tc>
          <w:tcPr>
            <w:tcW w:w="691" w:type="dxa"/>
            <w:shd w:val="clear" w:color="auto" w:fill="C6EFCE"/>
            <w:noWrap/>
          </w:tcPr>
          <w:p w14:paraId="3B4DBFC6" w14:textId="4E296265" w:rsidR="0065073E" w:rsidRDefault="000A0998">
            <w:pPr>
              <w:pStyle w:val="P68B1DB1-Normal12"/>
              <w:spacing w:after="0" w:line="240" w:lineRule="auto"/>
              <w:jc w:val="right"/>
              <w:rPr>
                <w:rFonts w:cs="Times New Roman"/>
                <w:noProof/>
              </w:rPr>
            </w:pPr>
            <w:r>
              <w:rPr>
                <w:noProof/>
              </w:rPr>
              <w:t>1</w:t>
            </w:r>
          </w:p>
        </w:tc>
        <w:tc>
          <w:tcPr>
            <w:tcW w:w="415" w:type="dxa"/>
            <w:shd w:val="clear" w:color="auto" w:fill="C6EFCE"/>
            <w:noWrap/>
          </w:tcPr>
          <w:p w14:paraId="30C2E373" w14:textId="10AD5E3C"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3F9C886C" w14:textId="6604ECA0" w:rsidR="0065073E" w:rsidRDefault="000A0998">
            <w:pPr>
              <w:pStyle w:val="P68B1DB1-Normal12"/>
              <w:spacing w:after="0" w:line="240" w:lineRule="auto"/>
              <w:jc w:val="center"/>
              <w:rPr>
                <w:rFonts w:cs="Times New Roman"/>
                <w:noProof/>
              </w:rPr>
            </w:pPr>
            <w:r>
              <w:rPr>
                <w:noProof/>
              </w:rPr>
              <w:t>2026</w:t>
            </w:r>
          </w:p>
        </w:tc>
        <w:tc>
          <w:tcPr>
            <w:tcW w:w="5236" w:type="dxa"/>
            <w:shd w:val="clear" w:color="auto" w:fill="C6EFCE"/>
            <w:noWrap/>
          </w:tcPr>
          <w:p w14:paraId="732A624F" w14:textId="16CC0677" w:rsidR="0065073E" w:rsidRDefault="000A0998">
            <w:pPr>
              <w:pStyle w:val="P68B1DB1-Normal12"/>
              <w:spacing w:after="0" w:line="240" w:lineRule="auto"/>
              <w:rPr>
                <w:rFonts w:cs="Times New Roman"/>
                <w:noProof/>
              </w:rPr>
            </w:pPr>
            <w:r>
              <w:rPr>
                <w:noProof/>
              </w:rPr>
              <w:t>Tason 3 biologisia eläimiä koskevan laitoksen (LCV – Algete) rakentamisen loppuun saattaminen</w:t>
            </w:r>
          </w:p>
        </w:tc>
      </w:tr>
      <w:tr w:rsidR="0065073E" w14:paraId="4FC01CD0" w14:textId="77777777">
        <w:trPr>
          <w:trHeight w:val="309"/>
        </w:trPr>
        <w:tc>
          <w:tcPr>
            <w:tcW w:w="832" w:type="dxa"/>
            <w:shd w:val="clear" w:color="auto" w:fill="C6EFCE"/>
            <w:noWrap/>
          </w:tcPr>
          <w:p w14:paraId="54368C02" w14:textId="26A50E97" w:rsidR="0065073E" w:rsidRDefault="000A0998">
            <w:pPr>
              <w:pStyle w:val="P68B1DB1-Normal12"/>
              <w:spacing w:after="0" w:line="240" w:lineRule="auto"/>
              <w:jc w:val="center"/>
              <w:rPr>
                <w:rFonts w:eastAsia="MS Mincho" w:cs="Times New Roman"/>
                <w:noProof/>
              </w:rPr>
            </w:pPr>
            <w:r>
              <w:rPr>
                <w:noProof/>
              </w:rPr>
              <w:t>50</w:t>
            </w:r>
          </w:p>
        </w:tc>
        <w:tc>
          <w:tcPr>
            <w:tcW w:w="829" w:type="dxa"/>
            <w:shd w:val="clear" w:color="auto" w:fill="C6EFCE"/>
            <w:noWrap/>
          </w:tcPr>
          <w:p w14:paraId="15507CD7" w14:textId="5DBC095D" w:rsidR="0065073E" w:rsidRDefault="000A0998">
            <w:pPr>
              <w:pStyle w:val="P68B1DB1-Normal12"/>
              <w:spacing w:after="0" w:line="240" w:lineRule="auto"/>
              <w:jc w:val="center"/>
              <w:rPr>
                <w:rFonts w:eastAsia="MS Mincho" w:cs="Times New Roman"/>
                <w:noProof/>
              </w:rPr>
            </w:pPr>
            <w:r>
              <w:rPr>
                <w:noProof/>
              </w:rPr>
              <w:t>C3.I3</w:t>
            </w:r>
          </w:p>
        </w:tc>
        <w:tc>
          <w:tcPr>
            <w:tcW w:w="1051" w:type="dxa"/>
            <w:shd w:val="clear" w:color="auto" w:fill="C6EFCE"/>
            <w:noWrap/>
          </w:tcPr>
          <w:p w14:paraId="12E77EC6" w14:textId="7777777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73767E53" w14:textId="2E4D0259" w:rsidR="0065073E" w:rsidRDefault="000A0998">
            <w:pPr>
              <w:pStyle w:val="P68B1DB1-Normal12"/>
              <w:spacing w:after="0" w:line="240" w:lineRule="auto"/>
              <w:rPr>
                <w:rFonts w:eastAsia="MS Mincho" w:cs="Times New Roman"/>
                <w:noProof/>
              </w:rPr>
            </w:pPr>
            <w:r>
              <w:rPr>
                <w:noProof/>
              </w:rPr>
              <w:t>Paremmat puhdistus- ja desinfiointikeskukset ja kasvien lisäysaineiston tuotantokeskukset, joissa on vahvistettu koulutus- ja bioturvallisuusjärjestelmiä</w:t>
            </w:r>
          </w:p>
        </w:tc>
        <w:tc>
          <w:tcPr>
            <w:tcW w:w="1242" w:type="dxa"/>
            <w:shd w:val="clear" w:color="auto" w:fill="C6EFCE"/>
            <w:noWrap/>
          </w:tcPr>
          <w:p w14:paraId="61CDCEAD"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D78A289" w14:textId="77777777" w:rsidR="0065073E" w:rsidRDefault="000A0998">
            <w:pPr>
              <w:pStyle w:val="P68B1DB1-Normal12"/>
              <w:spacing w:after="0" w:line="240" w:lineRule="auto"/>
              <w:jc w:val="right"/>
              <w:rPr>
                <w:rFonts w:eastAsia="MS Mincho" w:cs="Times New Roman"/>
                <w:noProof/>
              </w:rPr>
            </w:pPr>
            <w:r>
              <w:rPr>
                <w:noProof/>
              </w:rPr>
              <w:t>Määrä</w:t>
            </w:r>
          </w:p>
        </w:tc>
        <w:tc>
          <w:tcPr>
            <w:tcW w:w="966" w:type="dxa"/>
            <w:shd w:val="clear" w:color="auto" w:fill="C6EFCE"/>
            <w:noWrap/>
          </w:tcPr>
          <w:p w14:paraId="24452D0A" w14:textId="7777777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B778152" w14:textId="1EA32FC5" w:rsidR="0065073E" w:rsidRDefault="000A0998">
            <w:pPr>
              <w:pStyle w:val="P68B1DB1-Normal12"/>
              <w:spacing w:after="0" w:line="240" w:lineRule="auto"/>
              <w:jc w:val="right"/>
              <w:rPr>
                <w:rFonts w:eastAsia="MS Mincho" w:cs="Times New Roman"/>
                <w:noProof/>
              </w:rPr>
            </w:pPr>
            <w:r>
              <w:rPr>
                <w:noProof/>
              </w:rPr>
              <w:t>465</w:t>
            </w:r>
          </w:p>
        </w:tc>
        <w:tc>
          <w:tcPr>
            <w:tcW w:w="415" w:type="dxa"/>
            <w:shd w:val="clear" w:color="auto" w:fill="C6EFCE"/>
            <w:noWrap/>
          </w:tcPr>
          <w:p w14:paraId="7CAE184B" w14:textId="59B4FD02" w:rsidR="0065073E" w:rsidRDefault="000A0998">
            <w:pPr>
              <w:pStyle w:val="P68B1DB1-Normal12"/>
              <w:spacing w:after="0" w:line="240" w:lineRule="auto"/>
              <w:jc w:val="center"/>
              <w:rPr>
                <w:rFonts w:eastAsia="MS Mincho" w:cs="Times New Roman"/>
                <w:noProof/>
              </w:rPr>
            </w:pPr>
            <w:r>
              <w:rPr>
                <w:noProof/>
              </w:rPr>
              <w:t>Q3</w:t>
            </w:r>
          </w:p>
        </w:tc>
        <w:tc>
          <w:tcPr>
            <w:tcW w:w="553" w:type="dxa"/>
            <w:shd w:val="clear" w:color="auto" w:fill="C6EFCE"/>
            <w:noWrap/>
          </w:tcPr>
          <w:p w14:paraId="2063B540" w14:textId="0F5B2526" w:rsidR="0065073E" w:rsidRDefault="000A0998">
            <w:pPr>
              <w:pStyle w:val="P68B1DB1-Normal12"/>
              <w:spacing w:after="0" w:line="240" w:lineRule="auto"/>
              <w:jc w:val="center"/>
              <w:rPr>
                <w:rFonts w:eastAsia="MS Mincho" w:cs="Times New Roman"/>
                <w:noProof/>
              </w:rPr>
            </w:pPr>
            <w:r>
              <w:rPr>
                <w:noProof/>
              </w:rPr>
              <w:t>2024</w:t>
            </w:r>
          </w:p>
        </w:tc>
        <w:tc>
          <w:tcPr>
            <w:tcW w:w="5236" w:type="dxa"/>
            <w:shd w:val="clear" w:color="auto" w:fill="C6EFCE"/>
            <w:noWrap/>
          </w:tcPr>
          <w:p w14:paraId="4D6A125A" w14:textId="3475416D" w:rsidR="0065073E" w:rsidRDefault="000A0998">
            <w:pPr>
              <w:pStyle w:val="P68B1DB1-Normal12"/>
              <w:spacing w:after="0" w:line="240" w:lineRule="auto"/>
              <w:rPr>
                <w:rFonts w:cs="Times New Roman"/>
                <w:noProof/>
              </w:rPr>
            </w:pPr>
            <w:r>
              <w:rPr>
                <w:noProof/>
              </w:rPr>
              <w:t xml:space="preserve">Vähintään 465 puhdistus- ja desinfiointikeskusta ja kasvien lisäysaineiston tuotantokeskusta, joissa on vahvistettu koulutus- ja bioturvallisuusjärjestelmiä. Valmiuksien kehittämiseen kuuluu puhdistus- ja desinfiointilaitosten parantaminen ja rakentaminen koko Espanjassa, ja bioturvallisuus koostuu helposti saatavilla olevista, nykyaikaisista ja varustetuista puhdistus- ja desinfiointitiloista. Puhdistus ja desinfiointi ovat bioturvallisuustoimenpiteiden keskeinen pilari, joten näiden laitosten tekninen parantaminen on olennaisen tärkeää, kuten automaatio, robotisaatio, uusien puhdistus- ja desinfiointijärjestelmien asentaminen, kuten lämpödesinfiointi tai järjestelmien asentaminen. </w:t>
            </w:r>
          </w:p>
        </w:tc>
      </w:tr>
      <w:tr w:rsidR="0065073E" w14:paraId="56738BA1" w14:textId="77777777">
        <w:trPr>
          <w:trHeight w:val="309"/>
        </w:trPr>
        <w:tc>
          <w:tcPr>
            <w:tcW w:w="832" w:type="dxa"/>
            <w:shd w:val="clear" w:color="auto" w:fill="C6EFCE"/>
            <w:noWrap/>
          </w:tcPr>
          <w:p w14:paraId="25E19083" w14:textId="12369BAE" w:rsidR="0065073E" w:rsidRDefault="000A0998">
            <w:pPr>
              <w:pStyle w:val="P68B1DB1-Normal12"/>
              <w:spacing w:after="0" w:line="240" w:lineRule="auto"/>
              <w:jc w:val="center"/>
              <w:rPr>
                <w:rFonts w:cs="Times New Roman"/>
                <w:noProof/>
              </w:rPr>
            </w:pPr>
            <w:r>
              <w:rPr>
                <w:noProof/>
              </w:rPr>
              <w:t>51</w:t>
            </w:r>
          </w:p>
        </w:tc>
        <w:tc>
          <w:tcPr>
            <w:tcW w:w="829" w:type="dxa"/>
            <w:shd w:val="clear" w:color="auto" w:fill="C6EFCE"/>
            <w:noWrap/>
          </w:tcPr>
          <w:p w14:paraId="5971B254" w14:textId="53FF2EB6" w:rsidR="0065073E" w:rsidRDefault="000A0998">
            <w:pPr>
              <w:pStyle w:val="P68B1DB1-Normal12"/>
              <w:spacing w:after="0" w:line="240" w:lineRule="auto"/>
              <w:jc w:val="center"/>
              <w:rPr>
                <w:rFonts w:cs="Times New Roman"/>
                <w:noProof/>
              </w:rPr>
            </w:pPr>
            <w:r>
              <w:rPr>
                <w:noProof/>
              </w:rPr>
              <w:t>C3.I4</w:t>
            </w:r>
          </w:p>
        </w:tc>
        <w:tc>
          <w:tcPr>
            <w:tcW w:w="1051" w:type="dxa"/>
            <w:shd w:val="clear" w:color="auto" w:fill="C6EFCE"/>
            <w:noWrap/>
          </w:tcPr>
          <w:p w14:paraId="79D317F4" w14:textId="7FAFE769" w:rsidR="0065073E" w:rsidRDefault="000A0998">
            <w:pPr>
              <w:pStyle w:val="P68B1DB1-Normal12"/>
              <w:spacing w:after="0" w:line="240" w:lineRule="auto"/>
              <w:jc w:val="center"/>
              <w:rPr>
                <w:rFonts w:cs="Times New Roman"/>
                <w:noProof/>
              </w:rPr>
            </w:pPr>
            <w:r>
              <w:rPr>
                <w:noProof/>
              </w:rPr>
              <w:t>T</w:t>
            </w:r>
          </w:p>
        </w:tc>
        <w:tc>
          <w:tcPr>
            <w:tcW w:w="2809" w:type="dxa"/>
            <w:shd w:val="clear" w:color="auto" w:fill="C6EFCE"/>
            <w:noWrap/>
          </w:tcPr>
          <w:p w14:paraId="324AEADF" w14:textId="1A4DAB8C" w:rsidR="0065073E" w:rsidRDefault="000A0998">
            <w:pPr>
              <w:pStyle w:val="P68B1DB1-Normal12"/>
              <w:spacing w:after="0" w:line="240" w:lineRule="auto"/>
              <w:rPr>
                <w:rFonts w:cs="Times New Roman"/>
                <w:noProof/>
              </w:rPr>
            </w:pPr>
            <w:r>
              <w:rPr>
                <w:noProof/>
              </w:rPr>
              <w:t xml:space="preserve">Investointisuunnitelma maatalouden ja karjan kestävyyden ja kilpailukyvyn edistämiseksi </w:t>
            </w:r>
          </w:p>
        </w:tc>
        <w:tc>
          <w:tcPr>
            <w:tcW w:w="1242" w:type="dxa"/>
            <w:shd w:val="clear" w:color="auto" w:fill="C6EFCE"/>
            <w:noWrap/>
          </w:tcPr>
          <w:p w14:paraId="7F2130F8"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376090A2" w14:textId="30BACBD6" w:rsidR="0065073E" w:rsidRDefault="000A0998">
            <w:pPr>
              <w:pStyle w:val="P68B1DB1-Normal12"/>
              <w:spacing w:after="0" w:line="240" w:lineRule="auto"/>
              <w:jc w:val="right"/>
              <w:rPr>
                <w:rFonts w:cs="Times New Roman"/>
                <w:noProof/>
              </w:rPr>
            </w:pPr>
            <w:r>
              <w:rPr>
                <w:noProof/>
              </w:rPr>
              <w:t xml:space="preserve"> Miljoonaa euroa</w:t>
            </w:r>
          </w:p>
        </w:tc>
        <w:tc>
          <w:tcPr>
            <w:tcW w:w="966" w:type="dxa"/>
            <w:shd w:val="clear" w:color="auto" w:fill="C6EFCE"/>
            <w:noWrap/>
          </w:tcPr>
          <w:p w14:paraId="0E99581E" w14:textId="092AB081" w:rsidR="0065073E" w:rsidRDefault="000A0998">
            <w:pPr>
              <w:pStyle w:val="P68B1DB1-Normal12"/>
              <w:spacing w:after="0" w:line="240" w:lineRule="auto"/>
              <w:jc w:val="right"/>
              <w:rPr>
                <w:rFonts w:cs="Times New Roman"/>
                <w:noProof/>
              </w:rPr>
            </w:pPr>
            <w:r>
              <w:rPr>
                <w:noProof/>
              </w:rPr>
              <w:t>0</w:t>
            </w:r>
          </w:p>
        </w:tc>
        <w:tc>
          <w:tcPr>
            <w:tcW w:w="691" w:type="dxa"/>
            <w:shd w:val="clear" w:color="auto" w:fill="C6EFCE"/>
            <w:noWrap/>
          </w:tcPr>
          <w:p w14:paraId="2BD63265" w14:textId="45C1FD95" w:rsidR="0065073E" w:rsidRDefault="000A0998">
            <w:pPr>
              <w:pStyle w:val="P68B1DB1-Normal12"/>
              <w:spacing w:after="0" w:line="240" w:lineRule="auto"/>
              <w:jc w:val="right"/>
              <w:rPr>
                <w:rFonts w:cs="Times New Roman"/>
                <w:noProof/>
              </w:rPr>
            </w:pPr>
            <w:r>
              <w:rPr>
                <w:noProof/>
              </w:rPr>
              <w:t>307</w:t>
            </w:r>
          </w:p>
        </w:tc>
        <w:tc>
          <w:tcPr>
            <w:tcW w:w="415" w:type="dxa"/>
            <w:shd w:val="clear" w:color="auto" w:fill="C6EFCE"/>
            <w:noWrap/>
          </w:tcPr>
          <w:p w14:paraId="535808B5" w14:textId="3E2A2A3A"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7352F48C" w14:textId="72A2B887" w:rsidR="0065073E" w:rsidRDefault="000A0998">
            <w:pPr>
              <w:pStyle w:val="P68B1DB1-Normal12"/>
              <w:spacing w:after="0" w:line="240" w:lineRule="auto"/>
              <w:jc w:val="center"/>
              <w:rPr>
                <w:rFonts w:cs="Times New Roman"/>
                <w:noProof/>
              </w:rPr>
            </w:pPr>
            <w:r>
              <w:rPr>
                <w:noProof/>
              </w:rPr>
              <w:t>2022</w:t>
            </w:r>
          </w:p>
        </w:tc>
        <w:tc>
          <w:tcPr>
            <w:tcW w:w="5236" w:type="dxa"/>
            <w:shd w:val="clear" w:color="auto" w:fill="C6EFCE"/>
            <w:noWrap/>
          </w:tcPr>
          <w:p w14:paraId="507C952C" w14:textId="678DFB7E" w:rsidR="0065073E" w:rsidRDefault="000A0998">
            <w:pPr>
              <w:pStyle w:val="P68B1DB1-Normal12"/>
              <w:spacing w:after="0" w:line="240" w:lineRule="auto"/>
              <w:rPr>
                <w:rFonts w:cs="Times New Roman"/>
                <w:noProof/>
              </w:rPr>
            </w:pPr>
            <w:r>
              <w:rPr>
                <w:noProof/>
              </w:rPr>
              <w:t xml:space="preserve">Täsmäviljelyn, energiatehokkuuden ja kiertotalouden alalla toteutettavan maatalous- ja kotieläintuotannon kestävyyden ja kilpailukyvyn edistämistä koskevan investointisuunnitelman loppuun saattaminen (307000000 euroa). Sääntelyperustoissa vahvistetaan tuensaajat, vaatimukset, jotka niiden on täytettävä, tukikelpoisten investointien tyyppi ja tukikelpoisuusperusteet täsmäviljely, energiatehokkuus, kiertotalous ja uusiutuvien energialähteiden käyttö. </w:t>
            </w:r>
          </w:p>
        </w:tc>
      </w:tr>
      <w:tr w:rsidR="0065073E" w14:paraId="0CBF72EE" w14:textId="77777777">
        <w:trPr>
          <w:trHeight w:val="309"/>
        </w:trPr>
        <w:tc>
          <w:tcPr>
            <w:tcW w:w="832" w:type="dxa"/>
            <w:shd w:val="clear" w:color="auto" w:fill="C6EFCE"/>
            <w:noWrap/>
          </w:tcPr>
          <w:p w14:paraId="68861898" w14:textId="2AFA8B58" w:rsidR="0065073E" w:rsidRDefault="000A0998">
            <w:pPr>
              <w:pStyle w:val="P68B1DB1-Normal12"/>
              <w:spacing w:after="0" w:line="240" w:lineRule="auto"/>
              <w:jc w:val="center"/>
              <w:rPr>
                <w:rFonts w:eastAsia="MS Mincho" w:cs="Times New Roman"/>
                <w:noProof/>
              </w:rPr>
            </w:pPr>
            <w:r>
              <w:rPr>
                <w:noProof/>
              </w:rPr>
              <w:t>52</w:t>
            </w:r>
          </w:p>
        </w:tc>
        <w:tc>
          <w:tcPr>
            <w:tcW w:w="829" w:type="dxa"/>
            <w:shd w:val="clear" w:color="auto" w:fill="C6EFCE"/>
            <w:noWrap/>
          </w:tcPr>
          <w:p w14:paraId="0380C3E0" w14:textId="3A9B5DE9" w:rsidR="0065073E" w:rsidRDefault="000A0998">
            <w:pPr>
              <w:pStyle w:val="P68B1DB1-Normal12"/>
              <w:spacing w:after="0" w:line="240" w:lineRule="auto"/>
              <w:jc w:val="center"/>
              <w:rPr>
                <w:rFonts w:eastAsia="MS Mincho" w:cs="Times New Roman"/>
                <w:noProof/>
              </w:rPr>
            </w:pPr>
            <w:r>
              <w:rPr>
                <w:noProof/>
              </w:rPr>
              <w:t>C3.I4</w:t>
            </w:r>
          </w:p>
        </w:tc>
        <w:tc>
          <w:tcPr>
            <w:tcW w:w="1051" w:type="dxa"/>
            <w:shd w:val="clear" w:color="auto" w:fill="C6EFCE"/>
            <w:noWrap/>
          </w:tcPr>
          <w:p w14:paraId="72102FF3" w14:textId="7777777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658F795B" w14:textId="67E5E718" w:rsidR="0065073E" w:rsidRDefault="000A0998">
            <w:pPr>
              <w:pStyle w:val="P68B1DB1-Normal12"/>
              <w:spacing w:after="0" w:line="240" w:lineRule="auto"/>
              <w:rPr>
                <w:rFonts w:eastAsia="MS Mincho" w:cs="Times New Roman"/>
                <w:noProof/>
              </w:rPr>
            </w:pPr>
            <w:r>
              <w:rPr>
                <w:noProof/>
              </w:rPr>
              <w:t xml:space="preserve">Täsmäviljelyä, energiatehokkuutta, kiertotaloutta ja uusiutuvan energian käyttöä koskevat loppuun saatetut hankkeet  </w:t>
            </w:r>
          </w:p>
        </w:tc>
        <w:tc>
          <w:tcPr>
            <w:tcW w:w="1242" w:type="dxa"/>
            <w:shd w:val="clear" w:color="auto" w:fill="C6EFCE"/>
            <w:noWrap/>
          </w:tcPr>
          <w:p w14:paraId="6BB9E253"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08A672B" w14:textId="77777777" w:rsidR="0065073E" w:rsidRDefault="000A0998">
            <w:pPr>
              <w:pStyle w:val="P68B1DB1-Normal12"/>
              <w:spacing w:after="0" w:line="240" w:lineRule="auto"/>
              <w:jc w:val="right"/>
              <w:rPr>
                <w:rFonts w:eastAsia="MS Mincho" w:cs="Times New Roman"/>
                <w:noProof/>
              </w:rPr>
            </w:pPr>
            <w:r>
              <w:rPr>
                <w:noProof/>
              </w:rPr>
              <w:t>Määrä</w:t>
            </w:r>
          </w:p>
        </w:tc>
        <w:tc>
          <w:tcPr>
            <w:tcW w:w="966" w:type="dxa"/>
            <w:shd w:val="clear" w:color="auto" w:fill="C6EFCE"/>
            <w:noWrap/>
          </w:tcPr>
          <w:p w14:paraId="6A355B75" w14:textId="7777777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5952E2BA" w14:textId="6F1ECA1F" w:rsidR="0065073E" w:rsidRDefault="000A0998">
            <w:pPr>
              <w:pStyle w:val="P68B1DB1-Normal12"/>
              <w:spacing w:after="0" w:line="240" w:lineRule="auto"/>
              <w:jc w:val="right"/>
              <w:rPr>
                <w:rFonts w:eastAsia="MS Mincho" w:cs="Times New Roman"/>
                <w:noProof/>
              </w:rPr>
            </w:pPr>
            <w:r>
              <w:rPr>
                <w:noProof/>
              </w:rPr>
              <w:t>5 000</w:t>
            </w:r>
          </w:p>
        </w:tc>
        <w:tc>
          <w:tcPr>
            <w:tcW w:w="415" w:type="dxa"/>
            <w:shd w:val="clear" w:color="auto" w:fill="C6EFCE"/>
            <w:noWrap/>
          </w:tcPr>
          <w:p w14:paraId="59EDD68F" w14:textId="3E34BEE9"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1F5307AE" w14:textId="1BBF6E8A" w:rsidR="0065073E" w:rsidRDefault="000A0998">
            <w:pPr>
              <w:pStyle w:val="P68B1DB1-Normal12"/>
              <w:spacing w:after="0" w:line="240" w:lineRule="auto"/>
              <w:jc w:val="center"/>
              <w:rPr>
                <w:rFonts w:eastAsia="MS Mincho" w:cs="Times New Roman"/>
                <w:noProof/>
              </w:rPr>
            </w:pPr>
            <w:r>
              <w:rPr>
                <w:noProof/>
              </w:rPr>
              <w:t>2026</w:t>
            </w:r>
          </w:p>
        </w:tc>
        <w:tc>
          <w:tcPr>
            <w:tcW w:w="5236" w:type="dxa"/>
            <w:shd w:val="clear" w:color="auto" w:fill="C6EFCE"/>
            <w:noWrap/>
          </w:tcPr>
          <w:p w14:paraId="6BEEF825" w14:textId="1EE7F6E6" w:rsidR="0065073E" w:rsidRDefault="000A0998">
            <w:pPr>
              <w:pStyle w:val="P68B1DB1-Normal12"/>
              <w:spacing w:after="0" w:line="240" w:lineRule="auto"/>
              <w:rPr>
                <w:rFonts w:eastAsia="MS Mincho" w:cs="Times New Roman"/>
                <w:noProof/>
              </w:rPr>
            </w:pPr>
            <w:r>
              <w:rPr>
                <w:noProof/>
              </w:rPr>
              <w:t xml:space="preserve">Vähintään 5000 maatilaa on saanut päätökseen täsmäviljelyä, energiatehokkuutta, kiertotaloutta ja uusiutuvan energian käyttöä koskevat hankkeet. Täsmäviljelyyn kuuluvat geopaikannus- ja satelliittinavigointijärjestelmät (GNSS), reaaliaikaisen tiedonkeruun antureiden ja satelliitti- ja ilmakuvien avulla yhdessä geografisten tietojärjestelmien (GIS) kanssa, kartoituksen, viestinnän ja yhteenliitettävyyden, energiatehokkuuteen kuuluu rakennusten (varastot ja lisärakennukset) ilmaston säätely ja eristäminen sekä järjestelmät, joilla optimoidaan kasvihuonekaasujen ilmaston säätely sekä maatalous- ja kotieläintilojen energian ja lämmön kulutus. Kiertotalouteen sisältyy rakenteet maatalouden jäännösten ja karjan sivutuotteiden käyttöä ja talteenottoa varten esikäsittelytoimien ja -tekniikoiden avulla, joilla parannetaan niiden hallintaa ja myöhempää käyttöä, ja uusiutuvan energian käyttöön sisältyy useista uusiutuvista lähteistä peräisin olevien energiantuotantoinfrastruktuurien asentaminen sähkö- ja lämpötarpeiden tukemiseksi.  </w:t>
            </w:r>
          </w:p>
        </w:tc>
      </w:tr>
      <w:tr w:rsidR="0065073E" w14:paraId="533FA9DB" w14:textId="77777777">
        <w:trPr>
          <w:trHeight w:val="309"/>
        </w:trPr>
        <w:tc>
          <w:tcPr>
            <w:tcW w:w="832" w:type="dxa"/>
            <w:shd w:val="clear" w:color="auto" w:fill="C6EFCE"/>
            <w:noWrap/>
          </w:tcPr>
          <w:p w14:paraId="3CBA40D0" w14:textId="0EB4B704" w:rsidR="0065073E" w:rsidRDefault="000A0998">
            <w:pPr>
              <w:pStyle w:val="P68B1DB1-Normal12"/>
              <w:spacing w:after="0" w:line="240" w:lineRule="auto"/>
              <w:jc w:val="center"/>
              <w:rPr>
                <w:rFonts w:eastAsia="MS Mincho" w:cs="Times New Roman"/>
                <w:noProof/>
              </w:rPr>
            </w:pPr>
            <w:r>
              <w:rPr>
                <w:noProof/>
              </w:rPr>
              <w:t>53</w:t>
            </w:r>
          </w:p>
        </w:tc>
        <w:tc>
          <w:tcPr>
            <w:tcW w:w="829" w:type="dxa"/>
            <w:shd w:val="clear" w:color="auto" w:fill="C6EFCE"/>
            <w:noWrap/>
          </w:tcPr>
          <w:p w14:paraId="5071D00F" w14:textId="6837A809" w:rsidR="0065073E" w:rsidRDefault="000A0998">
            <w:pPr>
              <w:pStyle w:val="P68B1DB1-Normal12"/>
              <w:spacing w:after="0" w:line="240" w:lineRule="auto"/>
              <w:jc w:val="center"/>
              <w:rPr>
                <w:rFonts w:eastAsia="MS Mincho" w:cs="Times New Roman"/>
                <w:noProof/>
              </w:rPr>
            </w:pPr>
            <w:r>
              <w:rPr>
                <w:noProof/>
              </w:rPr>
              <w:t>C3.I5</w:t>
            </w:r>
          </w:p>
        </w:tc>
        <w:tc>
          <w:tcPr>
            <w:tcW w:w="1051" w:type="dxa"/>
            <w:shd w:val="clear" w:color="auto" w:fill="C6EFCE"/>
            <w:noWrap/>
          </w:tcPr>
          <w:p w14:paraId="1ACBF373" w14:textId="7777777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6F1617C3" w14:textId="4178FFFF" w:rsidR="0065073E" w:rsidRDefault="000A0998">
            <w:pPr>
              <w:pStyle w:val="P68B1DB1-Normal12"/>
              <w:spacing w:after="0" w:line="240" w:lineRule="auto"/>
              <w:rPr>
                <w:rFonts w:eastAsia="MS Mincho" w:cs="Times New Roman"/>
                <w:noProof/>
              </w:rPr>
            </w:pPr>
            <w:r>
              <w:rPr>
                <w:noProof/>
              </w:rPr>
              <w:t>Maatalous-, kalastus- ja elintarvikeministeriön (MAPA) ja ENISAn välisten sopimusten allekirjoittaminen</w:t>
            </w:r>
          </w:p>
        </w:tc>
        <w:tc>
          <w:tcPr>
            <w:tcW w:w="1242" w:type="dxa"/>
            <w:shd w:val="clear" w:color="auto" w:fill="C6EFCE"/>
            <w:noWrap/>
          </w:tcPr>
          <w:p w14:paraId="23DE523C"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9274C5F" w14:textId="77777777" w:rsidR="0065073E" w:rsidRDefault="000A0998">
            <w:pPr>
              <w:pStyle w:val="P68B1DB1-Normal12"/>
              <w:spacing w:after="0" w:line="240" w:lineRule="auto"/>
              <w:jc w:val="right"/>
              <w:rPr>
                <w:rFonts w:eastAsia="MS Mincho" w:cs="Times New Roman"/>
                <w:noProof/>
              </w:rPr>
            </w:pPr>
            <w:r>
              <w:rPr>
                <w:noProof/>
              </w:rPr>
              <w:t xml:space="preserve"> Miljoonaa euroa</w:t>
            </w:r>
          </w:p>
        </w:tc>
        <w:tc>
          <w:tcPr>
            <w:tcW w:w="966" w:type="dxa"/>
            <w:shd w:val="clear" w:color="auto" w:fill="C6EFCE"/>
            <w:noWrap/>
          </w:tcPr>
          <w:p w14:paraId="579F9DF6" w14:textId="7777777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28853779" w14:textId="47B3CC6F" w:rsidR="0065073E" w:rsidRDefault="000A0998">
            <w:pPr>
              <w:pStyle w:val="P68B1DB1-Normal12"/>
              <w:spacing w:after="0" w:line="240" w:lineRule="auto"/>
              <w:jc w:val="right"/>
              <w:rPr>
                <w:rFonts w:eastAsia="MS Mincho" w:cs="Times New Roman"/>
                <w:noProof/>
              </w:rPr>
            </w:pPr>
            <w:r>
              <w:rPr>
                <w:noProof/>
              </w:rPr>
              <w:t>30</w:t>
            </w:r>
          </w:p>
        </w:tc>
        <w:tc>
          <w:tcPr>
            <w:tcW w:w="415" w:type="dxa"/>
            <w:shd w:val="clear" w:color="auto" w:fill="C6EFCE"/>
            <w:noWrap/>
          </w:tcPr>
          <w:p w14:paraId="147ED631"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0FF5363C" w14:textId="6A918136" w:rsidR="0065073E" w:rsidRDefault="000A0998">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613339AC" w14:textId="686AC89A" w:rsidR="0065073E" w:rsidRDefault="000A0998">
            <w:pPr>
              <w:pStyle w:val="P68B1DB1-Normal12"/>
              <w:spacing w:after="0" w:line="240" w:lineRule="auto"/>
              <w:rPr>
                <w:rFonts w:eastAsia="MS Mincho" w:cs="Times New Roman"/>
                <w:noProof/>
              </w:rPr>
            </w:pPr>
            <w:r>
              <w:rPr>
                <w:noProof/>
              </w:rPr>
              <w:t xml:space="preserve">Maatalous-, kalastus- ja elintarvikeministeriön (MAPA) ja ENISAn välillä allekirjoitetaan kolme sopimusta (yksi vuodessa), joilla tuetaan maatalouselintarvikealan pk-yritysten digitalisaatiota Espanjan maatalouselintarvikealan innovatiivisen tai teknologisen yrittäjyyden tukemiseksi (talousarvion toteuttaminen: SUUNNITELTU KOKONAISMÄÄRÄ 30000000 EUROA 10000000 euroa vuodessa). Maatalous-, kalastus- ja elintarvikeministeriön ja ENISAn välisissä yhteistyösopimuksissa vahvistetaan teknologiapohjaisen yrittäjyyslinjan ehdot, joilla tuetaan innovatiivisia ja digitaalisia liiketoimintahankkeita toteuttavia maatalouselintarvikealan pk-yrityksiä myöntämällä osallistavia lainoja, investointipolitiikalla ja tukikelpoisuuskriteereillä. Edellä mainittuihin sopimuksiin on sisällyttävä lauseke, jolla taataan, että tällä rahoituksella tehdyissä investoinneissa noudatetaan tämän toimenpiteen nojalla tuettuja toimia koskevia ”ei merkittävää haittaa” -periaatetta koskevia teknisiä ohjeita (2021/C58/01) kestävyysarvioinnin, poissulkemisluettelon ja asiaa koskevan EU:n ja kansallisen ympäristölainsäädännön noudattamista koskevan vaatimuksen avulla. Investoinnin tavoitteena on vastata useisiin Espanjan maatalouselintarvikealan ja maaseudun digitalisointistrategian ja sen toimintasuunnitelmien tavoitteisiin. </w:t>
            </w:r>
          </w:p>
        </w:tc>
      </w:tr>
      <w:tr w:rsidR="0065073E" w14:paraId="047BADB5" w14:textId="77777777">
        <w:trPr>
          <w:trHeight w:val="309"/>
        </w:trPr>
        <w:tc>
          <w:tcPr>
            <w:tcW w:w="832" w:type="dxa"/>
            <w:shd w:val="clear" w:color="auto" w:fill="C6EFCE"/>
            <w:noWrap/>
          </w:tcPr>
          <w:p w14:paraId="00B008B9" w14:textId="569189EE" w:rsidR="0065073E" w:rsidRDefault="000A0998">
            <w:pPr>
              <w:pStyle w:val="P68B1DB1-Normal12"/>
              <w:spacing w:after="0" w:line="240" w:lineRule="auto"/>
              <w:jc w:val="center"/>
              <w:rPr>
                <w:rFonts w:eastAsia="MS Mincho" w:cs="Times New Roman"/>
                <w:noProof/>
              </w:rPr>
            </w:pPr>
            <w:r>
              <w:rPr>
                <w:noProof/>
              </w:rPr>
              <w:t>54</w:t>
            </w:r>
          </w:p>
        </w:tc>
        <w:tc>
          <w:tcPr>
            <w:tcW w:w="829" w:type="dxa"/>
            <w:shd w:val="clear" w:color="auto" w:fill="C6EFCE"/>
            <w:noWrap/>
          </w:tcPr>
          <w:p w14:paraId="58544615" w14:textId="53D8FCB1" w:rsidR="0065073E" w:rsidRDefault="000A0998">
            <w:pPr>
              <w:pStyle w:val="P68B1DB1-Normal12"/>
              <w:spacing w:after="0" w:line="240" w:lineRule="auto"/>
              <w:jc w:val="center"/>
              <w:rPr>
                <w:rFonts w:eastAsia="MS Mincho" w:cs="Times New Roman"/>
                <w:noProof/>
              </w:rPr>
            </w:pPr>
            <w:r>
              <w:rPr>
                <w:noProof/>
              </w:rPr>
              <w:t>C3.I5</w:t>
            </w:r>
          </w:p>
        </w:tc>
        <w:tc>
          <w:tcPr>
            <w:tcW w:w="1051" w:type="dxa"/>
            <w:shd w:val="clear" w:color="auto" w:fill="C6EFCE"/>
            <w:noWrap/>
          </w:tcPr>
          <w:p w14:paraId="439DB716" w14:textId="7777777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79AF0533" w14:textId="23580548" w:rsidR="0065073E" w:rsidRDefault="000A0998">
            <w:pPr>
              <w:pStyle w:val="P68B1DB1-Normal12"/>
              <w:spacing w:after="0" w:line="240" w:lineRule="auto"/>
              <w:rPr>
                <w:rFonts w:eastAsia="MS Mincho" w:cs="Times New Roman"/>
                <w:noProof/>
              </w:rPr>
            </w:pPr>
            <w:r>
              <w:rPr>
                <w:noProof/>
              </w:rPr>
              <w:t>Maatalouselintarvikealan pk-yritykset, joita tuetaan innovatiivisten ja digitaalisten liiketoimintahankkeiden toteuttamiseen</w:t>
            </w:r>
          </w:p>
        </w:tc>
        <w:tc>
          <w:tcPr>
            <w:tcW w:w="1242" w:type="dxa"/>
            <w:shd w:val="clear" w:color="auto" w:fill="C6EFCE"/>
            <w:noWrap/>
          </w:tcPr>
          <w:p w14:paraId="52E56223" w14:textId="77777777"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4EE654F7" w14:textId="77777777" w:rsidR="0065073E" w:rsidRDefault="000A0998">
            <w:pPr>
              <w:pStyle w:val="P68B1DB1-Normal12"/>
              <w:spacing w:after="0" w:line="240" w:lineRule="auto"/>
              <w:jc w:val="right"/>
              <w:rPr>
                <w:rFonts w:eastAsia="MS Mincho" w:cs="Times New Roman"/>
                <w:noProof/>
              </w:rPr>
            </w:pPr>
            <w:r>
              <w:rPr>
                <w:noProof/>
              </w:rPr>
              <w:t>Määrä</w:t>
            </w:r>
          </w:p>
        </w:tc>
        <w:tc>
          <w:tcPr>
            <w:tcW w:w="966" w:type="dxa"/>
            <w:shd w:val="clear" w:color="auto" w:fill="C6EFCE"/>
            <w:noWrap/>
          </w:tcPr>
          <w:p w14:paraId="0146225B" w14:textId="7777777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2012C1B" w14:textId="42911D1D" w:rsidR="0065073E" w:rsidRDefault="000A0998">
            <w:pPr>
              <w:pStyle w:val="P68B1DB1-Normal12"/>
              <w:spacing w:after="0" w:line="240" w:lineRule="auto"/>
              <w:jc w:val="right"/>
              <w:rPr>
                <w:rFonts w:eastAsia="MS Mincho" w:cs="Times New Roman"/>
                <w:noProof/>
              </w:rPr>
            </w:pPr>
            <w:r>
              <w:rPr>
                <w:noProof/>
              </w:rPr>
              <w:t>60</w:t>
            </w:r>
          </w:p>
        </w:tc>
        <w:tc>
          <w:tcPr>
            <w:tcW w:w="415" w:type="dxa"/>
            <w:shd w:val="clear" w:color="auto" w:fill="C6EFCE"/>
            <w:noWrap/>
          </w:tcPr>
          <w:p w14:paraId="62ACD4F7" w14:textId="07D9FB25"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1125D523" w14:textId="038241A9" w:rsidR="0065073E" w:rsidRDefault="000A0998">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76E2AC45" w14:textId="0538E9CD" w:rsidR="0065073E" w:rsidRDefault="000A0998">
            <w:pPr>
              <w:spacing w:after="0" w:line="240" w:lineRule="auto"/>
              <w:rPr>
                <w:rFonts w:ascii="Times New Roman" w:eastAsia="MS Mincho" w:hAnsi="Times New Roman" w:cs="Times New Roman"/>
                <w:noProof/>
                <w:sz w:val="18"/>
              </w:rPr>
            </w:pPr>
            <w:r>
              <w:rPr>
                <w:rFonts w:ascii="Times New Roman" w:hAnsi="Times New Roman"/>
                <w:noProof/>
                <w:sz w:val="18"/>
              </w:rPr>
              <w:t>Vähintään 60 maatalouselintarvikealan pk-yritykselle myönnettiin luottoja innovatiivisten ja digitaalisten liiketoimintahankkeiden toteuttamiseen.  Tämän toimintalinjan tavoitteena on myöntää osallistavia lainoja, joilla yrityksiä kannustetaan kehittämään elinkelpoisia ja innovatiivisia hankkeita, jotka liittyvät sähköiseen kaupankäyntiin ja Teollisuus 4.0:n vakiinnuttamiseen, muun muassa elintarviketeollisuuden digitaalisten liiketoimintamallien muutoksen viputekijänä.</w:t>
            </w:r>
            <w:r>
              <w:rPr>
                <w:noProof/>
              </w:rPr>
              <w:t xml:space="preserve"> </w:t>
            </w:r>
            <w:r>
              <w:rPr>
                <w:noProof/>
              </w:rPr>
              <w:br/>
            </w:r>
            <w:r>
              <w:rPr>
                <w:rFonts w:ascii="Times New Roman" w:hAnsi="Times New Roman"/>
                <w:noProof/>
                <w:sz w:val="18"/>
              </w:rPr>
              <w:t xml:space="preserve">On varmistettava muun muassa valintaperusteiden avulla, että näiden pk-yritysten näillä lainoilla toteuttamat tämän investoinnin mukaiset liiketoimet ovat tämän toimenpiteen nojalla tuettujen toimien osalta ”ei merkittävää haittaa” -periaatteen mukaisia, käyttämällä kestävyysarviointia, poissulkemisluetteloa ja vaatimusta asiaankuuluvan EU:n ja kansallisen ympäristölainsäädännön noudattamisesta. </w:t>
            </w:r>
          </w:p>
        </w:tc>
      </w:tr>
      <w:tr w:rsidR="0065073E" w14:paraId="022F94A2" w14:textId="77777777">
        <w:trPr>
          <w:trHeight w:val="309"/>
        </w:trPr>
        <w:tc>
          <w:tcPr>
            <w:tcW w:w="832" w:type="dxa"/>
            <w:shd w:val="clear" w:color="auto" w:fill="C6EFCE"/>
            <w:noWrap/>
          </w:tcPr>
          <w:p w14:paraId="3F6FB1E0" w14:textId="629B1448" w:rsidR="0065073E" w:rsidRDefault="000A0998">
            <w:pPr>
              <w:pStyle w:val="P68B1DB1-Normal12"/>
              <w:spacing w:after="0" w:line="240" w:lineRule="auto"/>
              <w:jc w:val="center"/>
              <w:rPr>
                <w:rFonts w:eastAsia="MS Mincho" w:cs="Times New Roman"/>
                <w:noProof/>
              </w:rPr>
            </w:pPr>
            <w:r>
              <w:rPr>
                <w:noProof/>
              </w:rPr>
              <w:t>55</w:t>
            </w:r>
          </w:p>
        </w:tc>
        <w:tc>
          <w:tcPr>
            <w:tcW w:w="829" w:type="dxa"/>
            <w:shd w:val="clear" w:color="auto" w:fill="C6EFCE"/>
            <w:noWrap/>
          </w:tcPr>
          <w:p w14:paraId="4F7497D4" w14:textId="4C6A9D53" w:rsidR="0065073E" w:rsidRDefault="000A0998">
            <w:pPr>
              <w:pStyle w:val="P68B1DB1-Normal12"/>
              <w:spacing w:after="0" w:line="240" w:lineRule="auto"/>
              <w:jc w:val="center"/>
              <w:rPr>
                <w:rFonts w:eastAsia="MS Mincho" w:cs="Times New Roman"/>
                <w:noProof/>
              </w:rPr>
            </w:pPr>
            <w:r>
              <w:rPr>
                <w:noProof/>
              </w:rPr>
              <w:t>C3.I6</w:t>
            </w:r>
          </w:p>
        </w:tc>
        <w:tc>
          <w:tcPr>
            <w:tcW w:w="1051" w:type="dxa"/>
            <w:shd w:val="clear" w:color="auto" w:fill="C6EFCE"/>
            <w:noWrap/>
          </w:tcPr>
          <w:p w14:paraId="1BEE1494" w14:textId="0B443E0E"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095A004D" w14:textId="1E4D6E2D" w:rsidR="0065073E" w:rsidRDefault="000A0998">
            <w:pPr>
              <w:pStyle w:val="P68B1DB1-Normal12"/>
              <w:spacing w:after="0" w:line="240" w:lineRule="auto"/>
              <w:rPr>
                <w:rFonts w:eastAsia="MS Mincho" w:cs="Times New Roman"/>
                <w:noProof/>
              </w:rPr>
            </w:pPr>
            <w:r>
              <w:rPr>
                <w:noProof/>
              </w:rPr>
              <w:t>Tieto- ja viestintäteknisten laitteiden hankinta kalastusintressien merivarantoja varten ja sopimukset erityiskäyttöön tarkoitettujen alusten hankkimiseksi merialueita varten</w:t>
            </w:r>
          </w:p>
        </w:tc>
        <w:tc>
          <w:tcPr>
            <w:tcW w:w="1242" w:type="dxa"/>
            <w:shd w:val="clear" w:color="auto" w:fill="C6EFCE"/>
            <w:noWrap/>
          </w:tcPr>
          <w:p w14:paraId="07547A01" w14:textId="1B887A68" w:rsidR="0065073E" w:rsidRDefault="000A0998">
            <w:pPr>
              <w:pStyle w:val="P68B1DB1-Normal12"/>
              <w:spacing w:after="0" w:line="240" w:lineRule="auto"/>
              <w:jc w:val="center"/>
              <w:rPr>
                <w:rFonts w:eastAsia="MS Mincho" w:cs="Times New Roman"/>
                <w:noProof/>
              </w:rPr>
            </w:pPr>
            <w:r>
              <w:rPr>
                <w:noProof/>
              </w:rPr>
              <w:t xml:space="preserve">Hankintasopimuksen julkaiseminen julkisia hankintoja koskevalla foorumilla </w:t>
            </w:r>
          </w:p>
        </w:tc>
        <w:tc>
          <w:tcPr>
            <w:tcW w:w="828" w:type="dxa"/>
            <w:shd w:val="clear" w:color="auto" w:fill="C6EFCE"/>
            <w:noWrap/>
          </w:tcPr>
          <w:p w14:paraId="324D7EF8" w14:textId="12386D6E"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207ADCD" w14:textId="14279A79"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60DA3216" w14:textId="0139C229"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9F6EBCF" w14:textId="15C7B5FD"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00E632F" w14:textId="17E29F0E"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FFE1FB1" w14:textId="22E16B15" w:rsidR="0065073E" w:rsidRDefault="000A0998">
            <w:pPr>
              <w:pStyle w:val="P68B1DB1-Normal12"/>
              <w:spacing w:after="0" w:line="240" w:lineRule="auto"/>
              <w:rPr>
                <w:rFonts w:eastAsia="MS Mincho" w:cs="Times New Roman"/>
                <w:noProof/>
              </w:rPr>
            </w:pPr>
            <w:r>
              <w:rPr>
                <w:noProof/>
              </w:rPr>
              <w:t xml:space="preserve">Julkaistaan julkisten hankintojen foorumissa tehty sopimus, joka koskee kalastusintressien merialueiden tieto- ja viestintäteknisten laitteiden hankintaa ja kahden sopimuksen tekemistä kahden merialueiden erityisaluksen hankkimiseksi. Merivarantojen tieto- ja viestintätekniset laitteet koostuvat i) Alborán Lighthouse-tutkaradioyhteydestä niemimaalle ja ii) sellaisten droonien ostamisesta, joiden teho on riittävä, jotta ne mahdollistavat valvonta- ja seurantatoimet ja optimoivat olemassa olevat keinot ja vähentävät myös ympäristövaikutuksia. Merialueita varten tarkoitetun erikoisaluksen ostamiseksi on etsittävä parasta teknologiaa, joka mahdollistaa ”ei merkittävää haittaa” -periaatteen mukaisten teknisten ohjeiden (2021/C58/01) noudattamisen. </w:t>
            </w:r>
          </w:p>
        </w:tc>
      </w:tr>
      <w:tr w:rsidR="0065073E" w14:paraId="38D9B000" w14:textId="77777777">
        <w:trPr>
          <w:trHeight w:val="309"/>
        </w:trPr>
        <w:tc>
          <w:tcPr>
            <w:tcW w:w="832" w:type="dxa"/>
            <w:shd w:val="clear" w:color="auto" w:fill="C6EFCE"/>
            <w:noWrap/>
          </w:tcPr>
          <w:p w14:paraId="0868EBB2" w14:textId="222429D7" w:rsidR="0065073E" w:rsidRDefault="000A0998">
            <w:pPr>
              <w:pStyle w:val="P68B1DB1-Normal12"/>
              <w:spacing w:after="0" w:line="240" w:lineRule="auto"/>
              <w:jc w:val="center"/>
              <w:rPr>
                <w:rFonts w:eastAsia="MS Mincho" w:cs="Times New Roman"/>
                <w:noProof/>
              </w:rPr>
            </w:pPr>
            <w:r>
              <w:rPr>
                <w:noProof/>
              </w:rPr>
              <w:t>56</w:t>
            </w:r>
          </w:p>
        </w:tc>
        <w:tc>
          <w:tcPr>
            <w:tcW w:w="829" w:type="dxa"/>
            <w:shd w:val="clear" w:color="auto" w:fill="C6EFCE"/>
            <w:noWrap/>
          </w:tcPr>
          <w:p w14:paraId="36FEFEFA" w14:textId="3D673125" w:rsidR="0065073E" w:rsidRDefault="000A0998">
            <w:pPr>
              <w:pStyle w:val="P68B1DB1-Normal12"/>
              <w:spacing w:after="0" w:line="240" w:lineRule="auto"/>
              <w:jc w:val="center"/>
              <w:rPr>
                <w:rFonts w:eastAsia="MS Mincho" w:cs="Times New Roman"/>
                <w:noProof/>
              </w:rPr>
            </w:pPr>
            <w:r>
              <w:rPr>
                <w:noProof/>
              </w:rPr>
              <w:t>C3.I7</w:t>
            </w:r>
          </w:p>
        </w:tc>
        <w:tc>
          <w:tcPr>
            <w:tcW w:w="1051" w:type="dxa"/>
            <w:shd w:val="clear" w:color="auto" w:fill="C6EFCE"/>
            <w:noWrap/>
          </w:tcPr>
          <w:p w14:paraId="5EE5B567" w14:textId="20A8FDD0"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02876A43" w14:textId="2972E394" w:rsidR="0065073E" w:rsidRDefault="000A0998">
            <w:pPr>
              <w:pStyle w:val="P68B1DB1-Normal12"/>
              <w:spacing w:after="0" w:line="240" w:lineRule="auto"/>
              <w:rPr>
                <w:rFonts w:eastAsia="MS Mincho" w:cs="Times New Roman"/>
                <w:noProof/>
              </w:rPr>
            </w:pPr>
            <w:r>
              <w:rPr>
                <w:noProof/>
              </w:rPr>
              <w:t>Sopimukset julkisten tutkimuslaitosten kanssa</w:t>
            </w:r>
          </w:p>
        </w:tc>
        <w:tc>
          <w:tcPr>
            <w:tcW w:w="1242" w:type="dxa"/>
            <w:shd w:val="clear" w:color="auto" w:fill="C6EFCE"/>
            <w:noWrap/>
          </w:tcPr>
          <w:p w14:paraId="5043CB0F" w14:textId="37917C5C" w:rsidR="0065073E" w:rsidRDefault="000A0998">
            <w:pPr>
              <w:pStyle w:val="P68B1DB1-Normal12"/>
              <w:spacing w:after="0" w:line="240" w:lineRule="auto"/>
              <w:jc w:val="center"/>
              <w:rPr>
                <w:rFonts w:eastAsia="MS Mincho" w:cs="Times New Roman"/>
                <w:noProof/>
              </w:rPr>
            </w:pPr>
            <w:r>
              <w:rPr>
                <w:noProof/>
              </w:rPr>
              <w:t>Sopimusten allekirjoittaminen julkisten tutkimuslaitosten kanssa</w:t>
            </w:r>
          </w:p>
        </w:tc>
        <w:tc>
          <w:tcPr>
            <w:tcW w:w="828" w:type="dxa"/>
            <w:shd w:val="clear" w:color="auto" w:fill="C6EFCE"/>
            <w:noWrap/>
          </w:tcPr>
          <w:p w14:paraId="11027AA7" w14:textId="71EDFADA"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5D64A453" w14:textId="6A13CB52"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174B1212" w14:textId="0A8BA489"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5585A9C2"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B50C5A4" w14:textId="19AA6B8A" w:rsidR="0065073E" w:rsidRDefault="000A0998">
            <w:pPr>
              <w:pStyle w:val="P68B1DB1-Normal12"/>
              <w:spacing w:after="0" w:line="240" w:lineRule="auto"/>
              <w:jc w:val="center"/>
              <w:rPr>
                <w:rFonts w:eastAsia="MS Mincho" w:cs="Times New Roman"/>
                <w:noProof/>
              </w:rPr>
            </w:pPr>
            <w:r>
              <w:rPr>
                <w:noProof/>
              </w:rPr>
              <w:t>2021</w:t>
            </w:r>
          </w:p>
        </w:tc>
        <w:tc>
          <w:tcPr>
            <w:tcW w:w="5236" w:type="dxa"/>
            <w:shd w:val="clear" w:color="auto" w:fill="C6EFCE"/>
            <w:noWrap/>
          </w:tcPr>
          <w:p w14:paraId="616FEBE4" w14:textId="37D92DF3" w:rsidR="0065073E" w:rsidRDefault="000A0998">
            <w:pPr>
              <w:pStyle w:val="P68B1DB1-Normal12"/>
              <w:spacing w:after="0" w:line="240" w:lineRule="auto"/>
              <w:rPr>
                <w:rFonts w:eastAsia="MS Mincho" w:cs="Times New Roman"/>
                <w:noProof/>
              </w:rPr>
            </w:pPr>
            <w:r>
              <w:rPr>
                <w:noProof/>
              </w:rPr>
              <w:t xml:space="preserve">Sopimusten allekirjoittaminen julkisten tutkimuslaitosten kanssa kalastuksen ja vesiviljelyn tutkimuksen edistämiseksi ja ekosysteemilähtöisen lähestymistavan varmistamiseksi kalastuksenhoitoa koskevassa päätöksenteossa  </w:t>
            </w:r>
          </w:p>
        </w:tc>
      </w:tr>
      <w:tr w:rsidR="0065073E" w14:paraId="256BC99F" w14:textId="77777777">
        <w:trPr>
          <w:trHeight w:val="309"/>
        </w:trPr>
        <w:tc>
          <w:tcPr>
            <w:tcW w:w="832" w:type="dxa"/>
            <w:shd w:val="clear" w:color="auto" w:fill="C6EFCE"/>
            <w:noWrap/>
          </w:tcPr>
          <w:p w14:paraId="5FE3165D" w14:textId="0AFB058B" w:rsidR="0065073E" w:rsidRDefault="000A0998">
            <w:pPr>
              <w:pStyle w:val="P68B1DB1-Normal12"/>
              <w:spacing w:after="0" w:line="240" w:lineRule="auto"/>
              <w:jc w:val="center"/>
              <w:rPr>
                <w:rFonts w:eastAsia="MS Mincho" w:cs="Times New Roman"/>
                <w:noProof/>
              </w:rPr>
            </w:pPr>
            <w:r>
              <w:rPr>
                <w:noProof/>
              </w:rPr>
              <w:t>57</w:t>
            </w:r>
          </w:p>
        </w:tc>
        <w:tc>
          <w:tcPr>
            <w:tcW w:w="829" w:type="dxa"/>
            <w:shd w:val="clear" w:color="auto" w:fill="C6EFCE"/>
            <w:noWrap/>
          </w:tcPr>
          <w:p w14:paraId="33E213DF" w14:textId="2023383F" w:rsidR="0065073E" w:rsidRDefault="000A0998">
            <w:pPr>
              <w:pStyle w:val="P68B1DB1-Normal12"/>
              <w:spacing w:after="0" w:line="240" w:lineRule="auto"/>
              <w:jc w:val="center"/>
              <w:rPr>
                <w:rFonts w:eastAsia="MS Mincho" w:cs="Times New Roman"/>
                <w:noProof/>
              </w:rPr>
            </w:pPr>
            <w:r>
              <w:rPr>
                <w:noProof/>
              </w:rPr>
              <w:t>C3.I7</w:t>
            </w:r>
          </w:p>
        </w:tc>
        <w:tc>
          <w:tcPr>
            <w:tcW w:w="1051" w:type="dxa"/>
            <w:shd w:val="clear" w:color="auto" w:fill="C6EFCE"/>
            <w:noWrap/>
          </w:tcPr>
          <w:p w14:paraId="388498F2" w14:textId="44569597"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31C63DEF" w14:textId="77BBC003" w:rsidR="0065073E" w:rsidRDefault="000A0998">
            <w:pPr>
              <w:pStyle w:val="P68B1DB1-Normal12"/>
              <w:spacing w:after="0" w:line="240" w:lineRule="auto"/>
              <w:rPr>
                <w:rFonts w:eastAsia="MS Mincho" w:cs="Times New Roman"/>
                <w:noProof/>
              </w:rPr>
            </w:pPr>
            <w:r>
              <w:rPr>
                <w:noProof/>
              </w:rPr>
              <w:t>Akustisten koettimien hankinta kalastusalan tutkimusta varten</w:t>
            </w:r>
          </w:p>
        </w:tc>
        <w:tc>
          <w:tcPr>
            <w:tcW w:w="1242" w:type="dxa"/>
            <w:shd w:val="clear" w:color="auto" w:fill="C6EFCE"/>
            <w:noWrap/>
          </w:tcPr>
          <w:p w14:paraId="01947563" w14:textId="78C22953"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8BC89FB" w14:textId="7792EE1E" w:rsidR="0065073E" w:rsidRDefault="000A0998">
            <w:pPr>
              <w:pStyle w:val="P68B1DB1-Normal12"/>
              <w:spacing w:after="0" w:line="240" w:lineRule="auto"/>
              <w:jc w:val="right"/>
              <w:rPr>
                <w:rFonts w:eastAsia="MS Mincho" w:cs="Times New Roman"/>
                <w:noProof/>
              </w:rPr>
            </w:pPr>
            <w:r>
              <w:rPr>
                <w:noProof/>
              </w:rPr>
              <w:t>Määrä </w:t>
            </w:r>
          </w:p>
        </w:tc>
        <w:tc>
          <w:tcPr>
            <w:tcW w:w="966" w:type="dxa"/>
            <w:shd w:val="clear" w:color="auto" w:fill="C6EFCE"/>
            <w:noWrap/>
          </w:tcPr>
          <w:p w14:paraId="70945AB8" w14:textId="73B2824C"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45FB2F13" w14:textId="2CA05724" w:rsidR="0065073E" w:rsidRDefault="000A0998">
            <w:pPr>
              <w:pStyle w:val="P68B1DB1-Normal12"/>
              <w:spacing w:after="0" w:line="240" w:lineRule="auto"/>
              <w:jc w:val="right"/>
              <w:rPr>
                <w:rFonts w:eastAsia="MS Mincho" w:cs="Times New Roman"/>
                <w:noProof/>
              </w:rPr>
            </w:pPr>
            <w:r>
              <w:rPr>
                <w:noProof/>
              </w:rPr>
              <w:t>2</w:t>
            </w:r>
          </w:p>
        </w:tc>
        <w:tc>
          <w:tcPr>
            <w:tcW w:w="415" w:type="dxa"/>
            <w:shd w:val="clear" w:color="auto" w:fill="C6EFCE"/>
            <w:noWrap/>
          </w:tcPr>
          <w:p w14:paraId="1317816B" w14:textId="784687FF"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5B19E796" w14:textId="77777777"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0DBBBB21" w14:textId="50C527C4" w:rsidR="0065073E" w:rsidRDefault="000A0998">
            <w:pPr>
              <w:pStyle w:val="P68B1DB1-Normal12"/>
              <w:spacing w:after="0" w:line="240" w:lineRule="auto"/>
              <w:rPr>
                <w:rFonts w:cs="Times New Roman"/>
                <w:noProof/>
              </w:rPr>
            </w:pPr>
            <w:r>
              <w:rPr>
                <w:noProof/>
              </w:rPr>
              <w:t>Julkaistaan julkisten hankintojen foorumissa tehty sopimus kahden kalastustutkimukseen tarkoitetun akustisen näytteenottimen hankinnasta. Kahden koekappaleen hankkimisella kahdelle olemassa olevalle kalastusalukselle pyritään varmistamaan saatujen tietojen laatu ja siten suosimaan pelagisten lajien eri kantojen tieteellisiä arviointeja, mikä edistää kalastuksen kestävyyttä ja parhaaseen tieteelliseen tietoon perustuvaa kalastuksenhoitoa koskevaa päätöksentekoa.</w:t>
            </w:r>
          </w:p>
        </w:tc>
      </w:tr>
      <w:tr w:rsidR="0065073E" w14:paraId="1406655C" w14:textId="77777777">
        <w:trPr>
          <w:trHeight w:val="309"/>
        </w:trPr>
        <w:tc>
          <w:tcPr>
            <w:tcW w:w="832" w:type="dxa"/>
            <w:shd w:val="clear" w:color="auto" w:fill="C6EFCE"/>
            <w:noWrap/>
          </w:tcPr>
          <w:p w14:paraId="6F8A58DE" w14:textId="51E18F9A" w:rsidR="0065073E" w:rsidRDefault="000A0998">
            <w:pPr>
              <w:pStyle w:val="P68B1DB1-Normal12"/>
              <w:spacing w:after="0" w:line="240" w:lineRule="auto"/>
              <w:jc w:val="center"/>
              <w:rPr>
                <w:rFonts w:eastAsia="MS Mincho" w:cs="Times New Roman"/>
                <w:noProof/>
              </w:rPr>
            </w:pPr>
            <w:r>
              <w:rPr>
                <w:noProof/>
              </w:rPr>
              <w:t>58</w:t>
            </w:r>
          </w:p>
        </w:tc>
        <w:tc>
          <w:tcPr>
            <w:tcW w:w="829" w:type="dxa"/>
            <w:shd w:val="clear" w:color="auto" w:fill="C6EFCE"/>
            <w:noWrap/>
          </w:tcPr>
          <w:p w14:paraId="2E9F658E" w14:textId="51F7C3D1" w:rsidR="0065073E" w:rsidRDefault="000A0998">
            <w:pPr>
              <w:pStyle w:val="P68B1DB1-Normal12"/>
              <w:spacing w:after="0" w:line="240" w:lineRule="auto"/>
              <w:jc w:val="center"/>
              <w:rPr>
                <w:rFonts w:eastAsia="MS Mincho" w:cs="Times New Roman"/>
                <w:noProof/>
              </w:rPr>
            </w:pPr>
            <w:r>
              <w:rPr>
                <w:noProof/>
              </w:rPr>
              <w:t>C3.I8</w:t>
            </w:r>
          </w:p>
        </w:tc>
        <w:tc>
          <w:tcPr>
            <w:tcW w:w="1051" w:type="dxa"/>
            <w:shd w:val="clear" w:color="auto" w:fill="C6EFCE"/>
            <w:noWrap/>
          </w:tcPr>
          <w:p w14:paraId="36908B73" w14:textId="4A705DE3"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59366F03" w14:textId="38B05B9F" w:rsidR="0065073E" w:rsidRDefault="000A0998">
            <w:pPr>
              <w:pStyle w:val="P68B1DB1-Normal12"/>
              <w:spacing w:after="0" w:line="240" w:lineRule="auto"/>
              <w:rPr>
                <w:rFonts w:eastAsia="MS Mincho" w:cs="Times New Roman"/>
                <w:noProof/>
              </w:rPr>
            </w:pPr>
            <w:r>
              <w:rPr>
                <w:noProof/>
              </w:rPr>
              <w:t>Tutkimus-, kehitys- ja innovointihankkeet, joilla tuetaan kalastus- ja vesiviljelyalan häiriönsietokykyä ja kestävyyttä</w:t>
            </w:r>
          </w:p>
        </w:tc>
        <w:tc>
          <w:tcPr>
            <w:tcW w:w="1242" w:type="dxa"/>
            <w:shd w:val="clear" w:color="auto" w:fill="C6EFCE"/>
            <w:noWrap/>
          </w:tcPr>
          <w:p w14:paraId="4E801B33" w14:textId="60B7C178"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184D15E4" w14:textId="251C36AF" w:rsidR="0065073E" w:rsidRDefault="000A0998">
            <w:pPr>
              <w:pStyle w:val="P68B1DB1-Normal12"/>
              <w:spacing w:after="0" w:line="240" w:lineRule="auto"/>
              <w:jc w:val="right"/>
              <w:rPr>
                <w:rFonts w:eastAsia="MS Mincho" w:cs="Times New Roman"/>
                <w:noProof/>
              </w:rPr>
            </w:pPr>
            <w:r>
              <w:rPr>
                <w:noProof/>
              </w:rPr>
              <w:t>Määrä</w:t>
            </w:r>
          </w:p>
        </w:tc>
        <w:tc>
          <w:tcPr>
            <w:tcW w:w="966" w:type="dxa"/>
            <w:shd w:val="clear" w:color="auto" w:fill="C6EFCE"/>
            <w:noWrap/>
          </w:tcPr>
          <w:p w14:paraId="63A420E6" w14:textId="024DED6A"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28EB558" w14:textId="5B485D53" w:rsidR="0065073E" w:rsidRDefault="000A0998">
            <w:pPr>
              <w:pStyle w:val="P68B1DB1-Normal12"/>
              <w:spacing w:after="0" w:line="240" w:lineRule="auto"/>
              <w:jc w:val="right"/>
              <w:rPr>
                <w:rFonts w:eastAsia="MS Mincho" w:cs="Times New Roman"/>
                <w:noProof/>
              </w:rPr>
            </w:pPr>
            <w:r>
              <w:rPr>
                <w:noProof/>
              </w:rPr>
              <w:t>20</w:t>
            </w:r>
          </w:p>
        </w:tc>
        <w:tc>
          <w:tcPr>
            <w:tcW w:w="415" w:type="dxa"/>
            <w:shd w:val="clear" w:color="auto" w:fill="C6EFCE"/>
            <w:noWrap/>
          </w:tcPr>
          <w:p w14:paraId="6AC464C5"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A713548" w14:textId="6D21B9C8" w:rsidR="0065073E" w:rsidRDefault="000A0998">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10FE26EE" w14:textId="76476710" w:rsidR="0065073E" w:rsidRDefault="000A0998">
            <w:pPr>
              <w:pStyle w:val="P68B1DB1-Normal12"/>
              <w:spacing w:after="0" w:line="240" w:lineRule="auto"/>
              <w:rPr>
                <w:rFonts w:eastAsia="MS Mincho" w:cs="Times New Roman"/>
                <w:noProof/>
              </w:rPr>
            </w:pPr>
            <w:r>
              <w:rPr>
                <w:noProof/>
              </w:rPr>
              <w:t>Vähintään 20 tutkimus-, kehitys- ja innovointihankkeen loppuun saattaminen, jotta voidaan ottaa käyttöön uusia teknologioita, jotka edistävät kalastus- ja vesiviljelyalan häiriönsietokykyä ja kestävyyttä.</w:t>
            </w:r>
          </w:p>
        </w:tc>
      </w:tr>
      <w:tr w:rsidR="0065073E" w14:paraId="30C4F024" w14:textId="77777777">
        <w:trPr>
          <w:trHeight w:val="309"/>
        </w:trPr>
        <w:tc>
          <w:tcPr>
            <w:tcW w:w="832" w:type="dxa"/>
            <w:shd w:val="clear" w:color="auto" w:fill="C6EFCE"/>
            <w:noWrap/>
          </w:tcPr>
          <w:p w14:paraId="4D2760AF" w14:textId="25DEC3E5" w:rsidR="0065073E" w:rsidRDefault="000A0998">
            <w:pPr>
              <w:pStyle w:val="P68B1DB1-Normal12"/>
              <w:spacing w:after="0" w:line="240" w:lineRule="auto"/>
              <w:jc w:val="center"/>
              <w:rPr>
                <w:rFonts w:eastAsia="MS Mincho" w:cs="Times New Roman"/>
                <w:noProof/>
              </w:rPr>
            </w:pPr>
            <w:r>
              <w:rPr>
                <w:noProof/>
              </w:rPr>
              <w:t>59</w:t>
            </w:r>
          </w:p>
        </w:tc>
        <w:tc>
          <w:tcPr>
            <w:tcW w:w="829" w:type="dxa"/>
            <w:shd w:val="clear" w:color="auto" w:fill="C6EFCE"/>
            <w:noWrap/>
          </w:tcPr>
          <w:p w14:paraId="74A6100D" w14:textId="2914EE3A" w:rsidR="0065073E" w:rsidRDefault="000A0998">
            <w:pPr>
              <w:pStyle w:val="P68B1DB1-Normal12"/>
              <w:spacing w:after="0" w:line="240" w:lineRule="auto"/>
              <w:jc w:val="center"/>
              <w:rPr>
                <w:rFonts w:eastAsia="MS Mincho" w:cs="Times New Roman"/>
                <w:noProof/>
              </w:rPr>
            </w:pPr>
            <w:r>
              <w:rPr>
                <w:noProof/>
              </w:rPr>
              <w:t>C3.I9</w:t>
            </w:r>
          </w:p>
        </w:tc>
        <w:tc>
          <w:tcPr>
            <w:tcW w:w="1051" w:type="dxa"/>
            <w:shd w:val="clear" w:color="auto" w:fill="C6EFCE"/>
            <w:noWrap/>
          </w:tcPr>
          <w:p w14:paraId="60A92451" w14:textId="6B927D1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F0C1A98" w14:textId="3E386702" w:rsidR="0065073E" w:rsidRDefault="000A0998">
            <w:pPr>
              <w:pStyle w:val="P68B1DB1-Normal12"/>
              <w:spacing w:after="0" w:line="240" w:lineRule="auto"/>
              <w:rPr>
                <w:rFonts w:eastAsia="MS Mincho" w:cs="Times New Roman"/>
                <w:noProof/>
              </w:rPr>
            </w:pPr>
            <w:r>
              <w:rPr>
                <w:noProof/>
              </w:rPr>
              <w:t xml:space="preserve">Espanjan kalastuksen tietojärjestelmän (SIPE) ja kalastuksenvalvontajärjestelmän digitaalinen vahvistaminen </w:t>
            </w:r>
          </w:p>
        </w:tc>
        <w:tc>
          <w:tcPr>
            <w:tcW w:w="1242" w:type="dxa"/>
            <w:shd w:val="clear" w:color="auto" w:fill="C6EFCE"/>
            <w:noWrap/>
          </w:tcPr>
          <w:p w14:paraId="07459315" w14:textId="14D49FA8" w:rsidR="0065073E" w:rsidRDefault="000A0998">
            <w:pPr>
              <w:pStyle w:val="P68B1DB1-Normal12"/>
              <w:spacing w:after="0" w:line="240" w:lineRule="auto"/>
              <w:jc w:val="center"/>
              <w:rPr>
                <w:rFonts w:eastAsia="MS Mincho" w:cs="Times New Roman"/>
                <w:noProof/>
              </w:rPr>
            </w:pPr>
            <w:r>
              <w:rPr>
                <w:noProof/>
              </w:rPr>
              <w:t>Toisen palomuurin asentaminen</w:t>
            </w:r>
          </w:p>
        </w:tc>
        <w:tc>
          <w:tcPr>
            <w:tcW w:w="828" w:type="dxa"/>
            <w:shd w:val="clear" w:color="auto" w:fill="C6EFCE"/>
            <w:noWrap/>
          </w:tcPr>
          <w:p w14:paraId="492888C9" w14:textId="0C17A82B"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3081C80F" w14:textId="192EA673"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144751B" w14:textId="7A6D4372"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0DC41FC3" w14:textId="2F9F671E"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162C3D42" w14:textId="6DF5AFA2" w:rsidR="0065073E" w:rsidRDefault="000A0998">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514E70BC" w14:textId="48658675" w:rsidR="0065073E" w:rsidRDefault="000A0998">
            <w:pPr>
              <w:pStyle w:val="P68B1DB1-Normal12"/>
              <w:spacing w:after="0" w:line="240" w:lineRule="auto"/>
              <w:rPr>
                <w:rFonts w:eastAsia="MS Mincho" w:cs="Times New Roman"/>
                <w:noProof/>
              </w:rPr>
            </w:pPr>
            <w:r>
              <w:rPr>
                <w:noProof/>
              </w:rPr>
              <w:t xml:space="preserve">Kalastustietojen ja -valvonnan digitaalinen vahvistaminen, mukaan lukien toisen palomuurin (palomuurin) asentaminen Espanjan kalastustietojärjestelmän (SIPE) turvallisuuden parantamiseksi kansallisessa turvallisuusjärjestelmässä (ENS) vahvistettujen, kalastusalusten korkeaa turvallisuustasoa ja digitalisointia koskevien vaatimusten mukaisesti.  </w:t>
            </w:r>
          </w:p>
        </w:tc>
      </w:tr>
      <w:tr w:rsidR="0065073E" w14:paraId="1E462E9F" w14:textId="77777777">
        <w:trPr>
          <w:trHeight w:val="309"/>
        </w:trPr>
        <w:tc>
          <w:tcPr>
            <w:tcW w:w="832" w:type="dxa"/>
            <w:shd w:val="clear" w:color="auto" w:fill="C6EFCE"/>
            <w:noWrap/>
          </w:tcPr>
          <w:p w14:paraId="60E7A8A8" w14:textId="3D95EEAB" w:rsidR="0065073E" w:rsidRDefault="000A0998">
            <w:pPr>
              <w:pStyle w:val="P68B1DB1-Normal12"/>
              <w:spacing w:after="0" w:line="240" w:lineRule="auto"/>
              <w:jc w:val="center"/>
              <w:rPr>
                <w:rFonts w:eastAsia="MS Mincho" w:cs="Times New Roman"/>
                <w:noProof/>
              </w:rPr>
            </w:pPr>
            <w:r>
              <w:rPr>
                <w:noProof/>
              </w:rPr>
              <w:t>60</w:t>
            </w:r>
          </w:p>
        </w:tc>
        <w:tc>
          <w:tcPr>
            <w:tcW w:w="829" w:type="dxa"/>
            <w:shd w:val="clear" w:color="auto" w:fill="C6EFCE"/>
            <w:noWrap/>
          </w:tcPr>
          <w:p w14:paraId="195DB6A2" w14:textId="48CC61DA" w:rsidR="0065073E" w:rsidRDefault="000A0998">
            <w:pPr>
              <w:pStyle w:val="P68B1DB1-Normal12"/>
              <w:spacing w:after="0" w:line="240" w:lineRule="auto"/>
              <w:jc w:val="center"/>
              <w:rPr>
                <w:rFonts w:eastAsia="MS Mincho" w:cs="Times New Roman"/>
                <w:noProof/>
              </w:rPr>
            </w:pPr>
            <w:r>
              <w:rPr>
                <w:noProof/>
              </w:rPr>
              <w:t>C3.I10</w:t>
            </w:r>
          </w:p>
        </w:tc>
        <w:tc>
          <w:tcPr>
            <w:tcW w:w="1051" w:type="dxa"/>
            <w:shd w:val="clear" w:color="auto" w:fill="C6EFCE"/>
            <w:noWrap/>
          </w:tcPr>
          <w:p w14:paraId="1EE4D7E7" w14:textId="29CC0987" w:rsidR="0065073E" w:rsidRDefault="000A0998">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4637942A" w14:textId="057F78C4" w:rsidR="0065073E" w:rsidRDefault="000A0998">
            <w:pPr>
              <w:pStyle w:val="P68B1DB1-Normal12"/>
              <w:spacing w:after="0" w:line="240" w:lineRule="auto"/>
              <w:rPr>
                <w:rFonts w:eastAsia="MS Mincho" w:cs="Times New Roman"/>
                <w:noProof/>
              </w:rPr>
            </w:pPr>
            <w:r>
              <w:rPr>
                <w:noProof/>
              </w:rPr>
              <w:t xml:space="preserve">Kevyiden partioalusten ja aavan meren partioalusten hankinta laittoman, ilmoittamattoman ja sääntelemättömän kalastuksen torjumiseksi </w:t>
            </w:r>
          </w:p>
        </w:tc>
        <w:tc>
          <w:tcPr>
            <w:tcW w:w="1242" w:type="dxa"/>
            <w:shd w:val="clear" w:color="auto" w:fill="C6EFCE"/>
            <w:noWrap/>
          </w:tcPr>
          <w:p w14:paraId="6537F28F" w14:textId="0648B147" w:rsidR="0065073E" w:rsidRDefault="000A0998">
            <w:pPr>
              <w:pStyle w:val="P68B1DB1-Normal12"/>
              <w:spacing w:after="0" w:line="240" w:lineRule="auto"/>
              <w:jc w:val="center"/>
              <w:rPr>
                <w:rFonts w:eastAsia="MS Mincho" w:cs="Times New Roman"/>
                <w:noProof/>
              </w:rPr>
            </w:pPr>
            <w:r>
              <w:rPr>
                <w:noProof/>
              </w:rPr>
              <w:t xml:space="preserve">Hankintasopimuksen julkaiseminen julkisia hankintoja koskevalla foorumilla </w:t>
            </w:r>
          </w:p>
        </w:tc>
        <w:tc>
          <w:tcPr>
            <w:tcW w:w="828" w:type="dxa"/>
            <w:shd w:val="clear" w:color="auto" w:fill="C6EFCE"/>
            <w:noWrap/>
          </w:tcPr>
          <w:p w14:paraId="24395A78" w14:textId="10EB6BDF"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3209E21E" w14:textId="425DB139"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B5474F0" w14:textId="772120D4"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3E51AB3" w14:textId="77777777" w:rsidR="0065073E" w:rsidRDefault="000A0998">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1A5C52D" w14:textId="1D6B0EE5"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79CBC4EB" w14:textId="0F3BC9FD" w:rsidR="0065073E" w:rsidRDefault="000A0998">
            <w:pPr>
              <w:pStyle w:val="P68B1DB1-Normal12"/>
              <w:spacing w:after="0" w:line="240" w:lineRule="auto"/>
              <w:rPr>
                <w:rFonts w:eastAsia="MS Mincho" w:cs="Times New Roman"/>
                <w:noProof/>
              </w:rPr>
            </w:pPr>
            <w:r>
              <w:rPr>
                <w:noProof/>
              </w:rPr>
              <w:t>Julkisia hankintoja käsittelevässä foorumissa julkaistaan neljää uutta kevyttä partioalusta ja kolmea uudistettua aavan meren partioalusta, joita käytetään torjumaan laitonta, ilmoittamatonta ja sääntelemätöntä kalastusta, joka on edelleen yksi suurimmista meriekosysteemeihin kohdistuvista uhkista. On etsittävä paras teknologia, joka mahdollistaa ”ei merkittävää haittaa” -periaatteen mukaisten teknisten ohjeiden (2021/C58/01) noudattamisen.</w:t>
            </w:r>
          </w:p>
        </w:tc>
      </w:tr>
      <w:tr w:rsidR="0065073E" w14:paraId="7F936975" w14:textId="77777777">
        <w:trPr>
          <w:trHeight w:val="309"/>
        </w:trPr>
        <w:tc>
          <w:tcPr>
            <w:tcW w:w="832" w:type="dxa"/>
            <w:shd w:val="clear" w:color="auto" w:fill="C6EFCE"/>
            <w:noWrap/>
          </w:tcPr>
          <w:p w14:paraId="6E55690C" w14:textId="0FF76394" w:rsidR="0065073E" w:rsidRDefault="000A0998">
            <w:pPr>
              <w:pStyle w:val="P68B1DB1-Normal12"/>
              <w:spacing w:after="0" w:line="240" w:lineRule="auto"/>
              <w:jc w:val="center"/>
              <w:rPr>
                <w:rFonts w:eastAsia="MS Mincho" w:cs="Times New Roman"/>
                <w:noProof/>
              </w:rPr>
            </w:pPr>
            <w:r>
              <w:rPr>
                <w:noProof/>
              </w:rPr>
              <w:t>61</w:t>
            </w:r>
          </w:p>
        </w:tc>
        <w:tc>
          <w:tcPr>
            <w:tcW w:w="829" w:type="dxa"/>
            <w:shd w:val="clear" w:color="auto" w:fill="C6EFCE"/>
            <w:noWrap/>
          </w:tcPr>
          <w:p w14:paraId="1A723A1E" w14:textId="31EE0C7E" w:rsidR="0065073E" w:rsidRDefault="000A0998">
            <w:pPr>
              <w:pStyle w:val="P68B1DB1-Normal12"/>
              <w:spacing w:after="0" w:line="240" w:lineRule="auto"/>
              <w:jc w:val="center"/>
              <w:rPr>
                <w:rFonts w:eastAsia="MS Mincho" w:cs="Times New Roman"/>
                <w:noProof/>
              </w:rPr>
            </w:pPr>
            <w:r>
              <w:rPr>
                <w:noProof/>
              </w:rPr>
              <w:t>C3.I11</w:t>
            </w:r>
          </w:p>
        </w:tc>
        <w:tc>
          <w:tcPr>
            <w:tcW w:w="1051" w:type="dxa"/>
            <w:shd w:val="clear" w:color="auto" w:fill="C6EFCE"/>
            <w:noWrap/>
          </w:tcPr>
          <w:p w14:paraId="02EB2921" w14:textId="123F1310" w:rsidR="0065073E" w:rsidRDefault="000A0998">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5707BEAA" w14:textId="416EEAAE" w:rsidR="0065073E" w:rsidRDefault="000A0998">
            <w:pPr>
              <w:pStyle w:val="P68B1DB1-Normal12"/>
              <w:spacing w:after="0" w:line="240" w:lineRule="auto"/>
              <w:rPr>
                <w:rFonts w:eastAsia="MS Mincho" w:cs="Times New Roman"/>
                <w:noProof/>
              </w:rPr>
            </w:pPr>
            <w:r>
              <w:rPr>
                <w:noProof/>
              </w:rPr>
              <w:t>Kalastusalan investointihankkeiden rahoittaminen</w:t>
            </w:r>
          </w:p>
        </w:tc>
        <w:tc>
          <w:tcPr>
            <w:tcW w:w="1242" w:type="dxa"/>
            <w:shd w:val="clear" w:color="auto" w:fill="C6EFCE"/>
            <w:noWrap/>
          </w:tcPr>
          <w:p w14:paraId="3973365E" w14:textId="572DF5B8" w:rsidR="0065073E" w:rsidRDefault="0065073E">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22CCC41" w14:textId="248FA75A" w:rsidR="0065073E" w:rsidRDefault="000A0998">
            <w:pPr>
              <w:pStyle w:val="P68B1DB1-Normal12"/>
              <w:spacing w:after="0" w:line="240" w:lineRule="auto"/>
              <w:jc w:val="right"/>
              <w:rPr>
                <w:rFonts w:eastAsia="MS Mincho" w:cs="Times New Roman"/>
                <w:noProof/>
              </w:rPr>
            </w:pPr>
            <w:r>
              <w:rPr>
                <w:noProof/>
              </w:rPr>
              <w:t>Miljoonaa euroa</w:t>
            </w:r>
          </w:p>
        </w:tc>
        <w:tc>
          <w:tcPr>
            <w:tcW w:w="966" w:type="dxa"/>
            <w:shd w:val="clear" w:color="auto" w:fill="C6EFCE"/>
            <w:noWrap/>
          </w:tcPr>
          <w:p w14:paraId="66E8DF9A" w14:textId="360D9327" w:rsidR="0065073E" w:rsidRDefault="000A0998">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637F08B6" w14:textId="5981BE43" w:rsidR="0065073E" w:rsidRDefault="000A0998">
            <w:pPr>
              <w:pStyle w:val="P68B1DB1-Normal12"/>
              <w:spacing w:after="0" w:line="240" w:lineRule="auto"/>
              <w:jc w:val="right"/>
              <w:rPr>
                <w:rFonts w:eastAsia="MS Mincho" w:cs="Times New Roman"/>
                <w:noProof/>
              </w:rPr>
            </w:pPr>
            <w:r>
              <w:rPr>
                <w:noProof/>
              </w:rPr>
              <w:t>5</w:t>
            </w:r>
          </w:p>
        </w:tc>
        <w:tc>
          <w:tcPr>
            <w:tcW w:w="415" w:type="dxa"/>
            <w:shd w:val="clear" w:color="auto" w:fill="C6EFCE"/>
            <w:noWrap/>
          </w:tcPr>
          <w:p w14:paraId="067D6490" w14:textId="2A71F79C" w:rsidR="0065073E" w:rsidRDefault="000A0998">
            <w:pPr>
              <w:pStyle w:val="P68B1DB1-Normal12"/>
              <w:spacing w:after="0" w:line="240" w:lineRule="auto"/>
              <w:jc w:val="center"/>
              <w:rPr>
                <w:rFonts w:eastAsia="MS Mincho" w:cs="Times New Roman"/>
                <w:noProof/>
              </w:rPr>
            </w:pPr>
            <w:r>
              <w:rPr>
                <w:noProof/>
              </w:rPr>
              <w:t>TOINEN VUOSINELJÄNNES</w:t>
            </w:r>
          </w:p>
        </w:tc>
        <w:tc>
          <w:tcPr>
            <w:tcW w:w="553" w:type="dxa"/>
            <w:shd w:val="clear" w:color="auto" w:fill="C6EFCE"/>
            <w:noWrap/>
          </w:tcPr>
          <w:p w14:paraId="5EC703BC" w14:textId="13F59FB8" w:rsidR="0065073E" w:rsidRDefault="000A0998">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7E761D4" w14:textId="16D9DAC6" w:rsidR="0065073E" w:rsidRDefault="000A0998">
            <w:pPr>
              <w:pStyle w:val="P68B1DB1-Normal12"/>
              <w:spacing w:after="0" w:line="240" w:lineRule="auto"/>
              <w:rPr>
                <w:rFonts w:eastAsia="MS Mincho" w:cs="Times New Roman"/>
                <w:noProof/>
              </w:rPr>
            </w:pPr>
            <w:r>
              <w:rPr>
                <w:noProof/>
              </w:rPr>
              <w:t>Hyväksytään maatalous-, kalastus- ja elintarvikeministeriön ja SAECA:n välinen sopimus kalastusalan investointihankkeiden rahoittamisen tukemisesta myöntämällä Sociedad Anónima Estatal de Caución Agrarialle (SAECA) vähintään 5000000 euron laina sellaisen budjettikohdan luomiseksi, jolla taataan kestävään kalastustoimintaan liittyviä hankkeita; parantaa toiminnan työoloja ja turvallisuutta; sekä prosessien ja järjestelmien digitalisointiin. Edellä mainittuun sopimukseen on sisällytettävä lauseke, jolla taataan, että tästä investoinnista tuetut transaktiot ovat tämän toimenpiteen nojalla tuettujen toimien osalta ”ei merkittävää haittaa” -periaatteen mukaisia (2021/C58/01) kestävyysarvioinnin, poissulkemisluettelon ja asiaa koskevan EU:n ja kansallisen ympäristölainsäädännön noudattamista koskevan vaatimuksen mukaisesti.</w:t>
            </w:r>
          </w:p>
        </w:tc>
      </w:tr>
    </w:tbl>
    <w:p w14:paraId="70DF9E56" w14:textId="77777777" w:rsidR="0065073E" w:rsidRDefault="0065073E">
      <w:pPr>
        <w:spacing w:before="120" w:after="120" w:line="240" w:lineRule="auto"/>
        <w:ind w:left="709"/>
        <w:jc w:val="both"/>
        <w:rPr>
          <w:rFonts w:ascii="Times New Roman" w:hAnsi="Times New Roman" w:cs="Times New Roman"/>
          <w:noProof/>
          <w:sz w:val="24"/>
        </w:rPr>
      </w:pPr>
    </w:p>
    <w:p w14:paraId="44E871BC" w14:textId="77777777" w:rsidR="0065073E" w:rsidRDefault="0065073E">
      <w:pPr>
        <w:spacing w:before="120" w:after="120" w:line="240" w:lineRule="auto"/>
        <w:ind w:left="709"/>
        <w:jc w:val="both"/>
        <w:rPr>
          <w:rFonts w:ascii="Times New Roman" w:hAnsi="Times New Roman" w:cs="Times New Roman"/>
          <w:noProof/>
          <w:sz w:val="24"/>
        </w:rPr>
      </w:pPr>
    </w:p>
    <w:p w14:paraId="0EB18B02" w14:textId="785A064A" w:rsidR="0065073E" w:rsidRDefault="0065073E">
      <w:pPr>
        <w:spacing w:before="120" w:after="120" w:line="240" w:lineRule="auto"/>
        <w:ind w:left="709"/>
        <w:jc w:val="both"/>
        <w:rPr>
          <w:rFonts w:ascii="Times New Roman" w:hAnsi="Times New Roman" w:cs="Times New Roman"/>
          <w:noProof/>
          <w:sz w:val="24"/>
        </w:rPr>
      </w:pPr>
    </w:p>
    <w:p w14:paraId="2A718143" w14:textId="01B8AB2B" w:rsidR="0065073E" w:rsidRDefault="0065073E">
      <w:pPr>
        <w:spacing w:before="120" w:after="120" w:line="240" w:lineRule="auto"/>
        <w:ind w:left="709"/>
        <w:jc w:val="both"/>
        <w:rPr>
          <w:rFonts w:ascii="Times New Roman" w:hAnsi="Times New Roman" w:cs="Times New Roman"/>
          <w:noProof/>
          <w:sz w:val="24"/>
        </w:rPr>
      </w:pPr>
    </w:p>
    <w:p w14:paraId="6443D1A8" w14:textId="31ECC4F1" w:rsidR="0065073E" w:rsidRDefault="0065073E">
      <w:pPr>
        <w:spacing w:before="120" w:after="120" w:line="240" w:lineRule="auto"/>
        <w:ind w:left="709"/>
        <w:jc w:val="both"/>
        <w:rPr>
          <w:rFonts w:ascii="Times New Roman" w:hAnsi="Times New Roman" w:cs="Times New Roman"/>
          <w:noProof/>
          <w:sz w:val="24"/>
        </w:rPr>
      </w:pPr>
    </w:p>
    <w:p w14:paraId="72DEA653" w14:textId="2C15C0E9" w:rsidR="0065073E" w:rsidRDefault="0065073E">
      <w:pPr>
        <w:spacing w:before="120" w:after="120" w:line="240" w:lineRule="auto"/>
        <w:ind w:left="709"/>
        <w:jc w:val="both"/>
        <w:rPr>
          <w:rFonts w:ascii="Times New Roman" w:hAnsi="Times New Roman" w:cs="Times New Roman"/>
          <w:noProof/>
          <w:sz w:val="24"/>
        </w:rPr>
      </w:pPr>
    </w:p>
    <w:p w14:paraId="62CC3A09"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066BE16A" w14:textId="0032779E" w:rsidR="0065073E" w:rsidRDefault="000A0998">
      <w:pPr>
        <w:pStyle w:val="P68B1DB1-Text119"/>
        <w:ind w:left="709"/>
        <w:rPr>
          <w:rFonts w:eastAsia="MS Mincho" w:cs="Times New Roman"/>
          <w:noProof/>
        </w:rPr>
      </w:pPr>
      <w:r>
        <w:rPr>
          <w:b/>
          <w:noProof/>
        </w:rPr>
        <w:t>C.3. Lainatukeen liittyvien uudistusten ja investointien kuvaus</w:t>
      </w:r>
    </w:p>
    <w:p w14:paraId="649BE32E" w14:textId="7CA16918" w:rsidR="0065073E" w:rsidRDefault="000A0998">
      <w:pPr>
        <w:pStyle w:val="P68B1DB1-Normal5"/>
        <w:spacing w:before="120" w:after="120" w:line="240" w:lineRule="auto"/>
        <w:jc w:val="both"/>
        <w:rPr>
          <w:rFonts w:eastAsia="MS Mincho" w:cs="Times New Roman"/>
          <w:noProof/>
        </w:rPr>
      </w:pPr>
      <w:bookmarkStart w:id="12" w:name="_Hlk144117337"/>
      <w:r>
        <w:rPr>
          <w:noProof/>
        </w:rPr>
        <w:t>Uudistus 7 (C3.R7) – Elintarvikehävikin ja ruokajätteen ehkäisemistä koskeva laki</w:t>
      </w:r>
    </w:p>
    <w:bookmarkEnd w:id="12"/>
    <w:p w14:paraId="78010986" w14:textId="45762D7F" w:rsidR="0065073E" w:rsidRDefault="000A0998">
      <w:pPr>
        <w:pStyle w:val="P68B1DB1-Normal4"/>
        <w:spacing w:before="120" w:after="120" w:line="240" w:lineRule="auto"/>
        <w:jc w:val="both"/>
        <w:rPr>
          <w:rFonts w:cs="Times New Roman"/>
          <w:noProof/>
        </w:rPr>
      </w:pPr>
      <w:r>
        <w:rPr>
          <w:noProof/>
        </w:rPr>
        <w:t>Uudistuksella pyritään ehkäisemään ruokahävikkiä ja -jätettä vahvistamalla elintarvikkeiden käytön prioriteettihierarkia, jotta siitä ei tule jätettä.</w:t>
      </w:r>
    </w:p>
    <w:p w14:paraId="5AA96578" w14:textId="489BD0AD" w:rsidR="0065073E" w:rsidRDefault="000A0998">
      <w:pPr>
        <w:pStyle w:val="P68B1DB1-Normal4"/>
        <w:spacing w:before="120" w:after="120" w:line="240" w:lineRule="auto"/>
        <w:jc w:val="both"/>
        <w:rPr>
          <w:rFonts w:cs="Times New Roman"/>
          <w:noProof/>
        </w:rPr>
      </w:pPr>
      <w:r>
        <w:rPr>
          <w:noProof/>
        </w:rPr>
        <w:t>Uuden asetuksen tavoitteena on tehostaa resurssien hallinnointia</w:t>
      </w:r>
    </w:p>
    <w:p w14:paraId="66D140DA" w14:textId="45762D7F" w:rsidR="0065073E" w:rsidRDefault="000A0998">
      <w:pPr>
        <w:pStyle w:val="P68B1DB1-ListParagraph6"/>
        <w:numPr>
          <w:ilvl w:val="0"/>
          <w:numId w:val="42"/>
        </w:numPr>
        <w:spacing w:before="120" w:after="120" w:line="240" w:lineRule="auto"/>
        <w:jc w:val="both"/>
        <w:rPr>
          <w:rFonts w:cs="Times New Roman"/>
          <w:noProof/>
        </w:rPr>
      </w:pPr>
      <w:r>
        <w:rPr>
          <w:noProof/>
        </w:rPr>
        <w:t xml:space="preserve">kiertobiotalouden edistäminen; </w:t>
      </w:r>
    </w:p>
    <w:p w14:paraId="36661960" w14:textId="45762D7F" w:rsidR="0065073E" w:rsidRDefault="000A0998">
      <w:pPr>
        <w:pStyle w:val="P68B1DB1-ListParagraph6"/>
        <w:numPr>
          <w:ilvl w:val="0"/>
          <w:numId w:val="42"/>
        </w:numPr>
        <w:spacing w:before="120" w:after="120" w:line="240" w:lineRule="auto"/>
        <w:jc w:val="both"/>
        <w:rPr>
          <w:rFonts w:cs="Times New Roman"/>
          <w:noProof/>
        </w:rPr>
      </w:pPr>
      <w:r>
        <w:rPr>
          <w:noProof/>
        </w:rPr>
        <w:t xml:space="preserve">edistetään ylimääräisten elintarvikkeiden talteenottoa ja jakelua sosiaalisen solidaarisuuden nimissä asettamalla ne etusijalle ihmisten käyttöön; </w:t>
      </w:r>
    </w:p>
    <w:p w14:paraId="76DD6320" w14:textId="45762D7F" w:rsidR="0065073E" w:rsidRDefault="000A0998">
      <w:pPr>
        <w:pStyle w:val="P68B1DB1-ListParagraph6"/>
        <w:numPr>
          <w:ilvl w:val="0"/>
          <w:numId w:val="42"/>
        </w:numPr>
        <w:spacing w:before="120" w:after="120" w:line="240" w:lineRule="auto"/>
        <w:jc w:val="both"/>
        <w:rPr>
          <w:rFonts w:cs="Times New Roman"/>
          <w:noProof/>
        </w:rPr>
      </w:pPr>
      <w:r>
        <w:rPr>
          <w:noProof/>
        </w:rPr>
        <w:t xml:space="preserve">tuetaan tutkimusta ja innovointia ruokahävikin ja ruokajätteen syntymisen ehkäisemisen ja vähentämisen alalla; </w:t>
      </w:r>
    </w:p>
    <w:p w14:paraId="3D61E10A" w14:textId="6AF5CF44" w:rsidR="0065073E" w:rsidRDefault="000A0998">
      <w:pPr>
        <w:pStyle w:val="P68B1DB1-ListParagraph6"/>
        <w:numPr>
          <w:ilvl w:val="0"/>
          <w:numId w:val="42"/>
        </w:numPr>
        <w:spacing w:before="120" w:after="120" w:line="240" w:lineRule="auto"/>
        <w:jc w:val="both"/>
        <w:rPr>
          <w:rFonts w:cs="Times New Roman"/>
          <w:noProof/>
        </w:rPr>
      </w:pPr>
      <w:r>
        <w:rPr>
          <w:noProof/>
        </w:rPr>
        <w:t>Agenda 2030:n vastuullista tuotantoa ja kulutusta koskevaan tavoitteeseen vastaaminen; ja</w:t>
      </w:r>
    </w:p>
    <w:p w14:paraId="20011AAB" w14:textId="45762D7F" w:rsidR="0065073E" w:rsidRDefault="000A0998">
      <w:pPr>
        <w:pStyle w:val="P68B1DB1-ListParagraph6"/>
        <w:numPr>
          <w:ilvl w:val="0"/>
          <w:numId w:val="42"/>
        </w:numPr>
        <w:spacing w:before="120" w:after="120" w:line="240" w:lineRule="auto"/>
        <w:jc w:val="both"/>
        <w:rPr>
          <w:rFonts w:cs="Times New Roman"/>
          <w:noProof/>
        </w:rPr>
      </w:pPr>
      <w:r>
        <w:rPr>
          <w:noProof/>
        </w:rPr>
        <w:t>kasvihuonekaasujen ja muiden pilaavien aineiden päästöjen vähentäminen.</w:t>
      </w:r>
    </w:p>
    <w:p w14:paraId="388EA854" w14:textId="51011AC0" w:rsidR="0065073E" w:rsidRDefault="000A0998">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7155D10D" w14:textId="464E489C" w:rsidR="0065073E" w:rsidRDefault="000A0998">
      <w:pPr>
        <w:pStyle w:val="P68B1DB1-Normal5"/>
        <w:spacing w:before="120" w:after="120" w:line="240" w:lineRule="auto"/>
        <w:jc w:val="both"/>
        <w:rPr>
          <w:rFonts w:eastAsia="MS Mincho" w:cs="Times New Roman"/>
          <w:noProof/>
        </w:rPr>
      </w:pPr>
      <w:bookmarkStart w:id="13" w:name="_Hlk144116941"/>
      <w:r>
        <w:rPr>
          <w:noProof/>
        </w:rPr>
        <w:t>Uudistus 8 (C3.R8) – Tilatietojärjestelmää koskeva asetus</w:t>
      </w:r>
    </w:p>
    <w:bookmarkEnd w:id="13"/>
    <w:p w14:paraId="026A03FE" w14:textId="3B1B52DC" w:rsidR="0065073E" w:rsidRDefault="000A0998">
      <w:pPr>
        <w:pStyle w:val="P68B1DB1-Normal4"/>
        <w:spacing w:before="120" w:after="120" w:line="240" w:lineRule="auto"/>
        <w:jc w:val="both"/>
        <w:rPr>
          <w:rFonts w:cs="Times New Roman"/>
          <w:noProof/>
        </w:rPr>
      </w:pPr>
      <w:r>
        <w:rPr>
          <w:noProof/>
        </w:rPr>
        <w:t>Uudistuksen tavoitteena on perustaa maa- ja metsätalouden tietojärjestelmä (SIEX), jonka avulla maatalous-, kalastus- ja elintarvikeministeriö voi hallinnoida maatalous- ja kotieläinpolitiikkaa. Tietojärjestelmän on yksinkertaistettava viljelijöiden suhdetta hallintoon ja parannettava viljelijöiden yrityshallintoa keräämällä asiaankuuluvat tiedot maatiloista yhteen tietojärjestelmään,</w:t>
      </w:r>
    </w:p>
    <w:p w14:paraId="513ECEA3" w14:textId="6D3B564A" w:rsidR="0065073E" w:rsidRDefault="000A0998">
      <w:pPr>
        <w:pStyle w:val="P68B1DB1-Normal4"/>
        <w:spacing w:line="257" w:lineRule="auto"/>
        <w:jc w:val="both"/>
        <w:rPr>
          <w:rFonts w:cs="Times New Roman"/>
          <w:noProof/>
        </w:rPr>
      </w:pPr>
      <w:r>
        <w:rPr>
          <w:noProof/>
        </w:rPr>
        <w:t xml:space="preserve">Asetuksella perustetaan ja säännellään maatalous- ja kotieläintiloja sekä maataloustuotantoa koskeva tietojärjestelmä sekä itsehallintoalueiden maatilarekisteri ja maatilojen digitaalinen rekisteri. Digitaalisessa maatilakirjassa on määrättävä asiaankuuluvasta siirtymäkaudesta: erityisesti digitaalisen </w:t>
      </w:r>
      <w:bookmarkStart w:id="14" w:name="_Hlk144117029"/>
      <w:r>
        <w:rPr>
          <w:noProof/>
        </w:rPr>
        <w:t xml:space="preserve">maatilakirjan 9 ja 10 artikla tulevat voimaan kaikkien maatilojen osalta viimeistään vuoden </w:t>
      </w:r>
      <w:bookmarkEnd w:id="14"/>
      <w:r>
        <w:rPr>
          <w:noProof/>
        </w:rPr>
        <w:t xml:space="preserve">2025 kolmannella neljänneksellä.  </w:t>
      </w:r>
    </w:p>
    <w:p w14:paraId="3034905E" w14:textId="2A420807" w:rsidR="0065073E" w:rsidRDefault="000A0998">
      <w:pPr>
        <w:pStyle w:val="P68B1DB1-Normal4"/>
        <w:spacing w:line="257" w:lineRule="auto"/>
        <w:jc w:val="both"/>
        <w:rPr>
          <w:rFonts w:cs="Times New Roman"/>
          <w:noProof/>
        </w:rPr>
      </w:pPr>
      <w:r>
        <w:rPr>
          <w:noProof/>
        </w:rPr>
        <w:t>Toimenpiteen täytäntöönpano on saatettava päätökseen 30 päivään syyskuuta 2025 mennessä.</w:t>
      </w:r>
    </w:p>
    <w:p w14:paraId="3B02038A" w14:textId="64EE6C06" w:rsidR="0065073E" w:rsidRDefault="000A0998">
      <w:pPr>
        <w:pStyle w:val="P68B1DB1-Normal5"/>
        <w:spacing w:before="120" w:after="120" w:line="240" w:lineRule="auto"/>
        <w:jc w:val="both"/>
        <w:rPr>
          <w:rFonts w:cs="Times New Roman"/>
          <w:noProof/>
        </w:rPr>
      </w:pPr>
      <w:r>
        <w:rPr>
          <w:noProof/>
        </w:rPr>
        <w:t xml:space="preserve">Investointi 12 (C3.I12) – Suunnitelma kastelun tehokkuuden ja kestävyyden parantamiseksi </w:t>
      </w:r>
    </w:p>
    <w:p w14:paraId="3CC16C42" w14:textId="75ACC599" w:rsidR="0065073E" w:rsidRDefault="000A0998">
      <w:pPr>
        <w:pStyle w:val="P68B1DB1-Normal4"/>
        <w:spacing w:before="120" w:after="120" w:line="240" w:lineRule="auto"/>
        <w:jc w:val="both"/>
        <w:rPr>
          <w:rFonts w:cs="Times New Roman"/>
          <w:noProof/>
        </w:rPr>
      </w:pPr>
      <w:r>
        <w:rPr>
          <w:noProof/>
        </w:rPr>
        <w:t>Tämän toimenpiteen tavoitteena on nostaa investoinnin 1 (C3.I1) tavoitetasoa: Suunnitelma kastelun tehokkuuden ja kestävyyden parantamiseksi lisäämällä nykyaikaistettujen hehtaarien määrää vedensäästön ja energiatehokkuuden osalta.</w:t>
      </w:r>
    </w:p>
    <w:p w14:paraId="2509A6F4" w14:textId="3625D1BE" w:rsidR="0065073E" w:rsidRDefault="000A0998">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6DAC6ACD" w14:textId="77777777" w:rsidR="0065073E" w:rsidRDefault="0065073E">
      <w:pPr>
        <w:spacing w:before="120" w:after="120" w:line="240" w:lineRule="auto"/>
        <w:jc w:val="both"/>
        <w:rPr>
          <w:rFonts w:ascii="Times New Roman" w:hAnsi="Times New Roman" w:cs="Times New Roman"/>
          <w:noProof/>
          <w:sz w:val="24"/>
        </w:rPr>
      </w:pPr>
    </w:p>
    <w:p w14:paraId="705C34EA" w14:textId="18746366"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C.4 </w:t>
      </w:r>
      <w:r>
        <w:rPr>
          <w:noProof/>
        </w:rPr>
        <w:t xml:space="preserve"> </w:t>
      </w:r>
      <w:r>
        <w:rPr>
          <w:rFonts w:ascii="Times New Roman" w:hAnsi="Times New Roman"/>
          <w:b/>
          <w:noProof/>
          <w:sz w:val="24"/>
          <w:u w:val="single"/>
        </w:rPr>
        <w:t>Lainatuen seurannan ja täytäntöönpanon välitavoitteet, tavoitteet, indikaattorit ja aikataulu</w:t>
      </w:r>
    </w:p>
    <w:p w14:paraId="205EEAAB" w14:textId="77777777" w:rsidR="0065073E" w:rsidRDefault="000A0998">
      <w:pPr>
        <w:pStyle w:val="P68B1DB1-Normal17"/>
        <w:spacing w:before="120" w:after="120" w:line="240" w:lineRule="auto"/>
        <w:jc w:val="both"/>
        <w:rPr>
          <w:rFonts w:cs="Times New Roman"/>
          <w:noProof/>
        </w:rPr>
      </w:pPr>
      <w:r>
        <w:rPr>
          <w:noProof/>
        </w:rPr>
        <w:t>Ks. taulukko jäljempänä. Kaikkien indikaattoreiden perustason päivämäärä on 1. helmikuuta 2020, ellei toimen kuvauksessa toisin mainita. Taulukossa esitetyt määrät eivät sisällä arvonlisäveroa.</w:t>
      </w:r>
    </w:p>
    <w:p w14:paraId="02B0CF37" w14:textId="77777777" w:rsidR="0065073E" w:rsidRDefault="0065073E">
      <w:pPr>
        <w:spacing w:before="120" w:after="120" w:line="240" w:lineRule="auto"/>
        <w:jc w:val="both"/>
        <w:rPr>
          <w:rFonts w:ascii="Times New Roman" w:hAnsi="Times New Roman" w:cs="Times New Roman"/>
          <w:i/>
          <w:noProof/>
          <w:sz w:val="24"/>
        </w:rPr>
      </w:pPr>
    </w:p>
    <w:p w14:paraId="3F634206" w14:textId="0C0F90FE" w:rsidR="0065073E" w:rsidRDefault="0065073E">
      <w:pPr>
        <w:spacing w:before="120" w:after="120" w:line="240" w:lineRule="auto"/>
        <w:jc w:val="both"/>
        <w:rPr>
          <w:rFonts w:ascii="Times New Roman" w:hAnsi="Times New Roman" w:cs="Times New Roman"/>
          <w:i/>
          <w:noProof/>
          <w:sz w:val="24"/>
        </w:rPr>
        <w:sectPr w:rsidR="0065073E" w:rsidSect="00B511EF">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4"/>
        <w:gridCol w:w="829"/>
        <w:gridCol w:w="1051"/>
        <w:gridCol w:w="2809"/>
        <w:gridCol w:w="1242"/>
        <w:gridCol w:w="828"/>
        <w:gridCol w:w="966"/>
        <w:gridCol w:w="691"/>
        <w:gridCol w:w="415"/>
        <w:gridCol w:w="553"/>
        <w:gridCol w:w="5236"/>
      </w:tblGrid>
      <w:tr w:rsidR="0065073E" w14:paraId="77B98CAE" w14:textId="77777777">
        <w:trPr>
          <w:trHeight w:val="309"/>
          <w:tblHeader/>
        </w:trPr>
        <w:tc>
          <w:tcPr>
            <w:tcW w:w="974" w:type="dxa"/>
            <w:tcBorders>
              <w:bottom w:val="nil"/>
            </w:tcBorders>
            <w:shd w:val="clear" w:color="auto" w:fill="C6D9F1" w:themeFill="text2" w:themeFillTint="33"/>
            <w:noWrap/>
            <w:vAlign w:val="center"/>
          </w:tcPr>
          <w:p w14:paraId="337A57E0"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7789EA1D" w14:textId="77777777" w:rsidR="0065073E" w:rsidRDefault="000A0998">
            <w:pPr>
              <w:pStyle w:val="P68B1DB1-Normal8"/>
              <w:spacing w:after="0" w:line="240" w:lineRule="auto"/>
              <w:jc w:val="center"/>
              <w:rPr>
                <w:rFonts w:cs="Times New Roman"/>
                <w:noProof/>
              </w:rPr>
            </w:pPr>
            <w:r>
              <w:rPr>
                <w:noProof/>
              </w:rPr>
              <w:t>Toimenpide</w:t>
            </w:r>
          </w:p>
        </w:tc>
        <w:tc>
          <w:tcPr>
            <w:tcW w:w="1051" w:type="dxa"/>
            <w:tcBorders>
              <w:bottom w:val="nil"/>
            </w:tcBorders>
            <w:shd w:val="clear" w:color="auto" w:fill="C6D9F1" w:themeFill="text2" w:themeFillTint="33"/>
            <w:noWrap/>
            <w:vAlign w:val="center"/>
          </w:tcPr>
          <w:p w14:paraId="00E74E27"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809" w:type="dxa"/>
            <w:tcBorders>
              <w:bottom w:val="nil"/>
            </w:tcBorders>
            <w:shd w:val="clear" w:color="auto" w:fill="C6D9F1" w:themeFill="text2" w:themeFillTint="33"/>
            <w:noWrap/>
            <w:vAlign w:val="center"/>
          </w:tcPr>
          <w:p w14:paraId="44ADEC22" w14:textId="77777777" w:rsidR="0065073E" w:rsidRDefault="000A0998">
            <w:pPr>
              <w:pStyle w:val="P68B1DB1-Normal8"/>
              <w:spacing w:after="0" w:line="240" w:lineRule="auto"/>
              <w:jc w:val="center"/>
              <w:rPr>
                <w:rFonts w:cs="Times New Roman"/>
                <w:noProof/>
              </w:rPr>
            </w:pPr>
            <w:r>
              <w:rPr>
                <w:noProof/>
              </w:rPr>
              <w:t>Nimi</w:t>
            </w:r>
          </w:p>
        </w:tc>
        <w:tc>
          <w:tcPr>
            <w:tcW w:w="1242" w:type="dxa"/>
            <w:tcBorders>
              <w:bottom w:val="nil"/>
            </w:tcBorders>
            <w:shd w:val="clear" w:color="auto" w:fill="C6D9F1" w:themeFill="text2" w:themeFillTint="33"/>
            <w:noWrap/>
            <w:vAlign w:val="center"/>
          </w:tcPr>
          <w:p w14:paraId="5F48B682"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85" w:type="dxa"/>
            <w:gridSpan w:val="3"/>
            <w:shd w:val="clear" w:color="auto" w:fill="C6D9F1" w:themeFill="text2" w:themeFillTint="33"/>
            <w:noWrap/>
            <w:vAlign w:val="center"/>
          </w:tcPr>
          <w:p w14:paraId="038E7C96"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vAlign w:val="center"/>
          </w:tcPr>
          <w:p w14:paraId="0C4E346D" w14:textId="77777777" w:rsidR="0065073E" w:rsidRDefault="000A0998">
            <w:pPr>
              <w:pStyle w:val="P68B1DB1-Normal8"/>
              <w:spacing w:after="0" w:line="240" w:lineRule="auto"/>
              <w:jc w:val="center"/>
              <w:rPr>
                <w:rFonts w:cs="Times New Roman"/>
                <w:noProof/>
              </w:rPr>
            </w:pPr>
            <w:r>
              <w:rPr>
                <w:noProof/>
              </w:rPr>
              <w:t>Aika</w:t>
            </w:r>
          </w:p>
        </w:tc>
        <w:tc>
          <w:tcPr>
            <w:tcW w:w="5236" w:type="dxa"/>
            <w:tcBorders>
              <w:bottom w:val="nil"/>
            </w:tcBorders>
            <w:shd w:val="clear" w:color="auto" w:fill="C6D9F1" w:themeFill="text2" w:themeFillTint="33"/>
            <w:noWrap/>
            <w:vAlign w:val="center"/>
          </w:tcPr>
          <w:p w14:paraId="2F3DFA56"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0FB3FC90" w14:textId="77777777">
        <w:trPr>
          <w:trHeight w:val="309"/>
          <w:tblHeader/>
        </w:trPr>
        <w:tc>
          <w:tcPr>
            <w:tcW w:w="974" w:type="dxa"/>
            <w:tcBorders>
              <w:top w:val="nil"/>
            </w:tcBorders>
            <w:shd w:val="clear" w:color="auto" w:fill="C6D9F1" w:themeFill="text2" w:themeFillTint="33"/>
            <w:noWrap/>
          </w:tcPr>
          <w:p w14:paraId="2456EE71"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36062903" w14:textId="77777777" w:rsidR="0065073E" w:rsidRDefault="0065073E">
            <w:pPr>
              <w:spacing w:after="0" w:line="240" w:lineRule="auto"/>
              <w:jc w:val="center"/>
              <w:rPr>
                <w:rFonts w:ascii="Times New Roman" w:hAnsi="Times New Roman" w:cs="Times New Roman"/>
                <w:b/>
                <w:noProof/>
                <w:sz w:val="18"/>
              </w:rPr>
            </w:pPr>
          </w:p>
        </w:tc>
        <w:tc>
          <w:tcPr>
            <w:tcW w:w="1051" w:type="dxa"/>
            <w:tcBorders>
              <w:top w:val="nil"/>
            </w:tcBorders>
            <w:shd w:val="clear" w:color="auto" w:fill="C6D9F1" w:themeFill="text2" w:themeFillTint="33"/>
            <w:noWrap/>
          </w:tcPr>
          <w:p w14:paraId="25602844" w14:textId="77777777" w:rsidR="0065073E" w:rsidRDefault="0065073E">
            <w:pPr>
              <w:spacing w:after="0" w:line="240" w:lineRule="auto"/>
              <w:jc w:val="center"/>
              <w:rPr>
                <w:rFonts w:ascii="Times New Roman" w:hAnsi="Times New Roman" w:cs="Times New Roman"/>
                <w:b/>
                <w:noProof/>
                <w:sz w:val="18"/>
              </w:rPr>
            </w:pPr>
          </w:p>
        </w:tc>
        <w:tc>
          <w:tcPr>
            <w:tcW w:w="2809" w:type="dxa"/>
            <w:tcBorders>
              <w:top w:val="nil"/>
            </w:tcBorders>
            <w:shd w:val="clear" w:color="auto" w:fill="C6D9F1" w:themeFill="text2" w:themeFillTint="33"/>
            <w:noWrap/>
          </w:tcPr>
          <w:p w14:paraId="74F579D0" w14:textId="77777777" w:rsidR="0065073E" w:rsidRDefault="0065073E">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084F1AD9" w14:textId="77777777" w:rsidR="0065073E" w:rsidRDefault="0065073E">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5DC5BB17"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vAlign w:val="center"/>
          </w:tcPr>
          <w:p w14:paraId="05A74D68" w14:textId="3AB0F6B0" w:rsidR="0065073E" w:rsidRDefault="000A0998">
            <w:pPr>
              <w:pStyle w:val="P68B1DB1-Normal8"/>
              <w:spacing w:after="0" w:line="240" w:lineRule="auto"/>
              <w:jc w:val="center"/>
              <w:rPr>
                <w:rFonts w:cs="Times New Roman"/>
                <w:noProof/>
              </w:rPr>
            </w:pPr>
            <w:r>
              <w:rPr>
                <w:noProof/>
              </w:rPr>
              <w:t>Lähtötaso</w:t>
            </w:r>
          </w:p>
        </w:tc>
        <w:tc>
          <w:tcPr>
            <w:tcW w:w="691" w:type="dxa"/>
            <w:shd w:val="clear" w:color="auto" w:fill="C6D9F1" w:themeFill="text2" w:themeFillTint="33"/>
            <w:noWrap/>
            <w:vAlign w:val="center"/>
          </w:tcPr>
          <w:p w14:paraId="7E513F68"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vAlign w:val="center"/>
          </w:tcPr>
          <w:p w14:paraId="0DFA7491"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5C5694D9" w14:textId="77777777" w:rsidR="0065073E" w:rsidRDefault="000A0998">
            <w:pPr>
              <w:pStyle w:val="P68B1DB1-Normal8"/>
              <w:spacing w:after="0" w:line="240" w:lineRule="auto"/>
              <w:jc w:val="center"/>
              <w:rPr>
                <w:rFonts w:cs="Times New Roman"/>
                <w:noProof/>
              </w:rPr>
            </w:pPr>
            <w:r>
              <w:rPr>
                <w:noProof/>
              </w:rPr>
              <w:t>Vuosi</w:t>
            </w:r>
          </w:p>
        </w:tc>
        <w:tc>
          <w:tcPr>
            <w:tcW w:w="5236" w:type="dxa"/>
            <w:tcBorders>
              <w:top w:val="nil"/>
            </w:tcBorders>
            <w:shd w:val="clear" w:color="auto" w:fill="C6D9F1" w:themeFill="text2" w:themeFillTint="33"/>
            <w:noWrap/>
          </w:tcPr>
          <w:p w14:paraId="00992F30" w14:textId="77777777" w:rsidR="0065073E" w:rsidRDefault="0065073E">
            <w:pPr>
              <w:spacing w:after="0" w:line="240" w:lineRule="auto"/>
              <w:rPr>
                <w:rFonts w:ascii="Times New Roman" w:hAnsi="Times New Roman" w:cs="Times New Roman"/>
                <w:b/>
                <w:noProof/>
                <w:sz w:val="18"/>
              </w:rPr>
            </w:pPr>
          </w:p>
        </w:tc>
      </w:tr>
      <w:tr w:rsidR="0065073E" w14:paraId="09C47A75" w14:textId="77777777">
        <w:trPr>
          <w:trHeight w:val="499"/>
        </w:trPr>
        <w:tc>
          <w:tcPr>
            <w:tcW w:w="974" w:type="dxa"/>
            <w:shd w:val="clear" w:color="auto" w:fill="C6EFCE"/>
            <w:noWrap/>
          </w:tcPr>
          <w:p w14:paraId="06ECD5AB" w14:textId="70156A1E" w:rsidR="0065073E" w:rsidRDefault="000A0998">
            <w:pPr>
              <w:pStyle w:val="P68B1DB1-Normal12"/>
              <w:spacing w:after="0" w:line="240" w:lineRule="auto"/>
              <w:jc w:val="center"/>
              <w:rPr>
                <w:rFonts w:eastAsia="MS Mincho" w:cs="Times New Roman"/>
                <w:noProof/>
              </w:rPr>
            </w:pPr>
            <w:r>
              <w:rPr>
                <w:noProof/>
              </w:rPr>
              <w:t>L8</w:t>
            </w:r>
          </w:p>
        </w:tc>
        <w:tc>
          <w:tcPr>
            <w:tcW w:w="829" w:type="dxa"/>
            <w:shd w:val="clear" w:color="auto" w:fill="C6EFCE"/>
            <w:noWrap/>
          </w:tcPr>
          <w:p w14:paraId="46CDA653" w14:textId="3A3289B4" w:rsidR="0065073E" w:rsidRDefault="000A0998">
            <w:pPr>
              <w:pStyle w:val="P68B1DB1-Normal12"/>
              <w:spacing w:after="0" w:line="240" w:lineRule="auto"/>
              <w:jc w:val="center"/>
              <w:rPr>
                <w:rFonts w:eastAsia="MS Mincho" w:cs="Times New Roman"/>
                <w:noProof/>
              </w:rPr>
            </w:pPr>
            <w:r>
              <w:rPr>
                <w:noProof/>
              </w:rPr>
              <w:t>C3.R7</w:t>
            </w:r>
          </w:p>
        </w:tc>
        <w:tc>
          <w:tcPr>
            <w:tcW w:w="1051" w:type="dxa"/>
            <w:shd w:val="clear" w:color="auto" w:fill="C6EFCE"/>
            <w:noWrap/>
          </w:tcPr>
          <w:p w14:paraId="5A728BE4" w14:textId="4EB8AB00" w:rsidR="0065073E" w:rsidRDefault="000A0998">
            <w:pPr>
              <w:pStyle w:val="P68B1DB1-Normal12"/>
              <w:spacing w:after="0" w:line="240" w:lineRule="auto"/>
              <w:jc w:val="center"/>
              <w:rPr>
                <w:rFonts w:eastAsia="MS Mincho" w:cs="Times New Roman"/>
                <w:noProof/>
              </w:rPr>
            </w:pPr>
            <w:r>
              <w:rPr>
                <w:noProof/>
              </w:rPr>
              <w:t xml:space="preserve">M </w:t>
            </w:r>
          </w:p>
        </w:tc>
        <w:tc>
          <w:tcPr>
            <w:tcW w:w="2809" w:type="dxa"/>
            <w:shd w:val="clear" w:color="auto" w:fill="C6EFCE"/>
            <w:noWrap/>
          </w:tcPr>
          <w:p w14:paraId="776D81CA" w14:textId="66069DC8" w:rsidR="0065073E" w:rsidRDefault="000A0998">
            <w:pPr>
              <w:pStyle w:val="P68B1DB1-Normal12"/>
              <w:spacing w:after="0" w:line="240" w:lineRule="auto"/>
              <w:rPr>
                <w:rFonts w:eastAsia="MS Mincho" w:cs="Times New Roman"/>
                <w:noProof/>
              </w:rPr>
            </w:pPr>
            <w:r>
              <w:rPr>
                <w:noProof/>
              </w:rPr>
              <w:t>Ruokahävikin ja ruokajätteen ehkäisemisestä annetun lain voimaantulo</w:t>
            </w:r>
          </w:p>
        </w:tc>
        <w:tc>
          <w:tcPr>
            <w:tcW w:w="1242" w:type="dxa"/>
            <w:shd w:val="clear" w:color="auto" w:fill="C6EFCE"/>
            <w:noWrap/>
          </w:tcPr>
          <w:p w14:paraId="3F192C07" w14:textId="310C69F8" w:rsidR="0065073E" w:rsidRDefault="000A0998">
            <w:pPr>
              <w:pStyle w:val="P68B1DB1-Normal12"/>
              <w:spacing w:after="0" w:line="240" w:lineRule="auto"/>
              <w:jc w:val="center"/>
              <w:rPr>
                <w:rFonts w:eastAsia="MS Mincho" w:cs="Times New Roman"/>
                <w:noProof/>
              </w:rPr>
            </w:pPr>
            <w:r>
              <w:rPr>
                <w:noProof/>
              </w:rPr>
              <w:t>Voimaantulolain säännös</w:t>
            </w:r>
          </w:p>
        </w:tc>
        <w:tc>
          <w:tcPr>
            <w:tcW w:w="828" w:type="dxa"/>
            <w:shd w:val="clear" w:color="auto" w:fill="C6EFCE"/>
            <w:noWrap/>
          </w:tcPr>
          <w:p w14:paraId="43BAD5F2" w14:textId="6E689CDC" w:rsidR="0065073E" w:rsidRDefault="000A0998">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1AE70BD" w14:textId="19EF3350" w:rsidR="0065073E" w:rsidRDefault="000A0998">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4C27FBF8" w14:textId="21110AE6" w:rsidR="0065073E" w:rsidRDefault="000A0998">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4FA35EE" w14:textId="0F24B3D3" w:rsidR="0065073E" w:rsidRDefault="000A0998">
            <w:pPr>
              <w:pStyle w:val="P68B1DB1-Normal12"/>
              <w:spacing w:after="0" w:line="240" w:lineRule="auto"/>
              <w:jc w:val="center"/>
              <w:rPr>
                <w:rFonts w:eastAsia="MS Mincho" w:cs="Times New Roman"/>
                <w:noProof/>
              </w:rPr>
            </w:pPr>
            <w:r>
              <w:rPr>
                <w:noProof/>
              </w:rPr>
              <w:t xml:space="preserve"> TOINEN VUOSINELJÄNNES</w:t>
            </w:r>
          </w:p>
        </w:tc>
        <w:tc>
          <w:tcPr>
            <w:tcW w:w="553" w:type="dxa"/>
            <w:shd w:val="clear" w:color="auto" w:fill="C6EFCE"/>
            <w:noWrap/>
          </w:tcPr>
          <w:p w14:paraId="7DF3C752" w14:textId="0A625AD7" w:rsidR="0065073E" w:rsidRDefault="000A0998">
            <w:pPr>
              <w:pStyle w:val="P68B1DB1-Normal12"/>
              <w:spacing w:after="0" w:line="240" w:lineRule="auto"/>
              <w:jc w:val="center"/>
              <w:rPr>
                <w:rFonts w:eastAsia="MS Mincho" w:cs="Times New Roman"/>
                <w:noProof/>
              </w:rPr>
            </w:pPr>
            <w:r>
              <w:rPr>
                <w:noProof/>
              </w:rPr>
              <w:t xml:space="preserve">2026 </w:t>
            </w:r>
          </w:p>
        </w:tc>
        <w:tc>
          <w:tcPr>
            <w:tcW w:w="5236" w:type="dxa"/>
            <w:shd w:val="clear" w:color="auto" w:fill="C6EFCE"/>
            <w:noWrap/>
          </w:tcPr>
          <w:p w14:paraId="0C328928" w14:textId="3B269B37" w:rsidR="0065073E" w:rsidRDefault="000A0998">
            <w:pPr>
              <w:pStyle w:val="P68B1DB1-Normal12"/>
              <w:spacing w:line="240" w:lineRule="auto"/>
              <w:jc w:val="both"/>
              <w:rPr>
                <w:rFonts w:cs="Times New Roman"/>
                <w:noProof/>
              </w:rPr>
            </w:pPr>
            <w:r>
              <w:rPr>
                <w:noProof/>
              </w:rPr>
              <w:t>Ruokahävikin ja elintarvikejätteen syntymisen ehkäisemistä koskevan asetuksen voimaantulo toimenpiteen kuvauksen mukaisesti.</w:t>
            </w:r>
          </w:p>
        </w:tc>
      </w:tr>
      <w:tr w:rsidR="0065073E" w14:paraId="6EDA9D91" w14:textId="77777777">
        <w:trPr>
          <w:trHeight w:val="309"/>
        </w:trPr>
        <w:tc>
          <w:tcPr>
            <w:tcW w:w="974" w:type="dxa"/>
            <w:shd w:val="clear" w:color="auto" w:fill="C6EFCE"/>
            <w:noWrap/>
          </w:tcPr>
          <w:p w14:paraId="7161990D" w14:textId="12334B2C" w:rsidR="0065073E" w:rsidRDefault="000A0998">
            <w:pPr>
              <w:pStyle w:val="P68B1DB1-Normal12"/>
              <w:spacing w:after="0" w:line="240" w:lineRule="auto"/>
              <w:jc w:val="center"/>
              <w:rPr>
                <w:rFonts w:cs="Times New Roman"/>
                <w:noProof/>
              </w:rPr>
            </w:pPr>
            <w:r>
              <w:rPr>
                <w:noProof/>
              </w:rPr>
              <w:t>L9</w:t>
            </w:r>
          </w:p>
        </w:tc>
        <w:tc>
          <w:tcPr>
            <w:tcW w:w="829" w:type="dxa"/>
            <w:shd w:val="clear" w:color="auto" w:fill="C6EFCE"/>
            <w:noWrap/>
          </w:tcPr>
          <w:p w14:paraId="483982C1" w14:textId="20DDE527" w:rsidR="0065073E" w:rsidRDefault="000A0998">
            <w:pPr>
              <w:pStyle w:val="P68B1DB1-Normal12"/>
              <w:spacing w:after="0" w:line="240" w:lineRule="auto"/>
              <w:jc w:val="center"/>
              <w:rPr>
                <w:rFonts w:cs="Times New Roman"/>
                <w:noProof/>
              </w:rPr>
            </w:pPr>
            <w:r>
              <w:rPr>
                <w:noProof/>
              </w:rPr>
              <w:t>C3.R8</w:t>
            </w:r>
          </w:p>
        </w:tc>
        <w:tc>
          <w:tcPr>
            <w:tcW w:w="1051" w:type="dxa"/>
            <w:shd w:val="clear" w:color="auto" w:fill="C6EFCE"/>
            <w:noWrap/>
          </w:tcPr>
          <w:p w14:paraId="615A09D7" w14:textId="38C9B77E" w:rsidR="0065073E" w:rsidRDefault="000A0998">
            <w:pPr>
              <w:pStyle w:val="P68B1DB1-Normal12"/>
              <w:spacing w:after="0" w:line="240" w:lineRule="auto"/>
              <w:jc w:val="center"/>
              <w:rPr>
                <w:rFonts w:cs="Times New Roman"/>
                <w:noProof/>
              </w:rPr>
            </w:pPr>
            <w:r>
              <w:rPr>
                <w:noProof/>
              </w:rPr>
              <w:t>M</w:t>
            </w:r>
          </w:p>
        </w:tc>
        <w:tc>
          <w:tcPr>
            <w:tcW w:w="2809" w:type="dxa"/>
            <w:shd w:val="clear" w:color="auto" w:fill="C6EFCE"/>
            <w:noWrap/>
          </w:tcPr>
          <w:p w14:paraId="5638743E" w14:textId="08C082A8" w:rsidR="0065073E" w:rsidRDefault="000A0998">
            <w:pPr>
              <w:pStyle w:val="P68B1DB1-Normal12"/>
              <w:spacing w:after="0" w:line="240" w:lineRule="auto"/>
              <w:rPr>
                <w:rFonts w:cs="Times New Roman"/>
                <w:noProof/>
              </w:rPr>
            </w:pPr>
            <w:r>
              <w:rPr>
                <w:noProof/>
              </w:rPr>
              <w:t>Maatilojen tietojärjestelmää koskevan asetuksen voimaantulo</w:t>
            </w:r>
          </w:p>
        </w:tc>
        <w:tc>
          <w:tcPr>
            <w:tcW w:w="1242" w:type="dxa"/>
            <w:shd w:val="clear" w:color="auto" w:fill="C6EFCE"/>
            <w:noWrap/>
          </w:tcPr>
          <w:p w14:paraId="4ED04105" w14:textId="6B75F17A" w:rsidR="0065073E" w:rsidRDefault="000A0998">
            <w:pPr>
              <w:pStyle w:val="P68B1DB1-Normal12"/>
              <w:spacing w:after="0" w:line="240" w:lineRule="auto"/>
              <w:jc w:val="center"/>
              <w:rPr>
                <w:rFonts w:cs="Times New Roman"/>
                <w:noProof/>
              </w:rPr>
            </w:pPr>
            <w:r>
              <w:rPr>
                <w:noProof/>
              </w:rPr>
              <w:t>Voimaantuloa koskevan kuninkaallisen asetuksen säännös</w:t>
            </w:r>
          </w:p>
        </w:tc>
        <w:tc>
          <w:tcPr>
            <w:tcW w:w="828" w:type="dxa"/>
            <w:shd w:val="clear" w:color="auto" w:fill="C6EFCE"/>
            <w:noWrap/>
          </w:tcPr>
          <w:p w14:paraId="265B3622" w14:textId="4D4D1781" w:rsidR="0065073E" w:rsidRDefault="000A0998">
            <w:pPr>
              <w:pStyle w:val="P68B1DB1-Normal12"/>
              <w:spacing w:after="0" w:line="240" w:lineRule="auto"/>
              <w:jc w:val="right"/>
              <w:rPr>
                <w:rFonts w:cs="Times New Roman"/>
                <w:noProof/>
              </w:rPr>
            </w:pPr>
            <w:r>
              <w:rPr>
                <w:noProof/>
              </w:rPr>
              <w:t xml:space="preserve"> </w:t>
            </w:r>
          </w:p>
        </w:tc>
        <w:tc>
          <w:tcPr>
            <w:tcW w:w="966" w:type="dxa"/>
            <w:shd w:val="clear" w:color="auto" w:fill="C6EFCE"/>
            <w:noWrap/>
          </w:tcPr>
          <w:p w14:paraId="14387D9D" w14:textId="218B91A6" w:rsidR="0065073E" w:rsidRDefault="000A0998">
            <w:pPr>
              <w:pStyle w:val="P68B1DB1-Normal12"/>
              <w:spacing w:after="0" w:line="240" w:lineRule="auto"/>
              <w:jc w:val="right"/>
              <w:rPr>
                <w:rFonts w:cs="Times New Roman"/>
                <w:noProof/>
              </w:rPr>
            </w:pPr>
            <w:r>
              <w:rPr>
                <w:noProof/>
              </w:rPr>
              <w:t xml:space="preserve"> </w:t>
            </w:r>
          </w:p>
        </w:tc>
        <w:tc>
          <w:tcPr>
            <w:tcW w:w="691" w:type="dxa"/>
            <w:shd w:val="clear" w:color="auto" w:fill="C6EFCE"/>
            <w:noWrap/>
          </w:tcPr>
          <w:p w14:paraId="5637998B" w14:textId="025F425C" w:rsidR="0065073E" w:rsidRDefault="000A0998">
            <w:pPr>
              <w:pStyle w:val="P68B1DB1-Normal12"/>
              <w:spacing w:after="0" w:line="240" w:lineRule="auto"/>
              <w:jc w:val="right"/>
              <w:rPr>
                <w:rFonts w:cs="Times New Roman"/>
                <w:noProof/>
              </w:rPr>
            </w:pPr>
            <w:r>
              <w:rPr>
                <w:noProof/>
              </w:rPr>
              <w:t xml:space="preserve"> </w:t>
            </w:r>
          </w:p>
        </w:tc>
        <w:tc>
          <w:tcPr>
            <w:tcW w:w="415" w:type="dxa"/>
            <w:shd w:val="clear" w:color="auto" w:fill="C6EFCE"/>
            <w:noWrap/>
          </w:tcPr>
          <w:p w14:paraId="2E0A5B77" w14:textId="78A634BB" w:rsidR="0065073E" w:rsidRDefault="000A0998">
            <w:pPr>
              <w:pStyle w:val="P68B1DB1-Normal12"/>
              <w:spacing w:after="0" w:line="240" w:lineRule="auto"/>
              <w:jc w:val="center"/>
              <w:rPr>
                <w:rFonts w:cs="Times New Roman"/>
                <w:noProof/>
              </w:rPr>
            </w:pPr>
            <w:r>
              <w:rPr>
                <w:noProof/>
              </w:rPr>
              <w:t xml:space="preserve"> Q3</w:t>
            </w:r>
          </w:p>
        </w:tc>
        <w:tc>
          <w:tcPr>
            <w:tcW w:w="553" w:type="dxa"/>
            <w:shd w:val="clear" w:color="auto" w:fill="C6EFCE"/>
            <w:noWrap/>
          </w:tcPr>
          <w:p w14:paraId="5E63A245" w14:textId="27DE9857" w:rsidR="0065073E" w:rsidRDefault="000A0998">
            <w:pPr>
              <w:pStyle w:val="P68B1DB1-Normal12"/>
              <w:spacing w:after="0" w:line="240" w:lineRule="auto"/>
              <w:jc w:val="center"/>
              <w:rPr>
                <w:rFonts w:cs="Times New Roman"/>
                <w:noProof/>
              </w:rPr>
            </w:pPr>
            <w:r>
              <w:rPr>
                <w:noProof/>
              </w:rPr>
              <w:t xml:space="preserve">2025 </w:t>
            </w:r>
          </w:p>
        </w:tc>
        <w:tc>
          <w:tcPr>
            <w:tcW w:w="5236" w:type="dxa"/>
            <w:shd w:val="clear" w:color="auto" w:fill="C6EFCE"/>
            <w:noWrap/>
          </w:tcPr>
          <w:p w14:paraId="2F551A31" w14:textId="4F8941EC" w:rsidR="0065073E" w:rsidRDefault="000A0998">
            <w:pPr>
              <w:pStyle w:val="P68B1DB1-Normal12"/>
              <w:spacing w:after="0" w:line="240" w:lineRule="auto"/>
              <w:rPr>
                <w:rFonts w:cs="Times New Roman"/>
                <w:noProof/>
              </w:rPr>
            </w:pPr>
            <w:r>
              <w:rPr>
                <w:noProof/>
              </w:rPr>
              <w:t>Maatilojen tietojärjestelmää koskevan kuninkaallisen asetuksen voimaantulo toimenpiteen kuvauksen mukaisesti.</w:t>
            </w:r>
          </w:p>
        </w:tc>
      </w:tr>
      <w:tr w:rsidR="0065073E" w14:paraId="4F361425" w14:textId="77777777">
        <w:trPr>
          <w:trHeight w:val="309"/>
        </w:trPr>
        <w:tc>
          <w:tcPr>
            <w:tcW w:w="974" w:type="dxa"/>
            <w:shd w:val="clear" w:color="auto" w:fill="C6EFCE"/>
            <w:noWrap/>
          </w:tcPr>
          <w:p w14:paraId="3765393A" w14:textId="39A39A05" w:rsidR="0065073E" w:rsidRDefault="000A0998">
            <w:pPr>
              <w:pStyle w:val="P68B1DB1-Normal12"/>
              <w:spacing w:after="0" w:line="240" w:lineRule="auto"/>
              <w:jc w:val="center"/>
              <w:rPr>
                <w:rFonts w:cs="Times New Roman"/>
                <w:noProof/>
              </w:rPr>
            </w:pPr>
            <w:r>
              <w:rPr>
                <w:noProof/>
              </w:rPr>
              <w:t>L10</w:t>
            </w:r>
          </w:p>
        </w:tc>
        <w:tc>
          <w:tcPr>
            <w:tcW w:w="829" w:type="dxa"/>
            <w:shd w:val="clear" w:color="auto" w:fill="C6EFCE"/>
            <w:noWrap/>
          </w:tcPr>
          <w:p w14:paraId="41512B9B" w14:textId="36CEDF11" w:rsidR="0065073E" w:rsidRDefault="000A0998">
            <w:pPr>
              <w:pStyle w:val="P68B1DB1-Normal12"/>
              <w:spacing w:after="0" w:line="240" w:lineRule="auto"/>
              <w:jc w:val="center"/>
              <w:rPr>
                <w:rFonts w:cs="Times New Roman"/>
                <w:noProof/>
              </w:rPr>
            </w:pPr>
            <w:r>
              <w:rPr>
                <w:noProof/>
              </w:rPr>
              <w:t>C3.I12</w:t>
            </w:r>
          </w:p>
        </w:tc>
        <w:tc>
          <w:tcPr>
            <w:tcW w:w="1051" w:type="dxa"/>
            <w:shd w:val="clear" w:color="auto" w:fill="C6EFCE"/>
            <w:noWrap/>
          </w:tcPr>
          <w:p w14:paraId="6202A25D" w14:textId="1215A545" w:rsidR="0065073E" w:rsidRDefault="000A0998">
            <w:pPr>
              <w:pStyle w:val="P68B1DB1-Normal12"/>
              <w:spacing w:after="0" w:line="240" w:lineRule="auto"/>
              <w:jc w:val="center"/>
              <w:rPr>
                <w:rFonts w:cs="Times New Roman"/>
                <w:noProof/>
              </w:rPr>
            </w:pPr>
            <w:r>
              <w:rPr>
                <w:noProof/>
              </w:rPr>
              <w:t>T</w:t>
            </w:r>
          </w:p>
        </w:tc>
        <w:tc>
          <w:tcPr>
            <w:tcW w:w="2809" w:type="dxa"/>
            <w:shd w:val="clear" w:color="auto" w:fill="C6EFCE"/>
            <w:noWrap/>
          </w:tcPr>
          <w:p w14:paraId="1A1BA773" w14:textId="36FE45C6" w:rsidR="0065073E" w:rsidRDefault="000A0998">
            <w:pPr>
              <w:pStyle w:val="P68B1DB1-Normal12"/>
              <w:spacing w:after="0" w:line="240" w:lineRule="auto"/>
              <w:rPr>
                <w:rFonts w:cs="Times New Roman"/>
                <w:noProof/>
              </w:rPr>
            </w:pPr>
            <w:r>
              <w:rPr>
                <w:noProof/>
              </w:rPr>
              <w:t>Maatalous-, kalastus- ja elintarvikeministeriön (MAPA) ja SEIASAn välisen kasteltujen alueiden parantamisen ja kestävyyden tukemista koskevan sopimuksen täytäntöönpano (III vaihe)</w:t>
            </w:r>
          </w:p>
        </w:tc>
        <w:tc>
          <w:tcPr>
            <w:tcW w:w="1242" w:type="dxa"/>
            <w:shd w:val="clear" w:color="auto" w:fill="C6EFCE"/>
            <w:noWrap/>
          </w:tcPr>
          <w:p w14:paraId="31F39C34" w14:textId="77777777" w:rsidR="0065073E" w:rsidRDefault="0065073E">
            <w:pPr>
              <w:spacing w:after="0" w:line="240" w:lineRule="auto"/>
              <w:jc w:val="center"/>
              <w:rPr>
                <w:rFonts w:ascii="Times New Roman" w:hAnsi="Times New Roman" w:cs="Times New Roman"/>
                <w:noProof/>
                <w:sz w:val="18"/>
              </w:rPr>
            </w:pPr>
          </w:p>
        </w:tc>
        <w:tc>
          <w:tcPr>
            <w:tcW w:w="828" w:type="dxa"/>
            <w:shd w:val="clear" w:color="auto" w:fill="C6EFCE"/>
            <w:noWrap/>
          </w:tcPr>
          <w:p w14:paraId="69BC3DEC" w14:textId="2866E2AD" w:rsidR="0065073E" w:rsidRDefault="000A0998">
            <w:pPr>
              <w:pStyle w:val="P68B1DB1-Normal12"/>
              <w:spacing w:after="0" w:line="240" w:lineRule="auto"/>
              <w:jc w:val="right"/>
              <w:rPr>
                <w:rFonts w:cs="Times New Roman"/>
                <w:noProof/>
              </w:rPr>
            </w:pPr>
            <w:r>
              <w:rPr>
                <w:noProof/>
              </w:rPr>
              <w:t xml:space="preserve"> Miljoonaa euroa</w:t>
            </w:r>
          </w:p>
        </w:tc>
        <w:tc>
          <w:tcPr>
            <w:tcW w:w="966" w:type="dxa"/>
            <w:shd w:val="clear" w:color="auto" w:fill="C6EFCE"/>
            <w:noWrap/>
          </w:tcPr>
          <w:p w14:paraId="75A06810" w14:textId="0E12D261" w:rsidR="0065073E" w:rsidRDefault="000A0998">
            <w:pPr>
              <w:pStyle w:val="P68B1DB1-Normal12"/>
              <w:spacing w:after="0" w:line="240" w:lineRule="auto"/>
              <w:jc w:val="right"/>
              <w:rPr>
                <w:rFonts w:cs="Times New Roman"/>
                <w:noProof/>
              </w:rPr>
            </w:pPr>
            <w:r>
              <w:rPr>
                <w:noProof/>
              </w:rPr>
              <w:t>0</w:t>
            </w:r>
          </w:p>
        </w:tc>
        <w:tc>
          <w:tcPr>
            <w:tcW w:w="691" w:type="dxa"/>
            <w:shd w:val="clear" w:color="auto" w:fill="C6EFCE"/>
            <w:noWrap/>
          </w:tcPr>
          <w:p w14:paraId="25C52C25" w14:textId="031D8A51" w:rsidR="0065073E" w:rsidRDefault="000A0998">
            <w:pPr>
              <w:pStyle w:val="P68B1DB1-Normal12"/>
              <w:spacing w:after="0" w:line="240" w:lineRule="auto"/>
              <w:jc w:val="right"/>
              <w:rPr>
                <w:rFonts w:cs="Times New Roman"/>
                <w:noProof/>
              </w:rPr>
            </w:pPr>
            <w:r>
              <w:rPr>
                <w:noProof/>
              </w:rPr>
              <w:t>260</w:t>
            </w:r>
          </w:p>
        </w:tc>
        <w:tc>
          <w:tcPr>
            <w:tcW w:w="415" w:type="dxa"/>
            <w:shd w:val="clear" w:color="auto" w:fill="C6EFCE"/>
            <w:noWrap/>
          </w:tcPr>
          <w:p w14:paraId="183B4483" w14:textId="1F4FE5F2"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34C00A7D" w14:textId="5735484F" w:rsidR="0065073E" w:rsidRDefault="000A0998">
            <w:pPr>
              <w:pStyle w:val="P68B1DB1-Normal12"/>
              <w:spacing w:after="0" w:line="240" w:lineRule="auto"/>
              <w:jc w:val="center"/>
              <w:rPr>
                <w:rFonts w:cs="Times New Roman"/>
                <w:noProof/>
              </w:rPr>
            </w:pPr>
            <w:r>
              <w:rPr>
                <w:noProof/>
              </w:rPr>
              <w:t>2023</w:t>
            </w:r>
          </w:p>
        </w:tc>
        <w:tc>
          <w:tcPr>
            <w:tcW w:w="5236" w:type="dxa"/>
            <w:shd w:val="clear" w:color="auto" w:fill="C6EFCE"/>
            <w:noWrap/>
          </w:tcPr>
          <w:p w14:paraId="465F4064" w14:textId="3223F5E9" w:rsidR="0065073E" w:rsidRDefault="000A0998">
            <w:pPr>
              <w:pStyle w:val="P68B1DB1-Normal12"/>
              <w:spacing w:after="0" w:line="240" w:lineRule="auto"/>
              <w:rPr>
                <w:rFonts w:cs="Times New Roman"/>
                <w:noProof/>
              </w:rPr>
            </w:pPr>
            <w:r>
              <w:rPr>
                <w:noProof/>
              </w:rPr>
              <w:t>Maatalous-, kalastus- ja elintarvikeministeriön (MAPA) ja SEIASAn (vaihe III) välinen yhteistyösopimus; 260000000 euroa talousarvion toteuttamisesta) pannaan täytäntöön tämän investointihankkeen yhteydessä toteutettavan kastelun tehokkuuden ja kestävyyden parantamista koskevan suunnitelman ehdot. Tällä oikeudellisella normilla säännellään muun muassa kastelun nykyaikaistamiseen tehtävien investointien julkista/yksityistä rahoitusjärjestelmää, hankkeiden valintaperusteita, suunnitelman toteuttamismenettelyjä sekä luetteloa tämän toimenpiteen mukaiseen talousarvion toteuttamiseen liittyvistä toimista.</w:t>
            </w:r>
          </w:p>
        </w:tc>
      </w:tr>
      <w:tr w:rsidR="0065073E" w14:paraId="50413452" w14:textId="77777777">
        <w:trPr>
          <w:trHeight w:val="309"/>
        </w:trPr>
        <w:tc>
          <w:tcPr>
            <w:tcW w:w="974" w:type="dxa"/>
            <w:shd w:val="clear" w:color="auto" w:fill="C6EFCE"/>
            <w:noWrap/>
          </w:tcPr>
          <w:p w14:paraId="277D79EB" w14:textId="33C73E96" w:rsidR="0065073E" w:rsidRDefault="000A0998">
            <w:pPr>
              <w:pStyle w:val="P68B1DB1-Normal12"/>
              <w:spacing w:after="0" w:line="240" w:lineRule="auto"/>
              <w:jc w:val="center"/>
              <w:rPr>
                <w:rFonts w:cs="Times New Roman"/>
                <w:noProof/>
              </w:rPr>
            </w:pPr>
            <w:r>
              <w:rPr>
                <w:noProof/>
              </w:rPr>
              <w:t>L11</w:t>
            </w:r>
          </w:p>
        </w:tc>
        <w:tc>
          <w:tcPr>
            <w:tcW w:w="829" w:type="dxa"/>
            <w:shd w:val="clear" w:color="auto" w:fill="C6EFCE"/>
            <w:noWrap/>
          </w:tcPr>
          <w:p w14:paraId="13BAE5B2" w14:textId="0AC9B46B" w:rsidR="0065073E" w:rsidRDefault="000A0998">
            <w:pPr>
              <w:pStyle w:val="P68B1DB1-Normal12"/>
              <w:spacing w:after="0" w:line="240" w:lineRule="auto"/>
              <w:jc w:val="center"/>
              <w:rPr>
                <w:rFonts w:cs="Times New Roman"/>
                <w:noProof/>
              </w:rPr>
            </w:pPr>
            <w:r>
              <w:rPr>
                <w:noProof/>
              </w:rPr>
              <w:t>C3.I12</w:t>
            </w:r>
          </w:p>
        </w:tc>
        <w:tc>
          <w:tcPr>
            <w:tcW w:w="1051" w:type="dxa"/>
            <w:shd w:val="clear" w:color="auto" w:fill="C6EFCE"/>
            <w:noWrap/>
          </w:tcPr>
          <w:p w14:paraId="040A8F6C" w14:textId="05EF6C8A" w:rsidR="0065073E" w:rsidRDefault="000A0998">
            <w:pPr>
              <w:pStyle w:val="P68B1DB1-Normal12"/>
              <w:spacing w:after="0" w:line="240" w:lineRule="auto"/>
              <w:jc w:val="center"/>
              <w:rPr>
                <w:rFonts w:cs="Times New Roman"/>
                <w:noProof/>
              </w:rPr>
            </w:pPr>
            <w:r>
              <w:rPr>
                <w:noProof/>
              </w:rPr>
              <w:t>T</w:t>
            </w:r>
          </w:p>
        </w:tc>
        <w:tc>
          <w:tcPr>
            <w:tcW w:w="2809" w:type="dxa"/>
            <w:shd w:val="clear" w:color="auto" w:fill="C6EFCE"/>
            <w:noWrap/>
          </w:tcPr>
          <w:p w14:paraId="242CC6BA" w14:textId="4D238C3A" w:rsidR="0065073E" w:rsidRDefault="000A0998">
            <w:pPr>
              <w:pStyle w:val="P68B1DB1-Normal12"/>
              <w:spacing w:after="0" w:line="240" w:lineRule="auto"/>
              <w:rPr>
                <w:rFonts w:cs="Times New Roman"/>
                <w:noProof/>
              </w:rPr>
            </w:pPr>
            <w:r>
              <w:rPr>
                <w:noProof/>
              </w:rPr>
              <w:t xml:space="preserve">Kastelujärjestelmien nykyaikaistaminen vedensäästön ja energiatehokkuuden osalta  </w:t>
            </w:r>
          </w:p>
        </w:tc>
        <w:tc>
          <w:tcPr>
            <w:tcW w:w="1242" w:type="dxa"/>
            <w:shd w:val="clear" w:color="auto" w:fill="C6EFCE"/>
            <w:noWrap/>
          </w:tcPr>
          <w:p w14:paraId="64D092A7" w14:textId="77777777" w:rsidR="0065073E" w:rsidRDefault="0065073E">
            <w:pPr>
              <w:spacing w:after="0" w:line="240" w:lineRule="auto"/>
              <w:jc w:val="center"/>
              <w:rPr>
                <w:rFonts w:ascii="Times New Roman" w:hAnsi="Times New Roman" w:cs="Times New Roman"/>
                <w:noProof/>
                <w:sz w:val="18"/>
              </w:rPr>
            </w:pPr>
          </w:p>
        </w:tc>
        <w:tc>
          <w:tcPr>
            <w:tcW w:w="828" w:type="dxa"/>
            <w:shd w:val="clear" w:color="auto" w:fill="C6EFCE"/>
            <w:noWrap/>
          </w:tcPr>
          <w:p w14:paraId="3096FCA4" w14:textId="67C75958" w:rsidR="0065073E" w:rsidRDefault="000A0998">
            <w:pPr>
              <w:pStyle w:val="P68B1DB1-Normal12"/>
              <w:spacing w:after="0" w:line="240" w:lineRule="auto"/>
              <w:jc w:val="right"/>
              <w:rPr>
                <w:rFonts w:cs="Times New Roman"/>
                <w:noProof/>
              </w:rPr>
            </w:pPr>
            <w:r>
              <w:rPr>
                <w:noProof/>
              </w:rPr>
              <w:t>Lukumäärä (hehtaaria)</w:t>
            </w:r>
          </w:p>
        </w:tc>
        <w:tc>
          <w:tcPr>
            <w:tcW w:w="966" w:type="dxa"/>
            <w:shd w:val="clear" w:color="auto" w:fill="C6EFCE"/>
            <w:noWrap/>
          </w:tcPr>
          <w:p w14:paraId="2B66EF9A" w14:textId="6D53B724" w:rsidR="0065073E" w:rsidRDefault="000A0998">
            <w:pPr>
              <w:pStyle w:val="P68B1DB1-Normal12"/>
              <w:spacing w:after="0" w:line="240" w:lineRule="auto"/>
              <w:jc w:val="right"/>
              <w:rPr>
                <w:rFonts w:cs="Times New Roman"/>
                <w:noProof/>
              </w:rPr>
            </w:pPr>
            <w:r>
              <w:rPr>
                <w:noProof/>
              </w:rPr>
              <w:t>125 000</w:t>
            </w:r>
          </w:p>
        </w:tc>
        <w:tc>
          <w:tcPr>
            <w:tcW w:w="691" w:type="dxa"/>
            <w:shd w:val="clear" w:color="auto" w:fill="C6EFCE"/>
            <w:noWrap/>
          </w:tcPr>
          <w:p w14:paraId="2702C07D" w14:textId="3ED9D421" w:rsidR="0065073E" w:rsidRDefault="000A0998">
            <w:pPr>
              <w:pStyle w:val="P68B1DB1-Normal12"/>
              <w:spacing w:after="0" w:line="240" w:lineRule="auto"/>
              <w:jc w:val="right"/>
              <w:rPr>
                <w:rFonts w:cs="Times New Roman"/>
                <w:noProof/>
              </w:rPr>
            </w:pPr>
            <w:r>
              <w:rPr>
                <w:noProof/>
              </w:rPr>
              <w:t>160 000</w:t>
            </w:r>
          </w:p>
        </w:tc>
        <w:tc>
          <w:tcPr>
            <w:tcW w:w="415" w:type="dxa"/>
            <w:shd w:val="clear" w:color="auto" w:fill="C6EFCE"/>
            <w:noWrap/>
          </w:tcPr>
          <w:p w14:paraId="2F9F3136" w14:textId="0E8E9174"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092FA822" w14:textId="0E6ECC23" w:rsidR="0065073E" w:rsidRDefault="000A0998">
            <w:pPr>
              <w:pStyle w:val="P68B1DB1-Normal12"/>
              <w:spacing w:after="0" w:line="240" w:lineRule="auto"/>
              <w:jc w:val="center"/>
              <w:rPr>
                <w:rFonts w:cs="Times New Roman"/>
                <w:noProof/>
              </w:rPr>
            </w:pPr>
            <w:r>
              <w:rPr>
                <w:noProof/>
              </w:rPr>
              <w:t>2026</w:t>
            </w:r>
          </w:p>
        </w:tc>
        <w:tc>
          <w:tcPr>
            <w:tcW w:w="5236" w:type="dxa"/>
            <w:shd w:val="clear" w:color="auto" w:fill="C6EFCE"/>
            <w:noWrap/>
          </w:tcPr>
          <w:p w14:paraId="0451C6B8" w14:textId="004AC059" w:rsidR="0065073E" w:rsidRDefault="000A0998">
            <w:pPr>
              <w:pStyle w:val="P68B1DB1-Normal12"/>
              <w:spacing w:after="0" w:line="240" w:lineRule="auto"/>
              <w:rPr>
                <w:rFonts w:cs="Times New Roman"/>
                <w:noProof/>
              </w:rPr>
            </w:pPr>
            <w:r>
              <w:rPr>
                <w:noProof/>
              </w:rPr>
              <w:t>Vähintään 1000 hehtaaria kastelujärjestelmiä on nykyaikaistettu vedensäästön ja energiatehokkuuden osalta. Elpymis- ja palautumissuunnitelman investoinneilla nykyaikaistettu pinta-ala sekä toteutettujen toimien tyyppi on otettava huomioon SEIASAn asianomaisten vedenkäyttäjäyhteisöjen kanssa tekemissä yhteistyösopimuksissa. Näissä sopimuksissa vahvistetaan erityistoimet, jotka on toteutettava vedensäästön ja energiatehokkuuden takaamiseksi nykyaikaistetuissa kastelujärjestelmissä. Tässä suunnitelmassa on toteutettava muun muassa seuraavat toimet: I)Pohja- tai pintaveden käytön korvaaminen käyttämällä epätavanomaisia vesivaroja (jotka on kierrätetty tai poistettu suolasta ”ei merkittävää haittaa” -periaatteen mukaisesti) (2021/C58/01) ii) sellaisten vedensääntelyjärjestelmien täytäntöönpano, jotka mahdollistavat kastelun (korkeuseroa siten, että veden kuljetus ei edellytä energian käyttöä), iii) korvaamalla fossiilisista lähteistä peräisin oleva energia, jota tarvitaan pumppaamiseen uusiutuvilla energialähteillä (pääasiassa aurinkosähköllä), iv) betonista tai maasta valmistettujen ulkoilmaojien korvaaminen hautausputkilla, v) suodatus- ja pumppausasemien rakentaminen ja vi) mittareiden ja kaukohallintajärjestelmien asentaminen. Vuoden 2026 toiseen neljännekseen mennessä vähintään 35000 hehtaaria kastelujärjestelmiä nykyaikaistetaan vedensäästön ja energiatehokkuuden osalta, mikä voidaan todentaa SIEASAn ja kasteluyhteisöjen välisillä sopimuksilla. (Tavoitteen 48 tavoitteeseen perustuva perustaso)</w:t>
            </w:r>
          </w:p>
        </w:tc>
      </w:tr>
    </w:tbl>
    <w:p w14:paraId="375E651E" w14:textId="7B0D8992"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60"/>
        </w:sectPr>
      </w:pPr>
    </w:p>
    <w:p w14:paraId="3066E461" w14:textId="77777777" w:rsidR="0065073E" w:rsidRDefault="000A0998">
      <w:pPr>
        <w:pStyle w:val="P68B1DB1-Heading12"/>
        <w:rPr>
          <w:rFonts w:cs="Times New Roman"/>
          <w:noProof/>
        </w:rPr>
      </w:pPr>
      <w:r>
        <w:rPr>
          <w:noProof/>
        </w:rPr>
        <w:t>D. OSA 04: Ekosysteemit ja biologinen monimuotoisuus</w:t>
      </w:r>
    </w:p>
    <w:p w14:paraId="30F8696F" w14:textId="15F4BA49" w:rsidR="0065073E" w:rsidRDefault="000A0998">
      <w:pPr>
        <w:pStyle w:val="P68B1DB1-Normal4"/>
        <w:spacing w:before="120" w:after="120" w:line="240" w:lineRule="auto"/>
        <w:jc w:val="both"/>
        <w:rPr>
          <w:rFonts w:cs="Times New Roman"/>
          <w:noProof/>
        </w:rPr>
      </w:pPr>
      <w:r>
        <w:rPr>
          <w:noProof/>
        </w:rPr>
        <w:t xml:space="preserve">Tällä Espanjan elpymis- ja palautumissuunnitelman komponentilla puututaan Espanjan haavoittuvuuteen ilmastonmuutoksen suorille ja välillisille haitallisille vaikutuksille, jotka johtuvat sen luonnonmaantieteellisestä ja geomorfologiasta, parantamalla ekosysteemien suojelun tasoa tarvittaessa niiden ekologisen ennallistamisen avulla ja kääntämällä luonnon monimuotoisuuden köyhtyminen, varmistamalla luonnonvarojen kestävä käyttö sekä säilyttämällä ja parantamalla ekosysteemipalveluja. Tämä osa-alue edistää myös ekosysteemien sopeutumista ilmastonmuutoksen haitallisiin vaikutuksiin hyväksymällä toimenpiteitä ilmastonmuutoksen vaikutusten minimoimiseksi, hyväksymällä aavikoitumisen torjuntaa koskevan kansallisen strategian ja keskittymällä metsäpaloihin. </w:t>
      </w:r>
    </w:p>
    <w:p w14:paraId="6B11FF22" w14:textId="61539AD8" w:rsidR="0065073E" w:rsidRDefault="000A0998">
      <w:pPr>
        <w:pStyle w:val="P68B1DB1-Normal4"/>
        <w:spacing w:before="120" w:after="120" w:line="240" w:lineRule="auto"/>
        <w:jc w:val="both"/>
        <w:rPr>
          <w:rFonts w:cs="Times New Roman"/>
          <w:noProof/>
        </w:rPr>
      </w:pPr>
      <w:r>
        <w:rPr>
          <w:noProof/>
        </w:rPr>
        <w:t>Lisäksi painotetaan meriekosysteemien suojelua, säilyttämistä ja ennallistamista. Espanjan elpymis- ja palautumissuunnitelman tämän komponentin täytäntöönpanossa i) käynnistetään sininen toimintaohjelma merten ja niiden biologisen monimuotoisuuden parantamiseksi; II) lisätä suojeltujen merialueiden osuutta suojelemalla vähintään 18:aa prosenttia Espanjan alueesta vuoden 2025 loppuun mennessä sekä eläimistöä että kasvistoa puolustaen; ja iii) otetaan ensimmäistä kertaa käyttöön merien hoidon puitteet Espanjassa.</w:t>
      </w:r>
    </w:p>
    <w:p w14:paraId="6A501ED7" w14:textId="3639AB36" w:rsidR="0065073E" w:rsidRDefault="000A0998">
      <w:pPr>
        <w:pStyle w:val="P68B1DB1-Normal4"/>
        <w:spacing w:before="120" w:after="120" w:line="240" w:lineRule="auto"/>
        <w:jc w:val="both"/>
        <w:rPr>
          <w:rFonts w:cs="Times New Roman"/>
          <w:noProof/>
        </w:rPr>
      </w:pPr>
      <w:r>
        <w:rPr>
          <w:noProof/>
        </w:rPr>
        <w:t xml:space="preserve">Lisäksi sen on suojeltava ja hoidettava kestävällä tavalla maaseutualueita, niiden ekosysteemejä, luonnon monimuotoisuutta ja metsämaita. Maaseutualueilla, joilla väestökadolla on ollut erityisen kielteisiä vaikutuksia, on suuri osa Espanjan rikkaasta luonnonperinnöstä, ja ne ovat näin ollen paikallisen vaurauden lähde, joka avaa mahdollisuuksia kääntää väestökato. </w:t>
      </w:r>
    </w:p>
    <w:p w14:paraId="4BF45026" w14:textId="77777777" w:rsidR="0065073E" w:rsidRDefault="000A0998">
      <w:pPr>
        <w:pStyle w:val="P68B1DB1-Normal4"/>
        <w:spacing w:before="120" w:after="120" w:line="240" w:lineRule="auto"/>
        <w:jc w:val="both"/>
        <w:rPr>
          <w:rFonts w:cs="Times New Roman"/>
          <w:noProof/>
        </w:rPr>
      </w:pPr>
      <w:r>
        <w:rPr>
          <w:noProof/>
        </w:rPr>
        <w:t xml:space="preserve">Tällä Espanjan elpymis- ja palautumissuunnitelman osa-alueella tuetaan investointeja vihreään ja digitaaliseen siirtymään (maakohtainen suositus 3 2020). Sillä tuetaan myös asianmukaista maankäyttöä, erityisesti metsänhoitoa, luonnonsuojelua ja ennallistamista Euroopan vihreän kehityksen ohjelman ja vuoteen 2030 ulottuvan EU:n biodiversiteettistrategian tavoitteiden mukaisesti. </w:t>
      </w:r>
    </w:p>
    <w:p w14:paraId="44250219"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21FC91AB" w14:textId="77777777" w:rsidR="0065073E" w:rsidRDefault="000A0998">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D.1 </w:t>
      </w:r>
      <w:r>
        <w:rPr>
          <w:noProof/>
        </w:rPr>
        <w:t xml:space="preserve"> </w:t>
      </w:r>
      <w:r>
        <w:rPr>
          <w:rFonts w:ascii="Times New Roman" w:hAnsi="Times New Roman"/>
          <w:b/>
          <w:noProof/>
          <w:sz w:val="24"/>
          <w:u w:val="single"/>
        </w:rPr>
        <w:t>Kuvaus uudistuksista ja investoinneista, joita rahoitetaan rahoitustuella, jota ei makseta takaisin</w:t>
      </w:r>
    </w:p>
    <w:p w14:paraId="25340F12" w14:textId="77777777" w:rsidR="0065073E" w:rsidRDefault="000A0998">
      <w:pPr>
        <w:pStyle w:val="P68B1DB1-Normal5"/>
        <w:spacing w:before="120" w:after="120" w:line="240" w:lineRule="auto"/>
        <w:jc w:val="both"/>
        <w:rPr>
          <w:rFonts w:cs="Times New Roman"/>
          <w:noProof/>
        </w:rPr>
      </w:pPr>
      <w:r>
        <w:rPr>
          <w:noProof/>
        </w:rPr>
        <w:t>Uudistus 1 (C4.R1) – Maa- ja merialueiden biologisen monimuotoisuuden säilyttäminen</w:t>
      </w:r>
    </w:p>
    <w:p w14:paraId="59340859" w14:textId="77777777" w:rsidR="0065073E" w:rsidRDefault="000A0998">
      <w:pPr>
        <w:pStyle w:val="P68B1DB1-Normal4"/>
        <w:spacing w:before="120" w:after="120" w:line="240" w:lineRule="auto"/>
        <w:jc w:val="both"/>
        <w:rPr>
          <w:rFonts w:cs="Times New Roman"/>
          <w:noProof/>
        </w:rPr>
      </w:pPr>
      <w:r>
        <w:rPr>
          <w:noProof/>
        </w:rPr>
        <w:t xml:space="preserve">Uudistuksella päivitetään biologista monimuotoisuutta ja luonnonperintöä koskevaa lainsäädäntöä, jotta voidaan tukea biologista monimuotoisuutta koskevasta yleissopimuksesta ja äskettäin hyväksytystä vuoteen 2030 ulottuvasta EU:n biodiversiteettistrategiasta johtuvien sitoumusten täyttämistä. </w:t>
      </w:r>
    </w:p>
    <w:p w14:paraId="701C4F91" w14:textId="7158DFF6" w:rsidR="0065073E" w:rsidRDefault="000A0998">
      <w:pPr>
        <w:pStyle w:val="P68B1DB1-Normal4"/>
        <w:spacing w:before="120" w:after="120" w:line="240" w:lineRule="auto"/>
        <w:jc w:val="both"/>
        <w:rPr>
          <w:rFonts w:cs="Times New Roman"/>
          <w:noProof/>
        </w:rPr>
      </w:pPr>
      <w:r>
        <w:rPr>
          <w:noProof/>
        </w:rPr>
        <w:t xml:space="preserve">Uudistuksen päätavoitteena on laatia, hyväksyä ja ottaa käyttöön luonnonperintöä ja luonnon monimuotoisuutta koskeva strateginen suunnitelma (sellaisena kuin se on vahvistettu luonnonperinnöstä ja luonnon monimuotoisuudesta annetussa laissa 42/2007), jotta sillä olisi pitkäkestoinen vaikutus kaikkien Espanjan luonnonjärjestelmien suojeluun ja hoitoon sekä sen yhteiskunnalle tarjoamiin palveluihin. Uudistuksen on sisällettävä myös seuraavat tämän toimenpiteen mukaiset toimet: </w:t>
      </w:r>
    </w:p>
    <w:p w14:paraId="09D845DD" w14:textId="77777777" w:rsidR="0065073E" w:rsidRDefault="000A0998">
      <w:pPr>
        <w:pStyle w:val="P68B1DB1-Normal4"/>
        <w:numPr>
          <w:ilvl w:val="0"/>
          <w:numId w:val="90"/>
        </w:numPr>
        <w:spacing w:before="120" w:after="160" w:line="240" w:lineRule="auto"/>
        <w:ind w:left="714" w:hanging="357"/>
        <w:contextualSpacing/>
        <w:jc w:val="both"/>
        <w:rPr>
          <w:rFonts w:cs="Times New Roman"/>
          <w:noProof/>
        </w:rPr>
      </w:pPr>
      <w:r>
        <w:rPr>
          <w:noProof/>
        </w:rPr>
        <w:t xml:space="preserve">Hyväksytään biologista monimuotoisuutta, tiedettä ja tietämystä koskeva strategia, jossa yksilöidään tärkeimmät tutkimuksen puutteet ja määritetään erityisalat, joilla biologista monimuotoisuutta koskeva tutkimus on tarpeen. </w:t>
      </w:r>
    </w:p>
    <w:p w14:paraId="005A8DCC" w14:textId="77777777" w:rsidR="0065073E" w:rsidRDefault="000A0998">
      <w:pPr>
        <w:pStyle w:val="P68B1DB1-Normal4"/>
        <w:numPr>
          <w:ilvl w:val="0"/>
          <w:numId w:val="90"/>
        </w:numPr>
        <w:spacing w:before="120" w:after="160" w:line="240" w:lineRule="auto"/>
        <w:contextualSpacing/>
        <w:jc w:val="both"/>
        <w:rPr>
          <w:rFonts w:cs="Times New Roman"/>
          <w:noProof/>
        </w:rPr>
      </w:pPr>
      <w:r>
        <w:rPr>
          <w:noProof/>
        </w:rPr>
        <w:t xml:space="preserve">Hyväksytään kuninkaallinen asetus, jolla hyväksytään suojeltujen merialueiden verkostoa koskeva suunnitelma, jolla edistetään ekologisesti yhtenäistä verkostoa, joka edistää luonnonperintöalueiden ja merten biologisen monimuotoisuuden suojelua ja edistää suojeltujen merialueiden suunniteltua, tehokasta ja johdonmukaista hoitoa. </w:t>
      </w:r>
    </w:p>
    <w:p w14:paraId="6814E040" w14:textId="77777777" w:rsidR="0065073E" w:rsidRDefault="000A0998">
      <w:pPr>
        <w:pStyle w:val="P68B1DB1-Normal4"/>
        <w:numPr>
          <w:ilvl w:val="0"/>
          <w:numId w:val="90"/>
        </w:numPr>
        <w:spacing w:before="120" w:after="160" w:line="240" w:lineRule="auto"/>
        <w:contextualSpacing/>
        <w:jc w:val="both"/>
        <w:rPr>
          <w:rFonts w:cs="Times New Roman"/>
          <w:noProof/>
        </w:rPr>
      </w:pPr>
      <w:r>
        <w:rPr>
          <w:noProof/>
        </w:rPr>
        <w:t xml:space="preserve">Pölyttäjien suojelua koskevassa kansallisessa strategiassa on esitettävä tarvittavat toimet pölyttäjien tilanteen parantamiseksi. Strategiassa keskitytään erityisesti i) pölyttäjille suotuisten alueiden edistämiseen; II) sen hallinnoinnin parantaminen ja haitallisten lajien aiheuttamien riskien vähentäminen; III) kasvinsuojeluaineet; ja iv) pölyttäjien suojelua koskevan tutkimuksen edistäminen ja siihen liittyvien tutkimustulosten levittäminen tällä alalla. </w:t>
      </w:r>
    </w:p>
    <w:p w14:paraId="16BFEBDC" w14:textId="77777777" w:rsidR="0065073E" w:rsidRDefault="000A0998">
      <w:pPr>
        <w:pStyle w:val="P68B1DB1-Normal4"/>
        <w:numPr>
          <w:ilvl w:val="0"/>
          <w:numId w:val="90"/>
        </w:numPr>
        <w:spacing w:before="120" w:after="160" w:line="240" w:lineRule="auto"/>
        <w:contextualSpacing/>
        <w:jc w:val="both"/>
        <w:rPr>
          <w:rFonts w:cs="Times New Roman"/>
          <w:noProof/>
        </w:rPr>
      </w:pPr>
      <w:r>
        <w:rPr>
          <w:noProof/>
        </w:rPr>
        <w:t xml:space="preserve">Luonnonvaraisen eläimistön ja kasviston uhanalaisten lajien kansainvälistä kauppaa koskevan yleissopimuksen (CITES-asetus) mukaisten viranomaisten päivittämistä koskevan asetuksen (CITES-asetus) hyväksyminen, jolla taataan CITES-sopimuksesta johdettujen toimenpiteiden täytäntöönpano ja varmistetaan, että kauppa ei haittaa lajien suojelun tasoa ja niiden pitkän aikavälin eloonjäämistä. </w:t>
      </w:r>
    </w:p>
    <w:p w14:paraId="37927D61" w14:textId="77777777" w:rsidR="0065073E" w:rsidRDefault="000A0998">
      <w:pPr>
        <w:pStyle w:val="P68B1DB1-Normal4"/>
        <w:numPr>
          <w:ilvl w:val="0"/>
          <w:numId w:val="90"/>
        </w:numPr>
        <w:spacing w:before="120" w:after="120" w:line="240" w:lineRule="auto"/>
        <w:ind w:left="714" w:hanging="357"/>
        <w:jc w:val="both"/>
        <w:rPr>
          <w:rFonts w:cs="Times New Roman"/>
          <w:noProof/>
        </w:rPr>
      </w:pPr>
      <w:r>
        <w:rPr>
          <w:noProof/>
        </w:rPr>
        <w:t xml:space="preserve">Kosteikkojen suojelu- ja ennallistamissuunnitelma, jolla taataan kosteikkojen säilyttäminen ja järkiperäinen käyttö. </w:t>
      </w:r>
    </w:p>
    <w:p w14:paraId="3EAB1E06" w14:textId="77777777" w:rsidR="0065073E" w:rsidRDefault="000A0998">
      <w:pPr>
        <w:pStyle w:val="P68B1DB1-Normal4"/>
        <w:spacing w:before="120" w:after="120" w:line="240" w:lineRule="auto"/>
        <w:jc w:val="both"/>
        <w:rPr>
          <w:rFonts w:cs="Times New Roman"/>
          <w:noProof/>
        </w:rPr>
      </w:pPr>
      <w:r>
        <w:rPr>
          <w:noProof/>
        </w:rPr>
        <w:t xml:space="preserve">Näiden tämän toimenpiteen mukaisten toimien kehittämistä tuetaan suoraan Espanjan elpymis- ja palautumissuunnitelman tämän komponentin investoinneilla 1 ja 2 (ks. jäljempänä). Sillä täydennetään myös kahta muuta Espanjan elpymis- ja palautumissuunnitelman tässä komponentissa kuvattua uudistusta ja investointia. </w:t>
      </w:r>
    </w:p>
    <w:p w14:paraId="18300707"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2022 mennessä. </w:t>
      </w:r>
    </w:p>
    <w:p w14:paraId="020DA12D" w14:textId="77777777" w:rsidR="0065073E" w:rsidRDefault="000A0998">
      <w:pPr>
        <w:pStyle w:val="P68B1DB1-Normal5"/>
        <w:spacing w:before="120" w:after="120" w:line="240" w:lineRule="auto"/>
        <w:jc w:val="both"/>
        <w:rPr>
          <w:rFonts w:cs="Times New Roman"/>
          <w:noProof/>
        </w:rPr>
      </w:pPr>
      <w:r>
        <w:rPr>
          <w:noProof/>
        </w:rPr>
        <w:t>Uudistus 2 (C4.R2) – Ekosysteemeiden ja vihreän infrastruktuurin ennallistaminen</w:t>
      </w:r>
    </w:p>
    <w:p w14:paraId="39BD5F75" w14:textId="77777777" w:rsidR="0065073E" w:rsidRDefault="000A0998">
      <w:pPr>
        <w:pStyle w:val="P68B1DB1-Normal4"/>
        <w:spacing w:before="120" w:after="120" w:line="240" w:lineRule="auto"/>
        <w:jc w:val="both"/>
        <w:rPr>
          <w:rFonts w:cs="Times New Roman"/>
          <w:noProof/>
        </w:rPr>
      </w:pPr>
      <w:r>
        <w:rPr>
          <w:noProof/>
        </w:rPr>
        <w:t>Uudistuksen tavoitteena on kehittää ja panna täytäntöön keskushallinnon strategia vihreälle infrastruktuurille, yhteenliitettävyydelle ja ekologiselle ennallistamiselle, ennallistaa vahingoittuneet ekosysteemit ja vakiinnuttaa täysin toimintakykyisten maa- ja merialueiden ja osittain luonnontilaisten alueiden verkosto vuoteen 2050 mennessä.</w:t>
      </w:r>
    </w:p>
    <w:p w14:paraId="40AEC7EC" w14:textId="77777777" w:rsidR="0065073E" w:rsidRDefault="000A0998">
      <w:pPr>
        <w:pStyle w:val="P68B1DB1-Normal4"/>
        <w:spacing w:before="120" w:after="120" w:line="240" w:lineRule="auto"/>
        <w:jc w:val="both"/>
        <w:rPr>
          <w:rFonts w:cs="Times New Roman"/>
          <w:noProof/>
        </w:rPr>
      </w:pPr>
      <w:r>
        <w:rPr>
          <w:noProof/>
        </w:rPr>
        <w:t xml:space="preserve">Uudistuksissa on seitsemän eri toimintalinjaa, joiden tarkoituksena on I) vähentää ekologisten yhteyksien pirstoutumisen ja häviämisen vaikutuksia; II) ennallistaa luontotyyppejä ja ekosysteemejä keskeisillä alueilla; III) ylläpidetään ja parannetaan vihreän infrastruktuurin osien ekosysteemipalvelujen tarjontaa; IV) parantaa vihreään infrastruktuuriin liittyvien osatekijöiden häiriönsietokykyä; v) varmistaa alueellinen yhtenäisyys; VI) sisältää tehokkaan vihreän infrastruktuurin; ja vii) varmistetaan asianmukainen viestintä, koulutus ja eturyhmien ja yhteiskunnan osallistuminen vihreän infrastruktuurin kehittämiseen. </w:t>
      </w:r>
    </w:p>
    <w:p w14:paraId="568339C9" w14:textId="77777777" w:rsidR="0065073E" w:rsidRDefault="000A0998">
      <w:pPr>
        <w:pStyle w:val="P68B1DB1-Normal4"/>
        <w:spacing w:before="120" w:after="120" w:line="240" w:lineRule="auto"/>
        <w:jc w:val="both"/>
        <w:rPr>
          <w:rFonts w:cs="Times New Roman"/>
          <w:noProof/>
        </w:rPr>
      </w:pPr>
      <w:r>
        <w:rPr>
          <w:noProof/>
        </w:rPr>
        <w:t xml:space="preserve">Tätä uudistusta tuetaan edelleen Espanjan elpymis- ja palautumissuunnitelman tämän osan investoinnilla 3, jossa otetaan huomioon erityisesti vuoteen 2030 ulottuvan EU:n biodiversiteettistrategian suositukset, jotka koskevat ekologisten käytävien sisällyttämistä, laajamittaista puiden istuttamista, merkittävää edistymistä saastuneen maan kunnostamisessa ja tavoitetta varmistaa, että kaupungeilla, joissa on vähintään 20000 asukasta, on kunnianhimoinen kaupunkien viherryttämissuunnitelma. Se liittyy myös Espanjan elpymis- ja palautumissuunnitelman tämän komponentin uudistuksiin 1 ja investointiin 1. </w:t>
      </w:r>
    </w:p>
    <w:p w14:paraId="3C9F2936"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30 päivään kesäkuuta 2021 mennessä. </w:t>
      </w:r>
    </w:p>
    <w:p w14:paraId="4C4CB362" w14:textId="77777777" w:rsidR="0065073E" w:rsidRDefault="000A0998">
      <w:pPr>
        <w:pStyle w:val="P68B1DB1-Normal5"/>
        <w:spacing w:before="120" w:after="120" w:line="240" w:lineRule="auto"/>
        <w:jc w:val="both"/>
        <w:rPr>
          <w:rFonts w:cs="Times New Roman"/>
          <w:noProof/>
        </w:rPr>
      </w:pPr>
      <w:r>
        <w:rPr>
          <w:noProof/>
        </w:rPr>
        <w:t>Uudistus 3 (C4.R3) – Kestävä metsänhoito</w:t>
      </w:r>
    </w:p>
    <w:p w14:paraId="5B135FED" w14:textId="77777777" w:rsidR="0065073E" w:rsidRDefault="000A0998">
      <w:pPr>
        <w:pStyle w:val="P68B1DB1-Normal4"/>
        <w:spacing w:before="120" w:after="120" w:line="240" w:lineRule="auto"/>
        <w:jc w:val="both"/>
        <w:rPr>
          <w:rFonts w:cs="Times New Roman"/>
          <w:noProof/>
        </w:rPr>
      </w:pPr>
      <w:r>
        <w:rPr>
          <w:noProof/>
        </w:rPr>
        <w:t xml:space="preserve">Uudistuksella saatetaan ajan tasalle Espanjan vuoden 1999 metsästrategia yhdessä Espanjan metsäsuunnitelman kanssa vuosiksi 2002–2032 ja kehitetään toimenpidepaketti, jolla edistetään metsäalaa ja joka kattaa koko Espanjan metsän: lajien ja alueiden suojelu, tulipalot, omistajuus, kehitys, metsäalueiden ja luonnonvarojen nykytilanne ja suuntaukset. Uudistuksella puututaan sellaisten suurten maaseutualueiden taloudelliseen ja sosiaaliseen elvyttämiseen, joilla on vakavia väestökatoon liittyviä ongelmia, ja se on sovitettava hyvin yhteen Euroopan vihreän kehityksen ohjelman kanssa. </w:t>
      </w:r>
    </w:p>
    <w:p w14:paraId="73FE2331" w14:textId="77777777" w:rsidR="0065073E" w:rsidRDefault="000A0998">
      <w:pPr>
        <w:pStyle w:val="P68B1DB1-Normal4"/>
        <w:spacing w:before="120" w:after="120" w:line="240" w:lineRule="auto"/>
        <w:jc w:val="both"/>
        <w:rPr>
          <w:rFonts w:cs="Times New Roman"/>
          <w:noProof/>
        </w:rPr>
      </w:pPr>
      <w:r>
        <w:rPr>
          <w:noProof/>
        </w:rPr>
        <w:t>Espanjan metsästrategialla on viisi strategista painopistettä:</w:t>
      </w:r>
    </w:p>
    <w:p w14:paraId="014728FC" w14:textId="77777777" w:rsidR="0065073E" w:rsidRDefault="000A0998">
      <w:pPr>
        <w:pStyle w:val="P68B1DB1-Normal4"/>
        <w:numPr>
          <w:ilvl w:val="0"/>
          <w:numId w:val="87"/>
        </w:numPr>
        <w:spacing w:before="120" w:after="160" w:line="240" w:lineRule="auto"/>
        <w:contextualSpacing/>
        <w:jc w:val="both"/>
        <w:rPr>
          <w:rFonts w:cs="Times New Roman"/>
          <w:noProof/>
        </w:rPr>
      </w:pPr>
      <w:r>
        <w:rPr>
          <w:noProof/>
        </w:rPr>
        <w:t>Luonnonperinnön, biologisen monimuotoisuuden ja yhteyksien säilyttäminen ja parantaminen.</w:t>
      </w:r>
    </w:p>
    <w:p w14:paraId="54D6C91C" w14:textId="77777777" w:rsidR="0065073E" w:rsidRDefault="000A0998">
      <w:pPr>
        <w:pStyle w:val="P68B1DB1-Normal4"/>
        <w:numPr>
          <w:ilvl w:val="0"/>
          <w:numId w:val="87"/>
        </w:numPr>
        <w:spacing w:before="120" w:after="160" w:line="240" w:lineRule="auto"/>
        <w:contextualSpacing/>
        <w:jc w:val="both"/>
        <w:rPr>
          <w:rFonts w:cs="Times New Roman"/>
          <w:noProof/>
        </w:rPr>
      </w:pPr>
      <w:r>
        <w:rPr>
          <w:noProof/>
        </w:rPr>
        <w:t xml:space="preserve">Suojelu, terveysturva sekä luonnon- ja ympäristöriskien ehkäisy ja niihin sopeutuminen. </w:t>
      </w:r>
    </w:p>
    <w:p w14:paraId="25D0CC2D" w14:textId="77777777" w:rsidR="0065073E" w:rsidRDefault="000A0998">
      <w:pPr>
        <w:pStyle w:val="P68B1DB1-Normal4"/>
        <w:numPr>
          <w:ilvl w:val="0"/>
          <w:numId w:val="87"/>
        </w:numPr>
        <w:spacing w:before="120" w:after="160" w:line="240" w:lineRule="auto"/>
        <w:contextualSpacing/>
        <w:jc w:val="both"/>
        <w:rPr>
          <w:rFonts w:cs="Times New Roman"/>
          <w:noProof/>
        </w:rPr>
      </w:pPr>
      <w:r>
        <w:rPr>
          <w:noProof/>
        </w:rPr>
        <w:t>Metsäbiotalous: vihreä talous ja työllisyys, metsävarojen käyttöönotto ja metsätalousalan kestävä sosioekonominen kehitys.</w:t>
      </w:r>
    </w:p>
    <w:p w14:paraId="72908E0E" w14:textId="77777777" w:rsidR="0065073E" w:rsidRDefault="000A0998">
      <w:pPr>
        <w:pStyle w:val="P68B1DB1-Normal4"/>
        <w:numPr>
          <w:ilvl w:val="0"/>
          <w:numId w:val="87"/>
        </w:numPr>
        <w:spacing w:before="120" w:after="160" w:line="240" w:lineRule="auto"/>
        <w:contextualSpacing/>
        <w:jc w:val="both"/>
        <w:rPr>
          <w:rFonts w:cs="Times New Roman"/>
          <w:noProof/>
        </w:rPr>
      </w:pPr>
      <w:r>
        <w:rPr>
          <w:noProof/>
        </w:rPr>
        <w:t>Tietämyksen ja metsäkulttuurin kehittäminen ja parantaminen.</w:t>
      </w:r>
    </w:p>
    <w:p w14:paraId="1FBCD1F4" w14:textId="77777777" w:rsidR="0065073E" w:rsidRDefault="000A0998">
      <w:pPr>
        <w:pStyle w:val="P68B1DB1-Normal4"/>
        <w:numPr>
          <w:ilvl w:val="0"/>
          <w:numId w:val="87"/>
        </w:numPr>
        <w:spacing w:before="120" w:after="120" w:line="240" w:lineRule="auto"/>
        <w:ind w:left="357" w:hanging="357"/>
        <w:jc w:val="both"/>
        <w:rPr>
          <w:rFonts w:cs="Times New Roman"/>
          <w:noProof/>
        </w:rPr>
      </w:pPr>
      <w:r>
        <w:rPr>
          <w:noProof/>
        </w:rPr>
        <w:t>Metsähallintomalli: Espanjan metsäpolitiikan sääntely-, hallinto- ja välinekehys.</w:t>
      </w:r>
    </w:p>
    <w:p w14:paraId="394982C6" w14:textId="1E66C333" w:rsidR="0065073E" w:rsidRDefault="000A0998">
      <w:pPr>
        <w:pStyle w:val="P68B1DB1-Normal4"/>
        <w:spacing w:before="120" w:after="120" w:line="240" w:lineRule="auto"/>
        <w:jc w:val="both"/>
        <w:rPr>
          <w:rFonts w:cs="Times New Roman"/>
          <w:noProof/>
        </w:rPr>
      </w:pPr>
      <w:r>
        <w:rPr>
          <w:noProof/>
        </w:rPr>
        <w:t xml:space="preserve">Espanjan metsästrategiassa on kaksi keskeistä välinettä, jotka ovat tarpeen koko metsäalan uudistamiseksi. Ensimmäinen on kestävää metsänhoitoa koskevien suuntaviivojen hyväksyminen. Näissä suuntaviivoissa käsitellään muun muassa biologista monimuotoisuutta, ilmastonmuutosta ja kiertobiotaloutta. Toiseksi Espanjan metsäpalojen hallintaa koskevat strategiset suuntaviivat, joissa vahvistetaan noudatettavat tavoitteet, määritellään työn päälinjat ja yksilöidään yhteiskuntaryhmät, joilla on tietty vastuu. Nämä strategiset suuntaviivat ovat ratkaisevan tärkeitä metsäpalojen hillitsemiseksi ja metsäalan strategisen aseman parantamiseksi ekologisen siirtymän yhteydessä. </w:t>
      </w:r>
    </w:p>
    <w:p w14:paraId="1606FD51" w14:textId="4679A788" w:rsidR="0065073E" w:rsidRDefault="000A0998">
      <w:pPr>
        <w:pStyle w:val="P68B1DB1-Normal4"/>
        <w:spacing w:before="120" w:after="120" w:line="240" w:lineRule="auto"/>
        <w:jc w:val="both"/>
        <w:rPr>
          <w:rFonts w:cs="Times New Roman"/>
          <w:noProof/>
        </w:rPr>
      </w:pPr>
      <w:r>
        <w:rPr>
          <w:noProof/>
        </w:rPr>
        <w:t xml:space="preserve">Uudistuksen täytäntöönpano on saatettava päätökseen 31 päivään joulukuuta 2022 mennessä. </w:t>
      </w:r>
    </w:p>
    <w:p w14:paraId="06E3C4A2" w14:textId="77777777" w:rsidR="0065073E" w:rsidRDefault="000A0998">
      <w:pPr>
        <w:pStyle w:val="P68B1DB1-Normal5"/>
        <w:spacing w:before="120" w:after="120" w:line="240" w:lineRule="auto"/>
        <w:jc w:val="both"/>
        <w:rPr>
          <w:rFonts w:cs="Times New Roman"/>
          <w:noProof/>
        </w:rPr>
      </w:pPr>
      <w:r>
        <w:rPr>
          <w:noProof/>
        </w:rPr>
        <w:t>Investointi 1 (C4.I1) – Luonnonperinnön digitalisointi ja osaaminen</w:t>
      </w:r>
    </w:p>
    <w:p w14:paraId="099D11B9" w14:textId="77777777" w:rsidR="0065073E" w:rsidRDefault="000A0998">
      <w:pPr>
        <w:pStyle w:val="P68B1DB1-Normal4"/>
        <w:spacing w:before="120" w:after="120" w:line="240" w:lineRule="auto"/>
        <w:jc w:val="both"/>
        <w:rPr>
          <w:rFonts w:cs="Times New Roman"/>
          <w:noProof/>
          <w:u w:val="single"/>
        </w:rPr>
      </w:pPr>
      <w:r>
        <w:rPr>
          <w:noProof/>
        </w:rPr>
        <w:t>Investoinnilla perustetaan luonnonperinnön hallinnan, valvonnan ja seurannan digitalisointijärjestelmä, joka kattaa sekä maa- että merialueet. Investoinnilla on parannettava merkittävästi tietoa lajeista ja luontotyypeistä sekä kartoituksessa ja luonnonperinnössä, myös geologisessa ympäristössä. Investoinnissa keskitytään tiedon hankintaan ja hallinnointiin, mukaan lukien seuraavat:</w:t>
      </w:r>
    </w:p>
    <w:p w14:paraId="54D4512D" w14:textId="77777777" w:rsidR="0065073E" w:rsidRDefault="000A0998">
      <w:pPr>
        <w:pStyle w:val="P68B1DB1-Normal4"/>
        <w:numPr>
          <w:ilvl w:val="0"/>
          <w:numId w:val="226"/>
        </w:numPr>
        <w:spacing w:before="120" w:after="160" w:line="240" w:lineRule="auto"/>
        <w:contextualSpacing/>
        <w:jc w:val="both"/>
        <w:rPr>
          <w:rFonts w:cs="Times New Roman"/>
          <w:noProof/>
        </w:rPr>
      </w:pPr>
      <w:r>
        <w:rPr>
          <w:noProof/>
        </w:rPr>
        <w:t xml:space="preserve">Ohjelma, jolla parannetaan tietämystä ja digitalisaatiota luonnon monimuotoisuudesta ja luonnonperinnön hoidosta kansallisella tasolla kehittämällä seurantaverkkoja, ottamalla käyttöön anturit ja käyttämällä kiinteitä ja liikkuvia digitaalisia tiedonhankintajärjestelmiä. </w:t>
      </w:r>
    </w:p>
    <w:p w14:paraId="4CE99295" w14:textId="77777777" w:rsidR="0065073E" w:rsidRDefault="000A0998">
      <w:pPr>
        <w:pStyle w:val="P68B1DB1-Normal4"/>
        <w:numPr>
          <w:ilvl w:val="0"/>
          <w:numId w:val="226"/>
        </w:numPr>
        <w:spacing w:before="120" w:after="120" w:line="240" w:lineRule="auto"/>
        <w:ind w:left="357" w:hanging="357"/>
        <w:jc w:val="both"/>
        <w:rPr>
          <w:rFonts w:cs="Times New Roman"/>
          <w:noProof/>
        </w:rPr>
      </w:pPr>
      <w:r>
        <w:rPr>
          <w:noProof/>
        </w:rPr>
        <w:t xml:space="preserve">Kehitetään kansallisella tasolla tiedonhallintajärjestelmiä tai -foorumeita, joilla on lisää analysointi- ja tiedonlevitysvalmiuksia. </w:t>
      </w:r>
    </w:p>
    <w:p w14:paraId="45010B81" w14:textId="2186FCDB" w:rsidR="0065073E" w:rsidRDefault="000A0998">
      <w:pPr>
        <w:pStyle w:val="P68B1DB1-Normal4"/>
        <w:spacing w:before="120" w:after="120" w:line="240" w:lineRule="auto"/>
        <w:jc w:val="both"/>
        <w:rPr>
          <w:rFonts w:cs="Times New Roman"/>
          <w:noProof/>
        </w:rPr>
      </w:pPr>
      <w:r>
        <w:rPr>
          <w:noProof/>
        </w:rPr>
        <w:t xml:space="preserve">Sammakkoeläinten lentokaluston avioniikkajärjestelmän päivittäminen on käynnistettävä, ja siihen on sisällyttävä sellaisten laitteiden suunnittelu, sertifiointi ja hankinta, joilla ilma-aluksista tehdään turvallisempia ja tehokkaampia palontorjunnassa. 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sammakko-ilma-alusten lentokaluston avioniikkajärjestelmän parantaminen on sisällytettävä ainoastaan olemassa oleviin ilma-aluksiin, eikä se saa lisätä näiden ilma-alusten käyttöikää tai kapasiteettia. Sen on varmistettava turvallisuus ja lento-olosuhteet ainoastaan silloin, kun niitä käytetään metsäpalojen sammuttamiseen. </w:t>
      </w:r>
    </w:p>
    <w:p w14:paraId="08E0D1DD" w14:textId="77777777"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032D8062" w14:textId="77777777" w:rsidR="0065073E" w:rsidRDefault="000A0998">
      <w:pPr>
        <w:pStyle w:val="P68B1DB1-Normal5"/>
        <w:keepNext/>
        <w:spacing w:before="120" w:after="120" w:line="240" w:lineRule="auto"/>
        <w:jc w:val="both"/>
        <w:rPr>
          <w:rFonts w:cs="Times New Roman"/>
          <w:noProof/>
        </w:rPr>
      </w:pPr>
      <w:r>
        <w:rPr>
          <w:noProof/>
        </w:rPr>
        <w:t>Investointi 2 (C4.I2) – Maa- ja merialueiden biologisen monimuotoisuuden säilyttäminen</w:t>
      </w:r>
    </w:p>
    <w:p w14:paraId="099D951E" w14:textId="77777777" w:rsidR="0065073E" w:rsidRDefault="000A0998">
      <w:pPr>
        <w:pStyle w:val="P68B1DB1-Normal4"/>
        <w:keepNext/>
        <w:spacing w:before="120" w:after="120" w:line="240" w:lineRule="auto"/>
        <w:jc w:val="both"/>
        <w:rPr>
          <w:rFonts w:cs="Times New Roman"/>
          <w:noProof/>
        </w:rPr>
      </w:pPr>
      <w:r>
        <w:rPr>
          <w:noProof/>
        </w:rPr>
        <w:t xml:space="preserve">Investointi käsittää joukon suoria investointeja ja avustuslinjoja sekä maa- että meriluonnon monimuotoisuuden säilyttämiseksi. Siihen sisältyy viisi toimintalinjaa, jotka on sovitettava yhteen uudistuksen 1 kanssa: </w:t>
      </w:r>
    </w:p>
    <w:p w14:paraId="28E70048" w14:textId="77777777" w:rsidR="0065073E" w:rsidRDefault="000A0998">
      <w:pPr>
        <w:pStyle w:val="P68B1DB1-Normal4"/>
        <w:numPr>
          <w:ilvl w:val="0"/>
          <w:numId w:val="227"/>
        </w:numPr>
        <w:spacing w:before="120" w:after="160" w:line="240" w:lineRule="auto"/>
        <w:contextualSpacing/>
        <w:jc w:val="both"/>
        <w:rPr>
          <w:rFonts w:cs="Times New Roman"/>
          <w:noProof/>
        </w:rPr>
      </w:pPr>
      <w:r>
        <w:rPr>
          <w:noProof/>
        </w:rPr>
        <w:t xml:space="preserve">Maaperän biologisen monimuotoisuuden säilyttäminen, lajien ja luontotyyppien suojelun tason parantaminen, uhkien ja kuolleisuuden ehkäiseminen sekä toimet haitallisten vieraslajien torjumiseksi ja hävittämiseksi. </w:t>
      </w:r>
    </w:p>
    <w:p w14:paraId="5B4482F1" w14:textId="77777777" w:rsidR="0065073E" w:rsidRDefault="000A0998">
      <w:pPr>
        <w:pStyle w:val="P68B1DB1-Normal4"/>
        <w:numPr>
          <w:ilvl w:val="0"/>
          <w:numId w:val="227"/>
        </w:numPr>
        <w:spacing w:before="120" w:after="160" w:line="240" w:lineRule="auto"/>
        <w:contextualSpacing/>
        <w:jc w:val="both"/>
        <w:rPr>
          <w:rFonts w:cs="Times New Roman"/>
          <w:noProof/>
        </w:rPr>
      </w:pPr>
      <w:r>
        <w:rPr>
          <w:noProof/>
        </w:rPr>
        <w:t xml:space="preserve">Infrastruktuurien parantaminen, mukaan lukien sellaiset toimet kuin luonnonperinnön hoitoon ja tietoisuuden lisäämiseen liittyvien tilojen ja infrastruktuurien tarjoaminen, kunnostaminen ja parantaminen sekä biologisen monimuotoisuuden säilyttämisen merkityksen korostaminen ja levittäminen ihmisten terveydelle ja hyvinvoinnille. </w:t>
      </w:r>
    </w:p>
    <w:p w14:paraId="2BE7436A" w14:textId="529F32E7" w:rsidR="0065073E" w:rsidRDefault="000A0998">
      <w:pPr>
        <w:pStyle w:val="P68B1DB1-Normal4"/>
        <w:numPr>
          <w:ilvl w:val="0"/>
          <w:numId w:val="227"/>
        </w:numPr>
        <w:spacing w:before="120" w:after="160" w:line="240" w:lineRule="auto"/>
        <w:contextualSpacing/>
        <w:jc w:val="both"/>
        <w:rPr>
          <w:rFonts w:cs="Times New Roman"/>
          <w:noProof/>
        </w:rPr>
      </w:pPr>
      <w:r>
        <w:rPr>
          <w:noProof/>
        </w:rPr>
        <w:t xml:space="preserve">Investointi merten biologisen monimuotoisuuden säilyttämiseen, jotta voidaan suojella vähintään 18:aa prosenttia Espanjan merialueesta vuoteen 2025 mennessä.   </w:t>
      </w:r>
    </w:p>
    <w:p w14:paraId="5100FD0E" w14:textId="77777777" w:rsidR="0065073E" w:rsidRDefault="000A0998">
      <w:pPr>
        <w:pStyle w:val="P68B1DB1-Normal4"/>
        <w:numPr>
          <w:ilvl w:val="0"/>
          <w:numId w:val="227"/>
        </w:numPr>
        <w:spacing w:before="120" w:after="160" w:line="240" w:lineRule="auto"/>
        <w:contextualSpacing/>
        <w:jc w:val="both"/>
        <w:rPr>
          <w:rFonts w:cs="Times New Roman"/>
          <w:noProof/>
        </w:rPr>
      </w:pPr>
      <w:r>
        <w:rPr>
          <w:noProof/>
        </w:rPr>
        <w:t xml:space="preserve">Kosteikkojen ennallistaminen toimilla, joilla suojellaan, parannetaan ja ennallistetaan kosteikkoja ja erityisesti niitä, jotka liittyvät uudistuksessa 2 esitettyyn kosteikkojen suojelu- ja ennallistamissuunnitelmaan. </w:t>
      </w:r>
    </w:p>
    <w:p w14:paraId="4D9ABA9A" w14:textId="77777777" w:rsidR="0065073E" w:rsidRDefault="000A0998">
      <w:pPr>
        <w:pStyle w:val="P68B1DB1-Normal4"/>
        <w:numPr>
          <w:ilvl w:val="0"/>
          <w:numId w:val="227"/>
        </w:numPr>
        <w:spacing w:before="120" w:after="120" w:line="240" w:lineRule="auto"/>
        <w:ind w:left="357" w:hanging="357"/>
        <w:jc w:val="both"/>
        <w:rPr>
          <w:rFonts w:cs="Times New Roman"/>
          <w:noProof/>
        </w:rPr>
      </w:pPr>
      <w:r>
        <w:rPr>
          <w:noProof/>
        </w:rPr>
        <w:t xml:space="preserve">Kansainvälisen kaupan valvonta CITES-pelastuskeskusten verkoston parantamiseksi ja lujittamiseksi sekä laittoman kaupan torjuntaa koskevan toimintasuunnitelman vahvistamiseksi. </w:t>
      </w:r>
    </w:p>
    <w:p w14:paraId="066857D4" w14:textId="77777777" w:rsidR="0065073E" w:rsidRDefault="000A0998">
      <w:pPr>
        <w:pStyle w:val="P68B1DB1-Normal4"/>
        <w:spacing w:before="120" w:after="120" w:line="240" w:lineRule="auto"/>
        <w:jc w:val="both"/>
        <w:rPr>
          <w:rFonts w:cs="Times New Roman"/>
          <w:noProof/>
        </w:rPr>
      </w:pPr>
      <w:r>
        <w:rPr>
          <w:noProof/>
        </w:rPr>
        <w:t xml:space="preserve">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erityiskäyttöön tarkoitettujen alusten hankinnan osalta investoinnin valintaperusteilla on varmistettava, että valitaan ainoastaan paras käytettävissä oleva teknologia, jonka ympäristövaikutukset ovat alalla vähäisimmät, ottaen huomioon niiden erityistarkoituksen. </w:t>
      </w:r>
    </w:p>
    <w:p w14:paraId="7C5BBC2A" w14:textId="77777777"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5041CEF8" w14:textId="77777777" w:rsidR="0065073E" w:rsidRDefault="000A0998">
      <w:pPr>
        <w:pStyle w:val="P68B1DB1-Normal5"/>
        <w:spacing w:before="120" w:after="120" w:line="240" w:lineRule="auto"/>
        <w:jc w:val="both"/>
        <w:rPr>
          <w:rFonts w:cs="Times New Roman"/>
          <w:noProof/>
        </w:rPr>
      </w:pPr>
      <w:r>
        <w:rPr>
          <w:noProof/>
        </w:rPr>
        <w:t>Investointi 3 (C4.I3) – Ekosysteemeiden ja vihreän infrastruktuurin ennallistaminen</w:t>
      </w:r>
    </w:p>
    <w:p w14:paraId="067A6342" w14:textId="77777777" w:rsidR="0065073E" w:rsidRDefault="000A0998">
      <w:pPr>
        <w:pStyle w:val="P68B1DB1-Normal4"/>
        <w:spacing w:before="120" w:after="120" w:line="240" w:lineRule="auto"/>
        <w:jc w:val="both"/>
        <w:rPr>
          <w:rFonts w:cs="Times New Roman"/>
          <w:noProof/>
        </w:rPr>
      </w:pPr>
      <w:r>
        <w:rPr>
          <w:noProof/>
        </w:rPr>
        <w:t xml:space="preserve">Investointiin on sisällyttävä joukko toimia, joilla tuetaan uudistuksen 2 täytäntöönpanoa. Tavoitteena on ennallistaa luonnon ekosysteemejä ja alueita, joita kaivostoiminta sekä muut kaupunkiympäristöissä toteutettavat aloitteet, joilla pyritään edistämään kaupunkien yhteyksiä ja kääntämistä. </w:t>
      </w:r>
    </w:p>
    <w:p w14:paraId="0EFA8DBE" w14:textId="77777777" w:rsidR="0065073E" w:rsidRDefault="000A0998">
      <w:pPr>
        <w:pStyle w:val="P68B1DB1-Normal4"/>
        <w:spacing w:before="120" w:after="120" w:line="240" w:lineRule="auto"/>
        <w:jc w:val="both"/>
        <w:rPr>
          <w:rFonts w:cs="Times New Roman"/>
          <w:noProof/>
        </w:rPr>
      </w:pPr>
      <w:r>
        <w:rPr>
          <w:noProof/>
        </w:rPr>
        <w:t xml:space="preserve">Investoinnin tavoitteena on ennallistaa vähintään 30000 hehtaaria luonnon ekosysteemejä. Ennallistamistoimissa on keskityttävä huonontuneisiin alueisiin tai ekosysteemeihin poistamalla keinotekoisia elementtejä, parantamalla maaperää ja morfologiaa sekä palauttamalla kasvillisuus ja kansalaisuus. Kaivostoiminnan osalta investoinnilla on ennallistettava vähintään 30 entistä kaivosaluetta. Entisten kaivosalueiden kunnostamiseen kuuluu maaperän puhdistaminen, morfologian hyödyntäminen ja kasvillisuuden palauttaminen ja kansalaisuuden palauttaminen entisillä kaivosalueilla, jotka eivät enää ole toiminnassa. </w:t>
      </w:r>
    </w:p>
    <w:p w14:paraId="0B8C5AF7" w14:textId="77777777" w:rsidR="0065073E" w:rsidRDefault="000A0998">
      <w:pPr>
        <w:pStyle w:val="P68B1DB1-Normal4"/>
        <w:spacing w:before="120" w:after="120" w:line="240" w:lineRule="auto"/>
        <w:jc w:val="both"/>
        <w:rPr>
          <w:rFonts w:cs="Times New Roman"/>
          <w:noProof/>
        </w:rPr>
      </w:pPr>
      <w:r>
        <w:rPr>
          <w:noProof/>
        </w:rPr>
        <w:t xml:space="preserve">Investoinnilla on myös edistettävä vihreää infrastruktuuria, joka kattaa paikallisviranomaisten tarpeet, mukaan lukien seuraavat: I) kaupunkisuunnittelu- ja elvyttämisstrategiat, joiden tavoitteena on luoda ja uudistaa vihreää ja sinistä infrastruktuuria ja vapauttaa kaupunkialueita biologisen monimuotoisuuden, maaperän läpäisevyyden ja luonnollisten yhteyksien lisäämiseksi kaupungeissa; II) toimet ja hankkeet, jotka koskevat hallinto- ja osallistumisprosesseja, viheralueiden ja sinisten alueiden hallintaa sekä kaupunkien aineenvaihduntahankkeita, jotka liittyvät biologiseen monimuotoisuuteen; ja iii) tuki kaupunkisuunnittelun laitteistoille ja infrastruktuurihankkeille. </w:t>
      </w:r>
    </w:p>
    <w:p w14:paraId="3B8A491A"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6B3AF97C" w14:textId="77777777" w:rsidR="0065073E" w:rsidRDefault="000A0998">
      <w:pPr>
        <w:pStyle w:val="P68B1DB1-Normal5"/>
        <w:spacing w:before="120" w:after="120" w:line="240" w:lineRule="auto"/>
        <w:jc w:val="both"/>
        <w:rPr>
          <w:rFonts w:cs="Times New Roman"/>
          <w:noProof/>
        </w:rPr>
      </w:pPr>
      <w:r>
        <w:rPr>
          <w:noProof/>
        </w:rPr>
        <w:t>C4.I4 Kestävä metsänhoito</w:t>
      </w:r>
    </w:p>
    <w:p w14:paraId="69ABB971" w14:textId="77777777" w:rsidR="0065073E" w:rsidRDefault="000A0998">
      <w:pPr>
        <w:pStyle w:val="P68B1DB1-Normal4"/>
        <w:spacing w:before="120" w:after="120" w:line="240" w:lineRule="auto"/>
        <w:jc w:val="both"/>
        <w:rPr>
          <w:rFonts w:cs="Times New Roman"/>
          <w:noProof/>
        </w:rPr>
      </w:pPr>
      <w:r>
        <w:rPr>
          <w:noProof/>
        </w:rPr>
        <w:t xml:space="preserve">Investointi käsittää investoinnit kestävään metsänhoitoon: </w:t>
      </w:r>
    </w:p>
    <w:p w14:paraId="2788BBF5" w14:textId="77777777" w:rsidR="0065073E" w:rsidRDefault="000A0998">
      <w:pPr>
        <w:pStyle w:val="P68B1DB1-Normal4"/>
        <w:numPr>
          <w:ilvl w:val="0"/>
          <w:numId w:val="228"/>
        </w:numPr>
        <w:spacing w:before="120" w:after="160" w:line="240" w:lineRule="auto"/>
        <w:contextualSpacing/>
        <w:jc w:val="both"/>
        <w:rPr>
          <w:rFonts w:cs="Times New Roman"/>
          <w:noProof/>
        </w:rPr>
      </w:pPr>
      <w:r>
        <w:rPr>
          <w:noProof/>
        </w:rPr>
        <w:t xml:space="preserve">Toimet, joilla parannetaan metsänhoitoa metsäpalojen torjunnan ja muiden metsänhoitotoimenpiteiden osalta; tekninen tuki metsänomistajille ja -hallinnolle julkisen omistuksen vahvistamiseksi; metsänhoitosuunnitelmat biologisen monimuotoisuuden ja metsien kestävän käytön edistämiseksi. </w:t>
      </w:r>
    </w:p>
    <w:p w14:paraId="397F3A18" w14:textId="77777777" w:rsidR="0065073E" w:rsidRDefault="000A0998">
      <w:pPr>
        <w:pStyle w:val="P68B1DB1-Normal4"/>
        <w:numPr>
          <w:ilvl w:val="0"/>
          <w:numId w:val="228"/>
        </w:numPr>
        <w:spacing w:before="120" w:after="160" w:line="240" w:lineRule="auto"/>
        <w:contextualSpacing/>
        <w:jc w:val="both"/>
        <w:rPr>
          <w:rFonts w:cs="Times New Roman"/>
          <w:noProof/>
        </w:rPr>
      </w:pPr>
      <w:r>
        <w:rPr>
          <w:noProof/>
        </w:rPr>
        <w:t xml:space="preserve">Toimet, joilla suojellaan ilmastonmuutosta ja sopeudutaan siihen, mukaan lukien vähintään 100 erityisen palontorjuntakaluston uusiminen, palokunnan tukikohta ja edistyminen metsänparannustoimissa. </w:t>
      </w:r>
    </w:p>
    <w:p w14:paraId="2D9AEB0F" w14:textId="77777777" w:rsidR="0065073E" w:rsidRDefault="000A0998">
      <w:pPr>
        <w:pStyle w:val="P68B1DB1-Normal4"/>
        <w:numPr>
          <w:ilvl w:val="0"/>
          <w:numId w:val="228"/>
        </w:numPr>
        <w:spacing w:before="120" w:after="120" w:line="240" w:lineRule="auto"/>
        <w:ind w:left="357" w:hanging="357"/>
        <w:jc w:val="both"/>
        <w:rPr>
          <w:rFonts w:cs="Times New Roman"/>
          <w:noProof/>
        </w:rPr>
      </w:pPr>
      <w:r>
        <w:rPr>
          <w:noProof/>
        </w:rPr>
        <w:t xml:space="preserve">Eräillä toimilla tuetaan metsäalaa keskeisenä voimavarana väestöhaasteeseen vastaamisessa keskittyen erityisesti vihreään yrittäjyyteen ja paikalliseen biotalouteen. Tähän investoinnin osaan on sisällyttävä paikallisviranomaisille ja muille julkisille ja yksityisille toimijoille myönnettäviä avustuksia, joilla edistetään metsäalan ja sen teollisuuden kilpailukykyä, yrittäjyyttä ja kestävyyttä. Näissä toimissa keskitytään erityisesti vihreiden työpaikkojen luomiseen, erityisesti tukemalla naisten ja nuorten osallistumista metsäalaan ja vihreää yrittäjyyttä. </w:t>
      </w:r>
    </w:p>
    <w:p w14:paraId="73F7F758" w14:textId="260265BE" w:rsidR="0065073E" w:rsidRDefault="000A0998">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Toimenpiteellä on erityisesti nimenomaisesti estettävä ja suljettava pois monokulttuuriviljelmien, erityisesti eukalyptuksen, tukeminen vesistressin ja paloriskien minimoimiseksi. Palontorjuntakaluston hankinnassa tuetaan ainoastaan parasta käytettävissä olevaa teknologiaa, jolla on vähiten ympäristövaikutuksia alalla, ottaen huomioon niiden erityistarkoitus.</w:t>
      </w:r>
    </w:p>
    <w:p w14:paraId="1D7B6836"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2E997092"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D.2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4293400D" w14:textId="6A5C7FA0"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144A5D23"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829"/>
        <w:gridCol w:w="966"/>
        <w:gridCol w:w="2068"/>
        <w:gridCol w:w="1242"/>
        <w:gridCol w:w="828"/>
        <w:gridCol w:w="966"/>
        <w:gridCol w:w="691"/>
        <w:gridCol w:w="415"/>
        <w:gridCol w:w="553"/>
        <w:gridCol w:w="5924"/>
      </w:tblGrid>
      <w:tr w:rsidR="0065073E" w14:paraId="38A1D4BF" w14:textId="77777777">
        <w:trPr>
          <w:trHeight w:val="309"/>
          <w:tblHeader/>
        </w:trPr>
        <w:tc>
          <w:tcPr>
            <w:tcW w:w="851" w:type="dxa"/>
            <w:tcBorders>
              <w:bottom w:val="nil"/>
            </w:tcBorders>
            <w:shd w:val="clear" w:color="auto" w:fill="C6D9F1" w:themeFill="text2" w:themeFillTint="33"/>
            <w:noWrap/>
            <w:vAlign w:val="center"/>
          </w:tcPr>
          <w:p w14:paraId="4EA0688D"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37349FCC" w14:textId="77777777" w:rsidR="0065073E" w:rsidRDefault="000A0998">
            <w:pPr>
              <w:pStyle w:val="P68B1DB1-Normal8"/>
              <w:spacing w:after="0" w:line="240" w:lineRule="auto"/>
              <w:jc w:val="center"/>
              <w:rPr>
                <w:rFonts w:cs="Times New Roman"/>
                <w:noProof/>
              </w:rPr>
            </w:pPr>
            <w:r>
              <w:rPr>
                <w:noProof/>
              </w:rPr>
              <w:t>Toimenpide</w:t>
            </w:r>
          </w:p>
        </w:tc>
        <w:tc>
          <w:tcPr>
            <w:tcW w:w="992" w:type="dxa"/>
            <w:tcBorders>
              <w:bottom w:val="nil"/>
            </w:tcBorders>
            <w:shd w:val="clear" w:color="auto" w:fill="C6D9F1" w:themeFill="text2" w:themeFillTint="33"/>
            <w:noWrap/>
            <w:vAlign w:val="center"/>
          </w:tcPr>
          <w:p w14:paraId="1C39CEE4"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126" w:type="dxa"/>
            <w:tcBorders>
              <w:bottom w:val="nil"/>
            </w:tcBorders>
            <w:shd w:val="clear" w:color="auto" w:fill="C6D9F1" w:themeFill="text2" w:themeFillTint="33"/>
            <w:noWrap/>
            <w:vAlign w:val="center"/>
          </w:tcPr>
          <w:p w14:paraId="44BD188F" w14:textId="77777777" w:rsidR="0065073E" w:rsidRDefault="000A0998">
            <w:pPr>
              <w:pStyle w:val="P68B1DB1-Normal8"/>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4E2A6197"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37FB5AFD"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307F8153" w14:textId="77777777" w:rsidR="0065073E" w:rsidRDefault="000A0998">
            <w:pPr>
              <w:pStyle w:val="P68B1DB1-Normal8"/>
              <w:spacing w:after="0" w:line="240" w:lineRule="auto"/>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376C7589"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7E72A50" w14:textId="77777777">
        <w:trPr>
          <w:trHeight w:val="309"/>
          <w:tblHeader/>
        </w:trPr>
        <w:tc>
          <w:tcPr>
            <w:tcW w:w="851" w:type="dxa"/>
            <w:tcBorders>
              <w:top w:val="nil"/>
            </w:tcBorders>
            <w:shd w:val="clear" w:color="auto" w:fill="C6D9F1" w:themeFill="text2" w:themeFillTint="33"/>
            <w:noWrap/>
          </w:tcPr>
          <w:p w14:paraId="738610EB"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37805D2" w14:textId="77777777" w:rsidR="0065073E" w:rsidRDefault="0065073E">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63F29E8" w14:textId="77777777" w:rsidR="0065073E" w:rsidRDefault="0065073E">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3B7B4B86" w14:textId="77777777" w:rsidR="0065073E" w:rsidRDefault="0065073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3A0FF5F2"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E5A4947"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vAlign w:val="center"/>
          </w:tcPr>
          <w:p w14:paraId="123CDAE8" w14:textId="7A6723C7" w:rsidR="0065073E" w:rsidRDefault="000A0998">
            <w:pPr>
              <w:pStyle w:val="P68B1DB1-Normal8"/>
              <w:spacing w:after="0" w:line="240" w:lineRule="auto"/>
              <w:jc w:val="center"/>
              <w:rPr>
                <w:rFonts w:cs="Times New Roman"/>
                <w:noProof/>
              </w:rPr>
            </w:pPr>
            <w:r>
              <w:rPr>
                <w:noProof/>
              </w:rPr>
              <w:t>Lähtötaso</w:t>
            </w:r>
          </w:p>
        </w:tc>
        <w:tc>
          <w:tcPr>
            <w:tcW w:w="709" w:type="dxa"/>
            <w:shd w:val="clear" w:color="auto" w:fill="C6D9F1" w:themeFill="text2" w:themeFillTint="33"/>
            <w:noWrap/>
            <w:vAlign w:val="center"/>
          </w:tcPr>
          <w:p w14:paraId="44FCF72C" w14:textId="77777777" w:rsidR="0065073E" w:rsidRDefault="000A0998">
            <w:pPr>
              <w:pStyle w:val="P68B1DB1-Normal8"/>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57EEC46D"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07C5301E" w14:textId="77777777" w:rsidR="0065073E" w:rsidRDefault="000A0998">
            <w:pPr>
              <w:pStyle w:val="P68B1DB1-Normal8"/>
              <w:spacing w:after="0" w:line="240" w:lineRule="auto"/>
              <w:jc w:val="center"/>
              <w:rPr>
                <w:rFonts w:cs="Times New Roman"/>
                <w:noProof/>
              </w:rPr>
            </w:pPr>
            <w:r>
              <w:rPr>
                <w:noProof/>
              </w:rPr>
              <w:t>Vuosi</w:t>
            </w:r>
          </w:p>
        </w:tc>
        <w:tc>
          <w:tcPr>
            <w:tcW w:w="6096" w:type="dxa"/>
            <w:tcBorders>
              <w:top w:val="nil"/>
            </w:tcBorders>
            <w:shd w:val="clear" w:color="auto" w:fill="C6D9F1" w:themeFill="text2" w:themeFillTint="33"/>
            <w:noWrap/>
          </w:tcPr>
          <w:p w14:paraId="5630AD66" w14:textId="77777777" w:rsidR="0065073E" w:rsidRDefault="0065073E">
            <w:pPr>
              <w:spacing w:after="0" w:line="240" w:lineRule="auto"/>
              <w:rPr>
                <w:rFonts w:ascii="Times New Roman" w:hAnsi="Times New Roman" w:cs="Times New Roman"/>
                <w:b/>
                <w:noProof/>
                <w:sz w:val="18"/>
              </w:rPr>
            </w:pPr>
          </w:p>
        </w:tc>
      </w:tr>
      <w:tr w:rsidR="0065073E" w14:paraId="0889AFF1" w14:textId="77777777">
        <w:trPr>
          <w:trHeight w:val="309"/>
        </w:trPr>
        <w:tc>
          <w:tcPr>
            <w:tcW w:w="851" w:type="dxa"/>
            <w:shd w:val="clear" w:color="auto" w:fill="C6EFCE"/>
            <w:noWrap/>
          </w:tcPr>
          <w:p w14:paraId="04C1D538" w14:textId="77777777" w:rsidR="0065073E" w:rsidRDefault="000A0998">
            <w:pPr>
              <w:pStyle w:val="P68B1DB1-Normal12"/>
              <w:spacing w:after="0" w:line="240" w:lineRule="auto"/>
              <w:jc w:val="center"/>
              <w:rPr>
                <w:rFonts w:eastAsia="MS Mincho" w:cs="Times New Roman"/>
                <w:noProof/>
              </w:rPr>
            </w:pPr>
            <w:r>
              <w:rPr>
                <w:noProof/>
              </w:rPr>
              <w:t>62</w:t>
            </w:r>
          </w:p>
        </w:tc>
        <w:tc>
          <w:tcPr>
            <w:tcW w:w="851" w:type="dxa"/>
            <w:shd w:val="clear" w:color="auto" w:fill="C6EFCE"/>
            <w:noWrap/>
          </w:tcPr>
          <w:p w14:paraId="454EEF67" w14:textId="77777777" w:rsidR="0065073E" w:rsidRDefault="000A0998">
            <w:pPr>
              <w:pStyle w:val="P68B1DB1-Normal12"/>
              <w:spacing w:after="0" w:line="240" w:lineRule="auto"/>
              <w:jc w:val="center"/>
              <w:rPr>
                <w:rFonts w:eastAsia="MS Mincho" w:cs="Times New Roman"/>
                <w:noProof/>
              </w:rPr>
            </w:pPr>
            <w:r>
              <w:rPr>
                <w:noProof/>
              </w:rPr>
              <w:t>C4.R1</w:t>
            </w:r>
          </w:p>
        </w:tc>
        <w:tc>
          <w:tcPr>
            <w:tcW w:w="992" w:type="dxa"/>
            <w:shd w:val="clear" w:color="auto" w:fill="C6EFCE"/>
            <w:noWrap/>
          </w:tcPr>
          <w:p w14:paraId="2B9DE707" w14:textId="77777777"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02923C49" w14:textId="77777777" w:rsidR="0065073E" w:rsidRDefault="000A0998">
            <w:pPr>
              <w:pStyle w:val="P68B1DB1-Normal12"/>
              <w:spacing w:after="0" w:line="240" w:lineRule="auto"/>
              <w:rPr>
                <w:rFonts w:eastAsia="MS Mincho" w:cs="Times New Roman"/>
                <w:noProof/>
              </w:rPr>
            </w:pPr>
            <w:r>
              <w:rPr>
                <w:noProof/>
              </w:rPr>
              <w:t xml:space="preserve">Luonnonperintöä ja luonnon monimuotoisuutta koskeva strateginen suunnitelma ja suojeltujen merialueiden verkostoa koskeva suunnitelma </w:t>
            </w:r>
          </w:p>
        </w:tc>
        <w:tc>
          <w:tcPr>
            <w:tcW w:w="1276" w:type="dxa"/>
            <w:shd w:val="clear" w:color="auto" w:fill="C6EFCE"/>
            <w:noWrap/>
          </w:tcPr>
          <w:p w14:paraId="6964E4DC" w14:textId="77777777" w:rsidR="0065073E" w:rsidRDefault="000A0998">
            <w:pPr>
              <w:pStyle w:val="P68B1DB1-Normal12"/>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7BFC34AB"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2CA4ECA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09" w:type="dxa"/>
            <w:shd w:val="clear" w:color="auto" w:fill="C6EFCE"/>
            <w:noWrap/>
          </w:tcPr>
          <w:p w14:paraId="157D6B2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654DB9FF"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09F1A918" w14:textId="77777777" w:rsidR="0065073E" w:rsidRDefault="000A0998">
            <w:pPr>
              <w:pStyle w:val="P68B1DB1-Normal12"/>
              <w:spacing w:after="0" w:line="240" w:lineRule="auto"/>
              <w:jc w:val="center"/>
              <w:rPr>
                <w:rFonts w:eastAsia="MS Mincho" w:cs="Times New Roman"/>
                <w:noProof/>
              </w:rPr>
            </w:pPr>
            <w:r>
              <w:rPr>
                <w:noProof/>
              </w:rPr>
              <w:t>2022</w:t>
            </w:r>
          </w:p>
        </w:tc>
        <w:tc>
          <w:tcPr>
            <w:tcW w:w="6096" w:type="dxa"/>
            <w:shd w:val="clear" w:color="auto" w:fill="C6EFCE"/>
            <w:noWrap/>
          </w:tcPr>
          <w:p w14:paraId="65F86F5F" w14:textId="691C0D8B" w:rsidR="0065073E" w:rsidRDefault="000A0998">
            <w:pPr>
              <w:pStyle w:val="P68B1DB1-Normal12"/>
              <w:spacing w:after="0" w:line="240" w:lineRule="auto"/>
              <w:rPr>
                <w:rFonts w:eastAsia="MS Mincho" w:cs="Times New Roman"/>
                <w:noProof/>
              </w:rPr>
            </w:pPr>
            <w:r>
              <w:rPr>
                <w:noProof/>
              </w:rPr>
              <w:t>Luonnonperintöä ja luonnon monimuotoisuutta koskevan strategisen suunnitelman (kuninkaallinen asetus) ja suojeltujen merialueiden verkostoa koskevan suunnitelman (kuninkaallinen asetus) hyväksyminen, mukaan lukien vähintään yhdeksän merien hoitoperustan perustaminen, iii) luonnon monimuotoisuutta, tiedettä ja tietämystä koskeva strategia, iv) kansallinen strategia pölyttäjien suojelemiseksi, v) sääntely viranomaisten sekä hallinto- ja tieteellisten elinten päivittämiseksi luonnonvaraisen eläimistön ja kasviston uhanalaisten lajien kansainvälistä kauppaa koskevan yleissopimuksen ja vi) kosteikkojen suojelu- ja ennallistamissuunnitelman mukaisesti.</w:t>
            </w:r>
          </w:p>
        </w:tc>
      </w:tr>
      <w:tr w:rsidR="0065073E" w14:paraId="21F03F8F" w14:textId="77777777">
        <w:trPr>
          <w:trHeight w:val="309"/>
        </w:trPr>
        <w:tc>
          <w:tcPr>
            <w:tcW w:w="851" w:type="dxa"/>
            <w:shd w:val="clear" w:color="auto" w:fill="C6EFCE"/>
            <w:noWrap/>
          </w:tcPr>
          <w:p w14:paraId="43028211" w14:textId="77777777" w:rsidR="0065073E" w:rsidRDefault="000A0998">
            <w:pPr>
              <w:pStyle w:val="P68B1DB1-Normal12"/>
              <w:spacing w:after="0" w:line="240" w:lineRule="auto"/>
              <w:jc w:val="center"/>
              <w:rPr>
                <w:rFonts w:eastAsia="MS Mincho" w:cs="Times New Roman"/>
                <w:noProof/>
              </w:rPr>
            </w:pPr>
            <w:r>
              <w:rPr>
                <w:noProof/>
              </w:rPr>
              <w:t>63</w:t>
            </w:r>
          </w:p>
        </w:tc>
        <w:tc>
          <w:tcPr>
            <w:tcW w:w="851" w:type="dxa"/>
            <w:shd w:val="clear" w:color="auto" w:fill="C6EFCE"/>
            <w:noWrap/>
          </w:tcPr>
          <w:p w14:paraId="6A6470C9" w14:textId="77777777" w:rsidR="0065073E" w:rsidRDefault="000A0998">
            <w:pPr>
              <w:pStyle w:val="P68B1DB1-Normal12"/>
              <w:spacing w:after="0" w:line="240" w:lineRule="auto"/>
              <w:jc w:val="center"/>
              <w:rPr>
                <w:rFonts w:eastAsia="MS Mincho" w:cs="Times New Roman"/>
                <w:noProof/>
              </w:rPr>
            </w:pPr>
            <w:r>
              <w:rPr>
                <w:noProof/>
              </w:rPr>
              <w:t>C4.R2</w:t>
            </w:r>
          </w:p>
        </w:tc>
        <w:tc>
          <w:tcPr>
            <w:tcW w:w="992" w:type="dxa"/>
            <w:shd w:val="clear" w:color="auto" w:fill="C6EFCE"/>
            <w:noWrap/>
          </w:tcPr>
          <w:p w14:paraId="3E638E00" w14:textId="77777777"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24215B88" w14:textId="77777777" w:rsidR="0065073E" w:rsidRDefault="000A0998">
            <w:pPr>
              <w:pStyle w:val="P68B1DB1-Normal12"/>
              <w:spacing w:after="0" w:line="240" w:lineRule="auto"/>
              <w:rPr>
                <w:rFonts w:eastAsia="MS Mincho" w:cs="Times New Roman"/>
                <w:noProof/>
              </w:rPr>
            </w:pPr>
            <w:r>
              <w:rPr>
                <w:noProof/>
              </w:rPr>
              <w:t>Vihreää infrastruktuuria, yhteyksiä ja ekologista ennallistamista koskevan kansallisen strategian hyväksyminen</w:t>
            </w:r>
          </w:p>
        </w:tc>
        <w:tc>
          <w:tcPr>
            <w:tcW w:w="1276" w:type="dxa"/>
            <w:shd w:val="clear" w:color="auto" w:fill="C6EFCE"/>
            <w:noWrap/>
          </w:tcPr>
          <w:p w14:paraId="2B5B2E57" w14:textId="77777777" w:rsidR="0065073E" w:rsidRDefault="000A0998">
            <w:pPr>
              <w:pStyle w:val="P68B1DB1-Normal12"/>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1159625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06ED1C03"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09" w:type="dxa"/>
            <w:shd w:val="clear" w:color="auto" w:fill="C6EFCE"/>
            <w:noWrap/>
          </w:tcPr>
          <w:p w14:paraId="707D7BCF"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372F91B2"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007151C5" w14:textId="77777777" w:rsidR="0065073E" w:rsidRDefault="000A0998">
            <w:pPr>
              <w:pStyle w:val="P68B1DB1-Normal12"/>
              <w:spacing w:after="0" w:line="240" w:lineRule="auto"/>
              <w:jc w:val="center"/>
              <w:rPr>
                <w:rFonts w:eastAsia="MS Mincho" w:cs="Times New Roman"/>
                <w:noProof/>
              </w:rPr>
            </w:pPr>
            <w:r>
              <w:rPr>
                <w:noProof/>
              </w:rPr>
              <w:t>2021</w:t>
            </w:r>
          </w:p>
        </w:tc>
        <w:tc>
          <w:tcPr>
            <w:tcW w:w="6096" w:type="dxa"/>
            <w:shd w:val="clear" w:color="auto" w:fill="C6EFCE"/>
            <w:noWrap/>
          </w:tcPr>
          <w:p w14:paraId="09DF981C" w14:textId="77777777" w:rsidR="0065073E" w:rsidRDefault="000A0998">
            <w:pPr>
              <w:pStyle w:val="P68B1DB1-Normal12"/>
              <w:spacing w:after="0" w:line="240" w:lineRule="auto"/>
              <w:rPr>
                <w:rFonts w:eastAsia="MS Mincho" w:cs="Times New Roman"/>
                <w:noProof/>
              </w:rPr>
            </w:pPr>
            <w:r>
              <w:rPr>
                <w:noProof/>
              </w:rPr>
              <w:t>Vihreän infrastruktuurin, yhteenliitettävyyden ja ekologisen ennallistamisen kansallisen strategian hyväksyminen. Strategiaan on sisällyttävä toimintalinjoja, joilla pyritään I) ekologisten yhteyksien hajanaisuuden ja häviämisen vaikutusten vähentäminen; II) ekosysteemien ennallistaminen keskeisillä alueilla; III) ekosysteemipalvelujen tarjonnan ylläpitäminen ja parantaminen; IV) häiriönsietokyvyn parantaminen; v) hallintomallin määrittely; ja vi) viestintä, koulutus ja sidosryhmien osallistuminen.</w:t>
            </w:r>
          </w:p>
        </w:tc>
      </w:tr>
      <w:tr w:rsidR="0065073E" w14:paraId="76603375" w14:textId="77777777">
        <w:trPr>
          <w:trHeight w:val="309"/>
        </w:trPr>
        <w:tc>
          <w:tcPr>
            <w:tcW w:w="851" w:type="dxa"/>
            <w:shd w:val="clear" w:color="auto" w:fill="C6EFCE"/>
            <w:noWrap/>
          </w:tcPr>
          <w:p w14:paraId="55440C04" w14:textId="77777777" w:rsidR="0065073E" w:rsidRDefault="000A0998">
            <w:pPr>
              <w:pStyle w:val="P68B1DB1-Normal12"/>
              <w:spacing w:after="0" w:line="240" w:lineRule="auto"/>
              <w:jc w:val="center"/>
              <w:rPr>
                <w:rFonts w:eastAsia="MS Mincho" w:cs="Times New Roman"/>
                <w:noProof/>
              </w:rPr>
            </w:pPr>
            <w:r>
              <w:rPr>
                <w:noProof/>
              </w:rPr>
              <w:t>64</w:t>
            </w:r>
          </w:p>
        </w:tc>
        <w:tc>
          <w:tcPr>
            <w:tcW w:w="851" w:type="dxa"/>
            <w:shd w:val="clear" w:color="auto" w:fill="C6EFCE"/>
            <w:noWrap/>
          </w:tcPr>
          <w:p w14:paraId="54F57C4C" w14:textId="77777777" w:rsidR="0065073E" w:rsidRDefault="000A0998">
            <w:pPr>
              <w:pStyle w:val="P68B1DB1-Normal12"/>
              <w:spacing w:after="0" w:line="240" w:lineRule="auto"/>
              <w:jc w:val="center"/>
              <w:rPr>
                <w:rFonts w:eastAsia="MS Mincho" w:cs="Times New Roman"/>
                <w:noProof/>
              </w:rPr>
            </w:pPr>
            <w:r>
              <w:rPr>
                <w:noProof/>
              </w:rPr>
              <w:t>C4.R3</w:t>
            </w:r>
          </w:p>
        </w:tc>
        <w:tc>
          <w:tcPr>
            <w:tcW w:w="992" w:type="dxa"/>
            <w:shd w:val="clear" w:color="auto" w:fill="C6EFCE"/>
            <w:noWrap/>
          </w:tcPr>
          <w:p w14:paraId="7CBC6735" w14:textId="77777777"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3C25E92A" w14:textId="77777777" w:rsidR="0065073E" w:rsidRDefault="000A0998">
            <w:pPr>
              <w:pStyle w:val="P68B1DB1-Normal12"/>
              <w:spacing w:after="0" w:line="240" w:lineRule="auto"/>
              <w:rPr>
                <w:rFonts w:eastAsia="MS Mincho" w:cs="Times New Roman"/>
                <w:noProof/>
              </w:rPr>
            </w:pPr>
            <w:r>
              <w:rPr>
                <w:noProof/>
              </w:rPr>
              <w:t>Espanjan metsästrategian ja -tukisuunnitelman hyväksyminen</w:t>
            </w:r>
          </w:p>
        </w:tc>
        <w:tc>
          <w:tcPr>
            <w:tcW w:w="1276" w:type="dxa"/>
            <w:shd w:val="clear" w:color="auto" w:fill="C6EFCE"/>
            <w:noWrap/>
          </w:tcPr>
          <w:p w14:paraId="5908B21B" w14:textId="77777777" w:rsidR="0065073E" w:rsidRDefault="000A0998">
            <w:pPr>
              <w:pStyle w:val="P68B1DB1-Normal12"/>
              <w:spacing w:after="0" w:line="240" w:lineRule="auto"/>
              <w:jc w:val="center"/>
              <w:rPr>
                <w:rFonts w:eastAsia="MS Mincho" w:cs="Times New Roman"/>
                <w:noProof/>
              </w:rPr>
            </w:pPr>
            <w:r>
              <w:rPr>
                <w:noProof/>
              </w:rPr>
              <w:t>Julkaiseminen Euroopan unionin virallisessa lehdessä</w:t>
            </w:r>
          </w:p>
        </w:tc>
        <w:tc>
          <w:tcPr>
            <w:tcW w:w="850" w:type="dxa"/>
            <w:shd w:val="clear" w:color="auto" w:fill="C6EFCE"/>
            <w:noWrap/>
          </w:tcPr>
          <w:p w14:paraId="2A47D51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15E48944"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09" w:type="dxa"/>
            <w:shd w:val="clear" w:color="auto" w:fill="C6EFCE"/>
            <w:noWrap/>
          </w:tcPr>
          <w:p w14:paraId="0A4E68ED"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686F1C1C"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2C8BB7A9" w14:textId="77777777" w:rsidR="0065073E" w:rsidRDefault="000A0998">
            <w:pPr>
              <w:pStyle w:val="P68B1DB1-Normal12"/>
              <w:spacing w:after="0" w:line="240" w:lineRule="auto"/>
              <w:jc w:val="center"/>
              <w:rPr>
                <w:rFonts w:eastAsia="MS Mincho" w:cs="Times New Roman"/>
                <w:noProof/>
              </w:rPr>
            </w:pPr>
            <w:r>
              <w:rPr>
                <w:noProof/>
              </w:rPr>
              <w:t>2022</w:t>
            </w:r>
          </w:p>
        </w:tc>
        <w:tc>
          <w:tcPr>
            <w:tcW w:w="6096" w:type="dxa"/>
            <w:shd w:val="clear" w:color="auto" w:fill="C6EFCE"/>
            <w:noWrap/>
          </w:tcPr>
          <w:p w14:paraId="6E970EA2" w14:textId="77777777" w:rsidR="0065073E" w:rsidRDefault="000A0998">
            <w:pPr>
              <w:pStyle w:val="P68B1DB1-Normal12"/>
              <w:spacing w:after="0" w:line="240" w:lineRule="auto"/>
              <w:rPr>
                <w:rFonts w:eastAsia="MS Mincho" w:cs="Times New Roman"/>
                <w:noProof/>
              </w:rPr>
            </w:pPr>
            <w:r>
              <w:rPr>
                <w:noProof/>
              </w:rPr>
              <w:t>Hyväksytään Espanjan metsästrategia ja -tukisuunnitelma, johon sisältyy kestävän metsänhoidon suuntaviivoja.</w:t>
            </w:r>
          </w:p>
        </w:tc>
      </w:tr>
      <w:tr w:rsidR="0065073E" w14:paraId="4C4C7EFD" w14:textId="77777777">
        <w:trPr>
          <w:trHeight w:val="309"/>
        </w:trPr>
        <w:tc>
          <w:tcPr>
            <w:tcW w:w="851" w:type="dxa"/>
            <w:shd w:val="clear" w:color="auto" w:fill="C6EFCE"/>
            <w:noWrap/>
          </w:tcPr>
          <w:p w14:paraId="46DE38F6" w14:textId="77777777" w:rsidR="0065073E" w:rsidRDefault="000A0998">
            <w:pPr>
              <w:pStyle w:val="P68B1DB1-Normal12"/>
              <w:spacing w:after="0" w:line="240" w:lineRule="auto"/>
              <w:jc w:val="center"/>
              <w:rPr>
                <w:rFonts w:eastAsia="MS Mincho" w:cs="Times New Roman"/>
                <w:noProof/>
              </w:rPr>
            </w:pPr>
            <w:r>
              <w:rPr>
                <w:noProof/>
              </w:rPr>
              <w:t>65</w:t>
            </w:r>
          </w:p>
        </w:tc>
        <w:tc>
          <w:tcPr>
            <w:tcW w:w="851" w:type="dxa"/>
            <w:shd w:val="clear" w:color="auto" w:fill="C6EFCE"/>
            <w:noWrap/>
          </w:tcPr>
          <w:p w14:paraId="4DB89285" w14:textId="77777777" w:rsidR="0065073E" w:rsidRDefault="000A0998">
            <w:pPr>
              <w:pStyle w:val="P68B1DB1-Normal12"/>
              <w:spacing w:after="0" w:line="240" w:lineRule="auto"/>
              <w:jc w:val="center"/>
              <w:rPr>
                <w:rFonts w:eastAsia="MS Mincho" w:cs="Times New Roman"/>
                <w:noProof/>
              </w:rPr>
            </w:pPr>
            <w:r>
              <w:rPr>
                <w:noProof/>
              </w:rPr>
              <w:t>C4.I1</w:t>
            </w:r>
          </w:p>
        </w:tc>
        <w:tc>
          <w:tcPr>
            <w:tcW w:w="992" w:type="dxa"/>
            <w:shd w:val="clear" w:color="auto" w:fill="C6EFCE"/>
            <w:noWrap/>
          </w:tcPr>
          <w:p w14:paraId="497BDA4B" w14:textId="77777777"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043BD904" w14:textId="77777777" w:rsidR="0065073E" w:rsidRDefault="000A0998">
            <w:pPr>
              <w:pStyle w:val="P68B1DB1-Normal12"/>
              <w:spacing w:after="0" w:line="240" w:lineRule="auto"/>
              <w:rPr>
                <w:rFonts w:eastAsia="MS Mincho" w:cs="Times New Roman"/>
                <w:noProof/>
              </w:rPr>
            </w:pPr>
            <w:r>
              <w:rPr>
                <w:noProof/>
              </w:rPr>
              <w:t>Palontorjuntaan tarkoitettuja erikoislentokoneita koskevien hankintasopimusten tekeminen ja biologista monimuotoisuutta koskevan tietämyksen seuranta- ja hallintajärjestelmän perustaminen</w:t>
            </w:r>
          </w:p>
        </w:tc>
        <w:tc>
          <w:tcPr>
            <w:tcW w:w="1276" w:type="dxa"/>
            <w:shd w:val="clear" w:color="auto" w:fill="C6EFCE"/>
            <w:noWrap/>
          </w:tcPr>
          <w:p w14:paraId="58C01D8C" w14:textId="77777777" w:rsidR="0065073E" w:rsidRDefault="000A0998">
            <w:pPr>
              <w:pStyle w:val="P68B1DB1-Normal12"/>
              <w:spacing w:after="0" w:line="240" w:lineRule="auto"/>
              <w:jc w:val="center"/>
              <w:rPr>
                <w:rFonts w:eastAsia="MS Mincho" w:cs="Times New Roman"/>
                <w:noProof/>
              </w:rPr>
            </w:pPr>
            <w:r>
              <w:rPr>
                <w:noProof/>
              </w:rPr>
              <w:t>Sopimusten tekeminen</w:t>
            </w:r>
          </w:p>
        </w:tc>
        <w:tc>
          <w:tcPr>
            <w:tcW w:w="850" w:type="dxa"/>
            <w:shd w:val="clear" w:color="auto" w:fill="C6EFCE"/>
            <w:noWrap/>
          </w:tcPr>
          <w:p w14:paraId="30E85FE0"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2080AEB9"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09" w:type="dxa"/>
            <w:shd w:val="clear" w:color="auto" w:fill="C6EFCE"/>
            <w:noWrap/>
          </w:tcPr>
          <w:p w14:paraId="29AC5F5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647EC82C"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2CA49D28" w14:textId="77777777" w:rsidR="0065073E" w:rsidRDefault="000A0998">
            <w:pPr>
              <w:pStyle w:val="P68B1DB1-Normal12"/>
              <w:spacing w:after="0" w:line="240" w:lineRule="auto"/>
              <w:jc w:val="center"/>
              <w:rPr>
                <w:rFonts w:eastAsia="MS Mincho" w:cs="Times New Roman"/>
                <w:noProof/>
              </w:rPr>
            </w:pPr>
            <w:r>
              <w:rPr>
                <w:noProof/>
              </w:rPr>
              <w:t>2022</w:t>
            </w:r>
          </w:p>
        </w:tc>
        <w:tc>
          <w:tcPr>
            <w:tcW w:w="6096" w:type="dxa"/>
            <w:shd w:val="clear" w:color="auto" w:fill="C6EFCE"/>
            <w:noWrap/>
          </w:tcPr>
          <w:p w14:paraId="24085CCD" w14:textId="7696C775" w:rsidR="0065073E" w:rsidRDefault="000A0998">
            <w:pPr>
              <w:pStyle w:val="P68B1DB1-Normal12"/>
              <w:spacing w:after="0" w:line="240" w:lineRule="auto"/>
              <w:rPr>
                <w:rFonts w:eastAsia="MS Mincho" w:cs="Times New Roman"/>
                <w:noProof/>
              </w:rPr>
            </w:pPr>
            <w:r>
              <w:rPr>
                <w:noProof/>
              </w:rPr>
              <w:t>Hankintasopimusten tekeminen vähintään kymmenen palontorjuntaan tarkoitetun erikoisilma-aluksen (Canadair) päivittämiseksi ja parantamiseksi sekä biologista monimuotoisuutta koskevan tietämyksen seuranta- ja hallintajärjestelmän käyttöönottamiseksi. Järjestelmään kuuluu lajeja ja luontotyyppejä koskevan tietämyksen lisääminen ja digitaalinen alusta. Investoinnilla on varmistettava ”ei merkittävää haittaa” -periaatetta koskevien teknisten ohjeiden (2021/C58/01) noudattaminen päivittämällä ainoastaan olemassa olevia ilma-aluksia, jotka eivät saa lisätä niiden käyttöikää tai kapasiteettia.</w:t>
            </w:r>
          </w:p>
        </w:tc>
      </w:tr>
      <w:tr w:rsidR="0065073E" w14:paraId="49DC0193" w14:textId="77777777">
        <w:trPr>
          <w:trHeight w:val="309"/>
        </w:trPr>
        <w:tc>
          <w:tcPr>
            <w:tcW w:w="851" w:type="dxa"/>
            <w:shd w:val="clear" w:color="auto" w:fill="C6EFCE"/>
            <w:noWrap/>
          </w:tcPr>
          <w:p w14:paraId="43A19E73" w14:textId="1ED42F4E" w:rsidR="0065073E" w:rsidRDefault="000A0998">
            <w:pPr>
              <w:pStyle w:val="P68B1DB1-Normal12"/>
              <w:spacing w:after="0" w:line="240" w:lineRule="auto"/>
              <w:jc w:val="center"/>
              <w:rPr>
                <w:rFonts w:eastAsia="MS Mincho" w:cs="Times New Roman"/>
                <w:noProof/>
              </w:rPr>
            </w:pPr>
            <w:r>
              <w:rPr>
                <w:noProof/>
              </w:rPr>
              <w:t>66</w:t>
            </w:r>
          </w:p>
        </w:tc>
        <w:tc>
          <w:tcPr>
            <w:tcW w:w="851" w:type="dxa"/>
            <w:shd w:val="clear" w:color="auto" w:fill="C6EFCE"/>
            <w:noWrap/>
          </w:tcPr>
          <w:p w14:paraId="59DED0D3" w14:textId="77777777" w:rsidR="0065073E" w:rsidRDefault="000A0998">
            <w:pPr>
              <w:pStyle w:val="P68B1DB1-Normal12"/>
              <w:spacing w:after="0" w:line="240" w:lineRule="auto"/>
              <w:jc w:val="center"/>
              <w:rPr>
                <w:rFonts w:eastAsia="MS Mincho" w:cs="Times New Roman"/>
                <w:noProof/>
              </w:rPr>
            </w:pPr>
            <w:r>
              <w:rPr>
                <w:noProof/>
              </w:rPr>
              <w:t>C4.I1</w:t>
            </w:r>
          </w:p>
        </w:tc>
        <w:tc>
          <w:tcPr>
            <w:tcW w:w="992" w:type="dxa"/>
            <w:shd w:val="clear" w:color="auto" w:fill="C6EFCE"/>
            <w:noWrap/>
          </w:tcPr>
          <w:p w14:paraId="24D19C8D" w14:textId="77777777"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1A68EE37" w14:textId="7C3DF2E8" w:rsidR="0065073E" w:rsidRDefault="000A0998">
            <w:pPr>
              <w:pStyle w:val="P68B1DB1-Normal12"/>
              <w:spacing w:after="0" w:line="240" w:lineRule="auto"/>
              <w:rPr>
                <w:rFonts w:eastAsia="MS Mincho" w:cs="Times New Roman"/>
                <w:noProof/>
              </w:rPr>
            </w:pPr>
            <w:r>
              <w:rPr>
                <w:noProof/>
              </w:rPr>
              <w:t>Luonnon monimuotoisuutta koskevan tietämyksen seuranta- ja hallintajärjestelmän loppuun saattaminen ja käyttöönotto</w:t>
            </w:r>
          </w:p>
        </w:tc>
        <w:tc>
          <w:tcPr>
            <w:tcW w:w="1276" w:type="dxa"/>
            <w:shd w:val="clear" w:color="auto" w:fill="C6EFCE"/>
            <w:noWrap/>
          </w:tcPr>
          <w:p w14:paraId="4EEE0BA8" w14:textId="77777777" w:rsidR="0065073E" w:rsidRDefault="000A0998">
            <w:pPr>
              <w:pStyle w:val="P68B1DB1-Normal20"/>
              <w:spacing w:after="0" w:line="240" w:lineRule="auto"/>
              <w:jc w:val="center"/>
              <w:rPr>
                <w:rFonts w:eastAsia="MS Mincho" w:cs="Times New Roman"/>
                <w:noProof/>
              </w:rPr>
            </w:pPr>
            <w:r>
              <w:rPr>
                <w:noProof/>
              </w:rPr>
              <w:t>ACTA de Recepción</w:t>
            </w:r>
          </w:p>
        </w:tc>
        <w:tc>
          <w:tcPr>
            <w:tcW w:w="850" w:type="dxa"/>
            <w:shd w:val="clear" w:color="auto" w:fill="C6EFCE"/>
            <w:noWrap/>
          </w:tcPr>
          <w:p w14:paraId="79E427E6"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92" w:type="dxa"/>
            <w:shd w:val="clear" w:color="auto" w:fill="C6EFCE"/>
            <w:noWrap/>
          </w:tcPr>
          <w:p w14:paraId="566C1BCE"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709" w:type="dxa"/>
            <w:shd w:val="clear" w:color="auto" w:fill="C6EFCE"/>
            <w:noWrap/>
          </w:tcPr>
          <w:p w14:paraId="1DB36F4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25" w:type="dxa"/>
            <w:shd w:val="clear" w:color="auto" w:fill="C6EFCE"/>
            <w:noWrap/>
          </w:tcPr>
          <w:p w14:paraId="1655411C"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1A5F6368" w14:textId="77777777" w:rsidR="0065073E" w:rsidRDefault="000A0998">
            <w:pPr>
              <w:pStyle w:val="P68B1DB1-Normal12"/>
              <w:spacing w:after="0" w:line="240" w:lineRule="auto"/>
              <w:jc w:val="center"/>
              <w:rPr>
                <w:rFonts w:eastAsia="MS Mincho" w:cs="Times New Roman"/>
                <w:noProof/>
              </w:rPr>
            </w:pPr>
            <w:r>
              <w:rPr>
                <w:noProof/>
              </w:rPr>
              <w:t>2026</w:t>
            </w:r>
          </w:p>
        </w:tc>
        <w:tc>
          <w:tcPr>
            <w:tcW w:w="6096" w:type="dxa"/>
            <w:shd w:val="clear" w:color="auto" w:fill="C6EFCE"/>
            <w:noWrap/>
          </w:tcPr>
          <w:p w14:paraId="6874F34F" w14:textId="7864295E" w:rsidR="0065073E" w:rsidRDefault="000A0998">
            <w:pPr>
              <w:pStyle w:val="P68B1DB1-Normal12"/>
              <w:spacing w:after="0" w:line="240" w:lineRule="auto"/>
              <w:rPr>
                <w:rFonts w:cs="Times New Roman"/>
                <w:noProof/>
              </w:rPr>
            </w:pPr>
            <w:r>
              <w:rPr>
                <w:noProof/>
              </w:rPr>
              <w:t xml:space="preserve">Luonnon monimuotoisuutta koskevan tietämyksen seuranta- ja hallintajärjestelmä on saatettu päätökseen ja se on toiminnassa (mukaan lukien digitaalinen alusta), ja tarkkuus LIDAR-lento on suoritettu vähintään 75 prosentille kansallisesta maa-alueesta. </w:t>
            </w:r>
          </w:p>
        </w:tc>
      </w:tr>
      <w:tr w:rsidR="0065073E" w14:paraId="246B8B84" w14:textId="77777777">
        <w:trPr>
          <w:trHeight w:val="309"/>
        </w:trPr>
        <w:tc>
          <w:tcPr>
            <w:tcW w:w="851" w:type="dxa"/>
            <w:shd w:val="clear" w:color="auto" w:fill="C6EFCE"/>
            <w:noWrap/>
          </w:tcPr>
          <w:p w14:paraId="1CB76B51" w14:textId="77777777" w:rsidR="0065073E" w:rsidRDefault="000A0998">
            <w:pPr>
              <w:pStyle w:val="P68B1DB1-Normal12"/>
              <w:spacing w:after="0" w:line="240" w:lineRule="auto"/>
              <w:jc w:val="center"/>
              <w:rPr>
                <w:rFonts w:eastAsia="MS Mincho" w:cs="Times New Roman"/>
                <w:noProof/>
              </w:rPr>
            </w:pPr>
            <w:r>
              <w:rPr>
                <w:noProof/>
              </w:rPr>
              <w:t>67</w:t>
            </w:r>
          </w:p>
        </w:tc>
        <w:tc>
          <w:tcPr>
            <w:tcW w:w="851" w:type="dxa"/>
            <w:shd w:val="clear" w:color="auto" w:fill="C6EFCE"/>
            <w:noWrap/>
          </w:tcPr>
          <w:p w14:paraId="7C064685" w14:textId="77777777" w:rsidR="0065073E" w:rsidRDefault="000A0998">
            <w:pPr>
              <w:pStyle w:val="P68B1DB1-Normal12"/>
              <w:spacing w:after="0" w:line="240" w:lineRule="auto"/>
              <w:jc w:val="center"/>
              <w:rPr>
                <w:rFonts w:eastAsia="MS Mincho" w:cs="Times New Roman"/>
                <w:noProof/>
              </w:rPr>
            </w:pPr>
            <w:r>
              <w:rPr>
                <w:noProof/>
              </w:rPr>
              <w:t>C4.I2</w:t>
            </w:r>
          </w:p>
        </w:tc>
        <w:tc>
          <w:tcPr>
            <w:tcW w:w="992" w:type="dxa"/>
            <w:shd w:val="clear" w:color="auto" w:fill="C6EFCE"/>
            <w:noWrap/>
          </w:tcPr>
          <w:p w14:paraId="067EFF58" w14:textId="77777777" w:rsidR="0065073E" w:rsidRDefault="000A0998">
            <w:pPr>
              <w:pStyle w:val="P68B1DB1-Normal12"/>
              <w:spacing w:after="0" w:line="240" w:lineRule="auto"/>
              <w:jc w:val="center"/>
              <w:rPr>
                <w:rFonts w:eastAsia="MS Mincho" w:cs="Times New Roman"/>
                <w:noProof/>
              </w:rPr>
            </w:pPr>
            <w:r>
              <w:rPr>
                <w:noProof/>
              </w:rPr>
              <w:t>T</w:t>
            </w:r>
          </w:p>
        </w:tc>
        <w:tc>
          <w:tcPr>
            <w:tcW w:w="2126" w:type="dxa"/>
            <w:shd w:val="clear" w:color="auto" w:fill="C6EFCE"/>
            <w:noWrap/>
          </w:tcPr>
          <w:p w14:paraId="6E204478" w14:textId="77777777" w:rsidR="0065073E" w:rsidRDefault="000A0998">
            <w:pPr>
              <w:pStyle w:val="P68B1DB1-Normal12"/>
              <w:spacing w:after="0" w:line="240" w:lineRule="auto"/>
              <w:rPr>
                <w:rFonts w:eastAsia="MS Mincho" w:cs="Times New Roman"/>
                <w:noProof/>
              </w:rPr>
            </w:pPr>
            <w:r>
              <w:rPr>
                <w:noProof/>
              </w:rPr>
              <w:t xml:space="preserve">Suojellut merialueet </w:t>
            </w:r>
          </w:p>
        </w:tc>
        <w:tc>
          <w:tcPr>
            <w:tcW w:w="1276" w:type="dxa"/>
            <w:shd w:val="clear" w:color="auto" w:fill="C6EFCE"/>
            <w:noWrap/>
          </w:tcPr>
          <w:p w14:paraId="61829076" w14:textId="77777777" w:rsidR="0065073E" w:rsidRDefault="0065073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B6C19F2" w14:textId="77777777" w:rsidR="0065073E" w:rsidRDefault="000A0998">
            <w:pPr>
              <w:pStyle w:val="P68B1DB1-Normal12"/>
              <w:spacing w:after="0" w:line="240" w:lineRule="auto"/>
              <w:jc w:val="center"/>
              <w:rPr>
                <w:rFonts w:eastAsia="MS Mincho" w:cs="Times New Roman"/>
                <w:noProof/>
              </w:rPr>
            </w:pPr>
            <w:r>
              <w:rPr>
                <w:noProof/>
              </w:rPr>
              <w:t>% Espanjan merialueesta</w:t>
            </w:r>
          </w:p>
        </w:tc>
        <w:tc>
          <w:tcPr>
            <w:tcW w:w="992" w:type="dxa"/>
            <w:shd w:val="clear" w:color="auto" w:fill="C6EFCE"/>
            <w:noWrap/>
          </w:tcPr>
          <w:p w14:paraId="5D0116D1" w14:textId="77777777" w:rsidR="0065073E" w:rsidRDefault="000A0998">
            <w:pPr>
              <w:pStyle w:val="P68B1DB1-Normal12"/>
              <w:spacing w:after="0" w:line="240" w:lineRule="auto"/>
              <w:jc w:val="right"/>
              <w:rPr>
                <w:rFonts w:eastAsia="MS Mincho" w:cs="Times New Roman"/>
                <w:noProof/>
              </w:rPr>
            </w:pPr>
            <w:r>
              <w:rPr>
                <w:noProof/>
              </w:rPr>
              <w:t>13</w:t>
            </w:r>
          </w:p>
        </w:tc>
        <w:tc>
          <w:tcPr>
            <w:tcW w:w="709" w:type="dxa"/>
            <w:shd w:val="clear" w:color="auto" w:fill="C6EFCE"/>
            <w:noWrap/>
          </w:tcPr>
          <w:p w14:paraId="423D4B9D" w14:textId="77777777" w:rsidR="0065073E" w:rsidRDefault="000A0998">
            <w:pPr>
              <w:pStyle w:val="P68B1DB1-Normal12"/>
              <w:spacing w:after="0" w:line="240" w:lineRule="auto"/>
              <w:jc w:val="right"/>
              <w:rPr>
                <w:rFonts w:eastAsia="MS Mincho" w:cs="Times New Roman"/>
                <w:noProof/>
              </w:rPr>
            </w:pPr>
            <w:r>
              <w:rPr>
                <w:noProof/>
              </w:rPr>
              <w:t>15</w:t>
            </w:r>
          </w:p>
        </w:tc>
        <w:tc>
          <w:tcPr>
            <w:tcW w:w="425" w:type="dxa"/>
            <w:shd w:val="clear" w:color="auto" w:fill="C6EFCE"/>
            <w:noWrap/>
          </w:tcPr>
          <w:p w14:paraId="23956E26" w14:textId="77777777"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72C583B8" w14:textId="77777777" w:rsidR="0065073E" w:rsidRDefault="000A0998">
            <w:pPr>
              <w:pStyle w:val="P68B1DB1-Normal12"/>
              <w:spacing w:after="0" w:line="240" w:lineRule="auto"/>
              <w:jc w:val="center"/>
              <w:rPr>
                <w:rFonts w:eastAsia="MS Mincho" w:cs="Times New Roman"/>
                <w:noProof/>
              </w:rPr>
            </w:pPr>
            <w:r>
              <w:rPr>
                <w:noProof/>
              </w:rPr>
              <w:t>2023</w:t>
            </w:r>
          </w:p>
        </w:tc>
        <w:tc>
          <w:tcPr>
            <w:tcW w:w="6096" w:type="dxa"/>
            <w:shd w:val="clear" w:color="auto" w:fill="C6EFCE"/>
            <w:noWrap/>
          </w:tcPr>
          <w:p w14:paraId="4B1A0A70" w14:textId="188B7551" w:rsidR="0065073E" w:rsidRDefault="000A0998">
            <w:pPr>
              <w:pStyle w:val="P68B1DB1-Normal12"/>
              <w:spacing w:after="0" w:line="240" w:lineRule="auto"/>
              <w:rPr>
                <w:rFonts w:eastAsia="MS Mincho" w:cs="Times New Roman"/>
                <w:noProof/>
              </w:rPr>
            </w:pPr>
            <w:r>
              <w:rPr>
                <w:noProof/>
              </w:rPr>
              <w:t xml:space="preserve">Saavutetaan suojeltu merialue vähintään 15 prosentille Espanjan merialueesta. Suojeltu merialue on merialue, joka kuuluu Natura 2000 -verkostoon tai muihin suojeltujen luonnonalueiden luokkiin, kuten laissa 42/2007 säädetään; kansainvälisillä sopimuksilla ja merivarannoilla suojellut alueet sisällytetään soveltuvin osin merisuojelualueiden verkostoon (RAMPE). (Perustaso: Joulukuuta 2020) </w:t>
            </w:r>
          </w:p>
        </w:tc>
      </w:tr>
      <w:tr w:rsidR="0065073E" w14:paraId="39A6ECF2" w14:textId="77777777">
        <w:trPr>
          <w:trHeight w:val="309"/>
        </w:trPr>
        <w:tc>
          <w:tcPr>
            <w:tcW w:w="851" w:type="dxa"/>
            <w:shd w:val="clear" w:color="auto" w:fill="C6EFCE"/>
            <w:noWrap/>
          </w:tcPr>
          <w:p w14:paraId="224139B5" w14:textId="77777777" w:rsidR="0065073E" w:rsidRDefault="000A0998">
            <w:pPr>
              <w:pStyle w:val="P68B1DB1-Normal12"/>
              <w:spacing w:after="0" w:line="240" w:lineRule="auto"/>
              <w:jc w:val="center"/>
              <w:rPr>
                <w:rFonts w:cs="Times New Roman"/>
                <w:noProof/>
              </w:rPr>
            </w:pPr>
            <w:r>
              <w:rPr>
                <w:noProof/>
              </w:rPr>
              <w:t>68</w:t>
            </w:r>
          </w:p>
        </w:tc>
        <w:tc>
          <w:tcPr>
            <w:tcW w:w="851" w:type="dxa"/>
            <w:shd w:val="clear" w:color="auto" w:fill="C6EFCE"/>
            <w:noWrap/>
          </w:tcPr>
          <w:p w14:paraId="08B4E5E9" w14:textId="77777777" w:rsidR="0065073E" w:rsidRDefault="000A0998">
            <w:pPr>
              <w:pStyle w:val="P68B1DB1-Normal12"/>
              <w:spacing w:after="0" w:line="240" w:lineRule="auto"/>
              <w:jc w:val="center"/>
              <w:rPr>
                <w:rFonts w:cs="Times New Roman"/>
                <w:noProof/>
              </w:rPr>
            </w:pPr>
            <w:r>
              <w:rPr>
                <w:noProof/>
              </w:rPr>
              <w:t>C4.I2</w:t>
            </w:r>
          </w:p>
        </w:tc>
        <w:tc>
          <w:tcPr>
            <w:tcW w:w="992" w:type="dxa"/>
            <w:shd w:val="clear" w:color="auto" w:fill="C6EFCE"/>
            <w:noWrap/>
          </w:tcPr>
          <w:p w14:paraId="5D7BA318" w14:textId="77777777" w:rsidR="0065073E" w:rsidRDefault="000A0998">
            <w:pPr>
              <w:pStyle w:val="P68B1DB1-Normal12"/>
              <w:spacing w:after="0" w:line="240" w:lineRule="auto"/>
              <w:jc w:val="center"/>
              <w:rPr>
                <w:rFonts w:cs="Times New Roman"/>
                <w:noProof/>
              </w:rPr>
            </w:pPr>
            <w:r>
              <w:rPr>
                <w:noProof/>
              </w:rPr>
              <w:t>T</w:t>
            </w:r>
          </w:p>
        </w:tc>
        <w:tc>
          <w:tcPr>
            <w:tcW w:w="2126" w:type="dxa"/>
            <w:shd w:val="clear" w:color="auto" w:fill="C6EFCE"/>
            <w:noWrap/>
          </w:tcPr>
          <w:p w14:paraId="74522CB6" w14:textId="77777777" w:rsidR="0065073E" w:rsidRDefault="000A0998">
            <w:pPr>
              <w:pStyle w:val="P68B1DB1-Normal12"/>
              <w:spacing w:after="0" w:line="240" w:lineRule="auto"/>
              <w:rPr>
                <w:rFonts w:cs="Times New Roman"/>
                <w:noProof/>
              </w:rPr>
            </w:pPr>
            <w:r>
              <w:rPr>
                <w:noProof/>
              </w:rPr>
              <w:t xml:space="preserve">Suojellut merialueet </w:t>
            </w:r>
          </w:p>
        </w:tc>
        <w:tc>
          <w:tcPr>
            <w:tcW w:w="1276" w:type="dxa"/>
            <w:shd w:val="clear" w:color="auto" w:fill="C6EFCE"/>
            <w:noWrap/>
          </w:tcPr>
          <w:p w14:paraId="2BA226A1" w14:textId="77777777" w:rsidR="0065073E" w:rsidRDefault="0065073E">
            <w:pPr>
              <w:spacing w:after="0" w:line="240" w:lineRule="auto"/>
              <w:jc w:val="center"/>
              <w:rPr>
                <w:rFonts w:ascii="Times New Roman" w:hAnsi="Times New Roman" w:cs="Times New Roman"/>
                <w:noProof/>
                <w:sz w:val="18"/>
              </w:rPr>
            </w:pPr>
          </w:p>
        </w:tc>
        <w:tc>
          <w:tcPr>
            <w:tcW w:w="850" w:type="dxa"/>
            <w:shd w:val="clear" w:color="auto" w:fill="C6EFCE"/>
            <w:noWrap/>
          </w:tcPr>
          <w:p w14:paraId="017E78C1" w14:textId="77777777" w:rsidR="0065073E" w:rsidRDefault="000A0998">
            <w:pPr>
              <w:pStyle w:val="P68B1DB1-Normal12"/>
              <w:spacing w:after="0" w:line="240" w:lineRule="auto"/>
              <w:jc w:val="center"/>
              <w:rPr>
                <w:rFonts w:cs="Times New Roman"/>
                <w:noProof/>
              </w:rPr>
            </w:pPr>
            <w:r>
              <w:rPr>
                <w:noProof/>
              </w:rPr>
              <w:t>% Espanjan merialueesta</w:t>
            </w:r>
          </w:p>
        </w:tc>
        <w:tc>
          <w:tcPr>
            <w:tcW w:w="992" w:type="dxa"/>
            <w:shd w:val="clear" w:color="auto" w:fill="C6EFCE"/>
            <w:noWrap/>
          </w:tcPr>
          <w:p w14:paraId="4C2A823A" w14:textId="77777777" w:rsidR="0065073E" w:rsidRDefault="000A0998">
            <w:pPr>
              <w:pStyle w:val="P68B1DB1-Normal12"/>
              <w:spacing w:after="0" w:line="240" w:lineRule="auto"/>
              <w:jc w:val="right"/>
              <w:rPr>
                <w:rFonts w:cs="Times New Roman"/>
                <w:noProof/>
              </w:rPr>
            </w:pPr>
            <w:r>
              <w:rPr>
                <w:noProof/>
              </w:rPr>
              <w:t>15</w:t>
            </w:r>
          </w:p>
        </w:tc>
        <w:tc>
          <w:tcPr>
            <w:tcW w:w="709" w:type="dxa"/>
            <w:shd w:val="clear" w:color="auto" w:fill="C6EFCE"/>
            <w:noWrap/>
          </w:tcPr>
          <w:p w14:paraId="5D9857E1" w14:textId="77777777" w:rsidR="0065073E" w:rsidRDefault="000A0998">
            <w:pPr>
              <w:pStyle w:val="P68B1DB1-Normal12"/>
              <w:spacing w:after="0" w:line="240" w:lineRule="auto"/>
              <w:jc w:val="right"/>
              <w:rPr>
                <w:rFonts w:cs="Times New Roman"/>
                <w:noProof/>
              </w:rPr>
            </w:pPr>
            <w:r>
              <w:rPr>
                <w:noProof/>
              </w:rPr>
              <w:t>18</w:t>
            </w:r>
          </w:p>
        </w:tc>
        <w:tc>
          <w:tcPr>
            <w:tcW w:w="425" w:type="dxa"/>
            <w:shd w:val="clear" w:color="auto" w:fill="C6EFCE"/>
            <w:noWrap/>
          </w:tcPr>
          <w:p w14:paraId="0D4AC936"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4FA36ACC" w14:textId="77777777" w:rsidR="0065073E" w:rsidRDefault="000A0998">
            <w:pPr>
              <w:pStyle w:val="P68B1DB1-Normal12"/>
              <w:spacing w:after="0" w:line="240" w:lineRule="auto"/>
              <w:jc w:val="center"/>
              <w:rPr>
                <w:rFonts w:cs="Times New Roman"/>
                <w:noProof/>
              </w:rPr>
            </w:pPr>
            <w:r>
              <w:rPr>
                <w:noProof/>
              </w:rPr>
              <w:t>2025</w:t>
            </w:r>
          </w:p>
        </w:tc>
        <w:tc>
          <w:tcPr>
            <w:tcW w:w="6096" w:type="dxa"/>
            <w:shd w:val="clear" w:color="auto" w:fill="C6EFCE"/>
            <w:noWrap/>
          </w:tcPr>
          <w:p w14:paraId="12544D96" w14:textId="3920702E" w:rsidR="0065073E" w:rsidRDefault="000A0998">
            <w:pPr>
              <w:pStyle w:val="P68B1DB1-Normal12"/>
              <w:spacing w:after="0" w:line="240" w:lineRule="auto"/>
              <w:rPr>
                <w:rFonts w:cs="Times New Roman"/>
                <w:noProof/>
              </w:rPr>
            </w:pPr>
            <w:r>
              <w:rPr>
                <w:noProof/>
              </w:rPr>
              <w:t>Saavutetaan suojeltu merialue vähintään 18 prosentille Espanjan merialueesta. Suojeltu merialue on merialue, joka kuuluu Natura 2000 -verkkoihin tai muihin suojeltujen luonnonalueiden luokkiin, kuten laissa 42/2007 säädetään; kansainvälisillä sopimuksilla ja merivarannoilla suojellut alueet sisällytetään soveltuvin osin merisuojelualueiden verkostoon (RAMPE). (Perustaso: Joulukuuta 2023)</w:t>
            </w:r>
          </w:p>
        </w:tc>
      </w:tr>
      <w:tr w:rsidR="0065073E" w14:paraId="0E646B10" w14:textId="77777777">
        <w:trPr>
          <w:trHeight w:val="309"/>
        </w:trPr>
        <w:tc>
          <w:tcPr>
            <w:tcW w:w="851" w:type="dxa"/>
            <w:shd w:val="clear" w:color="auto" w:fill="C6EFCE"/>
            <w:noWrap/>
          </w:tcPr>
          <w:p w14:paraId="5D87285D" w14:textId="77777777" w:rsidR="0065073E" w:rsidRDefault="000A0998">
            <w:pPr>
              <w:pStyle w:val="P68B1DB1-Normal12"/>
              <w:spacing w:after="0" w:line="240" w:lineRule="auto"/>
              <w:jc w:val="center"/>
              <w:rPr>
                <w:rFonts w:eastAsia="MS Mincho" w:cs="Times New Roman"/>
                <w:noProof/>
              </w:rPr>
            </w:pPr>
            <w:r>
              <w:rPr>
                <w:noProof/>
              </w:rPr>
              <w:t>69</w:t>
            </w:r>
          </w:p>
        </w:tc>
        <w:tc>
          <w:tcPr>
            <w:tcW w:w="851" w:type="dxa"/>
            <w:shd w:val="clear" w:color="auto" w:fill="C6EFCE"/>
            <w:noWrap/>
          </w:tcPr>
          <w:p w14:paraId="3AC0FAB3" w14:textId="77777777" w:rsidR="0065073E" w:rsidRDefault="000A0998">
            <w:pPr>
              <w:pStyle w:val="P68B1DB1-Normal12"/>
              <w:spacing w:after="0" w:line="240" w:lineRule="auto"/>
              <w:jc w:val="center"/>
              <w:rPr>
                <w:rFonts w:eastAsia="MS Mincho" w:cs="Times New Roman"/>
                <w:noProof/>
              </w:rPr>
            </w:pPr>
            <w:r>
              <w:rPr>
                <w:noProof/>
              </w:rPr>
              <w:t>C4.I2</w:t>
            </w:r>
          </w:p>
        </w:tc>
        <w:tc>
          <w:tcPr>
            <w:tcW w:w="992" w:type="dxa"/>
            <w:shd w:val="clear" w:color="auto" w:fill="C6EFCE"/>
            <w:noWrap/>
          </w:tcPr>
          <w:p w14:paraId="207ECE38" w14:textId="77777777" w:rsidR="0065073E" w:rsidRDefault="000A0998">
            <w:pPr>
              <w:pStyle w:val="P68B1DB1-Normal12"/>
              <w:spacing w:after="0" w:line="240" w:lineRule="auto"/>
              <w:jc w:val="center"/>
              <w:rPr>
                <w:rFonts w:eastAsia="MS Mincho" w:cs="Times New Roman"/>
                <w:noProof/>
              </w:rPr>
            </w:pPr>
            <w:r>
              <w:rPr>
                <w:noProof/>
              </w:rPr>
              <w:t>T</w:t>
            </w:r>
          </w:p>
        </w:tc>
        <w:tc>
          <w:tcPr>
            <w:tcW w:w="2126" w:type="dxa"/>
            <w:shd w:val="clear" w:color="auto" w:fill="C6EFCE"/>
            <w:noWrap/>
          </w:tcPr>
          <w:p w14:paraId="00C6CFE2" w14:textId="77777777" w:rsidR="0065073E" w:rsidRDefault="000A0998">
            <w:pPr>
              <w:pStyle w:val="P68B1DB1-Normal12"/>
              <w:spacing w:after="0" w:line="240" w:lineRule="auto"/>
              <w:rPr>
                <w:rFonts w:eastAsia="MS Mincho" w:cs="Times New Roman"/>
                <w:noProof/>
              </w:rPr>
            </w:pPr>
            <w:r>
              <w:rPr>
                <w:noProof/>
              </w:rPr>
              <w:t>Biologisen monimuotoisuuden säilyttämistoimet</w:t>
            </w:r>
          </w:p>
        </w:tc>
        <w:tc>
          <w:tcPr>
            <w:tcW w:w="1276" w:type="dxa"/>
            <w:shd w:val="clear" w:color="auto" w:fill="C6EFCE"/>
            <w:noWrap/>
          </w:tcPr>
          <w:p w14:paraId="17AD93B2" w14:textId="77777777" w:rsidR="0065073E" w:rsidRDefault="0065073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0F314C26" w14:textId="77777777" w:rsidR="0065073E" w:rsidRDefault="000A0998">
            <w:pPr>
              <w:pStyle w:val="P68B1DB1-Normal12"/>
              <w:spacing w:after="0" w:line="240" w:lineRule="auto"/>
              <w:jc w:val="center"/>
              <w:rPr>
                <w:rFonts w:eastAsia="MS Mincho" w:cs="Times New Roman"/>
                <w:noProof/>
              </w:rPr>
            </w:pPr>
            <w:r>
              <w:rPr>
                <w:noProof/>
              </w:rPr>
              <w:t>Lukumäärä (hehtaaria)</w:t>
            </w:r>
          </w:p>
        </w:tc>
        <w:tc>
          <w:tcPr>
            <w:tcW w:w="992" w:type="dxa"/>
            <w:shd w:val="clear" w:color="auto" w:fill="C6EFCE"/>
            <w:noWrap/>
          </w:tcPr>
          <w:p w14:paraId="1E6EE343" w14:textId="77777777" w:rsidR="0065073E" w:rsidRDefault="000A0998">
            <w:pPr>
              <w:pStyle w:val="P68B1DB1-Normal12"/>
              <w:spacing w:after="0" w:line="240" w:lineRule="auto"/>
              <w:jc w:val="right"/>
              <w:rPr>
                <w:rFonts w:eastAsia="MS Mincho" w:cs="Times New Roman"/>
                <w:noProof/>
              </w:rPr>
            </w:pPr>
            <w:r>
              <w:rPr>
                <w:noProof/>
              </w:rPr>
              <w:t>0</w:t>
            </w:r>
          </w:p>
        </w:tc>
        <w:tc>
          <w:tcPr>
            <w:tcW w:w="709" w:type="dxa"/>
            <w:shd w:val="clear" w:color="auto" w:fill="C6EFCE"/>
            <w:noWrap/>
          </w:tcPr>
          <w:p w14:paraId="2E818D2F" w14:textId="77777777" w:rsidR="0065073E" w:rsidRDefault="000A0998">
            <w:pPr>
              <w:pStyle w:val="P68B1DB1-Normal12"/>
              <w:spacing w:after="0" w:line="240" w:lineRule="auto"/>
              <w:jc w:val="right"/>
              <w:rPr>
                <w:rFonts w:eastAsia="MS Mincho" w:cs="Times New Roman"/>
                <w:noProof/>
              </w:rPr>
            </w:pPr>
            <w:r>
              <w:rPr>
                <w:noProof/>
              </w:rPr>
              <w:t>50 000</w:t>
            </w:r>
          </w:p>
        </w:tc>
        <w:tc>
          <w:tcPr>
            <w:tcW w:w="425" w:type="dxa"/>
            <w:shd w:val="clear" w:color="auto" w:fill="C6EFCE"/>
            <w:noWrap/>
          </w:tcPr>
          <w:p w14:paraId="32D6FAE0"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52E5F677" w14:textId="77777777" w:rsidR="0065073E" w:rsidRDefault="000A0998">
            <w:pPr>
              <w:pStyle w:val="P68B1DB1-Normal12"/>
              <w:spacing w:after="0" w:line="240" w:lineRule="auto"/>
              <w:jc w:val="center"/>
              <w:rPr>
                <w:rFonts w:eastAsia="MS Mincho" w:cs="Times New Roman"/>
                <w:noProof/>
              </w:rPr>
            </w:pPr>
            <w:r>
              <w:rPr>
                <w:noProof/>
              </w:rPr>
              <w:t>2026</w:t>
            </w:r>
          </w:p>
        </w:tc>
        <w:tc>
          <w:tcPr>
            <w:tcW w:w="6096" w:type="dxa"/>
            <w:shd w:val="clear" w:color="auto" w:fill="C6EFCE"/>
            <w:noWrap/>
          </w:tcPr>
          <w:p w14:paraId="4D3026EA" w14:textId="77EB272E" w:rsidR="0065073E" w:rsidRDefault="000A0998">
            <w:pPr>
              <w:pStyle w:val="P68B1DB1-Normal12"/>
              <w:spacing w:after="0" w:line="240" w:lineRule="auto"/>
              <w:rPr>
                <w:rFonts w:eastAsia="MS Mincho" w:cs="Times New Roman"/>
                <w:noProof/>
              </w:rPr>
            </w:pPr>
            <w:r>
              <w:rPr>
                <w:noProof/>
              </w:rPr>
              <w:t xml:space="preserve">Vähintään 50000 hehtaaria, jotka kuuluvat päätökseen saatettujen luonnon monimuotoisuuden suojelutoimien piiriin. Suojelutoimiin kuuluvat seuraavat: I) toimet, joilla ehkäistään eläin- ja kasvilajien kuolleisuutta, ii) toimet haitallisten vieraslajien varhaiseksi havaitsemiseksi, valvomiseksi tai poistamiseksi, iii) hoito- ja elinympäristöjen parantamistoimenpiteet, erityisesti suojeltujen lajien osalta toteutettavat toimenpiteet, iv) kosteikkojen ennallistamistoimet, kuten luonnollisen dynamiikan, veden määrän ja laadun sekä luonnonvaraisen eläimistön ja kasviston parantaminen, ja v) toimet, joilla tarjotaan, kunnostetaan ja parannetaan luonnonperinnön hoitoon ja erityisesti suojeltuihin alueisiin liittyviä tiloja ja infrastruktuureja (Natura 2000 ja suojellut luonnonalueet), ja uhanalaisten lajien laitonta kauppaa koskevan yleissopimuksen (CITES) päivittäminen, mukaan lukien uuden pelastustoiminnan viitekeskuksen perustaminen. Erityiskäyttöön tarkoitettujen alusten hankinnan osalta investoinnin valintaperusteilla on varmistettava ”ei merkittävää haittaa” -periaatetta koskevien teknisten ohjeiden (2021/C58/01) noudattaminen tukemalla ainoastaan parasta saatavilla olevaa teknologiaa, jolla on vähiten ympäristövaikutuksia alalla, ottaen huomioon erityistarkoitus, jota ne palvelevat. </w:t>
            </w:r>
          </w:p>
        </w:tc>
      </w:tr>
      <w:tr w:rsidR="0065073E" w14:paraId="19C39336" w14:textId="77777777">
        <w:trPr>
          <w:trHeight w:val="309"/>
        </w:trPr>
        <w:tc>
          <w:tcPr>
            <w:tcW w:w="851" w:type="dxa"/>
            <w:shd w:val="clear" w:color="auto" w:fill="C6EFCE"/>
            <w:noWrap/>
          </w:tcPr>
          <w:p w14:paraId="743D8313" w14:textId="77777777" w:rsidR="0065073E" w:rsidRDefault="000A0998">
            <w:pPr>
              <w:pStyle w:val="P68B1DB1-Normal12"/>
              <w:spacing w:after="0" w:line="240" w:lineRule="auto"/>
              <w:jc w:val="center"/>
              <w:rPr>
                <w:rFonts w:eastAsia="MS Mincho" w:cs="Times New Roman"/>
                <w:noProof/>
              </w:rPr>
            </w:pPr>
            <w:r>
              <w:rPr>
                <w:noProof/>
              </w:rPr>
              <w:t>70</w:t>
            </w:r>
          </w:p>
        </w:tc>
        <w:tc>
          <w:tcPr>
            <w:tcW w:w="851" w:type="dxa"/>
            <w:shd w:val="clear" w:color="auto" w:fill="C6EFCE"/>
            <w:noWrap/>
          </w:tcPr>
          <w:p w14:paraId="5FFACCF4" w14:textId="77777777" w:rsidR="0065073E" w:rsidRDefault="000A0998">
            <w:pPr>
              <w:pStyle w:val="P68B1DB1-Normal12"/>
              <w:spacing w:after="0" w:line="240" w:lineRule="auto"/>
              <w:jc w:val="center"/>
              <w:rPr>
                <w:rFonts w:eastAsia="MS Mincho" w:cs="Times New Roman"/>
                <w:noProof/>
              </w:rPr>
            </w:pPr>
            <w:r>
              <w:rPr>
                <w:noProof/>
              </w:rPr>
              <w:t>C4.I3</w:t>
            </w:r>
          </w:p>
        </w:tc>
        <w:tc>
          <w:tcPr>
            <w:tcW w:w="992" w:type="dxa"/>
            <w:shd w:val="clear" w:color="auto" w:fill="C6EFCE"/>
            <w:noWrap/>
          </w:tcPr>
          <w:p w14:paraId="1663E188" w14:textId="77777777" w:rsidR="0065073E" w:rsidRDefault="000A0998">
            <w:pPr>
              <w:pStyle w:val="P68B1DB1-Normal12"/>
              <w:spacing w:after="0" w:line="240" w:lineRule="auto"/>
              <w:jc w:val="center"/>
              <w:rPr>
                <w:rFonts w:eastAsia="MS Mincho" w:cs="Times New Roman"/>
                <w:noProof/>
              </w:rPr>
            </w:pPr>
            <w:r>
              <w:rPr>
                <w:noProof/>
              </w:rPr>
              <w:t>T</w:t>
            </w:r>
          </w:p>
        </w:tc>
        <w:tc>
          <w:tcPr>
            <w:tcW w:w="2126" w:type="dxa"/>
            <w:shd w:val="clear" w:color="auto" w:fill="C6EFCE"/>
            <w:noWrap/>
          </w:tcPr>
          <w:p w14:paraId="5918C8BE" w14:textId="77777777" w:rsidR="0065073E" w:rsidRDefault="000A0998">
            <w:pPr>
              <w:pStyle w:val="P68B1DB1-Normal12"/>
              <w:spacing w:after="0" w:line="240" w:lineRule="auto"/>
              <w:rPr>
                <w:rFonts w:eastAsia="MS Mincho" w:cs="Times New Roman"/>
                <w:noProof/>
              </w:rPr>
            </w:pPr>
            <w:r>
              <w:rPr>
                <w:noProof/>
              </w:rPr>
              <w:t>Entisten kaivosalueiden kunnostaminen (vähintään 20 entistä kaivosaluetta)</w:t>
            </w:r>
          </w:p>
        </w:tc>
        <w:tc>
          <w:tcPr>
            <w:tcW w:w="1276" w:type="dxa"/>
            <w:shd w:val="clear" w:color="auto" w:fill="C6EFCE"/>
            <w:noWrap/>
          </w:tcPr>
          <w:p w14:paraId="0DE4B5B7" w14:textId="77777777" w:rsidR="0065073E" w:rsidRDefault="0065073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A9BF725" w14:textId="77777777" w:rsidR="0065073E" w:rsidRDefault="000A0998">
            <w:pPr>
              <w:pStyle w:val="P68B1DB1-Normal12"/>
              <w:spacing w:after="0" w:line="240" w:lineRule="auto"/>
              <w:jc w:val="center"/>
              <w:rPr>
                <w:rFonts w:eastAsia="MS Mincho" w:cs="Times New Roman"/>
                <w:noProof/>
              </w:rPr>
            </w:pPr>
            <w:r>
              <w:rPr>
                <w:noProof/>
              </w:rPr>
              <w:t>Lukumäärä (kaivospaikat)</w:t>
            </w:r>
          </w:p>
        </w:tc>
        <w:tc>
          <w:tcPr>
            <w:tcW w:w="992" w:type="dxa"/>
            <w:shd w:val="clear" w:color="auto" w:fill="C6EFCE"/>
            <w:noWrap/>
          </w:tcPr>
          <w:p w14:paraId="42EFDDCA" w14:textId="77777777" w:rsidR="0065073E" w:rsidRDefault="000A0998">
            <w:pPr>
              <w:pStyle w:val="P68B1DB1-Normal12"/>
              <w:spacing w:after="0" w:line="240" w:lineRule="auto"/>
              <w:jc w:val="right"/>
              <w:rPr>
                <w:rFonts w:eastAsia="MS Mincho" w:cs="Times New Roman"/>
                <w:noProof/>
              </w:rPr>
            </w:pPr>
            <w:r>
              <w:rPr>
                <w:noProof/>
              </w:rPr>
              <w:t>0</w:t>
            </w:r>
          </w:p>
        </w:tc>
        <w:tc>
          <w:tcPr>
            <w:tcW w:w="709" w:type="dxa"/>
            <w:shd w:val="clear" w:color="auto" w:fill="C6EFCE"/>
            <w:noWrap/>
          </w:tcPr>
          <w:p w14:paraId="77BB07BD" w14:textId="77777777" w:rsidR="0065073E" w:rsidRDefault="000A0998">
            <w:pPr>
              <w:pStyle w:val="P68B1DB1-Normal12"/>
              <w:spacing w:after="0" w:line="240" w:lineRule="auto"/>
              <w:jc w:val="right"/>
              <w:rPr>
                <w:rFonts w:eastAsia="MS Mincho" w:cs="Times New Roman"/>
                <w:noProof/>
              </w:rPr>
            </w:pPr>
            <w:r>
              <w:rPr>
                <w:noProof/>
              </w:rPr>
              <w:t>20</w:t>
            </w:r>
          </w:p>
        </w:tc>
        <w:tc>
          <w:tcPr>
            <w:tcW w:w="425" w:type="dxa"/>
            <w:shd w:val="clear" w:color="auto" w:fill="C6EFCE"/>
            <w:noWrap/>
          </w:tcPr>
          <w:p w14:paraId="7D4BE697"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62B4D3A0" w14:textId="77777777" w:rsidR="0065073E" w:rsidRDefault="000A0998">
            <w:pPr>
              <w:pStyle w:val="P68B1DB1-Normal12"/>
              <w:spacing w:after="0" w:line="240" w:lineRule="auto"/>
              <w:jc w:val="center"/>
              <w:rPr>
                <w:rFonts w:eastAsia="MS Mincho" w:cs="Times New Roman"/>
                <w:noProof/>
              </w:rPr>
            </w:pPr>
            <w:r>
              <w:rPr>
                <w:noProof/>
              </w:rPr>
              <w:t>2023</w:t>
            </w:r>
          </w:p>
        </w:tc>
        <w:tc>
          <w:tcPr>
            <w:tcW w:w="6096" w:type="dxa"/>
            <w:shd w:val="clear" w:color="auto" w:fill="C6EFCE"/>
            <w:noWrap/>
          </w:tcPr>
          <w:p w14:paraId="598D2537" w14:textId="77777777" w:rsidR="0065073E" w:rsidRDefault="000A0998">
            <w:pPr>
              <w:pStyle w:val="P68B1DB1-Normal12"/>
              <w:spacing w:after="0" w:line="240" w:lineRule="auto"/>
              <w:rPr>
                <w:rFonts w:eastAsia="MS Mincho" w:cs="Times New Roman"/>
                <w:noProof/>
              </w:rPr>
            </w:pPr>
            <w:r>
              <w:rPr>
                <w:noProof/>
              </w:rPr>
              <w:t>Vähintään 50 prosenttia kustakin kaivosalueesta on ennallistettava vähintään 20 aiempaa kaivosaluetta, mukaan lukien maaperän puhdistaminen, morfologian hyödyntäminen sekä kasvillisuuden palauttaminen ja kansalaistaminen.</w:t>
            </w:r>
          </w:p>
        </w:tc>
      </w:tr>
      <w:tr w:rsidR="0065073E" w14:paraId="16763420" w14:textId="77777777">
        <w:trPr>
          <w:trHeight w:val="309"/>
        </w:trPr>
        <w:tc>
          <w:tcPr>
            <w:tcW w:w="851" w:type="dxa"/>
            <w:shd w:val="clear" w:color="auto" w:fill="C6EFCE"/>
            <w:noWrap/>
          </w:tcPr>
          <w:p w14:paraId="2A4CBA15" w14:textId="16E7A848" w:rsidR="0065073E" w:rsidRDefault="000A0998">
            <w:pPr>
              <w:pStyle w:val="P68B1DB1-Normal12"/>
              <w:spacing w:after="0" w:line="240" w:lineRule="auto"/>
              <w:jc w:val="center"/>
              <w:rPr>
                <w:rFonts w:eastAsia="MS Mincho" w:cs="Times New Roman"/>
                <w:noProof/>
              </w:rPr>
            </w:pPr>
            <w:r>
              <w:rPr>
                <w:noProof/>
              </w:rPr>
              <w:t>71</w:t>
            </w:r>
          </w:p>
        </w:tc>
        <w:tc>
          <w:tcPr>
            <w:tcW w:w="851" w:type="dxa"/>
            <w:shd w:val="clear" w:color="auto" w:fill="C6EFCE"/>
            <w:noWrap/>
          </w:tcPr>
          <w:p w14:paraId="31CDC745" w14:textId="77777777" w:rsidR="0065073E" w:rsidRDefault="000A0998">
            <w:pPr>
              <w:pStyle w:val="P68B1DB1-Normal12"/>
              <w:spacing w:after="0" w:line="240" w:lineRule="auto"/>
              <w:jc w:val="center"/>
              <w:rPr>
                <w:rFonts w:eastAsia="MS Mincho" w:cs="Times New Roman"/>
                <w:noProof/>
              </w:rPr>
            </w:pPr>
            <w:r>
              <w:rPr>
                <w:noProof/>
              </w:rPr>
              <w:t>C4.I3</w:t>
            </w:r>
          </w:p>
        </w:tc>
        <w:tc>
          <w:tcPr>
            <w:tcW w:w="992" w:type="dxa"/>
            <w:shd w:val="clear" w:color="auto" w:fill="C6EFCE"/>
            <w:noWrap/>
          </w:tcPr>
          <w:p w14:paraId="49BB626F" w14:textId="3A9620D2" w:rsidR="0065073E" w:rsidRDefault="000A0998">
            <w:pPr>
              <w:pStyle w:val="P68B1DB1-Normal12"/>
              <w:spacing w:after="0" w:line="240" w:lineRule="auto"/>
              <w:jc w:val="center"/>
              <w:rPr>
                <w:rFonts w:eastAsia="MS Mincho" w:cs="Times New Roman"/>
                <w:noProof/>
              </w:rPr>
            </w:pPr>
            <w:r>
              <w:rPr>
                <w:noProof/>
              </w:rPr>
              <w:t>M</w:t>
            </w:r>
          </w:p>
        </w:tc>
        <w:tc>
          <w:tcPr>
            <w:tcW w:w="2126" w:type="dxa"/>
            <w:shd w:val="clear" w:color="auto" w:fill="C6EFCE"/>
            <w:noWrap/>
          </w:tcPr>
          <w:p w14:paraId="0C0DFDFF" w14:textId="77777777" w:rsidR="0065073E" w:rsidRDefault="000A0998">
            <w:pPr>
              <w:pStyle w:val="P68B1DB1-Normal12"/>
              <w:spacing w:after="0" w:line="240" w:lineRule="auto"/>
              <w:rPr>
                <w:rFonts w:eastAsia="MS Mincho" w:cs="Times New Roman"/>
                <w:noProof/>
              </w:rPr>
            </w:pPr>
            <w:r>
              <w:rPr>
                <w:noProof/>
              </w:rPr>
              <w:t xml:space="preserve">Ekosysteemien ennallistamistoimet </w:t>
            </w:r>
          </w:p>
        </w:tc>
        <w:tc>
          <w:tcPr>
            <w:tcW w:w="1276" w:type="dxa"/>
            <w:shd w:val="clear" w:color="auto" w:fill="C6EFCE"/>
            <w:noWrap/>
          </w:tcPr>
          <w:p w14:paraId="66204FF1" w14:textId="7B82D200" w:rsidR="0065073E" w:rsidRDefault="000A0998">
            <w:pPr>
              <w:pStyle w:val="P68B1DB1-Normal12"/>
              <w:spacing w:after="0" w:line="240" w:lineRule="auto"/>
              <w:jc w:val="center"/>
              <w:rPr>
                <w:rFonts w:eastAsia="MS Mincho" w:cs="Times New Roman"/>
                <w:noProof/>
              </w:rPr>
            </w:pPr>
            <w:r>
              <w:rPr>
                <w:noProof/>
              </w:rPr>
              <w:t xml:space="preserve">Valmistuneiden töiden/hankkeiden virallinen varmentaminen </w:t>
            </w:r>
          </w:p>
        </w:tc>
        <w:tc>
          <w:tcPr>
            <w:tcW w:w="850" w:type="dxa"/>
            <w:shd w:val="clear" w:color="auto" w:fill="C6EFCE"/>
            <w:noWrap/>
          </w:tcPr>
          <w:p w14:paraId="32002FF6" w14:textId="2C75ECCF" w:rsidR="0065073E" w:rsidRDefault="0065073E">
            <w:pPr>
              <w:spacing w:after="0" w:line="240" w:lineRule="auto"/>
              <w:jc w:val="right"/>
              <w:rPr>
                <w:rFonts w:ascii="Times New Roman" w:eastAsia="MS Mincho" w:hAnsi="Times New Roman" w:cs="Times New Roman"/>
                <w:noProof/>
                <w:sz w:val="18"/>
              </w:rPr>
            </w:pPr>
          </w:p>
        </w:tc>
        <w:tc>
          <w:tcPr>
            <w:tcW w:w="992" w:type="dxa"/>
            <w:shd w:val="clear" w:color="auto" w:fill="C6EFCE"/>
            <w:noWrap/>
          </w:tcPr>
          <w:p w14:paraId="624370D3" w14:textId="430A96D8" w:rsidR="0065073E" w:rsidRDefault="0065073E">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1129AE4B" w14:textId="0849A78D" w:rsidR="0065073E" w:rsidRDefault="0065073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D69C1E3" w14:textId="214C37E5" w:rsidR="0065073E" w:rsidRDefault="000A0998">
            <w:pPr>
              <w:pStyle w:val="P68B1DB1-Normal12"/>
              <w:spacing w:after="0" w:line="240" w:lineRule="auto"/>
              <w:jc w:val="center"/>
              <w:rPr>
                <w:rFonts w:eastAsia="MS Mincho" w:cs="Times New Roman"/>
                <w:noProof/>
              </w:rPr>
            </w:pPr>
            <w:r>
              <w:rPr>
                <w:noProof/>
              </w:rPr>
              <w:t>Q4</w:t>
            </w:r>
          </w:p>
        </w:tc>
        <w:tc>
          <w:tcPr>
            <w:tcW w:w="567" w:type="dxa"/>
            <w:shd w:val="clear" w:color="auto" w:fill="C6EFCE"/>
            <w:noWrap/>
          </w:tcPr>
          <w:p w14:paraId="04715A28" w14:textId="0CAD7FDA" w:rsidR="0065073E" w:rsidRDefault="000A0998">
            <w:pPr>
              <w:pStyle w:val="P68B1DB1-Normal12"/>
              <w:spacing w:after="0" w:line="240" w:lineRule="auto"/>
              <w:jc w:val="center"/>
              <w:rPr>
                <w:rFonts w:cs="Times New Roman"/>
                <w:noProof/>
              </w:rPr>
            </w:pPr>
            <w:r>
              <w:rPr>
                <w:noProof/>
              </w:rPr>
              <w:t xml:space="preserve">2025  </w:t>
            </w:r>
          </w:p>
        </w:tc>
        <w:tc>
          <w:tcPr>
            <w:tcW w:w="6096" w:type="dxa"/>
            <w:shd w:val="clear" w:color="auto" w:fill="C6EFCE"/>
            <w:noWrap/>
          </w:tcPr>
          <w:p w14:paraId="63501E8C" w14:textId="7B240D57" w:rsidR="0065073E" w:rsidRDefault="000A0998">
            <w:pPr>
              <w:pStyle w:val="P68B1DB1-Normal12"/>
              <w:spacing w:after="0" w:line="240" w:lineRule="auto"/>
              <w:rPr>
                <w:rFonts w:eastAsia="MS Mincho" w:cs="Times New Roman"/>
                <w:noProof/>
              </w:rPr>
            </w:pPr>
            <w:r>
              <w:rPr>
                <w:noProof/>
              </w:rPr>
              <w:t xml:space="preserve">Vähintään 30000 hehtaaria kattaa loppuun saatetut ekosysteemien ennallistamistoimet huonontuneilla alueilla tai ekosysteemeissä, mukaan lukien keinotekoisten elementtien poistaminen, maaperän ja morfologian parantaminen sekä kasvillisuuden ja kansalaisuuden palauttaminen sekä vihreään infrastruktuuriin liittyvien hankkeiden loppuun saattaminen vähintään 30 kaupungissa, joissa on yli 50000 asukasta. </w:t>
            </w:r>
          </w:p>
        </w:tc>
      </w:tr>
      <w:tr w:rsidR="0065073E" w14:paraId="68AF4929" w14:textId="77777777">
        <w:trPr>
          <w:trHeight w:val="309"/>
        </w:trPr>
        <w:tc>
          <w:tcPr>
            <w:tcW w:w="851" w:type="dxa"/>
            <w:shd w:val="clear" w:color="auto" w:fill="C6EFCE"/>
            <w:noWrap/>
          </w:tcPr>
          <w:p w14:paraId="23D9E551" w14:textId="77777777" w:rsidR="0065073E" w:rsidRDefault="000A0998">
            <w:pPr>
              <w:pStyle w:val="P68B1DB1-Normal12"/>
              <w:spacing w:after="0" w:line="240" w:lineRule="auto"/>
              <w:jc w:val="center"/>
              <w:rPr>
                <w:rFonts w:eastAsia="MS Mincho" w:cs="Times New Roman"/>
                <w:noProof/>
              </w:rPr>
            </w:pPr>
            <w:r>
              <w:rPr>
                <w:noProof/>
              </w:rPr>
              <w:t>72</w:t>
            </w:r>
          </w:p>
        </w:tc>
        <w:tc>
          <w:tcPr>
            <w:tcW w:w="851" w:type="dxa"/>
            <w:shd w:val="clear" w:color="auto" w:fill="C6EFCE"/>
            <w:noWrap/>
          </w:tcPr>
          <w:p w14:paraId="6D366088" w14:textId="77777777" w:rsidR="0065073E" w:rsidRDefault="000A0998">
            <w:pPr>
              <w:pStyle w:val="P68B1DB1-Normal12"/>
              <w:spacing w:after="0" w:line="240" w:lineRule="auto"/>
              <w:jc w:val="center"/>
              <w:rPr>
                <w:rFonts w:eastAsia="MS Mincho" w:cs="Times New Roman"/>
                <w:noProof/>
              </w:rPr>
            </w:pPr>
            <w:r>
              <w:rPr>
                <w:noProof/>
              </w:rPr>
              <w:t>C4.I3</w:t>
            </w:r>
          </w:p>
        </w:tc>
        <w:tc>
          <w:tcPr>
            <w:tcW w:w="992" w:type="dxa"/>
            <w:shd w:val="clear" w:color="auto" w:fill="C6EFCE"/>
            <w:noWrap/>
          </w:tcPr>
          <w:p w14:paraId="2A1DC271" w14:textId="77777777" w:rsidR="0065073E" w:rsidRDefault="000A0998">
            <w:pPr>
              <w:pStyle w:val="P68B1DB1-Normal12"/>
              <w:spacing w:after="0" w:line="240" w:lineRule="auto"/>
              <w:jc w:val="center"/>
              <w:rPr>
                <w:rFonts w:eastAsia="MS Mincho" w:cs="Times New Roman"/>
                <w:noProof/>
              </w:rPr>
            </w:pPr>
            <w:r>
              <w:rPr>
                <w:noProof/>
              </w:rPr>
              <w:t>T</w:t>
            </w:r>
          </w:p>
        </w:tc>
        <w:tc>
          <w:tcPr>
            <w:tcW w:w="2126" w:type="dxa"/>
            <w:shd w:val="clear" w:color="auto" w:fill="C6EFCE"/>
            <w:noWrap/>
          </w:tcPr>
          <w:p w14:paraId="2D238FBC" w14:textId="77777777" w:rsidR="0065073E" w:rsidRDefault="000A0998">
            <w:pPr>
              <w:pStyle w:val="P68B1DB1-Normal12"/>
              <w:spacing w:after="0" w:line="240" w:lineRule="auto"/>
              <w:rPr>
                <w:rFonts w:eastAsia="MS Mincho" w:cs="Times New Roman"/>
                <w:noProof/>
              </w:rPr>
            </w:pPr>
            <w:r>
              <w:rPr>
                <w:noProof/>
              </w:rPr>
              <w:t>Entisten kaivosalueiden kunnostamisen loppuun saattaminen (vähintään 30 entistä kaivosaluetta)</w:t>
            </w:r>
          </w:p>
        </w:tc>
        <w:tc>
          <w:tcPr>
            <w:tcW w:w="1276" w:type="dxa"/>
            <w:shd w:val="clear" w:color="auto" w:fill="C6EFCE"/>
            <w:noWrap/>
          </w:tcPr>
          <w:p w14:paraId="2DBF0D7D" w14:textId="77777777" w:rsidR="0065073E" w:rsidRDefault="0065073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20E6432" w14:textId="77777777" w:rsidR="0065073E" w:rsidRDefault="000A0998">
            <w:pPr>
              <w:pStyle w:val="P68B1DB1-Normal12"/>
              <w:spacing w:after="0" w:line="240" w:lineRule="auto"/>
              <w:jc w:val="right"/>
              <w:rPr>
                <w:rFonts w:eastAsia="MS Mincho" w:cs="Times New Roman"/>
                <w:noProof/>
              </w:rPr>
            </w:pPr>
            <w:r>
              <w:rPr>
                <w:noProof/>
              </w:rPr>
              <w:t>Lukumäärä (kaivospaikat)</w:t>
            </w:r>
          </w:p>
        </w:tc>
        <w:tc>
          <w:tcPr>
            <w:tcW w:w="992" w:type="dxa"/>
            <w:shd w:val="clear" w:color="auto" w:fill="C6EFCE"/>
            <w:noWrap/>
          </w:tcPr>
          <w:p w14:paraId="5353C90A" w14:textId="77777777" w:rsidR="0065073E" w:rsidRDefault="000A0998">
            <w:pPr>
              <w:pStyle w:val="P68B1DB1-Normal12"/>
              <w:spacing w:after="0" w:line="240" w:lineRule="auto"/>
              <w:jc w:val="right"/>
              <w:rPr>
                <w:rFonts w:eastAsia="MS Mincho" w:cs="Times New Roman"/>
                <w:noProof/>
              </w:rPr>
            </w:pPr>
            <w:r>
              <w:rPr>
                <w:noProof/>
              </w:rPr>
              <w:t>0</w:t>
            </w:r>
          </w:p>
        </w:tc>
        <w:tc>
          <w:tcPr>
            <w:tcW w:w="709" w:type="dxa"/>
            <w:shd w:val="clear" w:color="auto" w:fill="C6EFCE"/>
            <w:noWrap/>
          </w:tcPr>
          <w:p w14:paraId="18E8C380" w14:textId="77777777" w:rsidR="0065073E" w:rsidRDefault="000A0998">
            <w:pPr>
              <w:pStyle w:val="P68B1DB1-Normal12"/>
              <w:spacing w:after="0" w:line="240" w:lineRule="auto"/>
              <w:jc w:val="right"/>
              <w:rPr>
                <w:rFonts w:eastAsia="MS Mincho" w:cs="Times New Roman"/>
                <w:noProof/>
              </w:rPr>
            </w:pPr>
            <w:r>
              <w:rPr>
                <w:noProof/>
              </w:rPr>
              <w:t>30</w:t>
            </w:r>
          </w:p>
        </w:tc>
        <w:tc>
          <w:tcPr>
            <w:tcW w:w="425" w:type="dxa"/>
            <w:shd w:val="clear" w:color="auto" w:fill="C6EFCE"/>
            <w:noWrap/>
          </w:tcPr>
          <w:p w14:paraId="0E1FBC29" w14:textId="77777777" w:rsidR="0065073E" w:rsidRDefault="000A0998">
            <w:pPr>
              <w:pStyle w:val="P68B1DB1-Normal12"/>
              <w:spacing w:after="0" w:line="240" w:lineRule="auto"/>
              <w:jc w:val="center"/>
              <w:rPr>
                <w:rFonts w:eastAsia="MS Mincho" w:cs="Times New Roman"/>
                <w:noProof/>
              </w:rPr>
            </w:pPr>
            <w:r>
              <w:rPr>
                <w:noProof/>
              </w:rPr>
              <w:t>TOINEN VUOSINELJÄNNES</w:t>
            </w:r>
          </w:p>
        </w:tc>
        <w:tc>
          <w:tcPr>
            <w:tcW w:w="567" w:type="dxa"/>
            <w:shd w:val="clear" w:color="auto" w:fill="C6EFCE"/>
            <w:noWrap/>
          </w:tcPr>
          <w:p w14:paraId="771F6154" w14:textId="77777777" w:rsidR="0065073E" w:rsidRDefault="000A0998">
            <w:pPr>
              <w:pStyle w:val="P68B1DB1-Normal12"/>
              <w:spacing w:after="0" w:line="240" w:lineRule="auto"/>
              <w:jc w:val="center"/>
              <w:rPr>
                <w:rFonts w:eastAsia="MS Mincho" w:cs="Times New Roman"/>
                <w:noProof/>
              </w:rPr>
            </w:pPr>
            <w:r>
              <w:rPr>
                <w:noProof/>
              </w:rPr>
              <w:t>2026</w:t>
            </w:r>
          </w:p>
        </w:tc>
        <w:tc>
          <w:tcPr>
            <w:tcW w:w="6096" w:type="dxa"/>
            <w:shd w:val="clear" w:color="auto" w:fill="C6EFCE"/>
            <w:noWrap/>
          </w:tcPr>
          <w:p w14:paraId="7F51EC37" w14:textId="77777777" w:rsidR="0065073E" w:rsidRDefault="000A0998">
            <w:pPr>
              <w:pStyle w:val="P68B1DB1-Normal12"/>
              <w:spacing w:after="0" w:line="240" w:lineRule="auto"/>
              <w:rPr>
                <w:rFonts w:eastAsia="MS Mincho" w:cs="Times New Roman"/>
                <w:noProof/>
              </w:rPr>
            </w:pPr>
            <w:r>
              <w:rPr>
                <w:noProof/>
              </w:rPr>
              <w:t xml:space="preserve">Ainakin 30 entistä kaivosaluetta on kunnostettu, mukaan lukien maaperän puhdistaminen, morfologian hyödyntäminen sekä entisten kaivosalueiden, jotka eivät enää ole toiminnassa, ennallistaminen ja kansalaistaminen. </w:t>
            </w:r>
          </w:p>
        </w:tc>
      </w:tr>
      <w:tr w:rsidR="0065073E" w14:paraId="34FD8005" w14:textId="77777777">
        <w:trPr>
          <w:trHeight w:val="309"/>
        </w:trPr>
        <w:tc>
          <w:tcPr>
            <w:tcW w:w="851" w:type="dxa"/>
            <w:shd w:val="clear" w:color="auto" w:fill="C6EFCE"/>
            <w:noWrap/>
          </w:tcPr>
          <w:p w14:paraId="0375044D" w14:textId="3E0D4FB5" w:rsidR="0065073E" w:rsidRDefault="000A0998">
            <w:pPr>
              <w:pStyle w:val="P68B1DB1-Normal12"/>
              <w:spacing w:after="0" w:line="240" w:lineRule="auto"/>
              <w:jc w:val="center"/>
              <w:rPr>
                <w:rFonts w:cs="Times New Roman"/>
                <w:noProof/>
              </w:rPr>
            </w:pPr>
            <w:r>
              <w:rPr>
                <w:noProof/>
              </w:rPr>
              <w:t>73</w:t>
            </w:r>
          </w:p>
        </w:tc>
        <w:tc>
          <w:tcPr>
            <w:tcW w:w="851" w:type="dxa"/>
            <w:shd w:val="clear" w:color="auto" w:fill="C6EFCE"/>
            <w:noWrap/>
          </w:tcPr>
          <w:p w14:paraId="3B32B977" w14:textId="50FD26F3" w:rsidR="0065073E" w:rsidRDefault="000A0998">
            <w:pPr>
              <w:pStyle w:val="P68B1DB1-Normal12"/>
              <w:spacing w:after="0" w:line="240" w:lineRule="auto"/>
              <w:jc w:val="center"/>
              <w:rPr>
                <w:rFonts w:cs="Times New Roman"/>
                <w:noProof/>
              </w:rPr>
            </w:pPr>
            <w:r>
              <w:rPr>
                <w:noProof/>
              </w:rPr>
              <w:t>C4.I4</w:t>
            </w:r>
          </w:p>
        </w:tc>
        <w:tc>
          <w:tcPr>
            <w:tcW w:w="992" w:type="dxa"/>
            <w:shd w:val="clear" w:color="auto" w:fill="C6EFCE"/>
            <w:noWrap/>
          </w:tcPr>
          <w:p w14:paraId="2401EC9D" w14:textId="1ACC20F4" w:rsidR="0065073E" w:rsidRDefault="000A0998">
            <w:pPr>
              <w:pStyle w:val="P68B1DB1-Normal12"/>
              <w:spacing w:after="0" w:line="240" w:lineRule="auto"/>
              <w:jc w:val="center"/>
              <w:rPr>
                <w:rFonts w:cs="Times New Roman"/>
                <w:noProof/>
              </w:rPr>
            </w:pPr>
            <w:r>
              <w:rPr>
                <w:noProof/>
              </w:rPr>
              <w:t>M</w:t>
            </w:r>
          </w:p>
        </w:tc>
        <w:tc>
          <w:tcPr>
            <w:tcW w:w="2126" w:type="dxa"/>
            <w:shd w:val="clear" w:color="auto" w:fill="C6EFCE"/>
            <w:noWrap/>
          </w:tcPr>
          <w:p w14:paraId="78DF0977" w14:textId="241900F7" w:rsidR="0065073E" w:rsidRDefault="000A0998">
            <w:pPr>
              <w:pStyle w:val="P68B1DB1-Normal12"/>
              <w:spacing w:after="0" w:line="240" w:lineRule="auto"/>
              <w:rPr>
                <w:rFonts w:cs="Times New Roman"/>
                <w:noProof/>
              </w:rPr>
            </w:pPr>
            <w:r>
              <w:rPr>
                <w:noProof/>
              </w:rPr>
              <w:t xml:space="preserve">Kestävää metsänhoitoa koskevat toimet </w:t>
            </w:r>
          </w:p>
        </w:tc>
        <w:tc>
          <w:tcPr>
            <w:tcW w:w="1276" w:type="dxa"/>
            <w:shd w:val="clear" w:color="auto" w:fill="C6EFCE"/>
            <w:noWrap/>
          </w:tcPr>
          <w:p w14:paraId="1F7B108B" w14:textId="6E46D2C7" w:rsidR="0065073E" w:rsidRDefault="000A0998">
            <w:pPr>
              <w:pStyle w:val="P68B1DB1-Normal12"/>
              <w:spacing w:after="0" w:line="240" w:lineRule="auto"/>
              <w:jc w:val="center"/>
              <w:rPr>
                <w:rFonts w:cs="Times New Roman"/>
                <w:noProof/>
              </w:rPr>
            </w:pPr>
            <w:r>
              <w:rPr>
                <w:noProof/>
              </w:rPr>
              <w:t>MITERDin allekirjoittama todistus</w:t>
            </w:r>
          </w:p>
        </w:tc>
        <w:tc>
          <w:tcPr>
            <w:tcW w:w="850" w:type="dxa"/>
            <w:shd w:val="clear" w:color="auto" w:fill="C6EFCE"/>
            <w:noWrap/>
          </w:tcPr>
          <w:p w14:paraId="4F367724" w14:textId="2E110E56"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77858754" w14:textId="5F5FBE66" w:rsidR="0065073E" w:rsidRDefault="000A0998">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58A586E4" w14:textId="771841FE" w:rsidR="0065073E" w:rsidRDefault="000A0998">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6134CFE3" w14:textId="78A89F89"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4218295B" w14:textId="77FD4B1E" w:rsidR="0065073E" w:rsidRDefault="000A0998">
            <w:pPr>
              <w:pStyle w:val="P68B1DB1-Normal12"/>
              <w:spacing w:after="0" w:line="240" w:lineRule="auto"/>
              <w:jc w:val="center"/>
              <w:rPr>
                <w:rFonts w:cs="Times New Roman"/>
                <w:noProof/>
              </w:rPr>
            </w:pPr>
            <w:r>
              <w:rPr>
                <w:noProof/>
              </w:rPr>
              <w:t xml:space="preserve">2023 </w:t>
            </w:r>
          </w:p>
        </w:tc>
        <w:tc>
          <w:tcPr>
            <w:tcW w:w="6096" w:type="dxa"/>
            <w:shd w:val="clear" w:color="auto" w:fill="C6EFCE"/>
            <w:noWrap/>
          </w:tcPr>
          <w:p w14:paraId="33F7657F" w14:textId="4B37C3F2" w:rsidR="0065073E" w:rsidRDefault="000A0998">
            <w:pPr>
              <w:pStyle w:val="P68B1DB1-Normal12"/>
              <w:spacing w:after="0" w:line="240" w:lineRule="auto"/>
              <w:rPr>
                <w:rFonts w:cs="Times New Roman"/>
                <w:noProof/>
              </w:rPr>
            </w:pPr>
            <w:r>
              <w:rPr>
                <w:noProof/>
              </w:rPr>
              <w:t xml:space="preserve">Vähintään 100 palontorjuntaan tarkoitettua erikoisajoneuvoa uusitaan. Investoinnin valintaperusteilla on varmistettava ”ei merkittävää haittaa” -periaatetta koskevien teknisten ohjeiden (2021/C58/01) noudattaminen tukemalla ainoastaan parasta saatavilla olevaa teknologiaa, jolla on vähiten ympäristövaikutuksia alalla, ottaen huomioon niiden erityistarkoitus. </w:t>
            </w:r>
          </w:p>
        </w:tc>
      </w:tr>
      <w:tr w:rsidR="0065073E" w14:paraId="23BEFE0B" w14:textId="77777777">
        <w:trPr>
          <w:trHeight w:val="309"/>
        </w:trPr>
        <w:tc>
          <w:tcPr>
            <w:tcW w:w="851" w:type="dxa"/>
            <w:shd w:val="clear" w:color="auto" w:fill="C6EFCE"/>
            <w:noWrap/>
          </w:tcPr>
          <w:p w14:paraId="25C60E7B" w14:textId="1588200C" w:rsidR="0065073E" w:rsidRDefault="000A0998">
            <w:pPr>
              <w:pStyle w:val="P68B1DB1-Normal12"/>
              <w:spacing w:after="0" w:line="240" w:lineRule="auto"/>
              <w:jc w:val="center"/>
              <w:rPr>
                <w:rFonts w:cs="Times New Roman"/>
                <w:noProof/>
              </w:rPr>
            </w:pPr>
            <w:r>
              <w:rPr>
                <w:noProof/>
              </w:rPr>
              <w:t>425</w:t>
            </w:r>
          </w:p>
        </w:tc>
        <w:tc>
          <w:tcPr>
            <w:tcW w:w="851" w:type="dxa"/>
            <w:shd w:val="clear" w:color="auto" w:fill="C6EFCE"/>
            <w:noWrap/>
          </w:tcPr>
          <w:p w14:paraId="3A265DED" w14:textId="14C3DB14" w:rsidR="0065073E" w:rsidRDefault="000A0998">
            <w:pPr>
              <w:pStyle w:val="P68B1DB1-Normal12"/>
              <w:spacing w:after="0" w:line="240" w:lineRule="auto"/>
              <w:jc w:val="center"/>
              <w:rPr>
                <w:rFonts w:cs="Times New Roman"/>
                <w:noProof/>
              </w:rPr>
            </w:pPr>
            <w:r>
              <w:rPr>
                <w:noProof/>
              </w:rPr>
              <w:t>C4.I4</w:t>
            </w:r>
          </w:p>
        </w:tc>
        <w:tc>
          <w:tcPr>
            <w:tcW w:w="992" w:type="dxa"/>
            <w:shd w:val="clear" w:color="auto" w:fill="C6EFCE"/>
            <w:noWrap/>
          </w:tcPr>
          <w:p w14:paraId="6CEE0D62" w14:textId="2FE2B40D" w:rsidR="0065073E" w:rsidRDefault="000A0998">
            <w:pPr>
              <w:pStyle w:val="P68B1DB1-Normal12"/>
              <w:spacing w:after="0" w:line="240" w:lineRule="auto"/>
              <w:jc w:val="center"/>
              <w:rPr>
                <w:rFonts w:cs="Times New Roman"/>
                <w:noProof/>
              </w:rPr>
            </w:pPr>
            <w:r>
              <w:rPr>
                <w:noProof/>
              </w:rPr>
              <w:t>M</w:t>
            </w:r>
          </w:p>
        </w:tc>
        <w:tc>
          <w:tcPr>
            <w:tcW w:w="2126" w:type="dxa"/>
            <w:shd w:val="clear" w:color="auto" w:fill="C6EFCE"/>
            <w:noWrap/>
          </w:tcPr>
          <w:p w14:paraId="038462F7" w14:textId="5C85A665" w:rsidR="0065073E" w:rsidRDefault="000A0998">
            <w:pPr>
              <w:pStyle w:val="P68B1DB1-Normal12"/>
              <w:spacing w:after="0" w:line="240" w:lineRule="auto"/>
              <w:rPr>
                <w:rFonts w:cs="Times New Roman"/>
                <w:noProof/>
              </w:rPr>
            </w:pPr>
            <w:r>
              <w:rPr>
                <w:noProof/>
              </w:rPr>
              <w:t>Kestävää metsänhoitoa koskevat toimet (II osa)</w:t>
            </w:r>
          </w:p>
        </w:tc>
        <w:tc>
          <w:tcPr>
            <w:tcW w:w="1276" w:type="dxa"/>
            <w:shd w:val="clear" w:color="auto" w:fill="C6EFCE"/>
            <w:noWrap/>
          </w:tcPr>
          <w:p w14:paraId="08D542AC" w14:textId="44C55E2E" w:rsidR="0065073E" w:rsidRDefault="000A0998">
            <w:pPr>
              <w:pStyle w:val="P68B1DB1-Normal12"/>
              <w:spacing w:after="0" w:line="240" w:lineRule="auto"/>
              <w:jc w:val="center"/>
              <w:rPr>
                <w:rFonts w:cs="Times New Roman"/>
                <w:noProof/>
              </w:rPr>
            </w:pPr>
            <w:r>
              <w:rPr>
                <w:noProof/>
              </w:rPr>
              <w:t>MITERDin allekirjoittama todistus</w:t>
            </w:r>
          </w:p>
        </w:tc>
        <w:tc>
          <w:tcPr>
            <w:tcW w:w="850" w:type="dxa"/>
            <w:shd w:val="clear" w:color="auto" w:fill="C6EFCE"/>
            <w:noWrap/>
          </w:tcPr>
          <w:p w14:paraId="786B8903" w14:textId="77777777"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507431B3" w14:textId="77777777"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14A37260" w14:textId="77777777" w:rsidR="0065073E" w:rsidRDefault="0065073E">
            <w:pPr>
              <w:spacing w:after="0" w:line="240" w:lineRule="auto"/>
              <w:jc w:val="right"/>
              <w:rPr>
                <w:rFonts w:ascii="Times New Roman" w:hAnsi="Times New Roman" w:cs="Times New Roman"/>
                <w:noProof/>
                <w:sz w:val="18"/>
              </w:rPr>
            </w:pPr>
          </w:p>
        </w:tc>
        <w:tc>
          <w:tcPr>
            <w:tcW w:w="425" w:type="dxa"/>
            <w:shd w:val="clear" w:color="auto" w:fill="C6EFCE"/>
            <w:noWrap/>
          </w:tcPr>
          <w:p w14:paraId="5D679840" w14:textId="0C83E141"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6A48C51C" w14:textId="435E4784" w:rsidR="0065073E" w:rsidRDefault="000A0998">
            <w:pPr>
              <w:pStyle w:val="P68B1DB1-Normal12"/>
              <w:spacing w:after="0" w:line="240" w:lineRule="auto"/>
              <w:jc w:val="center"/>
              <w:rPr>
                <w:rFonts w:cs="Times New Roman"/>
                <w:noProof/>
              </w:rPr>
            </w:pPr>
            <w:r>
              <w:rPr>
                <w:noProof/>
              </w:rPr>
              <w:t>2026</w:t>
            </w:r>
          </w:p>
        </w:tc>
        <w:tc>
          <w:tcPr>
            <w:tcW w:w="6096" w:type="dxa"/>
            <w:shd w:val="clear" w:color="auto" w:fill="C6EFCE"/>
            <w:noWrap/>
          </w:tcPr>
          <w:p w14:paraId="04BEB8AA" w14:textId="7676240A" w:rsidR="0065073E" w:rsidRDefault="000A0998">
            <w:pPr>
              <w:pStyle w:val="P68B1DB1-Normal12"/>
              <w:spacing w:after="0" w:line="240" w:lineRule="auto"/>
              <w:rPr>
                <w:rFonts w:cs="Times New Roman"/>
                <w:noProof/>
              </w:rPr>
            </w:pPr>
            <w:r>
              <w:rPr>
                <w:noProof/>
              </w:rPr>
              <w:t>Kestävää metsänhoitoa koskevien toimien loppuun saattaminen, mukaan lukien palokunnan tukikohtien kunnostaminen ja metsänparannustoimien loppuun saattaminen, mukaan lukien mukautuvien kestävien metsänhoitokäytäntöjen ja lajien rikastumisen suunnittelu, sekä vähintään 70 vihreää yrittäjyyttä ja paikallista biotaloutta tukevaa hanketta, jotka vastaavat toimenpiteen kuvausta. Investoinnin valintaperusteilla on varmistettava ”ei merkittävää haittaa” -periaatetta koskevien teknisten ohjeiden (2021/C58/01) noudattaminen tukemalla ainoastaan parasta saatavilla olevaa teknologiaa, jolla on vähiten ympäristövaikutuksia alalla, ottaen huomioon niiden erityistarkoitus.</w:t>
            </w:r>
          </w:p>
        </w:tc>
      </w:tr>
    </w:tbl>
    <w:p w14:paraId="6B62F1B3" w14:textId="77777777" w:rsidR="0065073E" w:rsidRDefault="0065073E">
      <w:pPr>
        <w:spacing w:before="120" w:after="120" w:line="240" w:lineRule="auto"/>
        <w:jc w:val="both"/>
        <w:rPr>
          <w:rFonts w:ascii="Times New Roman" w:hAnsi="Times New Roman" w:cs="Times New Roman"/>
          <w:noProof/>
          <w:sz w:val="24"/>
        </w:rPr>
      </w:pPr>
    </w:p>
    <w:p w14:paraId="1CCA4F00" w14:textId="2C9CB4D8" w:rsidR="0065073E" w:rsidRDefault="0065073E">
      <w:pPr>
        <w:keepNext/>
        <w:spacing w:before="120" w:after="120" w:line="240" w:lineRule="auto"/>
        <w:ind w:left="720"/>
        <w:jc w:val="both"/>
        <w:rPr>
          <w:rFonts w:ascii="Times New Roman" w:hAnsi="Times New Roman" w:cs="Times New Roman"/>
          <w:b/>
          <w:noProof/>
          <w:sz w:val="24"/>
          <w:u w:val="single"/>
        </w:rPr>
        <w:sectPr w:rsidR="0065073E" w:rsidSect="00B511EF">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60"/>
        </w:sectPr>
      </w:pPr>
    </w:p>
    <w:p w14:paraId="5254717D" w14:textId="6A1075EB" w:rsidR="0065073E" w:rsidRDefault="000A0998">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D.3. </w:t>
      </w:r>
      <w:r>
        <w:rPr>
          <w:noProof/>
        </w:rPr>
        <w:t xml:space="preserve"> </w:t>
      </w:r>
      <w:r>
        <w:rPr>
          <w:rFonts w:ascii="Times New Roman" w:hAnsi="Times New Roman"/>
          <w:b/>
          <w:noProof/>
          <w:sz w:val="24"/>
          <w:u w:val="single"/>
        </w:rPr>
        <w:t>Lainatukeen liittyvien investointien kuvaus</w:t>
      </w:r>
    </w:p>
    <w:p w14:paraId="3E0AEBC0" w14:textId="37122D8A" w:rsidR="0065073E" w:rsidRDefault="000A0998">
      <w:pPr>
        <w:pStyle w:val="P68B1DB1-Normal5"/>
        <w:spacing w:before="120" w:after="120" w:line="240" w:lineRule="auto"/>
        <w:jc w:val="both"/>
        <w:rPr>
          <w:rFonts w:cs="Times New Roman"/>
          <w:noProof/>
        </w:rPr>
      </w:pPr>
      <w:r>
        <w:rPr>
          <w:noProof/>
        </w:rPr>
        <w:t>Uudistus 4 (C4.R4) – Kansallinen strategia aavikoitumisen torjumiseksi</w:t>
      </w:r>
    </w:p>
    <w:p w14:paraId="5728AEA5" w14:textId="77777777" w:rsidR="0065073E" w:rsidRDefault="000A0998">
      <w:pPr>
        <w:pStyle w:val="P68B1DB1-Normal4"/>
        <w:spacing w:before="120" w:after="120" w:line="240" w:lineRule="auto"/>
        <w:jc w:val="both"/>
        <w:rPr>
          <w:rFonts w:cs="Times New Roman"/>
          <w:noProof/>
        </w:rPr>
      </w:pPr>
      <w:r>
        <w:rPr>
          <w:noProof/>
        </w:rPr>
        <w:t>Uudistuksella saatetaan ajan tasalle aavikoitumisen torjuntaa koskeva kansallinen strategia, jolla korvataan vuonna 2008 julkaistu aavikoitumisen torjuntaa koskeva kansallinen toimintasuunnitelma, ja luodaan uusi strateginen kehys aavikoitumisen torjumiseksi Espanjan alueella. Uudistuksen tavoitteena on edistää luonnonpääoman suojelua, säilyttämistä ja parantamista keskittymällä kuiviin, puolikuiviin ja kuiviin alakosteikkoihin ja minimoida maaperän huonontuminen.</w:t>
      </w:r>
    </w:p>
    <w:p w14:paraId="4EC0D026" w14:textId="77777777" w:rsidR="0065073E" w:rsidRDefault="000A0998">
      <w:pPr>
        <w:pStyle w:val="P68B1DB1-Normal4"/>
        <w:spacing w:before="120" w:after="120" w:line="240" w:lineRule="auto"/>
        <w:jc w:val="both"/>
        <w:rPr>
          <w:rFonts w:cs="Times New Roman"/>
          <w:noProof/>
        </w:rPr>
      </w:pPr>
      <w:r>
        <w:rPr>
          <w:noProof/>
        </w:rPr>
        <w:t xml:space="preserve">Strategiassa on kolme pilaria: </w:t>
      </w:r>
    </w:p>
    <w:p w14:paraId="55FE2456" w14:textId="77777777" w:rsidR="0065073E" w:rsidRDefault="000A0998">
      <w:pPr>
        <w:pStyle w:val="P68B1DB1-ListParagraph6"/>
        <w:numPr>
          <w:ilvl w:val="0"/>
          <w:numId w:val="41"/>
        </w:numPr>
        <w:spacing w:before="120" w:after="120" w:line="240" w:lineRule="auto"/>
        <w:jc w:val="both"/>
        <w:rPr>
          <w:rFonts w:cs="Times New Roman"/>
          <w:noProof/>
        </w:rPr>
      </w:pPr>
      <w:r>
        <w:rPr>
          <w:noProof/>
        </w:rPr>
        <w:t xml:space="preserve">Toimet aavikoitumisen ehkäisemiseksi ja vähentämiseksi ja huonontuneiden alueiden ennallistamiseksi. </w:t>
      </w:r>
    </w:p>
    <w:p w14:paraId="11C4CB9D" w14:textId="77777777" w:rsidR="0065073E" w:rsidRDefault="000A0998">
      <w:pPr>
        <w:pStyle w:val="P68B1DB1-ListParagraph6"/>
        <w:numPr>
          <w:ilvl w:val="0"/>
          <w:numId w:val="41"/>
        </w:numPr>
        <w:spacing w:before="120" w:after="120" w:line="240" w:lineRule="auto"/>
        <w:jc w:val="both"/>
        <w:rPr>
          <w:rFonts w:cs="Times New Roman"/>
          <w:noProof/>
        </w:rPr>
      </w:pPr>
      <w:r>
        <w:rPr>
          <w:noProof/>
        </w:rPr>
        <w:t xml:space="preserve">Valmiuksien kehittäminen ja hallinto. </w:t>
      </w:r>
    </w:p>
    <w:p w14:paraId="45C40DBE" w14:textId="77777777" w:rsidR="0065073E" w:rsidRDefault="000A0998">
      <w:pPr>
        <w:pStyle w:val="P68B1DB1-ListParagraph6"/>
        <w:numPr>
          <w:ilvl w:val="0"/>
          <w:numId w:val="41"/>
        </w:numPr>
        <w:spacing w:before="120" w:after="120" w:line="240" w:lineRule="auto"/>
        <w:jc w:val="both"/>
        <w:rPr>
          <w:rFonts w:cs="Times New Roman"/>
          <w:noProof/>
        </w:rPr>
      </w:pPr>
      <w:r>
        <w:rPr>
          <w:noProof/>
        </w:rPr>
        <w:t xml:space="preserve">Osaaminen ja yhteiskunta: toimet tietämyksen, avoimuuden ja kansalaisosallistumisen parantamiseksi. </w:t>
      </w:r>
    </w:p>
    <w:p w14:paraId="0D500559" w14:textId="134B0C9F" w:rsidR="0065073E" w:rsidRDefault="000A0998">
      <w:pPr>
        <w:pStyle w:val="P68B1DB1-Normal4"/>
        <w:spacing w:before="120" w:after="120" w:line="240" w:lineRule="auto"/>
        <w:jc w:val="both"/>
        <w:rPr>
          <w:rFonts w:cs="Times New Roman"/>
          <w:noProof/>
        </w:rPr>
      </w:pPr>
      <w:r>
        <w:rPr>
          <w:noProof/>
        </w:rPr>
        <w:t xml:space="preserve">Tähän uudistukseen sisältyy toimintasuunnitelma vuosiksi 2022–2026. Toimintasuunnitelmalla edistetään strategian kehittämistä, määritetään painopisteet ja vahvistetaan niiden sisältö ja täytäntöönpanon aikataulu. </w:t>
      </w:r>
    </w:p>
    <w:p w14:paraId="51E9DA35" w14:textId="77777777" w:rsidR="0065073E" w:rsidRDefault="000A0998">
      <w:pPr>
        <w:pStyle w:val="P68B1DB1-Normal4"/>
        <w:spacing w:before="120" w:after="120" w:line="240" w:lineRule="auto"/>
        <w:jc w:val="both"/>
        <w:rPr>
          <w:rFonts w:cs="Times New Roman"/>
          <w:noProof/>
        </w:rPr>
      </w:pPr>
      <w:r>
        <w:rPr>
          <w:noProof/>
        </w:rPr>
        <w:t xml:space="preserve">Strategialla edistetään myös aavikoitumista käsittelevien toimijoiden välistä koordinointia ja yhteistyötä, ja sillä perustetaan seuraavat kollegiaaliset elimet: </w:t>
      </w:r>
    </w:p>
    <w:p w14:paraId="136509E9" w14:textId="77777777" w:rsidR="0065073E" w:rsidRDefault="000A0998">
      <w:pPr>
        <w:pStyle w:val="P68B1DB1-ListParagraph6"/>
        <w:numPr>
          <w:ilvl w:val="0"/>
          <w:numId w:val="39"/>
        </w:numPr>
        <w:spacing w:before="120" w:after="120" w:line="240" w:lineRule="auto"/>
        <w:jc w:val="both"/>
        <w:rPr>
          <w:rFonts w:cs="Times New Roman"/>
          <w:noProof/>
        </w:rPr>
      </w:pPr>
      <w:r>
        <w:rPr>
          <w:noProof/>
        </w:rPr>
        <w:t xml:space="preserve">Luonnonperintöä ja luonnon monimuotoisuutta käsittelevän kansallisen komitean yhteydessä toimiva aavikoitumisen vastainen kansallinen komitea. Komitean tavoitteena on toimia neuvoa-antavana elimenä ja edistää yhteistyötä kansallisen hallinnon ja itsehallintoalueiden hallintojen välillä. </w:t>
      </w:r>
    </w:p>
    <w:p w14:paraId="2639DD47" w14:textId="77777777" w:rsidR="0065073E" w:rsidRDefault="000A0998">
      <w:pPr>
        <w:pStyle w:val="P68B1DB1-ListParagraph6"/>
        <w:numPr>
          <w:ilvl w:val="0"/>
          <w:numId w:val="39"/>
        </w:numPr>
        <w:spacing w:before="120" w:after="120" w:line="240" w:lineRule="auto"/>
        <w:jc w:val="both"/>
        <w:rPr>
          <w:rFonts w:cs="Times New Roman"/>
          <w:noProof/>
        </w:rPr>
      </w:pPr>
      <w:r>
        <w:rPr>
          <w:noProof/>
        </w:rPr>
        <w:t>Kansallinen aavikoitumisen vastainen neuvosto. Tämä elin toimii neuvoa-antavana elimenä, joka tukee kansallista hallintoa ja osallistuu tieteellisen ja kansalaisyhteiskunnan koordinointiin; ja</w:t>
      </w:r>
    </w:p>
    <w:p w14:paraId="14EAB806" w14:textId="77777777" w:rsidR="0065073E" w:rsidRDefault="000A0998">
      <w:pPr>
        <w:pStyle w:val="P68B1DB1-ListParagraph6"/>
        <w:numPr>
          <w:ilvl w:val="0"/>
          <w:numId w:val="39"/>
        </w:numPr>
        <w:spacing w:before="120" w:after="120" w:line="240" w:lineRule="auto"/>
        <w:jc w:val="both"/>
        <w:rPr>
          <w:rFonts w:cs="Times New Roman"/>
          <w:noProof/>
        </w:rPr>
      </w:pPr>
      <w:r>
        <w:rPr>
          <w:noProof/>
        </w:rPr>
        <w:t xml:space="preserve">Luonnon monimuotoisuuden, metsien ja aavikoitumisen pääosaston aavikoitumisen torjunnan tekninen yksikkö ekologisesta siirtymästä ja väestöhaasteista vastaavan ministeriön alaisuudessa. Yksikkö vastaa aavikoitumista koskevien toimenpiteiden ja toimien kehittämisestä, täytäntöönpanosta ja koordinoinnista Espanjan alueella. </w:t>
      </w:r>
    </w:p>
    <w:p w14:paraId="1727D508" w14:textId="5E4C4118"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2024 mennessä.</w:t>
      </w:r>
    </w:p>
    <w:p w14:paraId="01C9430F" w14:textId="77777777" w:rsidR="0065073E" w:rsidRDefault="0065073E">
      <w:pPr>
        <w:spacing w:before="120" w:after="120" w:line="240" w:lineRule="auto"/>
        <w:jc w:val="both"/>
        <w:rPr>
          <w:rFonts w:ascii="Times New Roman" w:hAnsi="Times New Roman" w:cs="Times New Roman"/>
          <w:noProof/>
          <w:sz w:val="24"/>
        </w:rPr>
      </w:pPr>
    </w:p>
    <w:p w14:paraId="2CBFC02A" w14:textId="23C034D3"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D.4 </w:t>
      </w:r>
      <w:r>
        <w:rPr>
          <w:noProof/>
        </w:rPr>
        <w:t xml:space="preserve"> </w:t>
      </w:r>
      <w:r>
        <w:rPr>
          <w:rFonts w:ascii="Times New Roman" w:hAnsi="Times New Roman"/>
          <w:b/>
          <w:noProof/>
          <w:sz w:val="24"/>
          <w:u w:val="single"/>
        </w:rPr>
        <w:t xml:space="preserve">Lainatuen seurannan ja täytäntöönpanon välitavoitteet, tavoitteet, indikaattorit ja aikataulu </w:t>
      </w:r>
    </w:p>
    <w:p w14:paraId="533BCFD1" w14:textId="77B04D19"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510ED064" w14:textId="2F536112" w:rsidR="0065073E" w:rsidRDefault="0065073E">
      <w:pPr>
        <w:spacing w:before="120" w:after="120" w:line="240" w:lineRule="auto"/>
        <w:jc w:val="both"/>
        <w:rPr>
          <w:rFonts w:ascii="Times New Roman" w:hAnsi="Times New Roman" w:cs="Times New Roman"/>
          <w:b/>
          <w:noProof/>
          <w:sz w:val="24"/>
          <w:u w:val="single"/>
        </w:rPr>
      </w:pPr>
    </w:p>
    <w:p w14:paraId="42BFB184" w14:textId="16096736"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60"/>
        </w:sectPr>
      </w:pPr>
    </w:p>
    <w:p w14:paraId="2F4418AF" w14:textId="77777777" w:rsidR="0065073E" w:rsidRDefault="0065073E">
      <w:pPr>
        <w:spacing w:before="120" w:after="120" w:line="240" w:lineRule="auto"/>
        <w:jc w:val="both"/>
        <w:rPr>
          <w:rFonts w:ascii="Times New Roman" w:hAnsi="Times New Roman" w:cs="Times New Roman"/>
          <w:noProof/>
          <w:sz w:val="24"/>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822"/>
        <w:gridCol w:w="821"/>
        <w:gridCol w:w="2731"/>
        <w:gridCol w:w="958"/>
        <w:gridCol w:w="821"/>
        <w:gridCol w:w="957"/>
        <w:gridCol w:w="685"/>
        <w:gridCol w:w="412"/>
        <w:gridCol w:w="548"/>
        <w:gridCol w:w="5869"/>
      </w:tblGrid>
      <w:tr w:rsidR="0065073E" w14:paraId="0982F655" w14:textId="77777777">
        <w:trPr>
          <w:trHeight w:val="309"/>
          <w:tblHeader/>
        </w:trPr>
        <w:tc>
          <w:tcPr>
            <w:tcW w:w="828" w:type="dxa"/>
            <w:tcBorders>
              <w:bottom w:val="nil"/>
            </w:tcBorders>
            <w:shd w:val="clear" w:color="auto" w:fill="C6D9F1" w:themeFill="text2" w:themeFillTint="33"/>
            <w:noWrap/>
            <w:vAlign w:val="center"/>
          </w:tcPr>
          <w:p w14:paraId="434CDFC2" w14:textId="77777777" w:rsidR="0065073E" w:rsidRDefault="000A0998">
            <w:pPr>
              <w:pStyle w:val="P68B1DB1-Normal8"/>
              <w:spacing w:after="0" w:line="240" w:lineRule="auto"/>
              <w:jc w:val="center"/>
              <w:rPr>
                <w:rFonts w:cs="Times New Roman"/>
                <w:noProof/>
              </w:rPr>
            </w:pPr>
            <w:r>
              <w:rPr>
                <w:noProof/>
              </w:rPr>
              <w:t>Määrä</w:t>
            </w:r>
          </w:p>
        </w:tc>
        <w:tc>
          <w:tcPr>
            <w:tcW w:w="822" w:type="dxa"/>
            <w:tcBorders>
              <w:bottom w:val="nil"/>
            </w:tcBorders>
            <w:shd w:val="clear" w:color="auto" w:fill="C6D9F1" w:themeFill="text2" w:themeFillTint="33"/>
            <w:noWrap/>
            <w:vAlign w:val="center"/>
          </w:tcPr>
          <w:p w14:paraId="7730F4B5" w14:textId="77777777" w:rsidR="0065073E" w:rsidRDefault="000A0998">
            <w:pPr>
              <w:pStyle w:val="P68B1DB1-Normal8"/>
              <w:spacing w:after="0" w:line="240" w:lineRule="auto"/>
              <w:jc w:val="center"/>
              <w:rPr>
                <w:rFonts w:cs="Times New Roman"/>
                <w:noProof/>
              </w:rPr>
            </w:pPr>
            <w:r>
              <w:rPr>
                <w:noProof/>
              </w:rPr>
              <w:t>Toimenpide</w:t>
            </w:r>
          </w:p>
        </w:tc>
        <w:tc>
          <w:tcPr>
            <w:tcW w:w="821" w:type="dxa"/>
            <w:tcBorders>
              <w:bottom w:val="nil"/>
            </w:tcBorders>
            <w:shd w:val="clear" w:color="auto" w:fill="C6D9F1" w:themeFill="text2" w:themeFillTint="33"/>
            <w:noWrap/>
            <w:vAlign w:val="center"/>
          </w:tcPr>
          <w:p w14:paraId="2C28BECA"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731" w:type="dxa"/>
            <w:tcBorders>
              <w:bottom w:val="nil"/>
            </w:tcBorders>
            <w:shd w:val="clear" w:color="auto" w:fill="C6D9F1" w:themeFill="text2" w:themeFillTint="33"/>
            <w:noWrap/>
            <w:vAlign w:val="center"/>
          </w:tcPr>
          <w:p w14:paraId="322C08C0" w14:textId="77777777" w:rsidR="0065073E" w:rsidRDefault="000A0998">
            <w:pPr>
              <w:pStyle w:val="P68B1DB1-Normal8"/>
              <w:spacing w:after="0" w:line="240" w:lineRule="auto"/>
              <w:jc w:val="center"/>
              <w:rPr>
                <w:rFonts w:cs="Times New Roman"/>
                <w:noProof/>
              </w:rPr>
            </w:pPr>
            <w:r>
              <w:rPr>
                <w:noProof/>
              </w:rPr>
              <w:t>Nimi</w:t>
            </w:r>
          </w:p>
        </w:tc>
        <w:tc>
          <w:tcPr>
            <w:tcW w:w="958" w:type="dxa"/>
            <w:tcBorders>
              <w:bottom w:val="nil"/>
            </w:tcBorders>
            <w:shd w:val="clear" w:color="auto" w:fill="C6D9F1" w:themeFill="text2" w:themeFillTint="33"/>
            <w:noWrap/>
            <w:vAlign w:val="center"/>
          </w:tcPr>
          <w:p w14:paraId="5E587E85"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63" w:type="dxa"/>
            <w:gridSpan w:val="3"/>
            <w:shd w:val="clear" w:color="auto" w:fill="C6D9F1" w:themeFill="text2" w:themeFillTint="33"/>
            <w:noWrap/>
            <w:vAlign w:val="center"/>
          </w:tcPr>
          <w:p w14:paraId="03FAAD2E"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0" w:type="dxa"/>
            <w:gridSpan w:val="2"/>
            <w:shd w:val="clear" w:color="auto" w:fill="C6D9F1" w:themeFill="text2" w:themeFillTint="33"/>
            <w:noWrap/>
            <w:vAlign w:val="center"/>
          </w:tcPr>
          <w:p w14:paraId="42D270AA" w14:textId="77777777" w:rsidR="0065073E" w:rsidRDefault="000A0998">
            <w:pPr>
              <w:pStyle w:val="P68B1DB1-Normal8"/>
              <w:spacing w:after="0" w:line="240" w:lineRule="auto"/>
              <w:jc w:val="center"/>
              <w:rPr>
                <w:rFonts w:cs="Times New Roman"/>
                <w:noProof/>
              </w:rPr>
            </w:pPr>
            <w:r>
              <w:rPr>
                <w:noProof/>
              </w:rPr>
              <w:t>Aika</w:t>
            </w:r>
          </w:p>
        </w:tc>
        <w:tc>
          <w:tcPr>
            <w:tcW w:w="5869" w:type="dxa"/>
            <w:tcBorders>
              <w:bottom w:val="nil"/>
            </w:tcBorders>
            <w:shd w:val="clear" w:color="auto" w:fill="C6D9F1" w:themeFill="text2" w:themeFillTint="33"/>
            <w:noWrap/>
            <w:vAlign w:val="center"/>
          </w:tcPr>
          <w:p w14:paraId="1E38F104"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22567CB0" w14:textId="77777777">
        <w:trPr>
          <w:trHeight w:val="309"/>
          <w:tblHeader/>
        </w:trPr>
        <w:tc>
          <w:tcPr>
            <w:tcW w:w="828" w:type="dxa"/>
            <w:tcBorders>
              <w:top w:val="nil"/>
            </w:tcBorders>
            <w:shd w:val="clear" w:color="auto" w:fill="C6D9F1" w:themeFill="text2" w:themeFillTint="33"/>
            <w:noWrap/>
          </w:tcPr>
          <w:p w14:paraId="0030C01F" w14:textId="77777777" w:rsidR="0065073E" w:rsidRDefault="0065073E">
            <w:pPr>
              <w:spacing w:after="0" w:line="240" w:lineRule="auto"/>
              <w:jc w:val="center"/>
              <w:rPr>
                <w:rFonts w:ascii="Times New Roman" w:hAnsi="Times New Roman" w:cs="Times New Roman"/>
                <w:b/>
                <w:noProof/>
                <w:sz w:val="18"/>
              </w:rPr>
            </w:pPr>
          </w:p>
        </w:tc>
        <w:tc>
          <w:tcPr>
            <w:tcW w:w="822" w:type="dxa"/>
            <w:tcBorders>
              <w:top w:val="nil"/>
            </w:tcBorders>
            <w:shd w:val="clear" w:color="auto" w:fill="C6D9F1" w:themeFill="text2" w:themeFillTint="33"/>
            <w:noWrap/>
          </w:tcPr>
          <w:p w14:paraId="6947234D" w14:textId="77777777" w:rsidR="0065073E" w:rsidRDefault="0065073E">
            <w:pPr>
              <w:spacing w:after="0" w:line="240" w:lineRule="auto"/>
              <w:jc w:val="center"/>
              <w:rPr>
                <w:rFonts w:ascii="Times New Roman" w:hAnsi="Times New Roman" w:cs="Times New Roman"/>
                <w:b/>
                <w:noProof/>
                <w:sz w:val="18"/>
              </w:rPr>
            </w:pPr>
          </w:p>
        </w:tc>
        <w:tc>
          <w:tcPr>
            <w:tcW w:w="821" w:type="dxa"/>
            <w:tcBorders>
              <w:top w:val="nil"/>
            </w:tcBorders>
            <w:shd w:val="clear" w:color="auto" w:fill="C6D9F1" w:themeFill="text2" w:themeFillTint="33"/>
            <w:noWrap/>
          </w:tcPr>
          <w:p w14:paraId="69222A19" w14:textId="77777777" w:rsidR="0065073E" w:rsidRDefault="0065073E">
            <w:pPr>
              <w:spacing w:after="0" w:line="240" w:lineRule="auto"/>
              <w:jc w:val="center"/>
              <w:rPr>
                <w:rFonts w:ascii="Times New Roman" w:hAnsi="Times New Roman" w:cs="Times New Roman"/>
                <w:b/>
                <w:noProof/>
                <w:sz w:val="18"/>
              </w:rPr>
            </w:pPr>
          </w:p>
        </w:tc>
        <w:tc>
          <w:tcPr>
            <w:tcW w:w="2731" w:type="dxa"/>
            <w:tcBorders>
              <w:top w:val="nil"/>
            </w:tcBorders>
            <w:shd w:val="clear" w:color="auto" w:fill="C6D9F1" w:themeFill="text2" w:themeFillTint="33"/>
            <w:noWrap/>
          </w:tcPr>
          <w:p w14:paraId="5EB5E33D" w14:textId="77777777" w:rsidR="0065073E" w:rsidRDefault="0065073E">
            <w:pPr>
              <w:spacing w:after="0" w:line="240" w:lineRule="auto"/>
              <w:rPr>
                <w:rFonts w:ascii="Times New Roman" w:hAnsi="Times New Roman" w:cs="Times New Roman"/>
                <w:b/>
                <w:noProof/>
                <w:sz w:val="18"/>
              </w:rPr>
            </w:pPr>
          </w:p>
        </w:tc>
        <w:tc>
          <w:tcPr>
            <w:tcW w:w="958" w:type="dxa"/>
            <w:tcBorders>
              <w:top w:val="nil"/>
            </w:tcBorders>
            <w:shd w:val="clear" w:color="auto" w:fill="C6D9F1" w:themeFill="text2" w:themeFillTint="33"/>
            <w:noWrap/>
          </w:tcPr>
          <w:p w14:paraId="02DB730E" w14:textId="77777777" w:rsidR="0065073E" w:rsidRDefault="0065073E">
            <w:pPr>
              <w:spacing w:after="0" w:line="240" w:lineRule="auto"/>
              <w:jc w:val="center"/>
              <w:rPr>
                <w:rFonts w:ascii="Times New Roman" w:hAnsi="Times New Roman" w:cs="Times New Roman"/>
                <w:b/>
                <w:noProof/>
                <w:sz w:val="18"/>
              </w:rPr>
            </w:pPr>
          </w:p>
        </w:tc>
        <w:tc>
          <w:tcPr>
            <w:tcW w:w="821" w:type="dxa"/>
            <w:shd w:val="clear" w:color="auto" w:fill="C6D9F1" w:themeFill="text2" w:themeFillTint="33"/>
            <w:noWrap/>
            <w:vAlign w:val="center"/>
          </w:tcPr>
          <w:p w14:paraId="37D99609" w14:textId="77777777" w:rsidR="0065073E" w:rsidRDefault="000A0998">
            <w:pPr>
              <w:pStyle w:val="P68B1DB1-Normal8"/>
              <w:spacing w:after="0" w:line="240" w:lineRule="auto"/>
              <w:jc w:val="center"/>
              <w:rPr>
                <w:rFonts w:cs="Times New Roman"/>
                <w:noProof/>
              </w:rPr>
            </w:pPr>
            <w:r>
              <w:rPr>
                <w:noProof/>
              </w:rPr>
              <w:t>Yksikkö</w:t>
            </w:r>
          </w:p>
        </w:tc>
        <w:tc>
          <w:tcPr>
            <w:tcW w:w="957" w:type="dxa"/>
            <w:shd w:val="clear" w:color="auto" w:fill="C6D9F1" w:themeFill="text2" w:themeFillTint="33"/>
            <w:noWrap/>
            <w:vAlign w:val="center"/>
          </w:tcPr>
          <w:p w14:paraId="315DA8B8" w14:textId="61D4829A" w:rsidR="0065073E" w:rsidRDefault="000A0998">
            <w:pPr>
              <w:pStyle w:val="P68B1DB1-Normal8"/>
              <w:spacing w:after="0" w:line="240" w:lineRule="auto"/>
              <w:jc w:val="center"/>
              <w:rPr>
                <w:rFonts w:cs="Times New Roman"/>
                <w:noProof/>
              </w:rPr>
            </w:pPr>
            <w:r>
              <w:rPr>
                <w:noProof/>
              </w:rPr>
              <w:t>Lähtötaso</w:t>
            </w:r>
          </w:p>
        </w:tc>
        <w:tc>
          <w:tcPr>
            <w:tcW w:w="685" w:type="dxa"/>
            <w:shd w:val="clear" w:color="auto" w:fill="C6D9F1" w:themeFill="text2" w:themeFillTint="33"/>
            <w:noWrap/>
            <w:vAlign w:val="center"/>
          </w:tcPr>
          <w:p w14:paraId="711E7654" w14:textId="77777777" w:rsidR="0065073E" w:rsidRDefault="000A0998">
            <w:pPr>
              <w:pStyle w:val="P68B1DB1-Normal8"/>
              <w:spacing w:after="0" w:line="240" w:lineRule="auto"/>
              <w:jc w:val="center"/>
              <w:rPr>
                <w:rFonts w:cs="Times New Roman"/>
                <w:noProof/>
              </w:rPr>
            </w:pPr>
            <w:r>
              <w:rPr>
                <w:noProof/>
              </w:rPr>
              <w:t>Päämäärä</w:t>
            </w:r>
          </w:p>
        </w:tc>
        <w:tc>
          <w:tcPr>
            <w:tcW w:w="412" w:type="dxa"/>
            <w:shd w:val="clear" w:color="auto" w:fill="C6D9F1" w:themeFill="text2" w:themeFillTint="33"/>
            <w:noWrap/>
            <w:vAlign w:val="center"/>
          </w:tcPr>
          <w:p w14:paraId="38AE6C67" w14:textId="77777777" w:rsidR="0065073E" w:rsidRDefault="000A0998">
            <w:pPr>
              <w:pStyle w:val="P68B1DB1-Normal8"/>
              <w:spacing w:after="0" w:line="240" w:lineRule="auto"/>
              <w:jc w:val="center"/>
              <w:rPr>
                <w:rFonts w:cs="Times New Roman"/>
                <w:noProof/>
              </w:rPr>
            </w:pPr>
            <w:r>
              <w:rPr>
                <w:noProof/>
              </w:rPr>
              <w:t>Q</w:t>
            </w:r>
          </w:p>
        </w:tc>
        <w:tc>
          <w:tcPr>
            <w:tcW w:w="548" w:type="dxa"/>
            <w:shd w:val="clear" w:color="auto" w:fill="C6D9F1" w:themeFill="text2" w:themeFillTint="33"/>
            <w:noWrap/>
            <w:vAlign w:val="center"/>
          </w:tcPr>
          <w:p w14:paraId="168176E0" w14:textId="77777777" w:rsidR="0065073E" w:rsidRDefault="000A0998">
            <w:pPr>
              <w:pStyle w:val="P68B1DB1-Normal8"/>
              <w:spacing w:after="0" w:line="240" w:lineRule="auto"/>
              <w:jc w:val="center"/>
              <w:rPr>
                <w:rFonts w:cs="Times New Roman"/>
                <w:noProof/>
              </w:rPr>
            </w:pPr>
            <w:r>
              <w:rPr>
                <w:noProof/>
              </w:rPr>
              <w:t>Vuosi</w:t>
            </w:r>
          </w:p>
        </w:tc>
        <w:tc>
          <w:tcPr>
            <w:tcW w:w="5869" w:type="dxa"/>
            <w:tcBorders>
              <w:top w:val="nil"/>
            </w:tcBorders>
            <w:shd w:val="clear" w:color="auto" w:fill="C6D9F1" w:themeFill="text2" w:themeFillTint="33"/>
            <w:noWrap/>
          </w:tcPr>
          <w:p w14:paraId="7FBA1F7A" w14:textId="77777777" w:rsidR="0065073E" w:rsidRDefault="0065073E">
            <w:pPr>
              <w:spacing w:after="0" w:line="240" w:lineRule="auto"/>
              <w:rPr>
                <w:rFonts w:ascii="Times New Roman" w:hAnsi="Times New Roman" w:cs="Times New Roman"/>
                <w:b/>
                <w:noProof/>
                <w:sz w:val="18"/>
              </w:rPr>
            </w:pPr>
          </w:p>
        </w:tc>
      </w:tr>
      <w:tr w:rsidR="0065073E" w14:paraId="0CF12790" w14:textId="77777777">
        <w:trPr>
          <w:trHeight w:val="309"/>
        </w:trPr>
        <w:tc>
          <w:tcPr>
            <w:tcW w:w="828" w:type="dxa"/>
            <w:shd w:val="clear" w:color="auto" w:fill="C6EFCE"/>
            <w:noWrap/>
          </w:tcPr>
          <w:p w14:paraId="57980422" w14:textId="4C50EFCC" w:rsidR="0065073E" w:rsidRDefault="000A0998">
            <w:pPr>
              <w:pStyle w:val="P68B1DB1-Normal12"/>
              <w:spacing w:after="0" w:line="240" w:lineRule="auto"/>
              <w:jc w:val="center"/>
              <w:rPr>
                <w:rFonts w:eastAsia="MS Mincho" w:cs="Times New Roman"/>
                <w:noProof/>
              </w:rPr>
            </w:pPr>
            <w:r>
              <w:rPr>
                <w:noProof/>
              </w:rPr>
              <w:t>L12</w:t>
            </w:r>
          </w:p>
          <w:p w14:paraId="6AFA3F08" w14:textId="73A98BC6" w:rsidR="0065073E" w:rsidRDefault="0065073E">
            <w:pPr>
              <w:spacing w:after="0" w:line="240" w:lineRule="auto"/>
              <w:jc w:val="center"/>
              <w:rPr>
                <w:rFonts w:ascii="Times New Roman" w:eastAsia="MS Mincho" w:hAnsi="Times New Roman" w:cs="Times New Roman"/>
                <w:noProof/>
                <w:sz w:val="18"/>
              </w:rPr>
            </w:pPr>
          </w:p>
        </w:tc>
        <w:tc>
          <w:tcPr>
            <w:tcW w:w="822" w:type="dxa"/>
            <w:shd w:val="clear" w:color="auto" w:fill="C6EFCE"/>
            <w:noWrap/>
          </w:tcPr>
          <w:p w14:paraId="1D51009B" w14:textId="7DFE2321" w:rsidR="0065073E" w:rsidRDefault="000A0998">
            <w:pPr>
              <w:pStyle w:val="P68B1DB1-Normal12"/>
              <w:spacing w:after="0" w:line="240" w:lineRule="auto"/>
              <w:jc w:val="center"/>
              <w:rPr>
                <w:rFonts w:eastAsia="MS Mincho" w:cs="Times New Roman"/>
                <w:noProof/>
              </w:rPr>
            </w:pPr>
            <w:r>
              <w:rPr>
                <w:noProof/>
              </w:rPr>
              <w:t>C4.R4</w:t>
            </w:r>
          </w:p>
        </w:tc>
        <w:tc>
          <w:tcPr>
            <w:tcW w:w="821" w:type="dxa"/>
            <w:shd w:val="clear" w:color="auto" w:fill="C6EFCE"/>
            <w:noWrap/>
          </w:tcPr>
          <w:p w14:paraId="479106F6" w14:textId="7D6B9A07" w:rsidR="0065073E" w:rsidRDefault="000A0998">
            <w:pPr>
              <w:pStyle w:val="P68B1DB1-Normal12"/>
              <w:spacing w:after="0" w:line="240" w:lineRule="auto"/>
              <w:jc w:val="center"/>
              <w:rPr>
                <w:rFonts w:eastAsia="MS Mincho" w:cs="Times New Roman"/>
                <w:noProof/>
              </w:rPr>
            </w:pPr>
            <w:r>
              <w:rPr>
                <w:noProof/>
              </w:rPr>
              <w:t>M</w:t>
            </w:r>
          </w:p>
        </w:tc>
        <w:tc>
          <w:tcPr>
            <w:tcW w:w="2731" w:type="dxa"/>
            <w:shd w:val="clear" w:color="auto" w:fill="C6EFCE"/>
            <w:noWrap/>
          </w:tcPr>
          <w:p w14:paraId="21C4DE3D" w14:textId="4341CCBB" w:rsidR="0065073E" w:rsidRDefault="000A0998">
            <w:pPr>
              <w:pStyle w:val="P68B1DB1-Normal12"/>
              <w:spacing w:after="0" w:line="240" w:lineRule="auto"/>
              <w:rPr>
                <w:rFonts w:eastAsia="MS Mincho" w:cs="Times New Roman"/>
                <w:noProof/>
              </w:rPr>
            </w:pPr>
            <w:r>
              <w:rPr>
                <w:noProof/>
              </w:rPr>
              <w:t xml:space="preserve">Aavikoitumisen torjuntaa koskevan kansallisen strategian ja siihen liittyvän toimintasuunnitelman (2022–2026) hyväksyminen ja kollegiaalisten elinten perustaminen.  </w:t>
            </w:r>
          </w:p>
        </w:tc>
        <w:tc>
          <w:tcPr>
            <w:tcW w:w="958" w:type="dxa"/>
            <w:shd w:val="clear" w:color="auto" w:fill="C6EFCE"/>
            <w:noWrap/>
          </w:tcPr>
          <w:p w14:paraId="188E9FF5" w14:textId="79B328D4" w:rsidR="0065073E" w:rsidRDefault="000A0998">
            <w:pPr>
              <w:pStyle w:val="P68B1DB1-Normal12"/>
              <w:spacing w:after="0" w:line="240" w:lineRule="auto"/>
              <w:jc w:val="center"/>
              <w:rPr>
                <w:rFonts w:eastAsia="MS Mincho" w:cs="Times New Roman"/>
                <w:noProof/>
              </w:rPr>
            </w:pPr>
            <w:r>
              <w:rPr>
                <w:noProof/>
              </w:rPr>
              <w:t>Julkaiseminen virallisessa lehdessä</w:t>
            </w:r>
          </w:p>
        </w:tc>
        <w:tc>
          <w:tcPr>
            <w:tcW w:w="821" w:type="dxa"/>
            <w:shd w:val="clear" w:color="auto" w:fill="C6EFCE"/>
            <w:noWrap/>
          </w:tcPr>
          <w:p w14:paraId="329B2CA8" w14:textId="1B21E023" w:rsidR="0065073E" w:rsidRDefault="000A0998">
            <w:pPr>
              <w:pStyle w:val="P68B1DB1-Normal12"/>
              <w:spacing w:after="0" w:line="240" w:lineRule="auto"/>
              <w:rPr>
                <w:rFonts w:eastAsia="MS Mincho" w:cs="Times New Roman"/>
                <w:noProof/>
              </w:rPr>
            </w:pPr>
            <w:r>
              <w:rPr>
                <w:noProof/>
              </w:rPr>
              <w:t xml:space="preserve"> </w:t>
            </w:r>
          </w:p>
        </w:tc>
        <w:tc>
          <w:tcPr>
            <w:tcW w:w="957" w:type="dxa"/>
            <w:shd w:val="clear" w:color="auto" w:fill="C6EFCE"/>
            <w:noWrap/>
          </w:tcPr>
          <w:p w14:paraId="060CFAC8" w14:textId="418932F9" w:rsidR="0065073E" w:rsidRDefault="000A0998">
            <w:pPr>
              <w:pStyle w:val="P68B1DB1-Normal12"/>
              <w:spacing w:after="0" w:line="240" w:lineRule="auto"/>
              <w:jc w:val="right"/>
              <w:rPr>
                <w:rFonts w:eastAsia="MS Mincho" w:cs="Times New Roman"/>
                <w:noProof/>
              </w:rPr>
            </w:pPr>
            <w:r>
              <w:rPr>
                <w:noProof/>
              </w:rPr>
              <w:t xml:space="preserve"> </w:t>
            </w:r>
          </w:p>
        </w:tc>
        <w:tc>
          <w:tcPr>
            <w:tcW w:w="685" w:type="dxa"/>
            <w:shd w:val="clear" w:color="auto" w:fill="C6EFCE"/>
            <w:noWrap/>
          </w:tcPr>
          <w:p w14:paraId="3AFD84A7" w14:textId="3D5AB106" w:rsidR="0065073E" w:rsidRDefault="000A0998">
            <w:pPr>
              <w:pStyle w:val="P68B1DB1-Normal12"/>
              <w:spacing w:after="0" w:line="240" w:lineRule="auto"/>
              <w:jc w:val="right"/>
              <w:rPr>
                <w:rFonts w:eastAsia="MS Mincho" w:cs="Times New Roman"/>
                <w:noProof/>
              </w:rPr>
            </w:pPr>
            <w:r>
              <w:rPr>
                <w:noProof/>
              </w:rPr>
              <w:t xml:space="preserve"> </w:t>
            </w:r>
          </w:p>
        </w:tc>
        <w:tc>
          <w:tcPr>
            <w:tcW w:w="412" w:type="dxa"/>
            <w:shd w:val="clear" w:color="auto" w:fill="C6EFCE"/>
            <w:noWrap/>
          </w:tcPr>
          <w:p w14:paraId="2AD6C4C6" w14:textId="72BBB14D" w:rsidR="0065073E" w:rsidRDefault="000A0998">
            <w:pPr>
              <w:pStyle w:val="P68B1DB1-Normal12"/>
              <w:spacing w:after="0" w:line="240" w:lineRule="auto"/>
              <w:jc w:val="center"/>
              <w:rPr>
                <w:rFonts w:eastAsia="MS Mincho" w:cs="Times New Roman"/>
                <w:noProof/>
              </w:rPr>
            </w:pPr>
            <w:r>
              <w:rPr>
                <w:noProof/>
              </w:rPr>
              <w:t>Q4</w:t>
            </w:r>
          </w:p>
        </w:tc>
        <w:tc>
          <w:tcPr>
            <w:tcW w:w="548" w:type="dxa"/>
            <w:shd w:val="clear" w:color="auto" w:fill="C6EFCE"/>
            <w:noWrap/>
          </w:tcPr>
          <w:p w14:paraId="0C47AC0F" w14:textId="743AEA69" w:rsidR="0065073E" w:rsidRDefault="000A0998">
            <w:pPr>
              <w:pStyle w:val="P68B1DB1-Normal12"/>
              <w:spacing w:after="0" w:line="240" w:lineRule="auto"/>
              <w:jc w:val="center"/>
              <w:rPr>
                <w:rFonts w:eastAsia="MS Mincho" w:cs="Times New Roman"/>
                <w:noProof/>
              </w:rPr>
            </w:pPr>
            <w:r>
              <w:rPr>
                <w:noProof/>
              </w:rPr>
              <w:t>2024</w:t>
            </w:r>
          </w:p>
        </w:tc>
        <w:tc>
          <w:tcPr>
            <w:tcW w:w="5869" w:type="dxa"/>
            <w:shd w:val="clear" w:color="auto" w:fill="C6EFCE"/>
            <w:noWrap/>
          </w:tcPr>
          <w:p w14:paraId="34A083E8" w14:textId="18CB5AE9" w:rsidR="0065073E" w:rsidRDefault="000A0998">
            <w:pPr>
              <w:pStyle w:val="P68B1DB1-Normal12"/>
              <w:spacing w:after="0" w:line="240" w:lineRule="auto"/>
              <w:rPr>
                <w:rFonts w:eastAsia="MS Mincho" w:cs="Times New Roman"/>
                <w:noProof/>
              </w:rPr>
            </w:pPr>
            <w:r>
              <w:rPr>
                <w:noProof/>
              </w:rPr>
              <w:t xml:space="preserve">Aavikoitumisen torjuntaa koskevan kansallisen strategian ja siihen liittyvien toimien hyväksyminen toimenpiteen kuvauksen mukaisesti. </w:t>
            </w:r>
          </w:p>
        </w:tc>
      </w:tr>
    </w:tbl>
    <w:p w14:paraId="02F2C34E" w14:textId="769AB71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134" w:right="1134" w:bottom="1134" w:left="1134" w:header="567" w:footer="567" w:gutter="0"/>
          <w:cols w:space="720"/>
          <w:docGrid w:linePitch="360"/>
        </w:sectPr>
      </w:pPr>
    </w:p>
    <w:p w14:paraId="53A58CED" w14:textId="77777777" w:rsidR="0065073E" w:rsidRDefault="000A0998">
      <w:pPr>
        <w:pStyle w:val="P68B1DB1-Heading12"/>
        <w:rPr>
          <w:rFonts w:cs="Times New Roman"/>
          <w:noProof/>
        </w:rPr>
      </w:pPr>
      <w:r>
        <w:rPr>
          <w:noProof/>
        </w:rPr>
        <w:t>E. OSA 05: Rannikko ja vesivarat</w:t>
      </w:r>
    </w:p>
    <w:p w14:paraId="411410E6" w14:textId="77777777" w:rsidR="0065073E" w:rsidRDefault="000A0998">
      <w:pPr>
        <w:pStyle w:val="P68B1DB1-Normal4"/>
        <w:spacing w:before="120" w:after="120" w:line="240" w:lineRule="auto"/>
        <w:jc w:val="both"/>
        <w:rPr>
          <w:rFonts w:cs="Times New Roman"/>
          <w:noProof/>
        </w:rPr>
      </w:pPr>
      <w:r>
        <w:rPr>
          <w:noProof/>
        </w:rPr>
        <w:t xml:space="preserve">Tällä osa-alueella pyritään parantamaan vesivarojen hoitoa, toteuttamaan rannikkoalueiden sopeutumispolitiikkaa ilmastonmuutoksen kielteisten vaikutusten torjumiseksi sekä vahvistamaan meristrategioiden ja merten aluesuunnitelmien täytäntöönpanoa. </w:t>
      </w:r>
    </w:p>
    <w:p w14:paraId="446DF730" w14:textId="77777777" w:rsidR="0065073E" w:rsidRDefault="000A0998">
      <w:pPr>
        <w:pStyle w:val="P68B1DB1-Normal4"/>
        <w:spacing w:before="120" w:after="120" w:line="240" w:lineRule="auto"/>
        <w:jc w:val="both"/>
        <w:rPr>
          <w:rFonts w:cs="Times New Roman"/>
          <w:noProof/>
        </w:rPr>
      </w:pPr>
      <w:r>
        <w:rPr>
          <w:noProof/>
        </w:rPr>
        <w:t>Vesivarojen hallinnan parantamiseksi Espanjan on vastattava erilaisiin haasteisiin, kuten uusien kehittyvien pilaavien aineiden (esim. mikromuovien) tunnistamiseen, olemassa olevaan investointivajeeseen, joka liittyy rannikkoalueiden suunnitteluun, ilmastonmuutokseen sopeutumiseen, julkisen Hydraulisen alueen valvontaan ja hallinnointiin, merialueiden ja vedenkäsittelyn valvontaan ja hallintaan sekä uusien teknologioiden ja tieto- ja viestintätekniikan käyttöönoton viivästymiseen vesienhoidossa. Tätä varten Espanjan on parannettava alan tehokkuutta. Espanjan on myös pyrittävä sovittamaan vesivarojen hoito paremmin yhteen Euroopan vihreän kehityksen ohjelman, vuoteen 2030 ulottuvan biodiversiteettistrategian ja EU:n saasteettomuustoimintasuunnitelman kaltaisten ympäristötavoitteiden kanssa. Tätä varten on otettava käyttöön erilaisia strategioita, kuten julkishallinnon digitalisointi tiedonsaannin varmistamiseksi, mukaan lukien veden laatu ja ekologisten virtausten noudattaminen, ympäristöinfrastruktuurin tarjoaminen ja parantaminen, infrastruktuurin turvallisuus tai pohjaveden tilan parantaminen ja akviferin talteenotto.</w:t>
      </w:r>
    </w:p>
    <w:p w14:paraId="4B419439" w14:textId="77777777" w:rsidR="0065073E" w:rsidRDefault="000A0998">
      <w:pPr>
        <w:pStyle w:val="P68B1DB1-Normal4"/>
        <w:spacing w:before="120" w:after="120" w:line="240" w:lineRule="auto"/>
        <w:jc w:val="both"/>
        <w:rPr>
          <w:rFonts w:cs="Times New Roman"/>
          <w:noProof/>
        </w:rPr>
      </w:pPr>
      <w:r>
        <w:rPr>
          <w:noProof/>
        </w:rPr>
        <w:t>Ilmastonmuutos on pahentanut eroosion ja tulvien vaikutuksia rannikolla. Sen vuoksi tällä Espanjan elpymis- ja palautumissuunnitelman osa-alueella on myös pantava täytäntöön politiikka, jolla Espanjan rannikko mukautetaan ilmastonmuutoksen haitallisiin vaikutuksiin. Eroosion torjumiseksi ja tulvariskin vähentämiseksi on otettava käyttöön useita sopeutumistoimenpiteitä, kuten huonontuneiden alueiden ympäristön elvyttämistä, hallitun ja asianmukaisen pääsyn parantamista maalla sijaitsevalle julkiselle merialueelle tai luontoon perustuvien ratkaisujen laatimista ja täytäntöönpanoa. Tällä toimintalinjalla parannetaan kykyä sietää ilmastonmuutoksen vaikutuksia ja valmistellaan paremmin matkailualaa ja muita rannikkoalueiden tilasta riippuvaisia aloja. Lisäksi tällä vahvistetaan edelleen Copernicus-ohjelman roolia, sillä se on ratkaisevan tärkeä äärimmäisten sääilmiöiden vahinkojen ja vaikutusten ehkäisemiseksi ja arvioimiseksi.</w:t>
      </w:r>
    </w:p>
    <w:p w14:paraId="7350F698" w14:textId="77777777" w:rsidR="0065073E" w:rsidRDefault="000A0998">
      <w:pPr>
        <w:pStyle w:val="P68B1DB1-Normal4"/>
        <w:spacing w:before="120" w:after="120" w:line="240" w:lineRule="auto"/>
        <w:jc w:val="both"/>
        <w:rPr>
          <w:rFonts w:cs="Times New Roman"/>
          <w:noProof/>
        </w:rPr>
      </w:pPr>
      <w:r>
        <w:rPr>
          <w:noProof/>
        </w:rPr>
        <w:t xml:space="preserve">Osana Espanjan elpymis- ja palautumissuunnitelman tätä osaa Espanjan on edistettävä merialojen optimaalista kestävää kehitystä ja suojeltava meriympäristöä sen ympäristön hyvän tilan saavuttamiseksi hyväksymällä laki, saattamalla meristrategiapuitedirektiivi osaksi kansallista lainsäädäntöä ja vahvistamalla sen täytäntöönpanoa. </w:t>
      </w:r>
    </w:p>
    <w:p w14:paraId="7921A5A8" w14:textId="7EC3B47E" w:rsidR="0065073E" w:rsidRDefault="000A0998">
      <w:pPr>
        <w:pStyle w:val="P68B1DB1-Normal4"/>
        <w:spacing w:before="120" w:after="120" w:line="240" w:lineRule="auto"/>
        <w:jc w:val="both"/>
        <w:rPr>
          <w:rFonts w:cs="Times New Roman"/>
          <w:noProof/>
        </w:rPr>
      </w:pPr>
      <w:r>
        <w:rPr>
          <w:noProof/>
        </w:rPr>
        <w:t xml:space="preserve">Tällä Espanjan elpymis- ja palautumissuunnitelman komponentilla edistetään investointeihin liittyvän talouspolitiikan keskittämistä energiatehokkuuden ja resurssien käytön edistämiseen (maakohtainen suositus 3 2019). Siinä keskitytään myös vihreään ja digitaaliseen siirtymään erityisesti edistämällä tutkimusta ja innovointia, energialähteiden puhdasta ja tehokasta tuotantoa ja käyttöä, energiainfrastruktuuria, vesi- ja jätehuoltoa sekä kestävää liikennettä (maakohtainen suositus 3 2020). Se myös parantaa veden uudelleenkäyttöä (maakohtainen suositus 3 2022). </w:t>
      </w:r>
    </w:p>
    <w:p w14:paraId="1B2C36A4"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7EE4D1F" w14:textId="77777777" w:rsidR="0065073E" w:rsidRDefault="000A0998">
      <w:pPr>
        <w:keepNext/>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E.1 </w:t>
      </w:r>
      <w:r>
        <w:rPr>
          <w:noProof/>
        </w:rPr>
        <w:t xml:space="preserve"> </w:t>
      </w:r>
      <w:r>
        <w:rPr>
          <w:rFonts w:ascii="Times New Roman" w:hAnsi="Times New Roman"/>
          <w:b/>
          <w:noProof/>
          <w:sz w:val="24"/>
          <w:u w:val="single"/>
        </w:rPr>
        <w:t>Kuvaus uudistuksista ja investoinneista, joita rahoitetaan rahoitustuella, jota ei makseta takaisin</w:t>
      </w:r>
    </w:p>
    <w:p w14:paraId="6B2567BA" w14:textId="77777777" w:rsidR="0065073E" w:rsidRDefault="000A0998">
      <w:pPr>
        <w:pStyle w:val="P68B1DB1-Normal5"/>
        <w:keepNext/>
        <w:spacing w:before="120" w:after="120" w:line="240" w:lineRule="auto"/>
        <w:jc w:val="both"/>
        <w:rPr>
          <w:rFonts w:cs="Times New Roman"/>
          <w:noProof/>
        </w:rPr>
      </w:pPr>
      <w:r>
        <w:rPr>
          <w:noProof/>
        </w:rPr>
        <w:t>Uudistus 1 (C5.R1) – Vesisuunnitelmat ja -strategiat sekä sääntelyn muutokset</w:t>
      </w:r>
    </w:p>
    <w:p w14:paraId="20497A4A" w14:textId="77777777" w:rsidR="0065073E" w:rsidRDefault="000A0998">
      <w:pPr>
        <w:pStyle w:val="P68B1DB1-Normal4"/>
        <w:keepNext/>
        <w:spacing w:before="120" w:after="120" w:line="240" w:lineRule="auto"/>
        <w:jc w:val="both"/>
        <w:rPr>
          <w:rFonts w:cs="Times New Roman"/>
          <w:noProof/>
        </w:rPr>
      </w:pPr>
      <w:r>
        <w:rPr>
          <w:noProof/>
        </w:rPr>
        <w:t xml:space="preserve">Uudistuksessa käsitellään vesilain, sen asetusten ja muun johdetun oikeuden uudelleentarkastelua ja päivittämistä, jotta voidaan varmistaa investointien edistämisen kannalta suotuisa oikeudellinen kehys. Uudistukseen sisältyy sellaisten suunnitelmien ja strategioiden hyväksyminen ja tarkistaminen, jotka muodostavat perustan investoinneille ja vesihuollolle, joilla vahvistetaan ja lisätään investointeja. Nämä sääntelymuutokset on sovitettava yhteen Euroopan vihreän kehityksen ohjelman kanssa. </w:t>
      </w:r>
    </w:p>
    <w:p w14:paraId="4F41A8EA" w14:textId="44889464" w:rsidR="0065073E" w:rsidRDefault="000A0998">
      <w:pPr>
        <w:pStyle w:val="P68B1DB1-Normal4"/>
        <w:spacing w:before="120" w:after="120" w:line="240" w:lineRule="auto"/>
        <w:jc w:val="both"/>
        <w:rPr>
          <w:rFonts w:cs="Times New Roman"/>
          <w:noProof/>
        </w:rPr>
      </w:pPr>
      <w:r>
        <w:rPr>
          <w:noProof/>
        </w:rPr>
        <w:t xml:space="preserve">Uudistuksessa käsitellään useita kaikentyyppistä vettä koskevia kysymyksiä, kuten jäteveden uudelleenkäyttöä koskevan rahoituskehyksen parantamista, patojen ja niiden altaiden turvallisuutta koskevien teknisten standardien hyväksymistä, veden puhdistamista, kunnostamista, tehokkuutta, säästöä ja uudelleenkäyttöä koskevan kansallisen suunnitelman hyväksymistä (käsittely-, sanitaatio-, tehokkuus-, säästö-, uudelleenkäyttö- ja infrastruktuuriturvallisuus – DSEAR-suunnitelma). </w:t>
      </w:r>
    </w:p>
    <w:p w14:paraId="34A42ADB" w14:textId="45166EA4" w:rsidR="0065073E" w:rsidRDefault="000A0998">
      <w:pPr>
        <w:pStyle w:val="P68B1DB1-Normal4"/>
        <w:spacing w:before="120" w:after="120" w:line="240" w:lineRule="auto"/>
        <w:jc w:val="both"/>
        <w:rPr>
          <w:rFonts w:cs="Times New Roman"/>
          <w:noProof/>
        </w:rPr>
      </w:pPr>
      <w:r>
        <w:rPr>
          <w:noProof/>
        </w:rPr>
        <w:t xml:space="preserve">Toimenpide on saatettava päätökseen viimeistään 30 päivänä kesäkuuta 2023. </w:t>
      </w:r>
    </w:p>
    <w:p w14:paraId="431D7824" w14:textId="77777777" w:rsidR="0065073E" w:rsidRDefault="000A0998">
      <w:pPr>
        <w:pStyle w:val="P68B1DB1-Normal5"/>
        <w:spacing w:before="120" w:after="120" w:line="240" w:lineRule="auto"/>
        <w:jc w:val="both"/>
        <w:rPr>
          <w:rFonts w:cs="Times New Roman"/>
          <w:noProof/>
        </w:rPr>
      </w:pPr>
      <w:r>
        <w:rPr>
          <w:noProof/>
        </w:rPr>
        <w:t>Investointi 1 (C5.I1) – Käsittely-, sanitaatio-, tehokkuus-, säästö-, uudelleenkäyttö- ja infrastruktuuriturvallisuustoimien toteuttaminen (DESEAR)</w:t>
      </w:r>
    </w:p>
    <w:p w14:paraId="3F9DF6FF" w14:textId="77777777" w:rsidR="0065073E" w:rsidRDefault="000A0998">
      <w:pPr>
        <w:pStyle w:val="P68B1DB1-Normal4"/>
        <w:spacing w:before="120" w:after="120" w:line="240" w:lineRule="auto"/>
        <w:jc w:val="both"/>
        <w:rPr>
          <w:rFonts w:cs="Times New Roman"/>
          <w:noProof/>
        </w:rPr>
      </w:pPr>
      <w:r>
        <w:rPr>
          <w:noProof/>
        </w:rPr>
        <w:t>Investoinnilla toteutetaan seuraavat toimet:</w:t>
      </w:r>
    </w:p>
    <w:p w14:paraId="73C11D16" w14:textId="46B1A063" w:rsidR="0065073E" w:rsidRDefault="000A0998">
      <w:pPr>
        <w:pStyle w:val="P68B1DB1-Normal4"/>
        <w:numPr>
          <w:ilvl w:val="0"/>
          <w:numId w:val="91"/>
        </w:numPr>
        <w:spacing w:before="120" w:after="160" w:line="240" w:lineRule="auto"/>
        <w:contextualSpacing/>
        <w:jc w:val="both"/>
        <w:rPr>
          <w:rFonts w:cs="Times New Roman"/>
          <w:noProof/>
        </w:rPr>
      </w:pPr>
      <w:r>
        <w:rPr>
          <w:noProof/>
        </w:rPr>
        <w:t xml:space="preserve">Puhdistusta, sanitaatiota ja veden uudelleenkäyttöä koskevien toimenpiteiden toteuttaminen. Tämän toimintalinjan tavoitteena on parantaa yhdyskuntajätevesien keräystä ja käsittelyä. Joissakin tapauksissa toimissa on käytettävä uudelleen yhdyskuntajätevesiä, mikä vähentää nykyisiä vedenottopaineita. Uusilla käsittelytoimenpiteillä on saavutettava nollanettoenergiankulutus koko jätevedenkäsittelyjärjestelmässä. Infrastruktuurit on otettava huomioon ainakin sellaisten uusien tai parannettujen jätevedenkäsittelyinfrastruktuurien osalta, jotka tarjoavat lisäkapasiteettia jätevedenkäsittelyyn. Käsittely on nimettävä uudelleen tai saatettava vähintään yhdyskuntajätevesien käsittelystä annetun direktiivin (direktiivi 91/271/ETY) mukaiselle tasolle. Olemassa olevan infrastruktuurin parantamisen ja uudistamisen on johdettava keskimääräisen energiankulutuksen vähenemiseen vähintään 10 prosentilla. Nämä säästöt saavutetaan toteuttamalla energiatehokkuustoimenpiteitä (yhteistuotanto, energian ja lämmön talteenotto, aurinkosähköpaneelit, LED-valaistus jne.) hankkeiden valmistelussa ja ottamalla käyttöön energiatehokkuuslausekkeita ja -kriteereitä hanke- ja rakennuspyynnöissä. </w:t>
      </w:r>
    </w:p>
    <w:p w14:paraId="5832932A" w14:textId="77777777" w:rsidR="0065073E" w:rsidRDefault="000A0998">
      <w:pPr>
        <w:pStyle w:val="P68B1DB1-Normal4"/>
        <w:numPr>
          <w:ilvl w:val="0"/>
          <w:numId w:val="91"/>
        </w:numPr>
        <w:spacing w:before="120" w:after="160" w:line="240" w:lineRule="auto"/>
        <w:contextualSpacing/>
        <w:jc w:val="both"/>
        <w:rPr>
          <w:rFonts w:cs="Times New Roman"/>
          <w:noProof/>
        </w:rPr>
      </w:pPr>
      <w:r>
        <w:rPr>
          <w:noProof/>
        </w:rPr>
        <w:t xml:space="preserve">Toimet tehokkuuden parantamiseksi ja vesihävikin vähentämiseksi. Toimilla pannaan täytäntöön tukijärjestelmä, jolla parannetaan keskikokoisten ja pienten kuntien toimitusverkkojen tehokkuutta ja annetaan vesihuollosta vastaaville kunnille tai julkisille elimille mahdollisuus parantaa sitä vähentämällä hävikkiä jakeluverkostoissa ja toteuttamalla toimia veden varastointilaitosten sekä keskikokoisten ja pienten kuntien laitosten korjaamiseksi ja parantamiseksi. Näiden infrastruktuurien palvelemien asukkaiden on vastattava vedenjakelujärjestelmän asukkaita. </w:t>
      </w:r>
    </w:p>
    <w:p w14:paraId="1C71DD76" w14:textId="77777777" w:rsidR="0065073E" w:rsidRDefault="000A0998">
      <w:pPr>
        <w:pStyle w:val="P68B1DB1-Normal4"/>
        <w:numPr>
          <w:ilvl w:val="0"/>
          <w:numId w:val="91"/>
        </w:numPr>
        <w:spacing w:after="0" w:line="240" w:lineRule="auto"/>
        <w:ind w:left="357" w:hanging="357"/>
        <w:jc w:val="both"/>
        <w:rPr>
          <w:rFonts w:cs="Times New Roman"/>
          <w:noProof/>
        </w:rPr>
      </w:pPr>
      <w:r>
        <w:rPr>
          <w:noProof/>
        </w:rPr>
        <w:t>Investoinnit patojen ja säiliöiden turvallisuuden parantamiseksi. Näillä toimilla on varmistettava olemassa olevien valtion omistamien suurten patojen turvallisuus panemalla täytäntöön vastaavat hätäsuunnitelmat ja muut täydentävät toimet. Tämä ei saa johtaa uusien patojen rakentamiseen tai olemassa olevien patojen laajentamiseen.</w:t>
      </w:r>
    </w:p>
    <w:p w14:paraId="5D5FA6C3" w14:textId="48C32B9A" w:rsidR="0065073E" w:rsidRDefault="000A0998">
      <w:pPr>
        <w:pStyle w:val="P68B1DB1-Normal4"/>
        <w:numPr>
          <w:ilvl w:val="0"/>
          <w:numId w:val="91"/>
        </w:numPr>
        <w:spacing w:after="0" w:line="240" w:lineRule="auto"/>
        <w:ind w:left="357" w:hanging="357"/>
        <w:jc w:val="both"/>
        <w:rPr>
          <w:rFonts w:cs="Times New Roman"/>
          <w:noProof/>
        </w:rPr>
      </w:pPr>
      <w:r>
        <w:rPr>
          <w:noProof/>
        </w:rPr>
        <w:t xml:space="preserve">Toimet, joilla parannetaan energia- ja vesitehokkuutta kaupunkiveden kiertokulussa. Näillä toimilla edistetään hankkeita, jotka liittyvät veden puhdistamiseen, sanitaatioon ja uudelleenkäyttöön, vesitehokkuuden parantamiseen ja vesihävikin vähentämiseen digitalisoimalla veden käyttäjiä. Tämä on tehtävä Valenciassa sijaitsevan L’Horta Sudin alueella, joka tarjoaa uusia infrastruktuureja veden puhdistusta, sanitaatiota ja uudelleenkäyttöä varten 250000 asukasvastinelukua varten; ja Alicantessa sijaitsevassa Rincón de Leónin puhdistamossa kasteluvesihuollon parantaminen 18500 hehtaarilla.  </w:t>
      </w:r>
    </w:p>
    <w:p w14:paraId="0A4C1CF3" w14:textId="1401AC90" w:rsidR="0065073E" w:rsidRDefault="000A0998">
      <w:pPr>
        <w:pStyle w:val="P68B1DB1-Normal4"/>
        <w:spacing w:before="120" w:after="120" w:line="240" w:lineRule="auto"/>
        <w:jc w:val="both"/>
        <w:rPr>
          <w:rFonts w:cs="Times New Roman"/>
          <w:noProof/>
        </w:rPr>
      </w:pPr>
      <w:r>
        <w:rPr>
          <w:noProof/>
        </w:rPr>
        <w:t xml:space="preserve">Investointi on saatettava päätökseen viimeistään 30 päivänä kesäkuuta 2026. </w:t>
      </w:r>
    </w:p>
    <w:p w14:paraId="277B6F8E" w14:textId="77777777" w:rsidR="0065073E" w:rsidRDefault="000A0998">
      <w:pPr>
        <w:pStyle w:val="P68B1DB1-Normal5"/>
        <w:spacing w:before="120" w:after="120" w:line="240" w:lineRule="auto"/>
        <w:jc w:val="both"/>
        <w:rPr>
          <w:rFonts w:cs="Times New Roman"/>
          <w:noProof/>
        </w:rPr>
      </w:pPr>
      <w:r>
        <w:rPr>
          <w:noProof/>
        </w:rPr>
        <w:t>Investointi 2 (C5.I2) – Jokiekosysteemien seuranta ja ennallistaminen, pohjavesimuodostumien elpyminen ja tulvariskien lieventäminen</w:t>
      </w:r>
    </w:p>
    <w:p w14:paraId="289BB7B3" w14:textId="77777777" w:rsidR="0065073E" w:rsidRDefault="000A0998">
      <w:pPr>
        <w:pStyle w:val="P68B1DB1-Normal4"/>
        <w:spacing w:before="120" w:after="120" w:line="240" w:lineRule="auto"/>
        <w:jc w:val="both"/>
        <w:rPr>
          <w:rFonts w:cs="Times New Roman"/>
          <w:noProof/>
        </w:rPr>
      </w:pPr>
      <w:r>
        <w:rPr>
          <w:noProof/>
        </w:rPr>
        <w:t>Tämän investoinnin tavoitteena on</w:t>
      </w:r>
    </w:p>
    <w:p w14:paraId="4D23A9E6" w14:textId="77777777" w:rsidR="0065073E" w:rsidRDefault="000A0998">
      <w:pPr>
        <w:pStyle w:val="P68B1DB1-Normal4"/>
        <w:numPr>
          <w:ilvl w:val="0"/>
          <w:numId w:val="92"/>
        </w:numPr>
        <w:spacing w:before="120" w:after="160" w:line="240" w:lineRule="auto"/>
        <w:contextualSpacing/>
        <w:jc w:val="both"/>
        <w:rPr>
          <w:rFonts w:cs="Times New Roman"/>
          <w:noProof/>
        </w:rPr>
      </w:pPr>
      <w:r>
        <w:rPr>
          <w:noProof/>
        </w:rPr>
        <w:t>Jokiekosysteemien ja jokiluonnonvarojen seuranta ja ennallistaminen. Tähän budjettikohtaan sisältyy useita konkreettisia toimia, joilla pyritään palauttamaan jokialueita, laajentamaan seurantaverkostoja ja parantamaan sitä uhkaavien hydromorfologisten paineiden inventaarioita.</w:t>
      </w:r>
    </w:p>
    <w:p w14:paraId="00815E0F" w14:textId="77777777" w:rsidR="0065073E" w:rsidRDefault="000A0998">
      <w:pPr>
        <w:pStyle w:val="P68B1DB1-Normal4"/>
        <w:numPr>
          <w:ilvl w:val="0"/>
          <w:numId w:val="92"/>
        </w:numPr>
        <w:spacing w:before="120" w:after="160" w:line="240" w:lineRule="auto"/>
        <w:contextualSpacing/>
        <w:jc w:val="both"/>
        <w:rPr>
          <w:rFonts w:cs="Times New Roman"/>
          <w:noProof/>
        </w:rPr>
      </w:pPr>
      <w:r>
        <w:rPr>
          <w:noProof/>
        </w:rPr>
        <w:t>Toteuttaa toimia tulvariskin lieventämiseksi. Tähän toimintalinjaan sisältyy jo olemassa olevia tulvariskien hallintasuunnitelmia, mukaan lukien aluesuunnitteluun ja kaupunkisuunnitteluun liittyvät ennaltaehkäisytoimenpiteet, teknisten suuntaviivojen laatiminen tulva-alueiden haavoittuvuuden vähentämiseksi ja tulvariskeihin sopeutumisen edistämiseksi talouden eri aloilla. Lisäksi kuntien on puututtava jokien ennallistamistoimenpiteiden täytäntöönpanoon kaupunkiympäristöissä, otettava käyttöön kestäviä kuivatusjärjestelmiä ja parannettava kaupunkiympäristöjen läpäisevyyttä ja niiden yhteyttä kaupunkialueiden jokien ympäristöarvoihin kehittämällä teknisiä suuntaviivoja ja tavoitteita vesisuunnittelua varten.</w:t>
      </w:r>
    </w:p>
    <w:p w14:paraId="5F010068" w14:textId="77777777" w:rsidR="0065073E" w:rsidRDefault="000A0998">
      <w:pPr>
        <w:pStyle w:val="P68B1DB1-Normal4"/>
        <w:numPr>
          <w:ilvl w:val="0"/>
          <w:numId w:val="92"/>
        </w:numPr>
        <w:spacing w:before="120" w:after="120" w:line="240" w:lineRule="auto"/>
        <w:ind w:left="357" w:hanging="357"/>
        <w:jc w:val="both"/>
        <w:rPr>
          <w:rFonts w:cs="Times New Roman"/>
          <w:noProof/>
        </w:rPr>
      </w:pPr>
      <w:r>
        <w:rPr>
          <w:noProof/>
        </w:rPr>
        <w:t xml:space="preserve">Toteuttaa toimenpiteitä pohjavedenoton vähentämiseksi käyttämällä vaihtoehtoisia luonnonvaroja (akviferin talteenotto). Näillä toimenpiteillä on vähennettävä joidenkin pohjavesimuodostumien – erityisesti </w:t>
      </w:r>
      <w:r>
        <w:rPr>
          <w:i/>
          <w:noProof/>
        </w:rPr>
        <w:t>Doñanan</w:t>
      </w:r>
      <w:r>
        <w:rPr>
          <w:noProof/>
        </w:rPr>
        <w:t xml:space="preserve"> aluetta uhkaavien pohjavesimuodostumien ja tiettyjen pohjavesiesiintymien ottoa Kaakkois-Espanjassa – ja laajennettava pietsometrisiä seurantaverkostoja.</w:t>
      </w:r>
    </w:p>
    <w:p w14:paraId="5B3C678C" w14:textId="2E08BE8F" w:rsidR="0065073E" w:rsidRDefault="000A0998">
      <w:pPr>
        <w:pStyle w:val="P68B1DB1-Normal4"/>
        <w:numPr>
          <w:ilvl w:val="0"/>
          <w:numId w:val="92"/>
        </w:numPr>
        <w:spacing w:before="120" w:after="120" w:line="240" w:lineRule="auto"/>
        <w:ind w:left="357" w:hanging="357"/>
        <w:jc w:val="both"/>
        <w:rPr>
          <w:rFonts w:cs="Times New Roman"/>
          <w:noProof/>
        </w:rPr>
      </w:pPr>
      <w:r>
        <w:rPr>
          <w:noProof/>
        </w:rPr>
        <w:t xml:space="preserve">Aurinkoenergian toimittaminen suolanpoistolaitoksille ja niiden jakelu.  </w:t>
      </w:r>
    </w:p>
    <w:p w14:paraId="7CC753ED" w14:textId="1F45D746" w:rsidR="0065073E" w:rsidRDefault="000A0998">
      <w:pPr>
        <w:pStyle w:val="P68B1DB1-Normal4"/>
        <w:spacing w:before="120" w:after="120" w:line="240" w:lineRule="auto"/>
        <w:jc w:val="both"/>
        <w:rPr>
          <w:rFonts w:cs="Times New Roman"/>
          <w:noProof/>
        </w:rPr>
      </w:pPr>
      <w:r>
        <w:rPr>
          <w:noProof/>
        </w:rPr>
        <w:t xml:space="preserve">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suolanpoistovesi on tuotettava käyttäen parasta saatavilla olevaa tekniikkaa, jonka ympäristövaikutukset ovat alalla vähäisimmät. </w:t>
      </w:r>
    </w:p>
    <w:p w14:paraId="4B2AF1BD" w14:textId="247F5344" w:rsidR="0065073E" w:rsidRDefault="000A0998">
      <w:pPr>
        <w:pStyle w:val="P68B1DB1-Normal4"/>
        <w:spacing w:before="120" w:after="120" w:line="240" w:lineRule="auto"/>
        <w:jc w:val="both"/>
        <w:rPr>
          <w:rFonts w:cs="Times New Roman"/>
          <w:noProof/>
        </w:rPr>
      </w:pPr>
      <w:r>
        <w:rPr>
          <w:noProof/>
        </w:rPr>
        <w:t xml:space="preserve">Tämä investointi on saatettava päätökseen viimeistään 30 päivänä kesäkuuta 2026. </w:t>
      </w:r>
    </w:p>
    <w:p w14:paraId="070A9A31" w14:textId="19BC6F22" w:rsidR="0065073E" w:rsidRDefault="000A0998">
      <w:pPr>
        <w:pStyle w:val="P68B1DB1-Normal5"/>
        <w:spacing w:before="120" w:after="120" w:line="240" w:lineRule="auto"/>
        <w:jc w:val="both"/>
        <w:rPr>
          <w:rFonts w:cs="Times New Roman"/>
          <w:noProof/>
        </w:rPr>
      </w:pPr>
      <w:r>
        <w:rPr>
          <w:noProof/>
        </w:rPr>
        <w:t>Investointi 3 (C5.I3) – Digitaalinen siirtymä vesialalla (digitaalinen ympäristölainsäädännön täytäntöönpano) – talouden elpymistä ja muutosta koskeva strateginen hanke (PERTE) vedenkäytön digitalisointia varten.</w:t>
      </w:r>
    </w:p>
    <w:p w14:paraId="554E6A8B" w14:textId="77777777" w:rsidR="0065073E" w:rsidRDefault="000A0998">
      <w:pPr>
        <w:pStyle w:val="P68B1DB1-Normal4"/>
        <w:spacing w:before="120" w:after="120" w:line="240" w:lineRule="auto"/>
        <w:jc w:val="both"/>
        <w:rPr>
          <w:rFonts w:cs="Times New Roman"/>
          <w:noProof/>
        </w:rPr>
      </w:pPr>
      <w:r>
        <w:rPr>
          <w:noProof/>
        </w:rPr>
        <w:t xml:space="preserve">Digitaalisella siirtymällä voi olla ratkaiseva rooli vesialan tehokkuuden parantamisessa. Vesihuollon digitalisoinnin parantamiseksi tällä investoinnilla on kolme toimintalinjaa:  </w:t>
      </w:r>
    </w:p>
    <w:p w14:paraId="215E8BC9" w14:textId="627C0C7C" w:rsidR="0065073E" w:rsidRDefault="000A0998">
      <w:pPr>
        <w:pStyle w:val="P68B1DB1-ListParagraph6"/>
        <w:numPr>
          <w:ilvl w:val="0"/>
          <w:numId w:val="93"/>
        </w:numPr>
        <w:spacing w:before="120" w:line="240" w:lineRule="auto"/>
        <w:jc w:val="both"/>
        <w:rPr>
          <w:rFonts w:cs="Times New Roman"/>
          <w:noProof/>
        </w:rPr>
      </w:pPr>
      <w:r>
        <w:rPr>
          <w:noProof/>
        </w:rPr>
        <w:t xml:space="preserve">Vesivaroja koskevan tietämyksen ja käytön parantaminen – PERTE vedenkäytön digitalisointia varten. Tämä PERTE nykyaikaistaa veden kiertoa digitalisaation ja innovoinnin avulla. Näin saavutetaan tehokkaampi ja kestävämpi vesihuolto parantamalla tietämystä vedenkäytöstä digitalisaation avulla. Tämä toteutetaan tukemalla ohjelmia, joilla edistetään digitalisaatiota kaupunkien veden kiertokulussa, kilpailuun perustuvilla tarjouskilpailuilla ja kastelussa kasteluun tarkoitetun digitaalisen kitin avulla. </w:t>
      </w:r>
    </w:p>
    <w:p w14:paraId="18993E17" w14:textId="77777777" w:rsidR="0065073E" w:rsidRDefault="000A0998">
      <w:pPr>
        <w:pStyle w:val="P68B1DB1-ListParagraph6"/>
        <w:numPr>
          <w:ilvl w:val="0"/>
          <w:numId w:val="93"/>
        </w:numPr>
        <w:spacing w:after="0" w:line="240" w:lineRule="auto"/>
        <w:jc w:val="both"/>
        <w:rPr>
          <w:rFonts w:cs="Times New Roman"/>
          <w:noProof/>
        </w:rPr>
      </w:pPr>
      <w:r>
        <w:rPr>
          <w:noProof/>
        </w:rPr>
        <w:t xml:space="preserve">Toimet sateiden seuraamiseksi vesistöalueilla ja rannikkoalueilla. Tällä toimintalinjalla edistetään säätutkaverkoston uudistamista ja sen täydentämistä uusilla lyhyen kaistan laitteilla, kuten automaattisten sääasemien uusimista ja parantamista tutkan reaaliaikaista kalibrointia varten sekä kansallisen tutkakeskuksen suunnittelua, kehittämistä ja toteuttamista. </w:t>
      </w:r>
    </w:p>
    <w:p w14:paraId="6F6BD6C5" w14:textId="77777777" w:rsidR="0065073E" w:rsidRDefault="000A0998">
      <w:pPr>
        <w:pStyle w:val="P68B1DB1-Normal4"/>
        <w:numPr>
          <w:ilvl w:val="0"/>
          <w:numId w:val="93"/>
        </w:numPr>
        <w:spacing w:after="0" w:line="240" w:lineRule="auto"/>
        <w:ind w:left="357" w:hanging="357"/>
        <w:jc w:val="both"/>
        <w:rPr>
          <w:rFonts w:cs="Times New Roman"/>
          <w:noProof/>
        </w:rPr>
      </w:pPr>
      <w:r>
        <w:rPr>
          <w:noProof/>
        </w:rPr>
        <w:t xml:space="preserve">Meteorologisen havainnoinnin ja ilmastoriskien seurannan ja ehkäisemisen parantaminen; tähän on sisällyttävä uusi integroitu meteorologinen apujärjestelmä, säähavainnointivälineet varhaisvaroitusta varten, mukaan lukien integroidun maailmanlaajuisen havainnointijärjestelmän käyttöönotto, ulkoistamisen käyttöönotto, säätietojen automaattinen laadunvalvonta ja merkinnät tekoälytekniikoiden avulla sekä NoSQL-tietojen syvyys suurten tietomäärien käsittelyyn perustuvan datan tehokasta täytäntöönpanoa varten. </w:t>
      </w:r>
    </w:p>
    <w:p w14:paraId="660533E1" w14:textId="77777777" w:rsidR="0065073E" w:rsidRDefault="000A0998">
      <w:pPr>
        <w:pStyle w:val="P68B1DB1-Normal4"/>
        <w:spacing w:before="120" w:after="120" w:line="240" w:lineRule="auto"/>
        <w:jc w:val="both"/>
        <w:rPr>
          <w:rFonts w:cs="Times New Roman"/>
          <w:noProof/>
        </w:rPr>
      </w:pPr>
      <w:r>
        <w:rPr>
          <w:noProof/>
        </w:rPr>
        <w:t>Investoinnilla on pyrittävä ottamaan käyttöön 26 välinettä tai uudistettua infrastruktuuria vesivaroja koskevan tietämyksen ja käytön parantamiseksi sekä sademäärien ja muiden säätietojen seuraamiseksi ilmastoriskien ehkäisemiseksi.</w:t>
      </w:r>
    </w:p>
    <w:p w14:paraId="09230588" w14:textId="0A75C870" w:rsidR="0065073E" w:rsidRDefault="000A0998">
      <w:pPr>
        <w:pStyle w:val="P68B1DB1-Normal4"/>
        <w:spacing w:before="120" w:after="120" w:line="240" w:lineRule="auto"/>
        <w:jc w:val="both"/>
        <w:rPr>
          <w:rFonts w:cs="Times New Roman"/>
          <w:noProof/>
        </w:rPr>
      </w:pPr>
      <w:r>
        <w:rPr>
          <w:noProof/>
        </w:rPr>
        <w:t xml:space="preserve">Investointi on saatettava päätökseen viimeistään 30 päivänä kesäkuuta 2026. </w:t>
      </w:r>
    </w:p>
    <w:p w14:paraId="5E7C27E2" w14:textId="77777777" w:rsidR="0065073E" w:rsidRDefault="000A0998">
      <w:pPr>
        <w:pStyle w:val="P68B1DB1-Normal5"/>
        <w:keepNext/>
        <w:spacing w:before="120" w:after="120" w:line="240" w:lineRule="auto"/>
        <w:jc w:val="both"/>
        <w:rPr>
          <w:rFonts w:cs="Times New Roman"/>
          <w:noProof/>
        </w:rPr>
      </w:pPr>
      <w:r>
        <w:rPr>
          <w:noProof/>
        </w:rPr>
        <w:t>Investointi 4 (C5.I4) – Rannikkoalueen mukauttaminen ilmastonmuutokseen sekä meristrategioiden ja merten aluesuunnittelusuunnitelmien täytäntöönpano</w:t>
      </w:r>
    </w:p>
    <w:p w14:paraId="7A7A0757" w14:textId="63972270" w:rsidR="0065073E" w:rsidRDefault="000A0998">
      <w:pPr>
        <w:pStyle w:val="P68B1DB1-Normal4"/>
        <w:keepNext/>
        <w:spacing w:before="120" w:after="120" w:line="240" w:lineRule="auto"/>
        <w:jc w:val="both"/>
        <w:rPr>
          <w:rFonts w:cs="Times New Roman"/>
          <w:noProof/>
        </w:rPr>
      </w:pPr>
      <w:r>
        <w:rPr>
          <w:noProof/>
        </w:rPr>
        <w:t xml:space="preserve">Ilmastonmuutoksella on ja odotetaan olevan vakavia kielteisiä vaikutuksia Espanjan rannikolla. Tällä investoinnilla pannaan täytäntöön strategia rannikkoalueiden sopeutumiseksi ilmastonmuutoksen vaikutuksiin, jotta voidaan parantaa Espanjan rannikon kykyä sietää ilmastonmuutosta ja ilmastonmuutoksen vaihtelua ja sisällyttää ilmastonmuutokseen sopeutuminen Espanjan rannikon suunnitteluun ja hallinnointiin. Tähän sisältyvät aallonmurtoveden, keinotekoisten rantojen, kelluvien pintojen, sedimentin hoito, luontoon perustuvat ratkaisut, rantojen ja dyynijärjestelmien ennallistaminen, rannikoiden suojeluinfrastruktuuri, älykkäiden verkkojen toteuttaminen rannikoiden eroosion etäseurantaa varten tai toimet, joilla on vastaavia vaikutuksia. </w:t>
      </w:r>
    </w:p>
    <w:p w14:paraId="6E481BF5" w14:textId="3A00F0FC" w:rsidR="0065073E" w:rsidRDefault="000A0998">
      <w:pPr>
        <w:pStyle w:val="P68B1DB1-Normal4"/>
        <w:spacing w:before="120" w:after="120" w:line="240" w:lineRule="auto"/>
        <w:jc w:val="both"/>
        <w:rPr>
          <w:rFonts w:cs="Times New Roman"/>
          <w:noProof/>
        </w:rPr>
      </w:pPr>
      <w:r>
        <w:rPr>
          <w:noProof/>
        </w:rPr>
        <w:t xml:space="preserve">Tällä investoinnilla suojellaan ja ennallistetaan rannikkoekosysteemejä tai huonontuneita alueita. Tämä on toteutettava erilaisilla toimilla, kuten I) taantumisesta kärsivien laitosten siirtäminen; II) valtion omistaman maalla sijaitsevan merialueen rajaaminen; III) epäasianmukaisesti tai epäasianmukaisesti miehitetyn valtion omistaman merimaan palauttaminen; IV) riskinarviointi ja riskinhallinta tai vastaavat toimet; v) huonontuneiden rannikkoalueiden ja ekosysteemien elvyttäminen ympäristön kannalta, rannikoiden suojelu ja hoito; ja/tai vi) toimet, joilla on samanlaiset vaikutukset. </w:t>
      </w:r>
    </w:p>
    <w:p w14:paraId="5490957C" w14:textId="77777777" w:rsidR="0065073E" w:rsidRDefault="000A0998">
      <w:pPr>
        <w:pStyle w:val="P68B1DB1-Normal4"/>
        <w:spacing w:before="120" w:after="120" w:line="240" w:lineRule="auto"/>
        <w:jc w:val="both"/>
        <w:rPr>
          <w:rFonts w:cs="Times New Roman"/>
          <w:noProof/>
        </w:rPr>
      </w:pPr>
      <w:r>
        <w:rPr>
          <w:noProof/>
        </w:rPr>
        <w:t xml:space="preserve">Toimenpiteellä on myös parannettava hallittua ja asianmukaista pääsyä julkiselle maalla sijaitsevalle merialueelle palauttamalla maa, joka tarjoaa pääsyn julkiselle alueelle, suunnittelemalla, hallinnoimalla ja ennallistamalla pääsyä tai toteuttamalla toimia, joilla on vastaava vaikutus. Investoinnin on kohdistuttava strategisen merisuunnittelupolitiikan täytäntöönpanoon. Tämä toteutetaan merten aluesuunnittelulla, meristrategioilla, valtameriä ja ilmastoa koskevalla tieteellisellä neuvonnalla sekä kehittämällä georeferoitu verkkosovellus merenkäyttäjille. </w:t>
      </w:r>
    </w:p>
    <w:p w14:paraId="1EB9D0C2" w14:textId="412FDB72" w:rsidR="0065073E" w:rsidRDefault="000A0998">
      <w:pPr>
        <w:pStyle w:val="P68B1DB1-Normal4"/>
        <w:spacing w:before="120" w:after="120" w:line="240" w:lineRule="auto"/>
        <w:jc w:val="both"/>
        <w:rPr>
          <w:rFonts w:cs="Times New Roman"/>
          <w:noProof/>
        </w:rPr>
      </w:pPr>
      <w:r>
        <w:rPr>
          <w:noProof/>
        </w:rPr>
        <w:t xml:space="preserve">Tämä investointi on saatettava päätökseen 31 päivään joulukuuta 2025 mennessä. </w:t>
      </w:r>
    </w:p>
    <w:p w14:paraId="4AE0E1B1" w14:textId="77777777"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E.2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2F87F039"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680A4E5D"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138"/>
          <w:headerReference w:type="default" r:id="rId139"/>
          <w:footerReference w:type="even" r:id="rId140"/>
          <w:footerReference w:type="default" r:id="rId141"/>
          <w:headerReference w:type="first" r:id="rId142"/>
          <w:footerReference w:type="first" r:id="rId143"/>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815"/>
        <w:gridCol w:w="814"/>
        <w:gridCol w:w="2706"/>
        <w:gridCol w:w="950"/>
        <w:gridCol w:w="949"/>
        <w:gridCol w:w="949"/>
        <w:gridCol w:w="679"/>
        <w:gridCol w:w="409"/>
        <w:gridCol w:w="544"/>
        <w:gridCol w:w="5815"/>
      </w:tblGrid>
      <w:tr w:rsidR="0065073E" w14:paraId="701187C7" w14:textId="77777777">
        <w:trPr>
          <w:trHeight w:val="309"/>
          <w:tblHeader/>
        </w:trPr>
        <w:tc>
          <w:tcPr>
            <w:tcW w:w="822" w:type="dxa"/>
            <w:tcBorders>
              <w:bottom w:val="nil"/>
            </w:tcBorders>
            <w:shd w:val="clear" w:color="auto" w:fill="C6D9F1" w:themeFill="text2" w:themeFillTint="33"/>
            <w:noWrap/>
            <w:vAlign w:val="center"/>
          </w:tcPr>
          <w:p w14:paraId="4EEC6ACA" w14:textId="77777777" w:rsidR="0065073E" w:rsidRDefault="000A0998">
            <w:pPr>
              <w:pStyle w:val="P68B1DB1-Normal8"/>
              <w:spacing w:after="0" w:line="240" w:lineRule="auto"/>
              <w:jc w:val="center"/>
              <w:rPr>
                <w:rFonts w:cs="Times New Roman"/>
                <w:noProof/>
              </w:rPr>
            </w:pPr>
            <w:r>
              <w:rPr>
                <w:noProof/>
              </w:rPr>
              <w:t>Määrä</w:t>
            </w:r>
          </w:p>
        </w:tc>
        <w:tc>
          <w:tcPr>
            <w:tcW w:w="815" w:type="dxa"/>
            <w:tcBorders>
              <w:bottom w:val="nil"/>
            </w:tcBorders>
            <w:shd w:val="clear" w:color="auto" w:fill="C6D9F1" w:themeFill="text2" w:themeFillTint="33"/>
            <w:noWrap/>
            <w:vAlign w:val="center"/>
          </w:tcPr>
          <w:p w14:paraId="3A6302B5" w14:textId="77777777" w:rsidR="0065073E" w:rsidRDefault="000A0998">
            <w:pPr>
              <w:pStyle w:val="P68B1DB1-Normal8"/>
              <w:spacing w:after="0" w:line="240" w:lineRule="auto"/>
              <w:jc w:val="center"/>
              <w:rPr>
                <w:rFonts w:cs="Times New Roman"/>
                <w:noProof/>
              </w:rPr>
            </w:pPr>
            <w:r>
              <w:rPr>
                <w:noProof/>
              </w:rPr>
              <w:t>Toimenpide</w:t>
            </w:r>
          </w:p>
        </w:tc>
        <w:tc>
          <w:tcPr>
            <w:tcW w:w="814" w:type="dxa"/>
            <w:tcBorders>
              <w:bottom w:val="nil"/>
            </w:tcBorders>
            <w:shd w:val="clear" w:color="auto" w:fill="C6D9F1" w:themeFill="text2" w:themeFillTint="33"/>
            <w:noWrap/>
            <w:vAlign w:val="center"/>
          </w:tcPr>
          <w:p w14:paraId="69514B1F"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706" w:type="dxa"/>
            <w:tcBorders>
              <w:bottom w:val="nil"/>
            </w:tcBorders>
            <w:shd w:val="clear" w:color="auto" w:fill="C6D9F1" w:themeFill="text2" w:themeFillTint="33"/>
            <w:noWrap/>
            <w:vAlign w:val="center"/>
          </w:tcPr>
          <w:p w14:paraId="178F8722" w14:textId="77777777" w:rsidR="0065073E" w:rsidRDefault="000A0998">
            <w:pPr>
              <w:pStyle w:val="P68B1DB1-Normal8"/>
              <w:spacing w:after="0" w:line="240" w:lineRule="auto"/>
              <w:jc w:val="center"/>
              <w:rPr>
                <w:rFonts w:cs="Times New Roman"/>
                <w:noProof/>
              </w:rPr>
            </w:pPr>
            <w:r>
              <w:rPr>
                <w:noProof/>
              </w:rPr>
              <w:t>Nimi</w:t>
            </w:r>
          </w:p>
        </w:tc>
        <w:tc>
          <w:tcPr>
            <w:tcW w:w="950" w:type="dxa"/>
            <w:tcBorders>
              <w:bottom w:val="nil"/>
            </w:tcBorders>
            <w:shd w:val="clear" w:color="auto" w:fill="C6D9F1" w:themeFill="text2" w:themeFillTint="33"/>
            <w:noWrap/>
            <w:vAlign w:val="center"/>
          </w:tcPr>
          <w:p w14:paraId="3A30B3BB"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577" w:type="dxa"/>
            <w:gridSpan w:val="3"/>
            <w:shd w:val="clear" w:color="auto" w:fill="C6D9F1" w:themeFill="text2" w:themeFillTint="33"/>
            <w:noWrap/>
            <w:vAlign w:val="center"/>
          </w:tcPr>
          <w:p w14:paraId="0A60ADD5"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53" w:type="dxa"/>
            <w:gridSpan w:val="2"/>
            <w:shd w:val="clear" w:color="auto" w:fill="C6D9F1" w:themeFill="text2" w:themeFillTint="33"/>
            <w:noWrap/>
            <w:vAlign w:val="center"/>
          </w:tcPr>
          <w:p w14:paraId="32A3605C" w14:textId="77777777" w:rsidR="0065073E" w:rsidRDefault="000A0998">
            <w:pPr>
              <w:pStyle w:val="P68B1DB1-Normal8"/>
              <w:spacing w:after="0" w:line="240" w:lineRule="auto"/>
              <w:jc w:val="center"/>
              <w:rPr>
                <w:rFonts w:cs="Times New Roman"/>
                <w:noProof/>
              </w:rPr>
            </w:pPr>
            <w:r>
              <w:rPr>
                <w:noProof/>
              </w:rPr>
              <w:t>Aika</w:t>
            </w:r>
          </w:p>
        </w:tc>
        <w:tc>
          <w:tcPr>
            <w:tcW w:w="5815" w:type="dxa"/>
            <w:tcBorders>
              <w:bottom w:val="nil"/>
            </w:tcBorders>
            <w:shd w:val="clear" w:color="auto" w:fill="C6D9F1" w:themeFill="text2" w:themeFillTint="33"/>
            <w:noWrap/>
            <w:vAlign w:val="center"/>
          </w:tcPr>
          <w:p w14:paraId="7C1CC161"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F9ACA8B" w14:textId="77777777">
        <w:trPr>
          <w:trHeight w:val="309"/>
          <w:tblHeader/>
        </w:trPr>
        <w:tc>
          <w:tcPr>
            <w:tcW w:w="822" w:type="dxa"/>
            <w:tcBorders>
              <w:top w:val="nil"/>
            </w:tcBorders>
            <w:shd w:val="clear" w:color="auto" w:fill="C6D9F1" w:themeFill="text2" w:themeFillTint="33"/>
            <w:noWrap/>
          </w:tcPr>
          <w:p w14:paraId="19219836" w14:textId="77777777" w:rsidR="0065073E" w:rsidRDefault="0065073E">
            <w:pPr>
              <w:spacing w:after="0" w:line="240" w:lineRule="auto"/>
              <w:jc w:val="center"/>
              <w:rPr>
                <w:rFonts w:ascii="Times New Roman" w:hAnsi="Times New Roman" w:cs="Times New Roman"/>
                <w:b/>
                <w:noProof/>
                <w:sz w:val="18"/>
              </w:rPr>
            </w:pPr>
          </w:p>
        </w:tc>
        <w:tc>
          <w:tcPr>
            <w:tcW w:w="815" w:type="dxa"/>
            <w:tcBorders>
              <w:top w:val="nil"/>
            </w:tcBorders>
            <w:shd w:val="clear" w:color="auto" w:fill="C6D9F1" w:themeFill="text2" w:themeFillTint="33"/>
            <w:noWrap/>
          </w:tcPr>
          <w:p w14:paraId="296FEF7D" w14:textId="77777777" w:rsidR="0065073E" w:rsidRDefault="0065073E">
            <w:pPr>
              <w:spacing w:after="0" w:line="240" w:lineRule="auto"/>
              <w:jc w:val="center"/>
              <w:rPr>
                <w:rFonts w:ascii="Times New Roman" w:hAnsi="Times New Roman" w:cs="Times New Roman"/>
                <w:b/>
                <w:noProof/>
                <w:sz w:val="18"/>
              </w:rPr>
            </w:pPr>
          </w:p>
        </w:tc>
        <w:tc>
          <w:tcPr>
            <w:tcW w:w="814" w:type="dxa"/>
            <w:tcBorders>
              <w:top w:val="nil"/>
            </w:tcBorders>
            <w:shd w:val="clear" w:color="auto" w:fill="C6D9F1" w:themeFill="text2" w:themeFillTint="33"/>
            <w:noWrap/>
          </w:tcPr>
          <w:p w14:paraId="7194DBDC" w14:textId="77777777" w:rsidR="0065073E" w:rsidRDefault="0065073E">
            <w:pPr>
              <w:spacing w:after="0" w:line="240" w:lineRule="auto"/>
              <w:jc w:val="center"/>
              <w:rPr>
                <w:rFonts w:ascii="Times New Roman" w:hAnsi="Times New Roman" w:cs="Times New Roman"/>
                <w:b/>
                <w:noProof/>
                <w:sz w:val="18"/>
              </w:rPr>
            </w:pPr>
          </w:p>
        </w:tc>
        <w:tc>
          <w:tcPr>
            <w:tcW w:w="2706" w:type="dxa"/>
            <w:tcBorders>
              <w:top w:val="nil"/>
            </w:tcBorders>
            <w:shd w:val="clear" w:color="auto" w:fill="C6D9F1" w:themeFill="text2" w:themeFillTint="33"/>
            <w:noWrap/>
          </w:tcPr>
          <w:p w14:paraId="769D0D3C" w14:textId="77777777" w:rsidR="0065073E" w:rsidRDefault="0065073E">
            <w:pPr>
              <w:spacing w:after="0" w:line="240" w:lineRule="auto"/>
              <w:rPr>
                <w:rFonts w:ascii="Times New Roman" w:hAnsi="Times New Roman" w:cs="Times New Roman"/>
                <w:b/>
                <w:noProof/>
                <w:sz w:val="18"/>
              </w:rPr>
            </w:pPr>
          </w:p>
        </w:tc>
        <w:tc>
          <w:tcPr>
            <w:tcW w:w="950" w:type="dxa"/>
            <w:tcBorders>
              <w:top w:val="nil"/>
            </w:tcBorders>
            <w:shd w:val="clear" w:color="auto" w:fill="C6D9F1" w:themeFill="text2" w:themeFillTint="33"/>
            <w:noWrap/>
          </w:tcPr>
          <w:p w14:paraId="54CD245A" w14:textId="77777777" w:rsidR="0065073E" w:rsidRDefault="0065073E">
            <w:pPr>
              <w:spacing w:after="0" w:line="240" w:lineRule="auto"/>
              <w:jc w:val="center"/>
              <w:rPr>
                <w:rFonts w:ascii="Times New Roman" w:hAnsi="Times New Roman" w:cs="Times New Roman"/>
                <w:b/>
                <w:noProof/>
                <w:sz w:val="18"/>
              </w:rPr>
            </w:pPr>
          </w:p>
        </w:tc>
        <w:tc>
          <w:tcPr>
            <w:tcW w:w="949" w:type="dxa"/>
            <w:shd w:val="clear" w:color="auto" w:fill="C6D9F1" w:themeFill="text2" w:themeFillTint="33"/>
            <w:noWrap/>
            <w:vAlign w:val="center"/>
          </w:tcPr>
          <w:p w14:paraId="7B173101" w14:textId="77777777" w:rsidR="0065073E" w:rsidRDefault="000A0998">
            <w:pPr>
              <w:pStyle w:val="P68B1DB1-Normal8"/>
              <w:spacing w:after="0" w:line="240" w:lineRule="auto"/>
              <w:jc w:val="center"/>
              <w:rPr>
                <w:rFonts w:cs="Times New Roman"/>
                <w:noProof/>
              </w:rPr>
            </w:pPr>
            <w:r>
              <w:rPr>
                <w:noProof/>
              </w:rPr>
              <w:t>Yksikkö</w:t>
            </w:r>
          </w:p>
        </w:tc>
        <w:tc>
          <w:tcPr>
            <w:tcW w:w="949" w:type="dxa"/>
            <w:shd w:val="clear" w:color="auto" w:fill="C6D9F1" w:themeFill="text2" w:themeFillTint="33"/>
            <w:noWrap/>
            <w:vAlign w:val="center"/>
          </w:tcPr>
          <w:p w14:paraId="005A6B31" w14:textId="5145BA51" w:rsidR="0065073E" w:rsidRDefault="000A0998">
            <w:pPr>
              <w:pStyle w:val="P68B1DB1-Normal8"/>
              <w:spacing w:after="0" w:line="240" w:lineRule="auto"/>
              <w:jc w:val="center"/>
              <w:rPr>
                <w:rFonts w:cs="Times New Roman"/>
                <w:noProof/>
              </w:rPr>
            </w:pPr>
            <w:r>
              <w:rPr>
                <w:noProof/>
              </w:rPr>
              <w:t>Lähtötaso</w:t>
            </w:r>
          </w:p>
        </w:tc>
        <w:tc>
          <w:tcPr>
            <w:tcW w:w="679" w:type="dxa"/>
            <w:shd w:val="clear" w:color="auto" w:fill="C6D9F1" w:themeFill="text2" w:themeFillTint="33"/>
            <w:noWrap/>
            <w:vAlign w:val="center"/>
          </w:tcPr>
          <w:p w14:paraId="04C27F3C" w14:textId="77777777" w:rsidR="0065073E" w:rsidRDefault="000A0998">
            <w:pPr>
              <w:pStyle w:val="P68B1DB1-Normal8"/>
              <w:spacing w:after="0" w:line="240" w:lineRule="auto"/>
              <w:jc w:val="center"/>
              <w:rPr>
                <w:rFonts w:cs="Times New Roman"/>
                <w:noProof/>
              </w:rPr>
            </w:pPr>
            <w:r>
              <w:rPr>
                <w:noProof/>
              </w:rPr>
              <w:t>Päämäärä</w:t>
            </w:r>
          </w:p>
        </w:tc>
        <w:tc>
          <w:tcPr>
            <w:tcW w:w="409" w:type="dxa"/>
            <w:shd w:val="clear" w:color="auto" w:fill="C6D9F1" w:themeFill="text2" w:themeFillTint="33"/>
            <w:noWrap/>
            <w:vAlign w:val="center"/>
          </w:tcPr>
          <w:p w14:paraId="6D5F76BE" w14:textId="77777777" w:rsidR="0065073E" w:rsidRDefault="000A0998">
            <w:pPr>
              <w:pStyle w:val="P68B1DB1-Normal8"/>
              <w:spacing w:after="0" w:line="240" w:lineRule="auto"/>
              <w:jc w:val="center"/>
              <w:rPr>
                <w:rFonts w:cs="Times New Roman"/>
                <w:noProof/>
              </w:rPr>
            </w:pPr>
            <w:r>
              <w:rPr>
                <w:noProof/>
              </w:rPr>
              <w:t>Q</w:t>
            </w:r>
          </w:p>
        </w:tc>
        <w:tc>
          <w:tcPr>
            <w:tcW w:w="544" w:type="dxa"/>
            <w:shd w:val="clear" w:color="auto" w:fill="C6D9F1" w:themeFill="text2" w:themeFillTint="33"/>
            <w:noWrap/>
            <w:vAlign w:val="center"/>
          </w:tcPr>
          <w:p w14:paraId="72C88E70" w14:textId="77777777" w:rsidR="0065073E" w:rsidRDefault="000A0998">
            <w:pPr>
              <w:pStyle w:val="P68B1DB1-Normal8"/>
              <w:spacing w:after="0" w:line="240" w:lineRule="auto"/>
              <w:jc w:val="center"/>
              <w:rPr>
                <w:rFonts w:cs="Times New Roman"/>
                <w:noProof/>
              </w:rPr>
            </w:pPr>
            <w:r>
              <w:rPr>
                <w:noProof/>
              </w:rPr>
              <w:t>Vuosi</w:t>
            </w:r>
          </w:p>
        </w:tc>
        <w:tc>
          <w:tcPr>
            <w:tcW w:w="5815" w:type="dxa"/>
            <w:tcBorders>
              <w:top w:val="nil"/>
            </w:tcBorders>
            <w:shd w:val="clear" w:color="auto" w:fill="C6D9F1" w:themeFill="text2" w:themeFillTint="33"/>
            <w:noWrap/>
          </w:tcPr>
          <w:p w14:paraId="1231BE67" w14:textId="77777777" w:rsidR="0065073E" w:rsidRDefault="0065073E">
            <w:pPr>
              <w:spacing w:after="0" w:line="240" w:lineRule="auto"/>
              <w:rPr>
                <w:rFonts w:ascii="Times New Roman" w:hAnsi="Times New Roman" w:cs="Times New Roman"/>
                <w:b/>
                <w:noProof/>
                <w:sz w:val="18"/>
              </w:rPr>
            </w:pPr>
          </w:p>
        </w:tc>
      </w:tr>
      <w:tr w:rsidR="0065073E" w14:paraId="2F037FBF" w14:textId="77777777">
        <w:trPr>
          <w:trHeight w:val="309"/>
        </w:trPr>
        <w:tc>
          <w:tcPr>
            <w:tcW w:w="822" w:type="dxa"/>
            <w:shd w:val="clear" w:color="auto" w:fill="C6EFCE"/>
            <w:noWrap/>
          </w:tcPr>
          <w:p w14:paraId="72947656" w14:textId="77777777" w:rsidR="0065073E" w:rsidRDefault="000A0998">
            <w:pPr>
              <w:pStyle w:val="P68B1DB1-Normal12"/>
              <w:spacing w:after="0" w:line="240" w:lineRule="auto"/>
              <w:jc w:val="center"/>
              <w:rPr>
                <w:rFonts w:eastAsia="MS Mincho" w:cs="Times New Roman"/>
                <w:noProof/>
              </w:rPr>
            </w:pPr>
            <w:r>
              <w:rPr>
                <w:noProof/>
              </w:rPr>
              <w:t>74</w:t>
            </w:r>
          </w:p>
        </w:tc>
        <w:tc>
          <w:tcPr>
            <w:tcW w:w="815" w:type="dxa"/>
            <w:shd w:val="clear" w:color="auto" w:fill="C6EFCE"/>
            <w:noWrap/>
          </w:tcPr>
          <w:p w14:paraId="31550F39" w14:textId="77777777" w:rsidR="0065073E" w:rsidRDefault="000A0998">
            <w:pPr>
              <w:pStyle w:val="P68B1DB1-Normal12"/>
              <w:spacing w:after="0" w:line="240" w:lineRule="auto"/>
              <w:jc w:val="center"/>
              <w:rPr>
                <w:rFonts w:eastAsia="MS Mincho" w:cs="Times New Roman"/>
                <w:noProof/>
              </w:rPr>
            </w:pPr>
            <w:r>
              <w:rPr>
                <w:noProof/>
              </w:rPr>
              <w:t>C5.R1</w:t>
            </w:r>
          </w:p>
        </w:tc>
        <w:tc>
          <w:tcPr>
            <w:tcW w:w="814" w:type="dxa"/>
            <w:shd w:val="clear" w:color="auto" w:fill="C6EFCE"/>
            <w:noWrap/>
          </w:tcPr>
          <w:p w14:paraId="407CADBF" w14:textId="77777777" w:rsidR="0065073E" w:rsidRDefault="000A0998">
            <w:pPr>
              <w:pStyle w:val="P68B1DB1-Normal12"/>
              <w:spacing w:after="0" w:line="240" w:lineRule="auto"/>
              <w:jc w:val="center"/>
              <w:rPr>
                <w:rFonts w:eastAsia="MS Mincho" w:cs="Times New Roman"/>
                <w:noProof/>
              </w:rPr>
            </w:pPr>
            <w:r>
              <w:rPr>
                <w:noProof/>
              </w:rPr>
              <w:t>M</w:t>
            </w:r>
          </w:p>
        </w:tc>
        <w:tc>
          <w:tcPr>
            <w:tcW w:w="2706" w:type="dxa"/>
            <w:shd w:val="clear" w:color="auto" w:fill="C6EFCE"/>
            <w:noWrap/>
          </w:tcPr>
          <w:p w14:paraId="07FACBF3" w14:textId="77777777" w:rsidR="0065073E" w:rsidRDefault="000A0998">
            <w:pPr>
              <w:pStyle w:val="P68B1DB1-Normal12"/>
              <w:spacing w:after="0" w:line="240" w:lineRule="auto"/>
              <w:rPr>
                <w:rFonts w:eastAsia="MS Mincho" w:cs="Times New Roman"/>
                <w:noProof/>
              </w:rPr>
            </w:pPr>
            <w:r>
              <w:rPr>
                <w:noProof/>
              </w:rPr>
              <w:t xml:space="preserve">Hydrologisesta suunnittelusta annetun asetuksen muutosten voimaantulo </w:t>
            </w:r>
          </w:p>
        </w:tc>
        <w:tc>
          <w:tcPr>
            <w:tcW w:w="950" w:type="dxa"/>
            <w:shd w:val="clear" w:color="auto" w:fill="C6EFCE"/>
            <w:noWrap/>
          </w:tcPr>
          <w:p w14:paraId="7F6415FC" w14:textId="77777777" w:rsidR="0065073E" w:rsidRDefault="000A0998">
            <w:pPr>
              <w:pStyle w:val="P68B1DB1-Normal12"/>
              <w:spacing w:after="0" w:line="240" w:lineRule="auto"/>
              <w:jc w:val="center"/>
              <w:rPr>
                <w:rFonts w:eastAsia="MS Mincho" w:cs="Times New Roman"/>
                <w:noProof/>
              </w:rPr>
            </w:pPr>
            <w:r>
              <w:rPr>
                <w:noProof/>
              </w:rPr>
              <w:t>Kuninkaan asetuksen voimaantuloa koskeva säännös</w:t>
            </w:r>
          </w:p>
        </w:tc>
        <w:tc>
          <w:tcPr>
            <w:tcW w:w="949" w:type="dxa"/>
            <w:shd w:val="clear" w:color="auto" w:fill="C6EFCE"/>
            <w:noWrap/>
          </w:tcPr>
          <w:p w14:paraId="4A2859AB"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49" w:type="dxa"/>
            <w:shd w:val="clear" w:color="auto" w:fill="C6EFCE"/>
            <w:noWrap/>
          </w:tcPr>
          <w:p w14:paraId="1ECA394A"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679" w:type="dxa"/>
            <w:shd w:val="clear" w:color="auto" w:fill="C6EFCE"/>
            <w:noWrap/>
          </w:tcPr>
          <w:p w14:paraId="5F21F270"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09" w:type="dxa"/>
            <w:shd w:val="clear" w:color="auto" w:fill="C6EFCE"/>
            <w:noWrap/>
          </w:tcPr>
          <w:p w14:paraId="51B8BD07" w14:textId="77777777" w:rsidR="0065073E" w:rsidRDefault="000A0998">
            <w:pPr>
              <w:pStyle w:val="P68B1DB1-Normal12"/>
              <w:spacing w:after="0" w:line="240" w:lineRule="auto"/>
              <w:jc w:val="center"/>
              <w:rPr>
                <w:rFonts w:eastAsia="MS Mincho" w:cs="Times New Roman"/>
                <w:noProof/>
              </w:rPr>
            </w:pPr>
            <w:r>
              <w:rPr>
                <w:noProof/>
              </w:rPr>
              <w:t>Q4</w:t>
            </w:r>
          </w:p>
        </w:tc>
        <w:tc>
          <w:tcPr>
            <w:tcW w:w="544" w:type="dxa"/>
            <w:shd w:val="clear" w:color="auto" w:fill="C6EFCE"/>
            <w:noWrap/>
          </w:tcPr>
          <w:p w14:paraId="55BFB259" w14:textId="77777777" w:rsidR="0065073E" w:rsidRDefault="000A0998">
            <w:pPr>
              <w:pStyle w:val="P68B1DB1-Normal12"/>
              <w:spacing w:after="0" w:line="240" w:lineRule="auto"/>
              <w:jc w:val="center"/>
              <w:rPr>
                <w:rFonts w:eastAsia="MS Mincho" w:cs="Times New Roman"/>
                <w:noProof/>
              </w:rPr>
            </w:pPr>
            <w:r>
              <w:rPr>
                <w:noProof/>
              </w:rPr>
              <w:t>2021</w:t>
            </w:r>
          </w:p>
        </w:tc>
        <w:tc>
          <w:tcPr>
            <w:tcW w:w="5815" w:type="dxa"/>
            <w:shd w:val="clear" w:color="auto" w:fill="C6EFCE"/>
            <w:noWrap/>
          </w:tcPr>
          <w:p w14:paraId="3A6C8438" w14:textId="77777777" w:rsidR="0065073E" w:rsidRDefault="000A0998">
            <w:pPr>
              <w:pStyle w:val="P68B1DB1-Normal12"/>
              <w:spacing w:after="0" w:line="240" w:lineRule="auto"/>
              <w:rPr>
                <w:rFonts w:eastAsia="MS Mincho" w:cs="Times New Roman"/>
                <w:noProof/>
              </w:rPr>
            </w:pPr>
            <w:r>
              <w:rPr>
                <w:noProof/>
              </w:rPr>
              <w:t xml:space="preserve">Kuninkaallinen asetus hydrologisesta suunnittelusta annetun asetuksen muuttamisesta (virallinen lehti). Muutokset koskevat kuivuuteen ja veden niukkuuteen liittyviä näkökohtia, vesipolitiikan puitedirektiivin täytäntöönpanovaatimuksia ja asiaankuuluvia normeja vesidirektiivien yhteisen täytäntöönpanostrategian puitteissa. </w:t>
            </w:r>
          </w:p>
        </w:tc>
      </w:tr>
      <w:tr w:rsidR="0065073E" w14:paraId="3692C050" w14:textId="77777777">
        <w:trPr>
          <w:trHeight w:val="309"/>
        </w:trPr>
        <w:tc>
          <w:tcPr>
            <w:tcW w:w="822" w:type="dxa"/>
            <w:shd w:val="clear" w:color="auto" w:fill="C6EFCE"/>
            <w:noWrap/>
          </w:tcPr>
          <w:p w14:paraId="58A771A2" w14:textId="77777777" w:rsidR="0065073E" w:rsidRDefault="000A0998">
            <w:pPr>
              <w:pStyle w:val="P68B1DB1-Normal12"/>
              <w:spacing w:after="0" w:line="240" w:lineRule="auto"/>
              <w:jc w:val="center"/>
              <w:rPr>
                <w:rFonts w:cs="Times New Roman"/>
                <w:noProof/>
              </w:rPr>
            </w:pPr>
            <w:r>
              <w:rPr>
                <w:noProof/>
              </w:rPr>
              <w:t>75</w:t>
            </w:r>
          </w:p>
        </w:tc>
        <w:tc>
          <w:tcPr>
            <w:tcW w:w="815" w:type="dxa"/>
            <w:shd w:val="clear" w:color="auto" w:fill="C6EFCE"/>
            <w:noWrap/>
          </w:tcPr>
          <w:p w14:paraId="657A3EC8" w14:textId="77777777" w:rsidR="0065073E" w:rsidRDefault="000A0998">
            <w:pPr>
              <w:pStyle w:val="P68B1DB1-Normal12"/>
              <w:spacing w:after="0" w:line="240" w:lineRule="auto"/>
              <w:jc w:val="center"/>
              <w:rPr>
                <w:rFonts w:cs="Times New Roman"/>
                <w:noProof/>
              </w:rPr>
            </w:pPr>
            <w:r>
              <w:rPr>
                <w:noProof/>
              </w:rPr>
              <w:t>C5.R1</w:t>
            </w:r>
          </w:p>
        </w:tc>
        <w:tc>
          <w:tcPr>
            <w:tcW w:w="814" w:type="dxa"/>
            <w:shd w:val="clear" w:color="auto" w:fill="C6EFCE"/>
            <w:noWrap/>
          </w:tcPr>
          <w:p w14:paraId="4C62E683" w14:textId="77777777"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7608EE0D" w14:textId="77777777" w:rsidR="0065073E" w:rsidRDefault="000A0998">
            <w:pPr>
              <w:pStyle w:val="P68B1DB1-Normal12"/>
              <w:spacing w:after="0" w:line="240" w:lineRule="auto"/>
              <w:rPr>
                <w:rFonts w:cs="Times New Roman"/>
                <w:noProof/>
              </w:rPr>
            </w:pPr>
            <w:r>
              <w:rPr>
                <w:noProof/>
              </w:rPr>
              <w:t>Vesilain muutoksen ja kuninkaan asetuksen 1620/2007 korvaavan uuden asetuksen voimaantulo</w:t>
            </w:r>
          </w:p>
        </w:tc>
        <w:tc>
          <w:tcPr>
            <w:tcW w:w="950" w:type="dxa"/>
            <w:shd w:val="clear" w:color="auto" w:fill="C6EFCE"/>
            <w:noWrap/>
          </w:tcPr>
          <w:p w14:paraId="6AF562B1" w14:textId="77777777" w:rsidR="0065073E" w:rsidRDefault="000A0998">
            <w:pPr>
              <w:pStyle w:val="P68B1DB1-Normal12"/>
              <w:spacing w:after="0" w:line="240" w:lineRule="auto"/>
              <w:jc w:val="center"/>
              <w:rPr>
                <w:rFonts w:cs="Times New Roman"/>
                <w:noProof/>
              </w:rPr>
            </w:pPr>
            <w:r>
              <w:rPr>
                <w:noProof/>
              </w:rPr>
              <w:t xml:space="preserve">Vesilain voimaantuloa koskeva säännös </w:t>
            </w:r>
          </w:p>
        </w:tc>
        <w:tc>
          <w:tcPr>
            <w:tcW w:w="949" w:type="dxa"/>
            <w:shd w:val="clear" w:color="auto" w:fill="C6EFCE"/>
            <w:noWrap/>
          </w:tcPr>
          <w:p w14:paraId="7146A6A2" w14:textId="77777777" w:rsidR="0065073E" w:rsidRDefault="000A0998">
            <w:pPr>
              <w:pStyle w:val="P68B1DB1-Normal12"/>
              <w:spacing w:after="0" w:line="240" w:lineRule="auto"/>
              <w:jc w:val="right"/>
              <w:rPr>
                <w:rFonts w:cs="Times New Roman"/>
                <w:noProof/>
              </w:rPr>
            </w:pPr>
            <w:r>
              <w:rPr>
                <w:noProof/>
              </w:rPr>
              <w:t xml:space="preserve"> </w:t>
            </w:r>
          </w:p>
        </w:tc>
        <w:tc>
          <w:tcPr>
            <w:tcW w:w="949" w:type="dxa"/>
            <w:shd w:val="clear" w:color="auto" w:fill="C6EFCE"/>
            <w:noWrap/>
          </w:tcPr>
          <w:p w14:paraId="3E226854" w14:textId="77777777" w:rsidR="0065073E" w:rsidRDefault="000A0998">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61965C7B" w14:textId="77777777" w:rsidR="0065073E" w:rsidRDefault="000A0998">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361C868B" w14:textId="77777777"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4E8F09C0" w14:textId="77777777" w:rsidR="0065073E" w:rsidRDefault="000A0998">
            <w:pPr>
              <w:pStyle w:val="P68B1DB1-Normal12"/>
              <w:spacing w:after="0" w:line="240" w:lineRule="auto"/>
              <w:jc w:val="center"/>
              <w:rPr>
                <w:rFonts w:cs="Times New Roman"/>
                <w:noProof/>
              </w:rPr>
            </w:pPr>
            <w:r>
              <w:rPr>
                <w:noProof/>
              </w:rPr>
              <w:t>2023</w:t>
            </w:r>
          </w:p>
        </w:tc>
        <w:tc>
          <w:tcPr>
            <w:tcW w:w="5815" w:type="dxa"/>
            <w:shd w:val="clear" w:color="auto" w:fill="C6EFCE"/>
            <w:noWrap/>
          </w:tcPr>
          <w:p w14:paraId="3B352102" w14:textId="77777777" w:rsidR="0065073E" w:rsidRDefault="000A0998">
            <w:pPr>
              <w:pStyle w:val="P68B1DB1-Normal12"/>
              <w:spacing w:after="0" w:line="240" w:lineRule="auto"/>
              <w:rPr>
                <w:rFonts w:cs="Times New Roman"/>
                <w:noProof/>
              </w:rPr>
            </w:pPr>
            <w:r>
              <w:rPr>
                <w:noProof/>
              </w:rPr>
              <w:t xml:space="preserve">Vesilain muuttaminen siten, että siihen sisällytetään jätevesipäästöistä perittävien verojen ja vesi-infrastruktuurikustannusten korvausjärjestelmän tarkistaminen saastuttaja maksaa -periaatteen ja kustannusten kattamisen periaatteiden mukaisesti. Uudella asetuksella, jolla korvataan kuninkaan asetus 1620/2007, muutetaan jäteveden uudelleenkäytön sääntely- ja rahoituspuitteita aiheuttamisperiaatteen ja kustannusten kattamisen periaatteiden mukaisesti, parannetaan vesimuodostumien, myös pohjaveden, seurantaa ja suojelua sekä puututaan kuivuuteen ja niukkuuteen liittyviin näkökohtiin. </w:t>
            </w:r>
          </w:p>
        </w:tc>
      </w:tr>
      <w:tr w:rsidR="0065073E" w14:paraId="149D7459" w14:textId="77777777">
        <w:trPr>
          <w:trHeight w:val="309"/>
        </w:trPr>
        <w:tc>
          <w:tcPr>
            <w:tcW w:w="822" w:type="dxa"/>
            <w:shd w:val="clear" w:color="auto" w:fill="C6EFCE"/>
            <w:noWrap/>
          </w:tcPr>
          <w:p w14:paraId="13DC3A13" w14:textId="77777777" w:rsidR="0065073E" w:rsidRDefault="000A0998">
            <w:pPr>
              <w:pStyle w:val="P68B1DB1-Normal12"/>
              <w:spacing w:after="0" w:line="240" w:lineRule="auto"/>
              <w:jc w:val="center"/>
              <w:rPr>
                <w:rFonts w:cs="Times New Roman"/>
                <w:noProof/>
              </w:rPr>
            </w:pPr>
            <w:r>
              <w:rPr>
                <w:noProof/>
              </w:rPr>
              <w:t>76</w:t>
            </w:r>
          </w:p>
        </w:tc>
        <w:tc>
          <w:tcPr>
            <w:tcW w:w="815" w:type="dxa"/>
            <w:shd w:val="clear" w:color="auto" w:fill="C6EFCE"/>
            <w:noWrap/>
          </w:tcPr>
          <w:p w14:paraId="049534DE" w14:textId="77777777" w:rsidR="0065073E" w:rsidRDefault="000A0998">
            <w:pPr>
              <w:pStyle w:val="P68B1DB1-Normal12"/>
              <w:spacing w:after="0" w:line="240" w:lineRule="auto"/>
              <w:jc w:val="center"/>
              <w:rPr>
                <w:rFonts w:cs="Times New Roman"/>
                <w:noProof/>
              </w:rPr>
            </w:pPr>
            <w:r>
              <w:rPr>
                <w:noProof/>
              </w:rPr>
              <w:t>C5.I1</w:t>
            </w:r>
          </w:p>
        </w:tc>
        <w:tc>
          <w:tcPr>
            <w:tcW w:w="814" w:type="dxa"/>
            <w:shd w:val="clear" w:color="auto" w:fill="C6EFCE"/>
            <w:noWrap/>
          </w:tcPr>
          <w:p w14:paraId="4BD27F86" w14:textId="77777777"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1CA7A6EA" w14:textId="77777777" w:rsidR="0065073E" w:rsidRDefault="000A0998">
            <w:pPr>
              <w:pStyle w:val="P68B1DB1-Normal12"/>
              <w:spacing w:after="0" w:line="240" w:lineRule="auto"/>
              <w:rPr>
                <w:rFonts w:cs="Times New Roman"/>
                <w:noProof/>
              </w:rPr>
            </w:pPr>
            <w:r>
              <w:rPr>
                <w:noProof/>
              </w:rPr>
              <w:t xml:space="preserve">Paremmat veden ja jäteveden käsittelyinfrastruktuurit </w:t>
            </w:r>
          </w:p>
        </w:tc>
        <w:tc>
          <w:tcPr>
            <w:tcW w:w="950" w:type="dxa"/>
            <w:shd w:val="clear" w:color="auto" w:fill="C6EFCE"/>
            <w:noWrap/>
          </w:tcPr>
          <w:p w14:paraId="36FEB5B0"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1B2052BD" w14:textId="77777777" w:rsidR="0065073E" w:rsidRDefault="000A0998">
            <w:pPr>
              <w:pStyle w:val="P68B1DB1-Normal12"/>
              <w:spacing w:after="0" w:line="240" w:lineRule="auto"/>
              <w:jc w:val="right"/>
              <w:rPr>
                <w:rFonts w:cs="Times New Roman"/>
                <w:noProof/>
              </w:rPr>
            </w:pPr>
            <w:r>
              <w:rPr>
                <w:noProof/>
              </w:rPr>
              <w:t>Määrä</w:t>
            </w:r>
          </w:p>
          <w:p w14:paraId="4729B1D0" w14:textId="77777777" w:rsidR="0065073E" w:rsidRDefault="000A0998">
            <w:pPr>
              <w:pStyle w:val="P68B1DB1-Normal12"/>
              <w:spacing w:after="0" w:line="240" w:lineRule="auto"/>
              <w:jc w:val="right"/>
              <w:rPr>
                <w:rFonts w:cs="Times New Roman"/>
                <w:noProof/>
              </w:rPr>
            </w:pPr>
            <w:r>
              <w:rPr>
                <w:noProof/>
              </w:rPr>
              <w:t>(väestö)</w:t>
            </w:r>
          </w:p>
        </w:tc>
        <w:tc>
          <w:tcPr>
            <w:tcW w:w="949" w:type="dxa"/>
            <w:shd w:val="clear" w:color="auto" w:fill="C6EFCE"/>
            <w:noWrap/>
          </w:tcPr>
          <w:p w14:paraId="5F1B12B4" w14:textId="77777777" w:rsidR="0065073E" w:rsidRDefault="000A0998">
            <w:pPr>
              <w:pStyle w:val="P68B1DB1-Normal12"/>
              <w:spacing w:after="0" w:line="240" w:lineRule="auto"/>
              <w:jc w:val="right"/>
              <w:rPr>
                <w:rFonts w:cs="Times New Roman"/>
                <w:noProof/>
              </w:rPr>
            </w:pPr>
            <w:r>
              <w:rPr>
                <w:noProof/>
              </w:rPr>
              <w:t>0</w:t>
            </w:r>
          </w:p>
        </w:tc>
        <w:tc>
          <w:tcPr>
            <w:tcW w:w="679" w:type="dxa"/>
            <w:shd w:val="clear" w:color="auto" w:fill="C6EFCE"/>
            <w:noWrap/>
          </w:tcPr>
          <w:p w14:paraId="1B50CB73" w14:textId="77777777" w:rsidR="0065073E" w:rsidRDefault="000A0998">
            <w:pPr>
              <w:pStyle w:val="P68B1DB1-Normal12"/>
              <w:spacing w:after="0" w:line="240" w:lineRule="auto"/>
              <w:jc w:val="right"/>
              <w:rPr>
                <w:rFonts w:cs="Times New Roman"/>
                <w:noProof/>
              </w:rPr>
            </w:pPr>
            <w:r>
              <w:rPr>
                <w:noProof/>
              </w:rPr>
              <w:t>175 000</w:t>
            </w:r>
          </w:p>
        </w:tc>
        <w:tc>
          <w:tcPr>
            <w:tcW w:w="409" w:type="dxa"/>
            <w:shd w:val="clear" w:color="auto" w:fill="C6EFCE"/>
            <w:noWrap/>
          </w:tcPr>
          <w:p w14:paraId="6E302E4F" w14:textId="77777777"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5DA843A6" w14:textId="0D5D49CC" w:rsidR="0065073E" w:rsidRDefault="000A0998">
            <w:pPr>
              <w:pStyle w:val="P68B1DB1-Normal12"/>
              <w:spacing w:after="0" w:line="240" w:lineRule="auto"/>
              <w:jc w:val="center"/>
              <w:rPr>
                <w:rFonts w:cs="Times New Roman"/>
                <w:noProof/>
              </w:rPr>
            </w:pPr>
            <w:r>
              <w:rPr>
                <w:noProof/>
              </w:rPr>
              <w:t>2023</w:t>
            </w:r>
          </w:p>
        </w:tc>
        <w:tc>
          <w:tcPr>
            <w:tcW w:w="5815" w:type="dxa"/>
            <w:shd w:val="clear" w:color="auto" w:fill="C6EFCE"/>
            <w:noWrap/>
          </w:tcPr>
          <w:p w14:paraId="402BDA6E" w14:textId="77777777" w:rsidR="0065073E" w:rsidRDefault="000A0998">
            <w:pPr>
              <w:pStyle w:val="P68B1DB1-Normal12"/>
              <w:spacing w:after="0" w:line="240" w:lineRule="auto"/>
              <w:rPr>
                <w:rFonts w:cs="Times New Roman"/>
                <w:noProof/>
              </w:rPr>
            </w:pPr>
            <w:r>
              <w:rPr>
                <w:noProof/>
              </w:rPr>
              <w:t>Sellaisten veden ja jäteveden käsittelyinfrastruktuurien käyttöönotto, jotka tarjoavat palveluja vähintään 175000 asukasvastinelukua ja joiden tarkoituksena on varmistaa direktiivin 91/271/ETY noudattaminen ja energiatehokkuuskriteerien saavuttaminen tai parantaa vedenjakelujärjestelmien tehokkuutta ja/tai vähentää vesihävikkiä.</w:t>
            </w:r>
          </w:p>
        </w:tc>
      </w:tr>
      <w:tr w:rsidR="0065073E" w14:paraId="00E767E5" w14:textId="77777777">
        <w:trPr>
          <w:trHeight w:val="309"/>
        </w:trPr>
        <w:tc>
          <w:tcPr>
            <w:tcW w:w="822" w:type="dxa"/>
            <w:shd w:val="clear" w:color="auto" w:fill="C6EFCE"/>
            <w:noWrap/>
          </w:tcPr>
          <w:p w14:paraId="0280E385" w14:textId="1ED608DC" w:rsidR="0065073E" w:rsidRDefault="000A0998">
            <w:pPr>
              <w:pStyle w:val="P68B1DB1-Normal12"/>
              <w:spacing w:after="0" w:line="240" w:lineRule="auto"/>
              <w:jc w:val="center"/>
              <w:rPr>
                <w:rFonts w:cs="Times New Roman"/>
                <w:noProof/>
              </w:rPr>
            </w:pPr>
            <w:r>
              <w:rPr>
                <w:noProof/>
              </w:rPr>
              <w:t>427</w:t>
            </w:r>
          </w:p>
        </w:tc>
        <w:tc>
          <w:tcPr>
            <w:tcW w:w="815" w:type="dxa"/>
            <w:shd w:val="clear" w:color="auto" w:fill="C6EFCE"/>
            <w:noWrap/>
          </w:tcPr>
          <w:p w14:paraId="25A52349" w14:textId="141EA5E8" w:rsidR="0065073E" w:rsidRDefault="000A0998">
            <w:pPr>
              <w:pStyle w:val="P68B1DB1-Normal12"/>
              <w:spacing w:after="0" w:line="240" w:lineRule="auto"/>
              <w:jc w:val="center"/>
              <w:rPr>
                <w:rFonts w:cs="Times New Roman"/>
                <w:noProof/>
              </w:rPr>
            </w:pPr>
            <w:r>
              <w:rPr>
                <w:noProof/>
              </w:rPr>
              <w:t>C5.I1</w:t>
            </w:r>
          </w:p>
        </w:tc>
        <w:tc>
          <w:tcPr>
            <w:tcW w:w="814" w:type="dxa"/>
            <w:shd w:val="clear" w:color="auto" w:fill="C6EFCE"/>
            <w:noWrap/>
          </w:tcPr>
          <w:p w14:paraId="4B476350" w14:textId="76CF81C8"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0CB9E2F6" w14:textId="11B2C0F5" w:rsidR="0065073E" w:rsidRDefault="000A0998">
            <w:pPr>
              <w:pStyle w:val="P68B1DB1-Normal12"/>
              <w:spacing w:after="0" w:line="240" w:lineRule="auto"/>
              <w:rPr>
                <w:rFonts w:cs="Times New Roman"/>
                <w:noProof/>
              </w:rPr>
            </w:pPr>
            <w:r>
              <w:rPr>
                <w:noProof/>
              </w:rPr>
              <w:t>Paremmat veden ja jäteveden käsittelyinfrastruktuurit</w:t>
            </w:r>
          </w:p>
        </w:tc>
        <w:tc>
          <w:tcPr>
            <w:tcW w:w="950" w:type="dxa"/>
            <w:shd w:val="clear" w:color="auto" w:fill="C6EFCE"/>
            <w:noWrap/>
          </w:tcPr>
          <w:p w14:paraId="5244A440"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2E5DFD86" w14:textId="74FA8708" w:rsidR="0065073E" w:rsidRDefault="000A0998">
            <w:pPr>
              <w:pStyle w:val="P68B1DB1-Normal12"/>
              <w:spacing w:after="0" w:line="240" w:lineRule="auto"/>
              <w:jc w:val="right"/>
              <w:rPr>
                <w:rFonts w:cs="Times New Roman"/>
                <w:noProof/>
              </w:rPr>
            </w:pPr>
            <w:r>
              <w:rPr>
                <w:noProof/>
              </w:rPr>
              <w:t>Lukumäärä (väestö)</w:t>
            </w:r>
          </w:p>
        </w:tc>
        <w:tc>
          <w:tcPr>
            <w:tcW w:w="949" w:type="dxa"/>
            <w:shd w:val="clear" w:color="auto" w:fill="C6EFCE"/>
            <w:noWrap/>
          </w:tcPr>
          <w:p w14:paraId="66D3C216" w14:textId="4A1B400E" w:rsidR="0065073E" w:rsidRDefault="000A0998">
            <w:pPr>
              <w:pStyle w:val="P68B1DB1-Normal12"/>
              <w:spacing w:after="0" w:line="240" w:lineRule="auto"/>
              <w:jc w:val="right"/>
              <w:rPr>
                <w:rFonts w:cs="Times New Roman"/>
                <w:noProof/>
              </w:rPr>
            </w:pPr>
            <w:r>
              <w:rPr>
                <w:noProof/>
              </w:rPr>
              <w:t>175 000</w:t>
            </w:r>
          </w:p>
        </w:tc>
        <w:tc>
          <w:tcPr>
            <w:tcW w:w="679" w:type="dxa"/>
            <w:shd w:val="clear" w:color="auto" w:fill="C6EFCE"/>
            <w:noWrap/>
          </w:tcPr>
          <w:p w14:paraId="1275468F" w14:textId="77777777" w:rsidR="0065073E" w:rsidRDefault="000A0998">
            <w:pPr>
              <w:pStyle w:val="P68B1DB1-Normal12"/>
              <w:spacing w:after="0" w:line="240" w:lineRule="auto"/>
              <w:jc w:val="right"/>
              <w:rPr>
                <w:rFonts w:cs="Times New Roman"/>
                <w:noProof/>
              </w:rPr>
            </w:pPr>
            <w:r>
              <w:rPr>
                <w:noProof/>
              </w:rPr>
              <w:t>425 000</w:t>
            </w:r>
          </w:p>
          <w:p w14:paraId="64C9BFF9" w14:textId="77777777" w:rsidR="0065073E" w:rsidRDefault="0065073E">
            <w:pPr>
              <w:spacing w:after="0" w:line="240" w:lineRule="auto"/>
              <w:jc w:val="right"/>
              <w:rPr>
                <w:rFonts w:ascii="Times New Roman" w:hAnsi="Times New Roman" w:cs="Times New Roman"/>
                <w:noProof/>
                <w:sz w:val="18"/>
              </w:rPr>
            </w:pPr>
          </w:p>
        </w:tc>
        <w:tc>
          <w:tcPr>
            <w:tcW w:w="409" w:type="dxa"/>
            <w:shd w:val="clear" w:color="auto" w:fill="C6EFCE"/>
            <w:noWrap/>
          </w:tcPr>
          <w:p w14:paraId="2AD6A892" w14:textId="38209DE3"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080DBF36" w14:textId="5655E14F" w:rsidR="0065073E" w:rsidRDefault="000A0998">
            <w:pPr>
              <w:pStyle w:val="P68B1DB1-Normal12"/>
              <w:spacing w:after="0" w:line="240" w:lineRule="auto"/>
              <w:jc w:val="center"/>
              <w:rPr>
                <w:rFonts w:cs="Times New Roman"/>
                <w:noProof/>
              </w:rPr>
            </w:pPr>
            <w:r>
              <w:rPr>
                <w:noProof/>
              </w:rPr>
              <w:t>2026</w:t>
            </w:r>
          </w:p>
        </w:tc>
        <w:tc>
          <w:tcPr>
            <w:tcW w:w="5815" w:type="dxa"/>
            <w:shd w:val="clear" w:color="auto" w:fill="C6EFCE"/>
            <w:noWrap/>
          </w:tcPr>
          <w:p w14:paraId="126D29C0" w14:textId="37B1775B" w:rsidR="0065073E" w:rsidRDefault="000A0998">
            <w:pPr>
              <w:pStyle w:val="P68B1DB1-Normal12"/>
              <w:spacing w:after="0" w:line="240" w:lineRule="auto"/>
              <w:rPr>
                <w:rFonts w:cs="Times New Roman"/>
                <w:noProof/>
              </w:rPr>
            </w:pPr>
            <w:r>
              <w:rPr>
                <w:noProof/>
              </w:rPr>
              <w:t xml:space="preserve">Sellaisten veden ja jäteveden käsittelyinfrastruktuurien käyttöönotto, jotka tarjoavat palveluja vähintään 425000 asukasvastinelukua ja joiden tavoitteena on varmistaa direktiivin 91/271/ETY noudattaminen ja energiatehokkuuskriteerien saavuttaminen ja/tai parantaa vedenjakelujärjestelmien tehokkuutta ja/tai vähentää vesihävikkiä. (Perustaso: Kesäkuuta 2023). </w:t>
            </w:r>
          </w:p>
        </w:tc>
      </w:tr>
      <w:tr w:rsidR="0065073E" w14:paraId="78916C97" w14:textId="77777777">
        <w:trPr>
          <w:trHeight w:val="309"/>
        </w:trPr>
        <w:tc>
          <w:tcPr>
            <w:tcW w:w="822" w:type="dxa"/>
            <w:shd w:val="clear" w:color="auto" w:fill="C6EFCE"/>
            <w:noWrap/>
          </w:tcPr>
          <w:p w14:paraId="160393C8" w14:textId="42483417" w:rsidR="0065073E" w:rsidRDefault="000A0998">
            <w:pPr>
              <w:pStyle w:val="P68B1DB1-Normal12"/>
              <w:spacing w:after="0" w:line="240" w:lineRule="auto"/>
              <w:jc w:val="center"/>
              <w:rPr>
                <w:rFonts w:cs="Times New Roman"/>
                <w:noProof/>
              </w:rPr>
            </w:pPr>
            <w:r>
              <w:rPr>
                <w:noProof/>
              </w:rPr>
              <w:t>428</w:t>
            </w:r>
          </w:p>
        </w:tc>
        <w:tc>
          <w:tcPr>
            <w:tcW w:w="815" w:type="dxa"/>
            <w:shd w:val="clear" w:color="auto" w:fill="C6EFCE"/>
            <w:noWrap/>
          </w:tcPr>
          <w:p w14:paraId="22491947" w14:textId="67032E05" w:rsidR="0065073E" w:rsidRDefault="000A0998">
            <w:pPr>
              <w:pStyle w:val="P68B1DB1-Normal12"/>
              <w:spacing w:after="0" w:line="240" w:lineRule="auto"/>
              <w:jc w:val="center"/>
              <w:rPr>
                <w:rFonts w:cs="Times New Roman"/>
                <w:noProof/>
              </w:rPr>
            </w:pPr>
            <w:r>
              <w:rPr>
                <w:noProof/>
              </w:rPr>
              <w:t>C5.I1</w:t>
            </w:r>
          </w:p>
        </w:tc>
        <w:tc>
          <w:tcPr>
            <w:tcW w:w="814" w:type="dxa"/>
            <w:shd w:val="clear" w:color="auto" w:fill="C6EFCE"/>
            <w:noWrap/>
          </w:tcPr>
          <w:p w14:paraId="695B866B" w14:textId="00096397"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7740979A" w14:textId="033E4F4E" w:rsidR="0065073E" w:rsidRDefault="000A0998">
            <w:pPr>
              <w:pStyle w:val="P68B1DB1-Normal12"/>
              <w:spacing w:after="0" w:line="240" w:lineRule="auto"/>
              <w:rPr>
                <w:rFonts w:cs="Times New Roman"/>
                <w:noProof/>
              </w:rPr>
            </w:pPr>
            <w:r>
              <w:rPr>
                <w:noProof/>
              </w:rPr>
              <w:t xml:space="preserve">Paremmat veden ja jäteveden käsittelyinfrastruktuurit </w:t>
            </w:r>
          </w:p>
        </w:tc>
        <w:tc>
          <w:tcPr>
            <w:tcW w:w="950" w:type="dxa"/>
            <w:shd w:val="clear" w:color="auto" w:fill="C6EFCE"/>
            <w:noWrap/>
          </w:tcPr>
          <w:p w14:paraId="0404DBE5"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497497DD" w14:textId="66F6BA91" w:rsidR="0065073E" w:rsidRDefault="000A0998">
            <w:pPr>
              <w:pStyle w:val="P68B1DB1-Normal12"/>
              <w:spacing w:after="0" w:line="240" w:lineRule="auto"/>
              <w:jc w:val="right"/>
              <w:rPr>
                <w:rFonts w:cs="Times New Roman"/>
                <w:noProof/>
              </w:rPr>
            </w:pPr>
            <w:r>
              <w:rPr>
                <w:noProof/>
              </w:rPr>
              <w:t>Lukumäärä (hehtaaria)</w:t>
            </w:r>
          </w:p>
        </w:tc>
        <w:tc>
          <w:tcPr>
            <w:tcW w:w="949" w:type="dxa"/>
            <w:shd w:val="clear" w:color="auto" w:fill="C6EFCE"/>
            <w:noWrap/>
          </w:tcPr>
          <w:p w14:paraId="18F2D18E" w14:textId="22602C10" w:rsidR="0065073E" w:rsidRDefault="000A0998">
            <w:pPr>
              <w:pStyle w:val="P68B1DB1-Normal12"/>
              <w:spacing w:after="0" w:line="240" w:lineRule="auto"/>
              <w:jc w:val="right"/>
              <w:rPr>
                <w:rFonts w:cs="Times New Roman"/>
                <w:noProof/>
              </w:rPr>
            </w:pPr>
            <w:r>
              <w:rPr>
                <w:noProof/>
              </w:rPr>
              <w:t>0</w:t>
            </w:r>
          </w:p>
        </w:tc>
        <w:tc>
          <w:tcPr>
            <w:tcW w:w="679" w:type="dxa"/>
            <w:shd w:val="clear" w:color="auto" w:fill="C6EFCE"/>
            <w:noWrap/>
          </w:tcPr>
          <w:p w14:paraId="365DE703" w14:textId="5E87350E" w:rsidR="0065073E" w:rsidRDefault="000A0998">
            <w:pPr>
              <w:pStyle w:val="P68B1DB1-Normal12"/>
              <w:spacing w:after="0" w:line="240" w:lineRule="auto"/>
              <w:jc w:val="right"/>
              <w:rPr>
                <w:rFonts w:cs="Times New Roman"/>
                <w:noProof/>
              </w:rPr>
            </w:pPr>
            <w:r>
              <w:rPr>
                <w:noProof/>
              </w:rPr>
              <w:t>18 500</w:t>
            </w:r>
          </w:p>
        </w:tc>
        <w:tc>
          <w:tcPr>
            <w:tcW w:w="409" w:type="dxa"/>
            <w:shd w:val="clear" w:color="auto" w:fill="C6EFCE"/>
            <w:noWrap/>
          </w:tcPr>
          <w:p w14:paraId="4B74414B" w14:textId="040B52B9"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45F9C6F8" w14:textId="4171479E" w:rsidR="0065073E" w:rsidRDefault="000A0998">
            <w:pPr>
              <w:pStyle w:val="P68B1DB1-Normal12"/>
              <w:spacing w:after="0" w:line="240" w:lineRule="auto"/>
              <w:jc w:val="center"/>
              <w:rPr>
                <w:rFonts w:cs="Times New Roman"/>
                <w:noProof/>
              </w:rPr>
            </w:pPr>
            <w:r>
              <w:rPr>
                <w:noProof/>
              </w:rPr>
              <w:t>2026</w:t>
            </w:r>
          </w:p>
        </w:tc>
        <w:tc>
          <w:tcPr>
            <w:tcW w:w="5815" w:type="dxa"/>
            <w:shd w:val="clear" w:color="auto" w:fill="C6EFCE"/>
            <w:noWrap/>
          </w:tcPr>
          <w:p w14:paraId="1A52E114" w14:textId="31D54C05" w:rsidR="0065073E" w:rsidRDefault="000A0998">
            <w:pPr>
              <w:pStyle w:val="P68B1DB1-Normal12"/>
              <w:spacing w:after="0" w:line="240" w:lineRule="auto"/>
              <w:rPr>
                <w:rFonts w:cs="Times New Roman"/>
                <w:noProof/>
              </w:rPr>
            </w:pPr>
            <w:r>
              <w:rPr>
                <w:noProof/>
              </w:rPr>
              <w:t xml:space="preserve">Jätevedenkäsittelyinfrastruktuureista peräisin olevan uudelleenkäytön käyttöönotto Alicantessa sijaitsevassa Rincón de Leónin puhdistamossa, kasteluvesihuollon parantaminen 18500 hehtaarilla, tavoitteena varmistaa direktiivin 91/271/ETY noudattaminen ja energiatehokkuuskriteerien saavuttaminen ja/tai vedenjakelujärjestelmien tehokkuuden parantaminen ja/tai vesihävikin vähentäminen. </w:t>
            </w:r>
          </w:p>
        </w:tc>
      </w:tr>
      <w:tr w:rsidR="0065073E" w14:paraId="6A7BF543" w14:textId="77777777">
        <w:trPr>
          <w:trHeight w:val="309"/>
        </w:trPr>
        <w:tc>
          <w:tcPr>
            <w:tcW w:w="822" w:type="dxa"/>
            <w:shd w:val="clear" w:color="auto" w:fill="C6EFCE"/>
            <w:noWrap/>
          </w:tcPr>
          <w:p w14:paraId="23DB4977" w14:textId="77777777" w:rsidR="0065073E" w:rsidRDefault="000A0998">
            <w:pPr>
              <w:pStyle w:val="P68B1DB1-Normal12"/>
              <w:spacing w:after="0" w:line="240" w:lineRule="auto"/>
              <w:jc w:val="center"/>
              <w:rPr>
                <w:rFonts w:cs="Times New Roman"/>
                <w:noProof/>
              </w:rPr>
            </w:pPr>
            <w:r>
              <w:rPr>
                <w:noProof/>
              </w:rPr>
              <w:t>77</w:t>
            </w:r>
          </w:p>
        </w:tc>
        <w:tc>
          <w:tcPr>
            <w:tcW w:w="815" w:type="dxa"/>
            <w:shd w:val="clear" w:color="auto" w:fill="C6EFCE"/>
            <w:noWrap/>
          </w:tcPr>
          <w:p w14:paraId="6C1DF220" w14:textId="77777777" w:rsidR="0065073E" w:rsidRDefault="000A0998">
            <w:pPr>
              <w:pStyle w:val="P68B1DB1-Normal12"/>
              <w:spacing w:after="0" w:line="240" w:lineRule="auto"/>
              <w:jc w:val="center"/>
              <w:rPr>
                <w:rFonts w:cs="Times New Roman"/>
                <w:noProof/>
              </w:rPr>
            </w:pPr>
            <w:r>
              <w:rPr>
                <w:noProof/>
              </w:rPr>
              <w:t>C5.I2</w:t>
            </w:r>
          </w:p>
        </w:tc>
        <w:tc>
          <w:tcPr>
            <w:tcW w:w="814" w:type="dxa"/>
            <w:shd w:val="clear" w:color="auto" w:fill="C6EFCE"/>
            <w:noWrap/>
          </w:tcPr>
          <w:p w14:paraId="4BEBFB89" w14:textId="77777777"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21723D5B" w14:textId="77777777" w:rsidR="0065073E" w:rsidRDefault="000A0998">
            <w:pPr>
              <w:pStyle w:val="P68B1DB1-Normal12"/>
              <w:spacing w:after="0" w:line="240" w:lineRule="auto"/>
              <w:rPr>
                <w:rFonts w:cs="Times New Roman"/>
                <w:noProof/>
              </w:rPr>
            </w:pPr>
            <w:r>
              <w:rPr>
                <w:noProof/>
              </w:rPr>
              <w:t>Jokirantojen ennallistaminen tulvariskeiltä suojautumiseksi</w:t>
            </w:r>
          </w:p>
        </w:tc>
        <w:tc>
          <w:tcPr>
            <w:tcW w:w="950" w:type="dxa"/>
            <w:shd w:val="clear" w:color="auto" w:fill="C6EFCE"/>
            <w:noWrap/>
          </w:tcPr>
          <w:p w14:paraId="5FD6348B" w14:textId="77777777" w:rsidR="0065073E" w:rsidRDefault="000A0998">
            <w:pPr>
              <w:pStyle w:val="P68B1DB1-Normal12"/>
              <w:spacing w:after="0" w:line="240" w:lineRule="auto"/>
              <w:jc w:val="center"/>
              <w:rPr>
                <w:rFonts w:cs="Times New Roman"/>
                <w:noProof/>
              </w:rPr>
            </w:pPr>
            <w:r>
              <w:rPr>
                <w:noProof/>
              </w:rPr>
              <w:t>MITERDin allekirjoittamat todistukset</w:t>
            </w:r>
          </w:p>
        </w:tc>
        <w:tc>
          <w:tcPr>
            <w:tcW w:w="949" w:type="dxa"/>
            <w:shd w:val="clear" w:color="auto" w:fill="C6EFCE"/>
            <w:noWrap/>
          </w:tcPr>
          <w:p w14:paraId="3F8C8A50" w14:textId="77777777" w:rsidR="0065073E" w:rsidRDefault="000A0998">
            <w:pPr>
              <w:pStyle w:val="P68B1DB1-Normal12"/>
              <w:spacing w:after="0" w:line="240" w:lineRule="auto"/>
              <w:jc w:val="right"/>
              <w:rPr>
                <w:rFonts w:cs="Times New Roman"/>
                <w:noProof/>
              </w:rPr>
            </w:pPr>
            <w:r>
              <w:rPr>
                <w:noProof/>
              </w:rPr>
              <w:t xml:space="preserve"> </w:t>
            </w:r>
          </w:p>
        </w:tc>
        <w:tc>
          <w:tcPr>
            <w:tcW w:w="949" w:type="dxa"/>
            <w:shd w:val="clear" w:color="auto" w:fill="C6EFCE"/>
            <w:noWrap/>
          </w:tcPr>
          <w:p w14:paraId="3CEEED34" w14:textId="77777777" w:rsidR="0065073E" w:rsidRDefault="000A0998">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42F19EF9" w14:textId="77777777" w:rsidR="0065073E" w:rsidRDefault="000A0998">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6136DAB4" w14:textId="77777777" w:rsidR="0065073E" w:rsidRDefault="000A0998">
            <w:pPr>
              <w:pStyle w:val="P68B1DB1-Normal12"/>
              <w:spacing w:after="0" w:line="240" w:lineRule="auto"/>
              <w:jc w:val="center"/>
              <w:rPr>
                <w:rFonts w:cs="Times New Roman"/>
                <w:noProof/>
              </w:rPr>
            </w:pPr>
            <w:r>
              <w:rPr>
                <w:noProof/>
              </w:rPr>
              <w:t>Q4</w:t>
            </w:r>
          </w:p>
        </w:tc>
        <w:tc>
          <w:tcPr>
            <w:tcW w:w="544" w:type="dxa"/>
            <w:shd w:val="clear" w:color="auto" w:fill="C6EFCE"/>
            <w:noWrap/>
          </w:tcPr>
          <w:p w14:paraId="7269043E" w14:textId="77777777" w:rsidR="0065073E" w:rsidRDefault="000A0998">
            <w:pPr>
              <w:pStyle w:val="P68B1DB1-Normal12"/>
              <w:spacing w:after="0" w:line="240" w:lineRule="auto"/>
              <w:jc w:val="center"/>
              <w:rPr>
                <w:rFonts w:cs="Times New Roman"/>
                <w:noProof/>
              </w:rPr>
            </w:pPr>
            <w:r>
              <w:rPr>
                <w:noProof/>
              </w:rPr>
              <w:t>2022</w:t>
            </w:r>
          </w:p>
        </w:tc>
        <w:tc>
          <w:tcPr>
            <w:tcW w:w="5815" w:type="dxa"/>
            <w:shd w:val="clear" w:color="auto" w:fill="C6EFCE"/>
            <w:noWrap/>
          </w:tcPr>
          <w:p w14:paraId="02044E4F" w14:textId="77777777" w:rsidR="0065073E" w:rsidRDefault="000A0998">
            <w:pPr>
              <w:pStyle w:val="P68B1DB1-Normal12"/>
              <w:spacing w:after="0" w:line="240" w:lineRule="auto"/>
              <w:rPr>
                <w:rFonts w:cs="Times New Roman"/>
                <w:noProof/>
              </w:rPr>
            </w:pPr>
            <w:r>
              <w:rPr>
                <w:noProof/>
              </w:rPr>
              <w:t>Vähintään 200 kilometriä jokirantoja on kunnostettu ja vähintään 40000 asukasta on suojattu tulvariskeiltä.</w:t>
            </w:r>
          </w:p>
        </w:tc>
      </w:tr>
      <w:tr w:rsidR="0065073E" w14:paraId="0B55FCA1" w14:textId="77777777">
        <w:trPr>
          <w:trHeight w:val="309"/>
        </w:trPr>
        <w:tc>
          <w:tcPr>
            <w:tcW w:w="822" w:type="dxa"/>
            <w:shd w:val="clear" w:color="auto" w:fill="C6EFCE"/>
            <w:noWrap/>
          </w:tcPr>
          <w:p w14:paraId="299BFF4E" w14:textId="4E52D3FC" w:rsidR="0065073E" w:rsidRDefault="000A0998">
            <w:pPr>
              <w:pStyle w:val="P68B1DB1-Normal12"/>
              <w:spacing w:after="0" w:line="240" w:lineRule="auto"/>
              <w:jc w:val="center"/>
              <w:rPr>
                <w:rFonts w:cs="Times New Roman"/>
                <w:noProof/>
              </w:rPr>
            </w:pPr>
            <w:r>
              <w:rPr>
                <w:noProof/>
              </w:rPr>
              <w:t>78</w:t>
            </w:r>
          </w:p>
        </w:tc>
        <w:tc>
          <w:tcPr>
            <w:tcW w:w="815" w:type="dxa"/>
            <w:shd w:val="clear" w:color="auto" w:fill="C6EFCE"/>
            <w:noWrap/>
          </w:tcPr>
          <w:p w14:paraId="580E7276" w14:textId="77777777" w:rsidR="0065073E" w:rsidRDefault="000A0998">
            <w:pPr>
              <w:pStyle w:val="P68B1DB1-Normal12"/>
              <w:spacing w:after="0" w:line="240" w:lineRule="auto"/>
              <w:jc w:val="center"/>
              <w:rPr>
                <w:rFonts w:cs="Times New Roman"/>
                <w:noProof/>
              </w:rPr>
            </w:pPr>
            <w:r>
              <w:rPr>
                <w:noProof/>
              </w:rPr>
              <w:t>C5.I2</w:t>
            </w:r>
          </w:p>
        </w:tc>
        <w:tc>
          <w:tcPr>
            <w:tcW w:w="814" w:type="dxa"/>
            <w:shd w:val="clear" w:color="auto" w:fill="C6EFCE"/>
            <w:noWrap/>
          </w:tcPr>
          <w:p w14:paraId="4253F6F2" w14:textId="77777777"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3F112361" w14:textId="77777777" w:rsidR="0065073E" w:rsidRDefault="000A0998">
            <w:pPr>
              <w:pStyle w:val="P68B1DB1-Normal12"/>
              <w:spacing w:after="0" w:line="240" w:lineRule="auto"/>
              <w:rPr>
                <w:rFonts w:cs="Times New Roman"/>
                <w:noProof/>
              </w:rPr>
            </w:pPr>
            <w:r>
              <w:rPr>
                <w:noProof/>
              </w:rPr>
              <w:t xml:space="preserve">Pohjavesikerroksista otetun veden määrän väheneminen </w:t>
            </w:r>
          </w:p>
        </w:tc>
        <w:tc>
          <w:tcPr>
            <w:tcW w:w="950" w:type="dxa"/>
            <w:shd w:val="clear" w:color="auto" w:fill="C6EFCE"/>
            <w:noWrap/>
          </w:tcPr>
          <w:p w14:paraId="30D7AA69"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61AB7739" w14:textId="77777777" w:rsidR="0065073E" w:rsidRDefault="000A0998">
            <w:pPr>
              <w:pStyle w:val="P68B1DB1-Normal12"/>
              <w:spacing w:after="0" w:line="240" w:lineRule="auto"/>
              <w:jc w:val="right"/>
              <w:rPr>
                <w:rFonts w:cs="Times New Roman"/>
                <w:noProof/>
              </w:rPr>
            </w:pPr>
            <w:r>
              <w:rPr>
                <w:noProof/>
              </w:rPr>
              <w:t>Määrä</w:t>
            </w:r>
          </w:p>
          <w:p w14:paraId="6E27ADFB" w14:textId="77777777" w:rsidR="0065073E" w:rsidRDefault="000A0998">
            <w:pPr>
              <w:pStyle w:val="P68B1DB1-Normal12"/>
              <w:spacing w:after="0" w:line="240" w:lineRule="auto"/>
              <w:jc w:val="right"/>
              <w:rPr>
                <w:rFonts w:cs="Times New Roman"/>
                <w:noProof/>
              </w:rPr>
            </w:pPr>
            <w:r>
              <w:rPr>
                <w:noProof/>
              </w:rPr>
              <w:t>(HM</w:t>
            </w:r>
            <w:r>
              <w:rPr>
                <w:noProof/>
                <w:vertAlign w:val="superscript"/>
              </w:rPr>
              <w:t>3</w:t>
            </w:r>
            <w:r>
              <w:rPr>
                <w:noProof/>
              </w:rPr>
              <w:t>/vuosi)</w:t>
            </w:r>
          </w:p>
        </w:tc>
        <w:tc>
          <w:tcPr>
            <w:tcW w:w="949" w:type="dxa"/>
            <w:shd w:val="clear" w:color="auto" w:fill="C6EFCE"/>
            <w:noWrap/>
          </w:tcPr>
          <w:p w14:paraId="71AFE04B" w14:textId="77777777" w:rsidR="0065073E" w:rsidRDefault="000A0998">
            <w:pPr>
              <w:pStyle w:val="P68B1DB1-Normal12"/>
              <w:spacing w:after="0" w:line="240" w:lineRule="auto"/>
              <w:jc w:val="right"/>
              <w:rPr>
                <w:rFonts w:cs="Times New Roman"/>
                <w:noProof/>
              </w:rPr>
            </w:pPr>
            <w:r>
              <w:rPr>
                <w:noProof/>
              </w:rPr>
              <w:t>510</w:t>
            </w:r>
          </w:p>
        </w:tc>
        <w:tc>
          <w:tcPr>
            <w:tcW w:w="679" w:type="dxa"/>
            <w:shd w:val="clear" w:color="auto" w:fill="C6EFCE"/>
            <w:noWrap/>
          </w:tcPr>
          <w:p w14:paraId="611E64A3" w14:textId="6DEC8A1F" w:rsidR="0065073E" w:rsidRDefault="000A0998">
            <w:pPr>
              <w:pStyle w:val="P68B1DB1-Normal12"/>
              <w:spacing w:after="0" w:line="240" w:lineRule="auto"/>
              <w:jc w:val="right"/>
              <w:rPr>
                <w:rFonts w:cs="Times New Roman"/>
                <w:noProof/>
              </w:rPr>
            </w:pPr>
            <w:r>
              <w:rPr>
                <w:noProof/>
              </w:rPr>
              <w:t>470</w:t>
            </w:r>
          </w:p>
        </w:tc>
        <w:tc>
          <w:tcPr>
            <w:tcW w:w="409" w:type="dxa"/>
            <w:shd w:val="clear" w:color="auto" w:fill="C6EFCE"/>
            <w:noWrap/>
          </w:tcPr>
          <w:p w14:paraId="577E0A3D" w14:textId="38111F68"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5D71C2FD" w14:textId="03EEAC8E" w:rsidR="0065073E" w:rsidRDefault="000A0998">
            <w:pPr>
              <w:pStyle w:val="P68B1DB1-Normal12"/>
              <w:spacing w:after="0" w:line="240" w:lineRule="auto"/>
              <w:jc w:val="center"/>
              <w:rPr>
                <w:rFonts w:cs="Times New Roman"/>
                <w:noProof/>
              </w:rPr>
            </w:pPr>
            <w:r>
              <w:rPr>
                <w:noProof/>
              </w:rPr>
              <w:t>2025</w:t>
            </w:r>
          </w:p>
        </w:tc>
        <w:tc>
          <w:tcPr>
            <w:tcW w:w="5815" w:type="dxa"/>
            <w:shd w:val="clear" w:color="auto" w:fill="C6EFCE"/>
            <w:noWrap/>
          </w:tcPr>
          <w:p w14:paraId="3738FB87" w14:textId="212484EB" w:rsidR="0065073E" w:rsidRDefault="000A0998">
            <w:pPr>
              <w:pStyle w:val="P68B1DB1-Normal12"/>
              <w:spacing w:after="0" w:line="240" w:lineRule="auto"/>
              <w:rPr>
                <w:rFonts w:cs="Times New Roman"/>
                <w:noProof/>
              </w:rPr>
            </w:pPr>
            <w:r>
              <w:rPr>
                <w:noProof/>
              </w:rPr>
              <w:t>Doñanassa, Segura-Mar Menorissa ja Manchan itäosassa sijaitsevista akvifereista otetun veden vuotuisen määrän vähentäminen 510:stä 3:een vuodessa</w:t>
            </w:r>
            <w:r>
              <w:rPr>
                <w:noProof/>
                <w:vertAlign w:val="superscript"/>
              </w:rPr>
              <w:t>470</w:t>
            </w:r>
            <w:r>
              <w:rPr>
                <w:noProof/>
              </w:rPr>
              <w:t>hm 3:een</w:t>
            </w:r>
            <w:r>
              <w:rPr>
                <w:noProof/>
                <w:vertAlign w:val="superscript"/>
              </w:rPr>
              <w:t>vuodessa</w:t>
            </w:r>
            <w:r>
              <w:rPr>
                <w:noProof/>
              </w:rPr>
              <w:t>.</w:t>
            </w:r>
          </w:p>
        </w:tc>
      </w:tr>
      <w:tr w:rsidR="0065073E" w14:paraId="7E0E198C" w14:textId="77777777">
        <w:trPr>
          <w:trHeight w:val="309"/>
        </w:trPr>
        <w:tc>
          <w:tcPr>
            <w:tcW w:w="822" w:type="dxa"/>
            <w:shd w:val="clear" w:color="auto" w:fill="C6EFCE"/>
            <w:noWrap/>
          </w:tcPr>
          <w:p w14:paraId="6A7DEE54" w14:textId="24F76C24" w:rsidR="0065073E" w:rsidRDefault="000A0998">
            <w:pPr>
              <w:pStyle w:val="P68B1DB1-Normal12"/>
              <w:spacing w:after="0" w:line="240" w:lineRule="auto"/>
              <w:jc w:val="center"/>
              <w:rPr>
                <w:rFonts w:cs="Times New Roman"/>
                <w:noProof/>
              </w:rPr>
            </w:pPr>
            <w:r>
              <w:rPr>
                <w:noProof/>
              </w:rPr>
              <w:t>429</w:t>
            </w:r>
          </w:p>
        </w:tc>
        <w:tc>
          <w:tcPr>
            <w:tcW w:w="815" w:type="dxa"/>
            <w:shd w:val="clear" w:color="auto" w:fill="C6EFCE"/>
            <w:noWrap/>
          </w:tcPr>
          <w:p w14:paraId="7C2CF9C2" w14:textId="42FC58C0" w:rsidR="0065073E" w:rsidRDefault="000A0998">
            <w:pPr>
              <w:pStyle w:val="P68B1DB1-Normal12"/>
              <w:spacing w:after="0" w:line="240" w:lineRule="auto"/>
              <w:jc w:val="center"/>
              <w:rPr>
                <w:rFonts w:cs="Times New Roman"/>
                <w:noProof/>
              </w:rPr>
            </w:pPr>
            <w:r>
              <w:rPr>
                <w:noProof/>
              </w:rPr>
              <w:t>C5.I2</w:t>
            </w:r>
          </w:p>
        </w:tc>
        <w:tc>
          <w:tcPr>
            <w:tcW w:w="814" w:type="dxa"/>
            <w:shd w:val="clear" w:color="auto" w:fill="C6EFCE"/>
            <w:noWrap/>
          </w:tcPr>
          <w:p w14:paraId="6476813C" w14:textId="65E59603"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3148BB15" w14:textId="33B8F03F" w:rsidR="0065073E" w:rsidRDefault="000A0998">
            <w:pPr>
              <w:pStyle w:val="P68B1DB1-Normal12"/>
              <w:spacing w:after="0" w:line="240" w:lineRule="auto"/>
              <w:rPr>
                <w:rFonts w:cs="Times New Roman"/>
                <w:noProof/>
              </w:rPr>
            </w:pPr>
            <w:r>
              <w:rPr>
                <w:noProof/>
              </w:rPr>
              <w:t>Aurinkosähkön toimitus suolanpoistolaitoksille ja sen jakelu</w:t>
            </w:r>
          </w:p>
        </w:tc>
        <w:tc>
          <w:tcPr>
            <w:tcW w:w="950" w:type="dxa"/>
            <w:shd w:val="clear" w:color="auto" w:fill="C6EFCE"/>
            <w:noWrap/>
          </w:tcPr>
          <w:p w14:paraId="4E3DD7C4" w14:textId="4D3FFD06" w:rsidR="0065073E" w:rsidRDefault="000A0998">
            <w:pPr>
              <w:pStyle w:val="P68B1DB1-Normal12"/>
              <w:spacing w:after="0" w:line="240" w:lineRule="auto"/>
              <w:jc w:val="center"/>
              <w:rPr>
                <w:rFonts w:cs="Times New Roman"/>
                <w:noProof/>
              </w:rPr>
            </w:pPr>
            <w:r>
              <w:rPr>
                <w:noProof/>
              </w:rPr>
              <w:t>Ulkoinen raportti, jossa todistetaan säästöt</w:t>
            </w:r>
          </w:p>
        </w:tc>
        <w:tc>
          <w:tcPr>
            <w:tcW w:w="949" w:type="dxa"/>
            <w:shd w:val="clear" w:color="auto" w:fill="C6EFCE"/>
            <w:noWrap/>
          </w:tcPr>
          <w:p w14:paraId="358B4A74" w14:textId="77777777" w:rsidR="0065073E" w:rsidRDefault="0065073E">
            <w:pPr>
              <w:spacing w:after="0" w:line="240" w:lineRule="auto"/>
              <w:jc w:val="right"/>
              <w:rPr>
                <w:rFonts w:ascii="Times New Roman" w:hAnsi="Times New Roman" w:cs="Times New Roman"/>
                <w:noProof/>
                <w:sz w:val="18"/>
              </w:rPr>
            </w:pPr>
          </w:p>
        </w:tc>
        <w:tc>
          <w:tcPr>
            <w:tcW w:w="949" w:type="dxa"/>
            <w:shd w:val="clear" w:color="auto" w:fill="C6EFCE"/>
            <w:noWrap/>
          </w:tcPr>
          <w:p w14:paraId="3BB40C39" w14:textId="77777777" w:rsidR="0065073E" w:rsidRDefault="0065073E">
            <w:pPr>
              <w:spacing w:after="0" w:line="240" w:lineRule="auto"/>
              <w:jc w:val="right"/>
              <w:rPr>
                <w:rFonts w:ascii="Times New Roman" w:hAnsi="Times New Roman" w:cs="Times New Roman"/>
                <w:noProof/>
                <w:sz w:val="18"/>
              </w:rPr>
            </w:pPr>
          </w:p>
        </w:tc>
        <w:tc>
          <w:tcPr>
            <w:tcW w:w="679" w:type="dxa"/>
            <w:shd w:val="clear" w:color="auto" w:fill="C6EFCE"/>
            <w:noWrap/>
          </w:tcPr>
          <w:p w14:paraId="0545B682" w14:textId="77777777" w:rsidR="0065073E" w:rsidRDefault="0065073E">
            <w:pPr>
              <w:spacing w:after="0" w:line="240" w:lineRule="auto"/>
              <w:jc w:val="right"/>
              <w:rPr>
                <w:rFonts w:ascii="Times New Roman" w:hAnsi="Times New Roman" w:cs="Times New Roman"/>
                <w:noProof/>
                <w:sz w:val="18"/>
              </w:rPr>
            </w:pPr>
          </w:p>
        </w:tc>
        <w:tc>
          <w:tcPr>
            <w:tcW w:w="409" w:type="dxa"/>
            <w:shd w:val="clear" w:color="auto" w:fill="C6EFCE"/>
            <w:noWrap/>
          </w:tcPr>
          <w:p w14:paraId="5E775DDC" w14:textId="2ADAA3DA"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2458A973" w14:textId="20CC9F6A" w:rsidR="0065073E" w:rsidRDefault="000A0998">
            <w:pPr>
              <w:pStyle w:val="P68B1DB1-Normal12"/>
              <w:spacing w:after="0" w:line="240" w:lineRule="auto"/>
              <w:jc w:val="center"/>
              <w:rPr>
                <w:rFonts w:cs="Times New Roman"/>
                <w:noProof/>
              </w:rPr>
            </w:pPr>
            <w:r>
              <w:rPr>
                <w:noProof/>
              </w:rPr>
              <w:t>2026</w:t>
            </w:r>
          </w:p>
        </w:tc>
        <w:tc>
          <w:tcPr>
            <w:tcW w:w="5815" w:type="dxa"/>
            <w:shd w:val="clear" w:color="auto" w:fill="C6EFCE"/>
            <w:noWrap/>
          </w:tcPr>
          <w:p w14:paraId="78696329" w14:textId="650C6858" w:rsidR="0065073E" w:rsidRDefault="000A0998">
            <w:pPr>
              <w:pStyle w:val="P68B1DB1-Normal12"/>
              <w:spacing w:after="0" w:line="240" w:lineRule="auto"/>
              <w:rPr>
                <w:rFonts w:cs="Times New Roman"/>
                <w:noProof/>
              </w:rPr>
            </w:pPr>
            <w:r>
              <w:rPr>
                <w:noProof/>
              </w:rPr>
              <w:t xml:space="preserve">Korvataan 35 prosenttia Murcian ja Almerían (Torrevieja, Valdelentisco, Águilas Carboneras, Bajo Almanzora ja Campo de Dalias) suolanpoistolaitoksissa käytetystä energiasta sekä veden kuljettaminen Júcar-Vinalopón välillä itse tuotetun energian avulla.  </w:t>
            </w:r>
          </w:p>
        </w:tc>
      </w:tr>
      <w:tr w:rsidR="0065073E" w14:paraId="4204513B" w14:textId="77777777">
        <w:trPr>
          <w:trHeight w:val="309"/>
        </w:trPr>
        <w:tc>
          <w:tcPr>
            <w:tcW w:w="822" w:type="dxa"/>
            <w:shd w:val="clear" w:color="auto" w:fill="C6EFCE"/>
            <w:noWrap/>
          </w:tcPr>
          <w:p w14:paraId="454C5040" w14:textId="7249954A" w:rsidR="0065073E" w:rsidRDefault="000A0998">
            <w:pPr>
              <w:pStyle w:val="P68B1DB1-Normal12"/>
              <w:spacing w:after="0" w:line="240" w:lineRule="auto"/>
              <w:jc w:val="center"/>
              <w:rPr>
                <w:rFonts w:cs="Times New Roman"/>
                <w:noProof/>
              </w:rPr>
            </w:pPr>
            <w:r>
              <w:rPr>
                <w:noProof/>
              </w:rPr>
              <w:t>430</w:t>
            </w:r>
          </w:p>
        </w:tc>
        <w:tc>
          <w:tcPr>
            <w:tcW w:w="815" w:type="dxa"/>
            <w:shd w:val="clear" w:color="auto" w:fill="C6EFCE"/>
            <w:noWrap/>
          </w:tcPr>
          <w:p w14:paraId="1BAF7D32" w14:textId="0BF1273B" w:rsidR="0065073E" w:rsidRDefault="000A0998">
            <w:pPr>
              <w:pStyle w:val="P68B1DB1-Normal12"/>
              <w:spacing w:after="0" w:line="240" w:lineRule="auto"/>
              <w:jc w:val="center"/>
              <w:rPr>
                <w:rFonts w:cs="Times New Roman"/>
                <w:noProof/>
              </w:rPr>
            </w:pPr>
            <w:r>
              <w:rPr>
                <w:noProof/>
              </w:rPr>
              <w:t>C5.I3</w:t>
            </w:r>
          </w:p>
        </w:tc>
        <w:tc>
          <w:tcPr>
            <w:tcW w:w="814" w:type="dxa"/>
            <w:shd w:val="clear" w:color="auto" w:fill="C6EFCE"/>
            <w:noWrap/>
          </w:tcPr>
          <w:p w14:paraId="3662A7C1" w14:textId="3D7AB2EA"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01CA609F" w14:textId="272E827E" w:rsidR="0065073E" w:rsidRDefault="000A0998">
            <w:pPr>
              <w:pStyle w:val="P68B1DB1-Normal12"/>
              <w:spacing w:after="0" w:line="240" w:lineRule="auto"/>
              <w:rPr>
                <w:rFonts w:cs="Times New Roman"/>
                <w:noProof/>
              </w:rPr>
            </w:pPr>
            <w:r>
              <w:rPr>
                <w:noProof/>
              </w:rPr>
              <w:t>PERTE-järjestelmää koskevat toimet veden käyttäjien digitalisaatiota varten</w:t>
            </w:r>
          </w:p>
        </w:tc>
        <w:tc>
          <w:tcPr>
            <w:tcW w:w="950" w:type="dxa"/>
            <w:shd w:val="clear" w:color="auto" w:fill="C6EFCE"/>
            <w:noWrap/>
          </w:tcPr>
          <w:p w14:paraId="4BE96E81" w14:textId="689F4251" w:rsidR="0065073E" w:rsidRDefault="000A0998">
            <w:pPr>
              <w:pStyle w:val="P68B1DB1-Normal12"/>
              <w:spacing w:after="0" w:line="240" w:lineRule="auto"/>
              <w:jc w:val="center"/>
              <w:rPr>
                <w:rFonts w:cs="Times New Roman"/>
                <w:noProof/>
              </w:rPr>
            </w:pPr>
            <w:r>
              <w:rPr>
                <w:noProof/>
              </w:rPr>
              <w:t>Virallinen ilmoitus valmistuneista töistä</w:t>
            </w:r>
          </w:p>
        </w:tc>
        <w:tc>
          <w:tcPr>
            <w:tcW w:w="949" w:type="dxa"/>
            <w:shd w:val="clear" w:color="auto" w:fill="C6EFCE"/>
            <w:noWrap/>
          </w:tcPr>
          <w:p w14:paraId="5541344A" w14:textId="77777777" w:rsidR="0065073E" w:rsidRDefault="0065073E">
            <w:pPr>
              <w:spacing w:after="0" w:line="240" w:lineRule="auto"/>
              <w:jc w:val="right"/>
              <w:rPr>
                <w:rFonts w:ascii="Times New Roman" w:hAnsi="Times New Roman" w:cs="Times New Roman"/>
                <w:noProof/>
                <w:sz w:val="18"/>
              </w:rPr>
            </w:pPr>
          </w:p>
        </w:tc>
        <w:tc>
          <w:tcPr>
            <w:tcW w:w="949" w:type="dxa"/>
            <w:shd w:val="clear" w:color="auto" w:fill="C6EFCE"/>
            <w:noWrap/>
          </w:tcPr>
          <w:p w14:paraId="417FDB2A" w14:textId="77777777" w:rsidR="0065073E" w:rsidRDefault="0065073E">
            <w:pPr>
              <w:spacing w:after="0" w:line="240" w:lineRule="auto"/>
              <w:jc w:val="right"/>
              <w:rPr>
                <w:rFonts w:ascii="Times New Roman" w:hAnsi="Times New Roman" w:cs="Times New Roman"/>
                <w:noProof/>
                <w:sz w:val="18"/>
              </w:rPr>
            </w:pPr>
          </w:p>
        </w:tc>
        <w:tc>
          <w:tcPr>
            <w:tcW w:w="679" w:type="dxa"/>
            <w:shd w:val="clear" w:color="auto" w:fill="C6EFCE"/>
            <w:noWrap/>
          </w:tcPr>
          <w:p w14:paraId="6107C3C1" w14:textId="77777777" w:rsidR="0065073E" w:rsidRDefault="0065073E">
            <w:pPr>
              <w:spacing w:after="0" w:line="240" w:lineRule="auto"/>
              <w:jc w:val="right"/>
              <w:rPr>
                <w:rFonts w:ascii="Times New Roman" w:hAnsi="Times New Roman" w:cs="Times New Roman"/>
                <w:noProof/>
                <w:sz w:val="18"/>
              </w:rPr>
            </w:pPr>
          </w:p>
        </w:tc>
        <w:tc>
          <w:tcPr>
            <w:tcW w:w="409" w:type="dxa"/>
            <w:shd w:val="clear" w:color="auto" w:fill="C6EFCE"/>
            <w:noWrap/>
          </w:tcPr>
          <w:p w14:paraId="01EDB9BB" w14:textId="40C01217"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17FADCA7" w14:textId="2382CF14" w:rsidR="0065073E" w:rsidRDefault="000A0998">
            <w:pPr>
              <w:pStyle w:val="P68B1DB1-Normal12"/>
              <w:spacing w:after="0" w:line="240" w:lineRule="auto"/>
              <w:jc w:val="center"/>
              <w:rPr>
                <w:rFonts w:cs="Times New Roman"/>
                <w:noProof/>
              </w:rPr>
            </w:pPr>
            <w:r>
              <w:rPr>
                <w:noProof/>
              </w:rPr>
              <w:t>2026</w:t>
            </w:r>
          </w:p>
        </w:tc>
        <w:tc>
          <w:tcPr>
            <w:tcW w:w="5815" w:type="dxa"/>
            <w:shd w:val="clear" w:color="auto" w:fill="C6EFCE"/>
            <w:noWrap/>
          </w:tcPr>
          <w:p w14:paraId="0DEFC279" w14:textId="6C4EFA1F" w:rsidR="0065073E" w:rsidRDefault="000A0998">
            <w:pPr>
              <w:pStyle w:val="P68B1DB1-Normal12"/>
              <w:spacing w:after="0" w:line="240" w:lineRule="auto"/>
              <w:rPr>
                <w:rFonts w:cs="Times New Roman"/>
                <w:noProof/>
              </w:rPr>
            </w:pPr>
            <w:r>
              <w:rPr>
                <w:noProof/>
              </w:rPr>
              <w:t>Vähintään 5000000 asukasta, jotka hyötyvät kaupunkien vesikierron digitalisointihankkeiden käyttöönotosta, ja vähintään 200000 hehtaaria, jotka hyötyvät kastelun digitaalisesta sarjasta osana vedenkäytön digitalisointia koskevaa PERTE-järjestelmää.</w:t>
            </w:r>
          </w:p>
        </w:tc>
      </w:tr>
      <w:tr w:rsidR="0065073E" w14:paraId="15BF41AD" w14:textId="77777777">
        <w:trPr>
          <w:trHeight w:val="309"/>
        </w:trPr>
        <w:tc>
          <w:tcPr>
            <w:tcW w:w="822" w:type="dxa"/>
            <w:shd w:val="clear" w:color="auto" w:fill="C6EFCE"/>
            <w:noWrap/>
          </w:tcPr>
          <w:p w14:paraId="43F02807" w14:textId="06550A44" w:rsidR="0065073E" w:rsidRDefault="000A0998">
            <w:pPr>
              <w:pStyle w:val="P68B1DB1-Normal12"/>
              <w:spacing w:after="0" w:line="240" w:lineRule="auto"/>
              <w:jc w:val="center"/>
              <w:rPr>
                <w:rFonts w:cs="Times New Roman"/>
                <w:noProof/>
              </w:rPr>
            </w:pPr>
            <w:r>
              <w:rPr>
                <w:noProof/>
              </w:rPr>
              <w:t xml:space="preserve">79 </w:t>
            </w:r>
          </w:p>
        </w:tc>
        <w:tc>
          <w:tcPr>
            <w:tcW w:w="815" w:type="dxa"/>
            <w:shd w:val="clear" w:color="auto" w:fill="C6EFCE"/>
            <w:noWrap/>
          </w:tcPr>
          <w:p w14:paraId="69C258CB" w14:textId="77777777" w:rsidR="0065073E" w:rsidRDefault="000A0998">
            <w:pPr>
              <w:pStyle w:val="P68B1DB1-Normal12"/>
              <w:spacing w:after="0" w:line="240" w:lineRule="auto"/>
              <w:jc w:val="center"/>
              <w:rPr>
                <w:rFonts w:cs="Times New Roman"/>
                <w:noProof/>
              </w:rPr>
            </w:pPr>
            <w:r>
              <w:rPr>
                <w:noProof/>
              </w:rPr>
              <w:t>C5.I3</w:t>
            </w:r>
          </w:p>
        </w:tc>
        <w:tc>
          <w:tcPr>
            <w:tcW w:w="814" w:type="dxa"/>
            <w:shd w:val="clear" w:color="auto" w:fill="C6EFCE"/>
            <w:noWrap/>
          </w:tcPr>
          <w:p w14:paraId="0B4835D4" w14:textId="77777777"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1B2C2561" w14:textId="765E79E8" w:rsidR="0065073E" w:rsidRDefault="000A0998">
            <w:pPr>
              <w:pStyle w:val="P68B1DB1-Normal12"/>
              <w:spacing w:after="0" w:line="240" w:lineRule="auto"/>
              <w:rPr>
                <w:rFonts w:cs="Times New Roman"/>
                <w:noProof/>
              </w:rPr>
            </w:pPr>
            <w:r>
              <w:rPr>
                <w:noProof/>
              </w:rPr>
              <w:t xml:space="preserve">Hankintasopimusten tekeminen vesivarojen tuntemuksen ja käytön parantamiseksi sekä sademäärien ja muiden säätietojen seuraamiseksi </w:t>
            </w:r>
          </w:p>
        </w:tc>
        <w:tc>
          <w:tcPr>
            <w:tcW w:w="950" w:type="dxa"/>
            <w:shd w:val="clear" w:color="auto" w:fill="C6EFCE"/>
            <w:noWrap/>
          </w:tcPr>
          <w:p w14:paraId="674C043C" w14:textId="2177AD92" w:rsidR="0065073E" w:rsidRDefault="000A0998">
            <w:pPr>
              <w:pStyle w:val="P68B1DB1-Normal12"/>
              <w:spacing w:after="0" w:line="240" w:lineRule="auto"/>
              <w:jc w:val="center"/>
              <w:rPr>
                <w:rFonts w:cs="Times New Roman"/>
                <w:noProof/>
              </w:rPr>
            </w:pPr>
            <w:r>
              <w:rPr>
                <w:noProof/>
              </w:rPr>
              <w:t>Hankintasopimukset</w:t>
            </w:r>
          </w:p>
        </w:tc>
        <w:tc>
          <w:tcPr>
            <w:tcW w:w="949" w:type="dxa"/>
            <w:shd w:val="clear" w:color="auto" w:fill="C6EFCE"/>
            <w:noWrap/>
          </w:tcPr>
          <w:p w14:paraId="4D855984" w14:textId="77777777" w:rsidR="0065073E" w:rsidRDefault="000A0998">
            <w:pPr>
              <w:pStyle w:val="P68B1DB1-Normal12"/>
              <w:spacing w:after="0" w:line="240" w:lineRule="auto"/>
              <w:jc w:val="right"/>
              <w:rPr>
                <w:rFonts w:cs="Times New Roman"/>
                <w:noProof/>
              </w:rPr>
            </w:pPr>
            <w:r>
              <w:rPr>
                <w:noProof/>
              </w:rPr>
              <w:t xml:space="preserve"> </w:t>
            </w:r>
          </w:p>
        </w:tc>
        <w:tc>
          <w:tcPr>
            <w:tcW w:w="949" w:type="dxa"/>
            <w:shd w:val="clear" w:color="auto" w:fill="C6EFCE"/>
            <w:noWrap/>
          </w:tcPr>
          <w:p w14:paraId="6CE2FCB8" w14:textId="77777777" w:rsidR="0065073E" w:rsidRDefault="000A0998">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6A84B78A" w14:textId="77777777" w:rsidR="0065073E" w:rsidRDefault="000A0998">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233DE13E" w14:textId="09727D1B" w:rsidR="0065073E" w:rsidRDefault="000A0998">
            <w:pPr>
              <w:pStyle w:val="P68B1DB1-Normal12"/>
              <w:spacing w:after="0" w:line="240" w:lineRule="auto"/>
              <w:jc w:val="center"/>
              <w:rPr>
                <w:rFonts w:cs="Times New Roman"/>
                <w:noProof/>
              </w:rPr>
            </w:pPr>
            <w:r>
              <w:rPr>
                <w:noProof/>
              </w:rPr>
              <w:t>Q4</w:t>
            </w:r>
          </w:p>
        </w:tc>
        <w:tc>
          <w:tcPr>
            <w:tcW w:w="544" w:type="dxa"/>
            <w:shd w:val="clear" w:color="auto" w:fill="C6EFCE"/>
            <w:noWrap/>
          </w:tcPr>
          <w:p w14:paraId="1C934F3F" w14:textId="2E968EB1" w:rsidR="0065073E" w:rsidRDefault="000A0998">
            <w:pPr>
              <w:pStyle w:val="P68B1DB1-Normal12"/>
              <w:spacing w:after="0" w:line="240" w:lineRule="auto"/>
              <w:jc w:val="center"/>
              <w:rPr>
                <w:rFonts w:cs="Times New Roman"/>
                <w:noProof/>
              </w:rPr>
            </w:pPr>
            <w:r>
              <w:rPr>
                <w:noProof/>
              </w:rPr>
              <w:t>2023</w:t>
            </w:r>
          </w:p>
        </w:tc>
        <w:tc>
          <w:tcPr>
            <w:tcW w:w="5815" w:type="dxa"/>
            <w:shd w:val="clear" w:color="auto" w:fill="C6EFCE"/>
            <w:noWrap/>
          </w:tcPr>
          <w:p w14:paraId="43D09E20" w14:textId="074A9049" w:rsidR="0065073E" w:rsidRDefault="000A0998">
            <w:pPr>
              <w:pStyle w:val="P68B1DB1-Normal12"/>
              <w:spacing w:after="0" w:line="240" w:lineRule="auto"/>
              <w:rPr>
                <w:rFonts w:cs="Times New Roman"/>
                <w:noProof/>
              </w:rPr>
            </w:pPr>
            <w:r>
              <w:rPr>
                <w:noProof/>
              </w:rPr>
              <w:t>Hankintasopimusten tekeminen 26 välineen tai uudistetun infrastruktuurin käyttöönotosta vesivarojen tuntemuksen ja käytön parantamiseksi sekä sademäärien ja muiden säätietojen seuraamiseksi ilmastoriskien ehkäisemiseksi. Toimet liittyvät ensisijaisesti sähköisen vesirekisterin suunnitteluun ja toteuttamiseen, hydrologisten tietojen hallintaan ja veden laatuun, tiedostojen käsittelyn digitalisointiin ja ilmailusäävalvontaverkoston nykyaikaistamiseen.</w:t>
            </w:r>
          </w:p>
        </w:tc>
      </w:tr>
      <w:tr w:rsidR="0065073E" w14:paraId="45F41C16" w14:textId="77777777">
        <w:trPr>
          <w:trHeight w:val="309"/>
        </w:trPr>
        <w:tc>
          <w:tcPr>
            <w:tcW w:w="822" w:type="dxa"/>
            <w:shd w:val="clear" w:color="auto" w:fill="C6EFCE"/>
            <w:noWrap/>
          </w:tcPr>
          <w:p w14:paraId="38F3D7FE" w14:textId="16B5EE7E" w:rsidR="0065073E" w:rsidRDefault="000A0998">
            <w:pPr>
              <w:pStyle w:val="P68B1DB1-Normal12"/>
              <w:spacing w:after="0" w:line="240" w:lineRule="auto"/>
              <w:jc w:val="center"/>
              <w:rPr>
                <w:rFonts w:cs="Times New Roman"/>
                <w:noProof/>
              </w:rPr>
            </w:pPr>
            <w:r>
              <w:rPr>
                <w:noProof/>
              </w:rPr>
              <w:t>426</w:t>
            </w:r>
          </w:p>
        </w:tc>
        <w:tc>
          <w:tcPr>
            <w:tcW w:w="815" w:type="dxa"/>
            <w:shd w:val="clear" w:color="auto" w:fill="C6EFCE"/>
            <w:noWrap/>
          </w:tcPr>
          <w:p w14:paraId="7DB1F380" w14:textId="3104BA05" w:rsidR="0065073E" w:rsidRDefault="000A0998">
            <w:pPr>
              <w:pStyle w:val="P68B1DB1-Normal12"/>
              <w:spacing w:after="0" w:line="240" w:lineRule="auto"/>
              <w:jc w:val="center"/>
              <w:rPr>
                <w:rFonts w:cs="Times New Roman"/>
                <w:noProof/>
              </w:rPr>
            </w:pPr>
            <w:r>
              <w:rPr>
                <w:noProof/>
              </w:rPr>
              <w:t>C5.I3</w:t>
            </w:r>
          </w:p>
        </w:tc>
        <w:tc>
          <w:tcPr>
            <w:tcW w:w="814" w:type="dxa"/>
            <w:shd w:val="clear" w:color="auto" w:fill="C6EFCE"/>
            <w:noWrap/>
          </w:tcPr>
          <w:p w14:paraId="2ED7799A" w14:textId="51C29EC5" w:rsidR="0065073E" w:rsidRDefault="000A0998">
            <w:pPr>
              <w:pStyle w:val="P68B1DB1-Normal12"/>
              <w:spacing w:after="0" w:line="240" w:lineRule="auto"/>
              <w:jc w:val="center"/>
              <w:rPr>
                <w:rFonts w:cs="Times New Roman"/>
                <w:noProof/>
              </w:rPr>
            </w:pPr>
            <w:r>
              <w:rPr>
                <w:noProof/>
              </w:rPr>
              <w:t>M</w:t>
            </w:r>
          </w:p>
        </w:tc>
        <w:tc>
          <w:tcPr>
            <w:tcW w:w="2706" w:type="dxa"/>
            <w:shd w:val="clear" w:color="auto" w:fill="C6EFCE"/>
            <w:noWrap/>
          </w:tcPr>
          <w:p w14:paraId="1B60C56A" w14:textId="25B3D256" w:rsidR="0065073E" w:rsidRDefault="000A0998">
            <w:pPr>
              <w:pStyle w:val="P68B1DB1-Normal12"/>
              <w:spacing w:after="0" w:line="240" w:lineRule="auto"/>
              <w:rPr>
                <w:rFonts w:cs="Times New Roman"/>
                <w:noProof/>
              </w:rPr>
            </w:pPr>
            <w:r>
              <w:rPr>
                <w:noProof/>
              </w:rPr>
              <w:t>Vesivarojen tuntemusta ja käyttöä parantavien välineiden käyttöönotto sekä sademäärien ja muiden säätietojen seuranta</w:t>
            </w:r>
          </w:p>
        </w:tc>
        <w:tc>
          <w:tcPr>
            <w:tcW w:w="950" w:type="dxa"/>
            <w:shd w:val="clear" w:color="auto" w:fill="C6EFCE"/>
            <w:noWrap/>
          </w:tcPr>
          <w:p w14:paraId="6A823D63" w14:textId="2BBD2D25" w:rsidR="0065073E" w:rsidRDefault="000A0998">
            <w:pPr>
              <w:pStyle w:val="P68B1DB1-Normal12"/>
              <w:spacing w:after="0" w:line="240" w:lineRule="auto"/>
              <w:jc w:val="center"/>
              <w:rPr>
                <w:rFonts w:cs="Times New Roman"/>
                <w:noProof/>
              </w:rPr>
            </w:pPr>
            <w:r>
              <w:rPr>
                <w:noProof/>
              </w:rPr>
              <w:t>MITERDin allekirjoittamat todistukset</w:t>
            </w:r>
          </w:p>
        </w:tc>
        <w:tc>
          <w:tcPr>
            <w:tcW w:w="949" w:type="dxa"/>
            <w:shd w:val="clear" w:color="auto" w:fill="C6EFCE"/>
            <w:noWrap/>
          </w:tcPr>
          <w:p w14:paraId="2179DC8D" w14:textId="77777777" w:rsidR="0065073E" w:rsidRDefault="0065073E">
            <w:pPr>
              <w:spacing w:after="0" w:line="240" w:lineRule="auto"/>
              <w:jc w:val="right"/>
              <w:rPr>
                <w:rFonts w:ascii="Times New Roman" w:hAnsi="Times New Roman" w:cs="Times New Roman"/>
                <w:noProof/>
                <w:sz w:val="18"/>
              </w:rPr>
            </w:pPr>
          </w:p>
        </w:tc>
        <w:tc>
          <w:tcPr>
            <w:tcW w:w="949" w:type="dxa"/>
            <w:shd w:val="clear" w:color="auto" w:fill="C6EFCE"/>
            <w:noWrap/>
          </w:tcPr>
          <w:p w14:paraId="5B0EE20A" w14:textId="77777777" w:rsidR="0065073E" w:rsidRDefault="0065073E">
            <w:pPr>
              <w:spacing w:after="0" w:line="240" w:lineRule="auto"/>
              <w:jc w:val="right"/>
              <w:rPr>
                <w:rFonts w:ascii="Times New Roman" w:hAnsi="Times New Roman" w:cs="Times New Roman"/>
                <w:noProof/>
                <w:sz w:val="18"/>
              </w:rPr>
            </w:pPr>
          </w:p>
        </w:tc>
        <w:tc>
          <w:tcPr>
            <w:tcW w:w="679" w:type="dxa"/>
            <w:shd w:val="clear" w:color="auto" w:fill="C6EFCE"/>
            <w:noWrap/>
          </w:tcPr>
          <w:p w14:paraId="65028B26" w14:textId="77777777" w:rsidR="0065073E" w:rsidRDefault="0065073E">
            <w:pPr>
              <w:spacing w:after="0" w:line="240" w:lineRule="auto"/>
              <w:jc w:val="right"/>
              <w:rPr>
                <w:rFonts w:ascii="Times New Roman" w:hAnsi="Times New Roman" w:cs="Times New Roman"/>
                <w:noProof/>
                <w:sz w:val="18"/>
              </w:rPr>
            </w:pPr>
          </w:p>
        </w:tc>
        <w:tc>
          <w:tcPr>
            <w:tcW w:w="409" w:type="dxa"/>
            <w:shd w:val="clear" w:color="auto" w:fill="C6EFCE"/>
            <w:noWrap/>
          </w:tcPr>
          <w:p w14:paraId="2DA111C3" w14:textId="5F52D8EE" w:rsidR="0065073E" w:rsidRDefault="000A0998">
            <w:pPr>
              <w:pStyle w:val="P68B1DB1-Normal12"/>
              <w:spacing w:after="0" w:line="240" w:lineRule="auto"/>
              <w:jc w:val="center"/>
              <w:rPr>
                <w:rFonts w:cs="Times New Roman"/>
                <w:noProof/>
              </w:rPr>
            </w:pPr>
            <w:r>
              <w:rPr>
                <w:noProof/>
              </w:rPr>
              <w:t>TOINEN VUOSINELJÄNNES</w:t>
            </w:r>
          </w:p>
        </w:tc>
        <w:tc>
          <w:tcPr>
            <w:tcW w:w="544" w:type="dxa"/>
            <w:shd w:val="clear" w:color="auto" w:fill="C6EFCE"/>
            <w:noWrap/>
          </w:tcPr>
          <w:p w14:paraId="17334155" w14:textId="05F8D019" w:rsidR="0065073E" w:rsidRDefault="000A0998">
            <w:pPr>
              <w:pStyle w:val="P68B1DB1-Normal12"/>
              <w:spacing w:after="0" w:line="240" w:lineRule="auto"/>
              <w:jc w:val="center"/>
              <w:rPr>
                <w:rFonts w:cs="Times New Roman"/>
                <w:noProof/>
              </w:rPr>
            </w:pPr>
            <w:r>
              <w:rPr>
                <w:noProof/>
              </w:rPr>
              <w:t>2026</w:t>
            </w:r>
          </w:p>
        </w:tc>
        <w:tc>
          <w:tcPr>
            <w:tcW w:w="5815" w:type="dxa"/>
            <w:shd w:val="clear" w:color="auto" w:fill="C6EFCE"/>
            <w:noWrap/>
          </w:tcPr>
          <w:p w14:paraId="245E050A" w14:textId="7FE79BF6" w:rsidR="0065073E" w:rsidRDefault="000A0998">
            <w:pPr>
              <w:pStyle w:val="P68B1DB1-Normal12"/>
              <w:spacing w:after="0" w:line="240" w:lineRule="auto"/>
              <w:rPr>
                <w:rFonts w:cs="Times New Roman"/>
                <w:noProof/>
              </w:rPr>
            </w:pPr>
            <w:r>
              <w:rPr>
                <w:noProof/>
              </w:rPr>
              <w:t>26 välineen tai uudistetun infrastruktuurin käyttöönotto vesivaroja koskevan tietämyksen ja käytön parantamiseksi sekä sademäärien ja muiden säätietojen seuraamiseksi ilmastoriskien ehkäisemiseksi. Toimet liittyvät ensisijaisesti sähköisen vesirekisterin suunnitteluun ja toteuttamiseen, hydrologisten tietojen hallintaan ja veden laatuun, tiedostojen käsittelyn digitalisointiin ja ilmailusäävalvontaverkoston nykyaikaistamiseen.</w:t>
            </w:r>
          </w:p>
        </w:tc>
      </w:tr>
      <w:tr w:rsidR="0065073E" w14:paraId="1BAC1ACB" w14:textId="77777777">
        <w:trPr>
          <w:trHeight w:val="309"/>
        </w:trPr>
        <w:tc>
          <w:tcPr>
            <w:tcW w:w="822" w:type="dxa"/>
            <w:shd w:val="clear" w:color="auto" w:fill="C6EFCE"/>
            <w:noWrap/>
          </w:tcPr>
          <w:p w14:paraId="0F8EA849" w14:textId="77777777" w:rsidR="0065073E" w:rsidRDefault="000A0998">
            <w:pPr>
              <w:pStyle w:val="P68B1DB1-Normal12"/>
              <w:spacing w:after="0" w:line="240" w:lineRule="auto"/>
              <w:jc w:val="center"/>
              <w:rPr>
                <w:rFonts w:cs="Times New Roman"/>
                <w:noProof/>
              </w:rPr>
            </w:pPr>
            <w:r>
              <w:rPr>
                <w:noProof/>
              </w:rPr>
              <w:t>80</w:t>
            </w:r>
          </w:p>
        </w:tc>
        <w:tc>
          <w:tcPr>
            <w:tcW w:w="815" w:type="dxa"/>
            <w:shd w:val="clear" w:color="auto" w:fill="C6EFCE"/>
            <w:noWrap/>
          </w:tcPr>
          <w:p w14:paraId="4032C757" w14:textId="77777777" w:rsidR="0065073E" w:rsidRDefault="000A0998">
            <w:pPr>
              <w:pStyle w:val="P68B1DB1-Normal12"/>
              <w:spacing w:after="0" w:line="240" w:lineRule="auto"/>
              <w:jc w:val="center"/>
              <w:rPr>
                <w:rFonts w:cs="Times New Roman"/>
                <w:noProof/>
              </w:rPr>
            </w:pPr>
            <w:r>
              <w:rPr>
                <w:noProof/>
              </w:rPr>
              <w:t>C5.I4</w:t>
            </w:r>
          </w:p>
        </w:tc>
        <w:tc>
          <w:tcPr>
            <w:tcW w:w="814" w:type="dxa"/>
            <w:shd w:val="clear" w:color="auto" w:fill="C6EFCE"/>
            <w:noWrap/>
          </w:tcPr>
          <w:p w14:paraId="01329650" w14:textId="77777777"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1178CAED" w14:textId="77777777" w:rsidR="0065073E" w:rsidRDefault="000A0998">
            <w:pPr>
              <w:pStyle w:val="P68B1DB1-Normal12"/>
              <w:spacing w:after="0" w:line="240" w:lineRule="auto"/>
              <w:rPr>
                <w:rFonts w:cs="Times New Roman"/>
                <w:noProof/>
              </w:rPr>
            </w:pPr>
            <w:r>
              <w:rPr>
                <w:noProof/>
              </w:rPr>
              <w:t xml:space="preserve">Huonontuneiden alueiden ja ekosysteemien ennallistaminen vähintään 50 kilometrin rannikolle </w:t>
            </w:r>
          </w:p>
        </w:tc>
        <w:tc>
          <w:tcPr>
            <w:tcW w:w="950" w:type="dxa"/>
            <w:shd w:val="clear" w:color="auto" w:fill="C6EFCE"/>
            <w:noWrap/>
          </w:tcPr>
          <w:p w14:paraId="7196D064"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7D0D37D8" w14:textId="77777777" w:rsidR="0065073E" w:rsidRDefault="000A0998">
            <w:pPr>
              <w:pStyle w:val="P68B1DB1-Normal12"/>
              <w:spacing w:after="0" w:line="240" w:lineRule="auto"/>
              <w:jc w:val="right"/>
              <w:rPr>
                <w:rFonts w:cs="Times New Roman"/>
                <w:noProof/>
              </w:rPr>
            </w:pPr>
            <w:r>
              <w:rPr>
                <w:noProof/>
              </w:rPr>
              <w:t>Lukumäärä (kilometriä)</w:t>
            </w:r>
          </w:p>
        </w:tc>
        <w:tc>
          <w:tcPr>
            <w:tcW w:w="949" w:type="dxa"/>
            <w:shd w:val="clear" w:color="auto" w:fill="C6EFCE"/>
            <w:noWrap/>
          </w:tcPr>
          <w:p w14:paraId="5EC6149D" w14:textId="77777777" w:rsidR="0065073E" w:rsidRDefault="000A0998">
            <w:pPr>
              <w:pStyle w:val="P68B1DB1-Normal12"/>
              <w:spacing w:after="0" w:line="240" w:lineRule="auto"/>
              <w:jc w:val="right"/>
              <w:rPr>
                <w:rFonts w:cs="Times New Roman"/>
                <w:noProof/>
              </w:rPr>
            </w:pPr>
            <w:r>
              <w:rPr>
                <w:noProof/>
              </w:rPr>
              <w:t>0</w:t>
            </w:r>
          </w:p>
        </w:tc>
        <w:tc>
          <w:tcPr>
            <w:tcW w:w="679" w:type="dxa"/>
            <w:shd w:val="clear" w:color="auto" w:fill="C6EFCE"/>
            <w:noWrap/>
          </w:tcPr>
          <w:p w14:paraId="2EC8893D" w14:textId="77777777" w:rsidR="0065073E" w:rsidRDefault="000A0998">
            <w:pPr>
              <w:pStyle w:val="P68B1DB1-Normal12"/>
              <w:spacing w:after="0" w:line="240" w:lineRule="auto"/>
              <w:jc w:val="right"/>
              <w:rPr>
                <w:rFonts w:cs="Times New Roman"/>
                <w:noProof/>
              </w:rPr>
            </w:pPr>
            <w:r>
              <w:rPr>
                <w:noProof/>
              </w:rPr>
              <w:t>50</w:t>
            </w:r>
          </w:p>
        </w:tc>
        <w:tc>
          <w:tcPr>
            <w:tcW w:w="409" w:type="dxa"/>
            <w:shd w:val="clear" w:color="auto" w:fill="C6EFCE"/>
            <w:noWrap/>
          </w:tcPr>
          <w:p w14:paraId="76EBF224" w14:textId="77777777" w:rsidR="0065073E" w:rsidRDefault="000A0998">
            <w:pPr>
              <w:pStyle w:val="P68B1DB1-Normal12"/>
              <w:spacing w:after="0" w:line="240" w:lineRule="auto"/>
              <w:jc w:val="center"/>
              <w:rPr>
                <w:rFonts w:cs="Times New Roman"/>
                <w:noProof/>
              </w:rPr>
            </w:pPr>
            <w:r>
              <w:rPr>
                <w:noProof/>
              </w:rPr>
              <w:t>Q4</w:t>
            </w:r>
          </w:p>
        </w:tc>
        <w:tc>
          <w:tcPr>
            <w:tcW w:w="544" w:type="dxa"/>
            <w:shd w:val="clear" w:color="auto" w:fill="C6EFCE"/>
            <w:noWrap/>
          </w:tcPr>
          <w:p w14:paraId="7506936E" w14:textId="77777777" w:rsidR="0065073E" w:rsidRDefault="000A0998">
            <w:pPr>
              <w:pStyle w:val="P68B1DB1-Normal12"/>
              <w:spacing w:after="0" w:line="240" w:lineRule="auto"/>
              <w:jc w:val="center"/>
              <w:rPr>
                <w:rFonts w:cs="Times New Roman"/>
                <w:noProof/>
              </w:rPr>
            </w:pPr>
            <w:r>
              <w:rPr>
                <w:noProof/>
              </w:rPr>
              <w:t>2022</w:t>
            </w:r>
          </w:p>
        </w:tc>
        <w:tc>
          <w:tcPr>
            <w:tcW w:w="5815" w:type="dxa"/>
            <w:shd w:val="clear" w:color="auto" w:fill="C6EFCE"/>
            <w:noWrap/>
          </w:tcPr>
          <w:p w14:paraId="19ECDCCC" w14:textId="528DF69E" w:rsidR="0065073E" w:rsidRDefault="000A0998">
            <w:pPr>
              <w:spacing w:after="0" w:line="240" w:lineRule="auto"/>
              <w:rPr>
                <w:rFonts w:ascii="Times New Roman" w:hAnsi="Times New Roman" w:cs="Times New Roman"/>
                <w:noProof/>
                <w:sz w:val="18"/>
              </w:rPr>
            </w:pPr>
            <w:r>
              <w:rPr>
                <w:noProof/>
              </w:rPr>
              <w:t>Vähintään 50 kilometrin pituisen rantaviivan</w:t>
            </w:r>
            <w:r>
              <w:rPr>
                <w:rFonts w:ascii="Times New Roman" w:hAnsi="Times New Roman"/>
                <w:noProof/>
                <w:sz w:val="18"/>
              </w:rPr>
              <w:t>loppuun saattaminen huonontuneiden alueiden ja ekosysteemien ennallistamisessa, rannikkoalueiden suojelussa ja saavutettavuuden lisäämisessä, eroosion hillitsemisessä, tietämyksen parantamisessa ja rannikkoalueiden sietokyvyn ja ilmastonmuutoksen vaikutuksiin sopeutumisen parantamisessa, syrjäisessä seurannassa ja strategisten merisuunnittelupolitiikkojen täytäntöönpanossa. Toimissa on otettava huomioon jokin seuraavista:</w:t>
            </w:r>
            <w:r>
              <w:rPr>
                <w:noProof/>
              </w:rPr>
              <w:t xml:space="preserve"> </w:t>
            </w:r>
            <w:r>
              <w:rPr>
                <w:noProof/>
              </w:rPr>
              <w:br/>
            </w:r>
            <w:r>
              <w:rPr>
                <w:rFonts w:ascii="Times New Roman" w:hAnsi="Times New Roman"/>
                <w:noProof/>
                <w:sz w:val="18"/>
              </w:rPr>
              <w:t>I) Parannetaan Espanjan rannikon kykyä sietää ilmastonmuutoksen haittavaikutuksia torjumalla eroosiota ja vahvistamalla rannikkoa. Tässä on otettava huomioon aallonmurtoveden, keinotekoisten rantojen, kelluvien pintojen, sedimentin hoito, luontoon perustuvat ratkaisut, ranta- ja dyynijärjestelmän ennallistaminen, rannikoiden suojeluinfrastruktuuri, älykkäiden verkkojen toteuttaminen rannikoiden eroosion seurantaa varten tai toimet, joilla on vastaavia vaikutuksia.</w:t>
            </w:r>
            <w:r>
              <w:rPr>
                <w:noProof/>
              </w:rPr>
              <w:t xml:space="preserve"> </w:t>
            </w:r>
            <w:r>
              <w:rPr>
                <w:noProof/>
              </w:rPr>
              <w:br/>
            </w:r>
            <w:r>
              <w:rPr>
                <w:rFonts w:ascii="Times New Roman" w:hAnsi="Times New Roman"/>
                <w:noProof/>
                <w:sz w:val="18"/>
              </w:rPr>
              <w:t>II) suojella ja ennallistaa rannikkoekosysteemejä tai huonontuneita alueita. Tämä on tehtävä a) siirtämällä laitoksia, joihin taantuminen vaikuttaa; b) valtion omistaman maalla sijaitsevan merialueen rajaaminen; C) epäasianmukaisesti tai epäasianmukaisesti miehitetyn valtion omistaman merimaan hyödyntäminen; d) riskinarviointi ja riskinhallinta tai vastaavat toimet; e) huonontuneiden rannikkoalueiden ja ekosysteemien elvyttäminen ympäristön kannalta; F) rannikoiden säilyttäminen ja hoito; ja/tai g) toimet, joilla on samanlaiset vaikutukset.</w:t>
            </w:r>
            <w:r>
              <w:rPr>
                <w:noProof/>
              </w:rPr>
              <w:t xml:space="preserve"> </w:t>
            </w:r>
            <w:r>
              <w:rPr>
                <w:noProof/>
              </w:rPr>
              <w:br/>
            </w:r>
            <w:r>
              <w:rPr>
                <w:rFonts w:ascii="Times New Roman" w:hAnsi="Times New Roman"/>
                <w:noProof/>
                <w:sz w:val="18"/>
              </w:rPr>
              <w:t>III) Parannetaan hallittua ja asianmukaista pääsyä julkiselle maalla sijaitsevalle merialueelle. Tämä on tehtävä ottamalla maa talteen, jotta pääsy julkiselle alueelle voidaan tarjota, suunnitella, hallinnoida ja ennallistaa maankäyttöä tai toteuttaa toimia, joilla on vastaavia vaikutuksia.</w:t>
            </w:r>
            <w:r>
              <w:rPr>
                <w:noProof/>
              </w:rPr>
              <w:t xml:space="preserve"> </w:t>
            </w:r>
            <w:r>
              <w:rPr>
                <w:noProof/>
              </w:rPr>
              <w:br/>
            </w:r>
            <w:r>
              <w:rPr>
                <w:rFonts w:ascii="Times New Roman" w:hAnsi="Times New Roman"/>
                <w:noProof/>
                <w:sz w:val="18"/>
              </w:rPr>
              <w:t>IV) Strategisten merisuunnittelupolitiikkojen täytäntöönpano. Tämä toteutetaan panemalla täytäntöön merten aluesuunnittelu, meristrategiat, valtameriä, ilmastoa ja rannikkoa koskevat tieteelliset lausunnot sekä kehittämällä georeferoitu verkkosovellus merenkäyttäjille.</w:t>
            </w:r>
          </w:p>
        </w:tc>
      </w:tr>
      <w:tr w:rsidR="0065073E" w14:paraId="52BFA199" w14:textId="77777777">
        <w:trPr>
          <w:trHeight w:val="309"/>
        </w:trPr>
        <w:tc>
          <w:tcPr>
            <w:tcW w:w="822" w:type="dxa"/>
            <w:shd w:val="clear" w:color="auto" w:fill="C6EFCE"/>
            <w:noWrap/>
          </w:tcPr>
          <w:p w14:paraId="1944BFB1" w14:textId="77777777" w:rsidR="0065073E" w:rsidRDefault="000A0998">
            <w:pPr>
              <w:pStyle w:val="P68B1DB1-Normal12"/>
              <w:spacing w:after="0" w:line="240" w:lineRule="auto"/>
              <w:jc w:val="center"/>
              <w:rPr>
                <w:rFonts w:cs="Times New Roman"/>
                <w:noProof/>
              </w:rPr>
            </w:pPr>
            <w:r>
              <w:rPr>
                <w:noProof/>
              </w:rPr>
              <w:t>81</w:t>
            </w:r>
          </w:p>
        </w:tc>
        <w:tc>
          <w:tcPr>
            <w:tcW w:w="815" w:type="dxa"/>
            <w:shd w:val="clear" w:color="auto" w:fill="C6EFCE"/>
            <w:noWrap/>
          </w:tcPr>
          <w:p w14:paraId="20E2CDE1" w14:textId="77777777" w:rsidR="0065073E" w:rsidRDefault="000A0998">
            <w:pPr>
              <w:pStyle w:val="P68B1DB1-Normal12"/>
              <w:spacing w:after="0" w:line="240" w:lineRule="auto"/>
              <w:jc w:val="center"/>
              <w:rPr>
                <w:rFonts w:cs="Times New Roman"/>
                <w:noProof/>
              </w:rPr>
            </w:pPr>
            <w:r>
              <w:rPr>
                <w:noProof/>
              </w:rPr>
              <w:t>C5.I4</w:t>
            </w:r>
          </w:p>
        </w:tc>
        <w:tc>
          <w:tcPr>
            <w:tcW w:w="814" w:type="dxa"/>
            <w:shd w:val="clear" w:color="auto" w:fill="C6EFCE"/>
            <w:noWrap/>
          </w:tcPr>
          <w:p w14:paraId="3678FA0E" w14:textId="77777777"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2FA11EB4" w14:textId="77777777" w:rsidR="0065073E" w:rsidRDefault="000A0998">
            <w:pPr>
              <w:pStyle w:val="P68B1DB1-Normal12"/>
              <w:spacing w:after="0" w:line="240" w:lineRule="auto"/>
              <w:rPr>
                <w:rFonts w:cs="Times New Roman"/>
                <w:noProof/>
              </w:rPr>
            </w:pPr>
            <w:r>
              <w:rPr>
                <w:noProof/>
              </w:rPr>
              <w:t>Huonontuneiden alueiden ja ekosysteemien ennallistaminen vähintään 100 kilometrin rannikolla</w:t>
            </w:r>
          </w:p>
        </w:tc>
        <w:tc>
          <w:tcPr>
            <w:tcW w:w="950" w:type="dxa"/>
            <w:shd w:val="clear" w:color="auto" w:fill="C6EFCE"/>
            <w:noWrap/>
          </w:tcPr>
          <w:p w14:paraId="34FF1C98"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20A5B720" w14:textId="77777777" w:rsidR="0065073E" w:rsidRDefault="000A0998">
            <w:pPr>
              <w:pStyle w:val="P68B1DB1-Normal12"/>
              <w:spacing w:after="0" w:line="240" w:lineRule="auto"/>
              <w:jc w:val="right"/>
              <w:rPr>
                <w:rFonts w:cs="Times New Roman"/>
                <w:noProof/>
              </w:rPr>
            </w:pPr>
            <w:r>
              <w:rPr>
                <w:noProof/>
              </w:rPr>
              <w:t>Lukumäärä (kilometriä)</w:t>
            </w:r>
          </w:p>
        </w:tc>
        <w:tc>
          <w:tcPr>
            <w:tcW w:w="949" w:type="dxa"/>
            <w:shd w:val="clear" w:color="auto" w:fill="C6EFCE"/>
            <w:noWrap/>
          </w:tcPr>
          <w:p w14:paraId="5AE91C80" w14:textId="77777777" w:rsidR="0065073E" w:rsidRDefault="000A0998">
            <w:pPr>
              <w:pStyle w:val="P68B1DB1-Normal12"/>
              <w:spacing w:after="0" w:line="240" w:lineRule="auto"/>
              <w:jc w:val="right"/>
              <w:rPr>
                <w:rFonts w:cs="Times New Roman"/>
                <w:noProof/>
              </w:rPr>
            </w:pPr>
            <w:r>
              <w:rPr>
                <w:noProof/>
              </w:rPr>
              <w:t>50</w:t>
            </w:r>
          </w:p>
        </w:tc>
        <w:tc>
          <w:tcPr>
            <w:tcW w:w="679" w:type="dxa"/>
            <w:shd w:val="clear" w:color="auto" w:fill="C6EFCE"/>
            <w:noWrap/>
          </w:tcPr>
          <w:p w14:paraId="02B72823" w14:textId="1F2B50A6" w:rsidR="0065073E" w:rsidRDefault="000A0998">
            <w:pPr>
              <w:pStyle w:val="P68B1DB1-Normal12"/>
              <w:spacing w:after="0" w:line="240" w:lineRule="auto"/>
              <w:jc w:val="right"/>
              <w:rPr>
                <w:rFonts w:cs="Times New Roman"/>
                <w:noProof/>
              </w:rPr>
            </w:pPr>
            <w:r>
              <w:rPr>
                <w:noProof/>
              </w:rPr>
              <w:t>100</w:t>
            </w:r>
          </w:p>
        </w:tc>
        <w:tc>
          <w:tcPr>
            <w:tcW w:w="409" w:type="dxa"/>
            <w:shd w:val="clear" w:color="auto" w:fill="C6EFCE"/>
            <w:noWrap/>
          </w:tcPr>
          <w:p w14:paraId="5E4CD473" w14:textId="77777777" w:rsidR="0065073E" w:rsidRDefault="000A0998">
            <w:pPr>
              <w:pStyle w:val="P68B1DB1-Normal12"/>
              <w:spacing w:after="0" w:line="240" w:lineRule="auto"/>
              <w:jc w:val="center"/>
              <w:rPr>
                <w:rFonts w:cs="Times New Roman"/>
                <w:noProof/>
              </w:rPr>
            </w:pPr>
            <w:r>
              <w:rPr>
                <w:noProof/>
              </w:rPr>
              <w:t>Q4</w:t>
            </w:r>
          </w:p>
        </w:tc>
        <w:tc>
          <w:tcPr>
            <w:tcW w:w="544" w:type="dxa"/>
            <w:shd w:val="clear" w:color="auto" w:fill="C6EFCE"/>
            <w:noWrap/>
          </w:tcPr>
          <w:p w14:paraId="665C4E8C" w14:textId="776FA070" w:rsidR="0065073E" w:rsidRDefault="000A0998">
            <w:pPr>
              <w:pStyle w:val="P68B1DB1-Normal12"/>
              <w:spacing w:after="0" w:line="240" w:lineRule="auto"/>
              <w:jc w:val="center"/>
              <w:rPr>
                <w:rFonts w:cs="Times New Roman"/>
                <w:noProof/>
              </w:rPr>
            </w:pPr>
            <w:r>
              <w:rPr>
                <w:noProof/>
              </w:rPr>
              <w:t>2023</w:t>
            </w:r>
          </w:p>
        </w:tc>
        <w:tc>
          <w:tcPr>
            <w:tcW w:w="5815" w:type="dxa"/>
            <w:shd w:val="clear" w:color="auto" w:fill="C6EFCE"/>
            <w:noWrap/>
          </w:tcPr>
          <w:p w14:paraId="4956F0E0" w14:textId="58271923" w:rsidR="0065073E" w:rsidRDefault="000A0998">
            <w:pPr>
              <w:spacing w:after="0" w:line="240" w:lineRule="auto"/>
              <w:rPr>
                <w:rFonts w:ascii="Times New Roman" w:hAnsi="Times New Roman" w:cs="Times New Roman"/>
                <w:noProof/>
                <w:sz w:val="18"/>
              </w:rPr>
            </w:pPr>
            <w:r>
              <w:rPr>
                <w:noProof/>
              </w:rPr>
              <w:t>Vähintään 100 kilometrin pituisen rantaviivan päähän ulottuvat</w:t>
            </w:r>
            <w:r>
              <w:rPr>
                <w:rFonts w:ascii="Times New Roman" w:hAnsi="Times New Roman"/>
                <w:noProof/>
                <w:sz w:val="18"/>
              </w:rPr>
              <w:t>työt huonontuneiden alueiden ja ekosysteemien ennallistamiseksi, rannikkoalueiden suojelemiseksi ja niihin pääsyn lisäämiseksi, eroosion hillitsemiseksi, tietämyksen parantamiseksi ja rannikkoalueiden sietokyvyn parantamiseksi ja ilmastonmuutoksen vaikutuksiin sopeutumiseksi, etäseurantaan ja strategisen merisuunnittelupolitiikan täytäntöönpanoon. Rakennusurakoihin on sisällyttävä jokin seuraavista:</w:t>
            </w:r>
            <w:r>
              <w:rPr>
                <w:noProof/>
              </w:rPr>
              <w:t xml:space="preserve"> </w:t>
            </w:r>
            <w:r>
              <w:rPr>
                <w:noProof/>
              </w:rPr>
              <w:br/>
            </w:r>
            <w:r>
              <w:rPr>
                <w:rFonts w:ascii="Times New Roman" w:hAnsi="Times New Roman"/>
                <w:noProof/>
                <w:sz w:val="18"/>
              </w:rPr>
              <w:t>I) Parannetaan Espanjan rannikon kykyä sietää ilmastonmuutoksen haittavaikutuksia torjumalla eroosiota ja vahvistamalla rannikkoa. Tässä on otettava huomioon aallonmurtoveden, keinotekoisten rantojen, kelluvien pintojen, sedimentin hoito, luontoon perustuvat ratkaisut, ranta- ja dyynijärjestelmän ennallistaminen, rannikoiden suojeluinfrastruktuuri, älykkäiden verkkojen toteuttaminen rannikoiden eroosion seurantaa varten tai toimet, joilla on vastaavia vaikutuksia.</w:t>
            </w:r>
            <w:r>
              <w:rPr>
                <w:noProof/>
              </w:rPr>
              <w:t xml:space="preserve"> </w:t>
            </w:r>
            <w:r>
              <w:rPr>
                <w:noProof/>
              </w:rPr>
              <w:br/>
            </w:r>
            <w:r>
              <w:rPr>
                <w:rFonts w:ascii="Times New Roman" w:hAnsi="Times New Roman"/>
                <w:noProof/>
                <w:sz w:val="18"/>
              </w:rPr>
              <w:t>II) suojella ja ennallistaa rannikkoekosysteemejä tai huonontuneita alueita. Tämä on tehtävä a) siirtämällä laitoksia, joihin taantuminen vaikuttaa; b) valtion omistaman maalla sijaitsevan merialueen rajaaminen; C) epäasianmukaisesti tai epäasianmukaisesti miehitetyn valtion omistaman merimaan hyödyntäminen; d) riskinarviointi ja riskinhallinta tai vastaavat toimet; e) huonontuneiden rannikkoalueiden ja ekosysteemien elvyttäminen ympäristön kannalta; F) rannikoiden säilyttäminen ja hoito; ja/tai g) toimet, joilla on samanlaiset vaikutukset.</w:t>
            </w:r>
            <w:r>
              <w:rPr>
                <w:noProof/>
              </w:rPr>
              <w:t xml:space="preserve"> </w:t>
            </w:r>
            <w:r>
              <w:rPr>
                <w:noProof/>
              </w:rPr>
              <w:br/>
            </w:r>
            <w:r>
              <w:rPr>
                <w:rFonts w:ascii="Times New Roman" w:hAnsi="Times New Roman"/>
                <w:noProof/>
                <w:sz w:val="18"/>
              </w:rPr>
              <w:t>III) Parannetaan hallittua ja asianmukaista pääsyä julkiselle maalla sijaitsevalle merialueelle. Tämä on tehtävä ottamalla maa talteen, jotta pääsy julkiselle alueelle voidaan tarjota, suunnitella, hallinnoida ja ennallistaa maankäyttöä tai toteuttaa vastaavia toimia.</w:t>
            </w:r>
            <w:r>
              <w:rPr>
                <w:noProof/>
              </w:rPr>
              <w:t xml:space="preserve"> </w:t>
            </w:r>
            <w:r>
              <w:rPr>
                <w:noProof/>
              </w:rPr>
              <w:br/>
            </w:r>
            <w:r>
              <w:rPr>
                <w:rFonts w:ascii="Times New Roman" w:hAnsi="Times New Roman"/>
                <w:noProof/>
                <w:sz w:val="18"/>
              </w:rPr>
              <w:t>IV) Strategisten merisuunnittelupolitiikkojen täytäntöönpano. Tämä toteutetaan panemalla täytäntöön merten aluesuunnittelu, meristrategiat, valtameriä, ilmastoa ja rannikkoa koskevat tieteelliset lausunnot sekä kehittämällä georeferoitu verkkosovellus merenkäyttäjille. (Perustaso: Joulukuuta 2022)</w:t>
            </w:r>
          </w:p>
        </w:tc>
      </w:tr>
      <w:tr w:rsidR="0065073E" w14:paraId="792C4F9E" w14:textId="77777777">
        <w:trPr>
          <w:trHeight w:val="309"/>
        </w:trPr>
        <w:tc>
          <w:tcPr>
            <w:tcW w:w="822" w:type="dxa"/>
            <w:shd w:val="clear" w:color="auto" w:fill="C6EFCE"/>
            <w:noWrap/>
          </w:tcPr>
          <w:p w14:paraId="6129792C" w14:textId="34D0A125" w:rsidR="0065073E" w:rsidRDefault="000A0998">
            <w:pPr>
              <w:pStyle w:val="P68B1DB1-Normal12"/>
              <w:spacing w:after="0" w:line="240" w:lineRule="auto"/>
              <w:jc w:val="center"/>
              <w:rPr>
                <w:rFonts w:cs="Times New Roman"/>
                <w:noProof/>
              </w:rPr>
            </w:pPr>
            <w:r>
              <w:rPr>
                <w:noProof/>
              </w:rPr>
              <w:t>81 b</w:t>
            </w:r>
          </w:p>
        </w:tc>
        <w:tc>
          <w:tcPr>
            <w:tcW w:w="815" w:type="dxa"/>
            <w:shd w:val="clear" w:color="auto" w:fill="C6EFCE"/>
            <w:noWrap/>
          </w:tcPr>
          <w:p w14:paraId="0F1A69C0" w14:textId="0A5C6C45" w:rsidR="0065073E" w:rsidRDefault="000A0998">
            <w:pPr>
              <w:pStyle w:val="P68B1DB1-Normal12"/>
              <w:spacing w:after="0" w:line="240" w:lineRule="auto"/>
              <w:jc w:val="center"/>
              <w:rPr>
                <w:rFonts w:cs="Times New Roman"/>
                <w:noProof/>
              </w:rPr>
            </w:pPr>
            <w:r>
              <w:rPr>
                <w:noProof/>
              </w:rPr>
              <w:t>C5.I4</w:t>
            </w:r>
          </w:p>
        </w:tc>
        <w:tc>
          <w:tcPr>
            <w:tcW w:w="814" w:type="dxa"/>
            <w:shd w:val="clear" w:color="auto" w:fill="C6EFCE"/>
            <w:noWrap/>
          </w:tcPr>
          <w:p w14:paraId="03579949" w14:textId="49B4C112" w:rsidR="0065073E" w:rsidRDefault="000A0998">
            <w:pPr>
              <w:pStyle w:val="P68B1DB1-Normal12"/>
              <w:spacing w:after="0" w:line="240" w:lineRule="auto"/>
              <w:jc w:val="center"/>
              <w:rPr>
                <w:rFonts w:cs="Times New Roman"/>
                <w:noProof/>
              </w:rPr>
            </w:pPr>
            <w:r>
              <w:rPr>
                <w:noProof/>
              </w:rPr>
              <w:t>T</w:t>
            </w:r>
          </w:p>
        </w:tc>
        <w:tc>
          <w:tcPr>
            <w:tcW w:w="2706" w:type="dxa"/>
            <w:shd w:val="clear" w:color="auto" w:fill="C6EFCE"/>
            <w:noWrap/>
          </w:tcPr>
          <w:p w14:paraId="52A03147" w14:textId="28B998E9" w:rsidR="0065073E" w:rsidRDefault="000A0998">
            <w:pPr>
              <w:pStyle w:val="P68B1DB1-Normal12"/>
              <w:spacing w:after="0" w:line="240" w:lineRule="auto"/>
              <w:rPr>
                <w:rFonts w:cs="Times New Roman"/>
                <w:noProof/>
              </w:rPr>
            </w:pPr>
            <w:r>
              <w:rPr>
                <w:noProof/>
              </w:rPr>
              <w:t>Huonontuneiden alueiden ja ekosysteemien ennallistaminen vähintään 145 kilometrin pituiselle rannikolle</w:t>
            </w:r>
          </w:p>
        </w:tc>
        <w:tc>
          <w:tcPr>
            <w:tcW w:w="950" w:type="dxa"/>
            <w:shd w:val="clear" w:color="auto" w:fill="C6EFCE"/>
            <w:noWrap/>
          </w:tcPr>
          <w:p w14:paraId="668F4DA1" w14:textId="77777777" w:rsidR="0065073E" w:rsidRDefault="0065073E">
            <w:pPr>
              <w:spacing w:after="0" w:line="240" w:lineRule="auto"/>
              <w:jc w:val="center"/>
              <w:rPr>
                <w:rFonts w:ascii="Times New Roman" w:hAnsi="Times New Roman" w:cs="Times New Roman"/>
                <w:noProof/>
                <w:sz w:val="18"/>
              </w:rPr>
            </w:pPr>
          </w:p>
        </w:tc>
        <w:tc>
          <w:tcPr>
            <w:tcW w:w="949" w:type="dxa"/>
            <w:shd w:val="clear" w:color="auto" w:fill="C6EFCE"/>
            <w:noWrap/>
          </w:tcPr>
          <w:p w14:paraId="22A1F55A" w14:textId="0F961F79" w:rsidR="0065073E" w:rsidRDefault="000A0998">
            <w:pPr>
              <w:pStyle w:val="P68B1DB1-Normal12"/>
              <w:spacing w:after="0" w:line="240" w:lineRule="auto"/>
              <w:jc w:val="right"/>
              <w:rPr>
                <w:rFonts w:cs="Times New Roman"/>
                <w:noProof/>
              </w:rPr>
            </w:pPr>
            <w:r>
              <w:rPr>
                <w:noProof/>
              </w:rPr>
              <w:t>Lukumäärä (kilometriä)</w:t>
            </w:r>
          </w:p>
        </w:tc>
        <w:tc>
          <w:tcPr>
            <w:tcW w:w="949" w:type="dxa"/>
            <w:shd w:val="clear" w:color="auto" w:fill="C6EFCE"/>
            <w:noWrap/>
          </w:tcPr>
          <w:p w14:paraId="3A4E4BB2" w14:textId="71217CD5" w:rsidR="0065073E" w:rsidRDefault="000A0998">
            <w:pPr>
              <w:pStyle w:val="P68B1DB1-Normal12"/>
              <w:spacing w:after="0" w:line="240" w:lineRule="auto"/>
              <w:jc w:val="right"/>
              <w:rPr>
                <w:rFonts w:cs="Times New Roman"/>
                <w:noProof/>
              </w:rPr>
            </w:pPr>
            <w:r>
              <w:rPr>
                <w:noProof/>
              </w:rPr>
              <w:t>100</w:t>
            </w:r>
          </w:p>
        </w:tc>
        <w:tc>
          <w:tcPr>
            <w:tcW w:w="679" w:type="dxa"/>
            <w:shd w:val="clear" w:color="auto" w:fill="C6EFCE"/>
            <w:noWrap/>
          </w:tcPr>
          <w:p w14:paraId="68BAC8DF" w14:textId="582E983F" w:rsidR="0065073E" w:rsidRDefault="000A0998">
            <w:pPr>
              <w:pStyle w:val="P68B1DB1-Normal12"/>
              <w:spacing w:after="0" w:line="240" w:lineRule="auto"/>
              <w:jc w:val="right"/>
              <w:rPr>
                <w:rFonts w:cs="Times New Roman"/>
                <w:noProof/>
              </w:rPr>
            </w:pPr>
            <w:r>
              <w:rPr>
                <w:noProof/>
              </w:rPr>
              <w:t>145</w:t>
            </w:r>
          </w:p>
        </w:tc>
        <w:tc>
          <w:tcPr>
            <w:tcW w:w="409" w:type="dxa"/>
            <w:shd w:val="clear" w:color="auto" w:fill="C6EFCE"/>
            <w:noWrap/>
          </w:tcPr>
          <w:p w14:paraId="60B911B7" w14:textId="33DF8A76" w:rsidR="0065073E" w:rsidRDefault="000A0998">
            <w:pPr>
              <w:pStyle w:val="P68B1DB1-Normal12"/>
              <w:spacing w:after="0" w:line="240" w:lineRule="auto"/>
              <w:jc w:val="center"/>
              <w:rPr>
                <w:rFonts w:cs="Times New Roman"/>
                <w:noProof/>
              </w:rPr>
            </w:pPr>
            <w:r>
              <w:rPr>
                <w:noProof/>
              </w:rPr>
              <w:t>Q4</w:t>
            </w:r>
          </w:p>
        </w:tc>
        <w:tc>
          <w:tcPr>
            <w:tcW w:w="544" w:type="dxa"/>
            <w:shd w:val="clear" w:color="auto" w:fill="C6EFCE"/>
            <w:noWrap/>
          </w:tcPr>
          <w:p w14:paraId="36E9793D" w14:textId="7E9AC3D5" w:rsidR="0065073E" w:rsidRDefault="000A0998">
            <w:pPr>
              <w:pStyle w:val="P68B1DB1-Normal12"/>
              <w:spacing w:after="0" w:line="240" w:lineRule="auto"/>
              <w:jc w:val="center"/>
              <w:rPr>
                <w:rFonts w:cs="Times New Roman"/>
                <w:noProof/>
              </w:rPr>
            </w:pPr>
            <w:r>
              <w:rPr>
                <w:noProof/>
              </w:rPr>
              <w:t>2025</w:t>
            </w:r>
          </w:p>
        </w:tc>
        <w:tc>
          <w:tcPr>
            <w:tcW w:w="5815" w:type="dxa"/>
            <w:shd w:val="clear" w:color="auto" w:fill="C6EFCE"/>
            <w:noWrap/>
          </w:tcPr>
          <w:p w14:paraId="35DCF83F" w14:textId="2A848F3B" w:rsidR="0065073E" w:rsidRDefault="000A0998">
            <w:pPr>
              <w:spacing w:after="0" w:line="240" w:lineRule="auto"/>
              <w:rPr>
                <w:rFonts w:ascii="Times New Roman" w:hAnsi="Times New Roman" w:cs="Times New Roman"/>
                <w:noProof/>
                <w:sz w:val="18"/>
              </w:rPr>
            </w:pPr>
            <w:r>
              <w:rPr>
                <w:noProof/>
              </w:rPr>
              <w:t>Vähintään 145 kilometrin pituisen rantaviivan päähän ulottuvat</w:t>
            </w:r>
            <w:r>
              <w:rPr>
                <w:rFonts w:ascii="Times New Roman" w:hAnsi="Times New Roman"/>
                <w:noProof/>
                <w:sz w:val="18"/>
              </w:rPr>
              <w:t>työt, jotka koskevat huonontuneiden alueiden ja ekosysteemien ennallistamista, rannikkoalueiden suojelua ja saavutettavuutta, eroosion hillitsemistä, tietämyksen parantamista ja rannikkoalueiden sietokyvyn parantamista ja ilmastonmuutoksen vaikutuksiin sopeutumista, etäseurantaa ja strategisten merisuunnittelupolitiikkojen täytäntöönpanoa. Rakennusurakoihin on sisällyttävä jokin seuraavista:</w:t>
            </w:r>
            <w:r>
              <w:rPr>
                <w:noProof/>
              </w:rPr>
              <w:t xml:space="preserve"> </w:t>
            </w:r>
            <w:r>
              <w:rPr>
                <w:noProof/>
              </w:rPr>
              <w:br/>
            </w:r>
            <w:r>
              <w:rPr>
                <w:rFonts w:ascii="Times New Roman" w:hAnsi="Times New Roman"/>
                <w:noProof/>
                <w:sz w:val="18"/>
              </w:rPr>
              <w:t>I) Parannetaan Espanjan rannikon kykyä sietää ilmastonmuutoksen haittavaikutuksia torjumalla eroosiota ja vahvistamalla rannikkoa. Tässä on otettava huomioon aallonmurtoveden, keinotekoisten rantojen, kelluvien pintojen, sedimentin hoito, luontoon perustuvat ratkaisut, ranta- ja dyynijärjestelmän ennallistaminen, rannikoiden suojeluinfrastruktuuri, älykkäiden verkkojen toteuttaminen rannikoiden eroosion seurantaa varten tai toimet, joilla on vastaavia vaikutuksia.</w:t>
            </w:r>
            <w:r>
              <w:rPr>
                <w:noProof/>
              </w:rPr>
              <w:t xml:space="preserve"> </w:t>
            </w:r>
            <w:r>
              <w:rPr>
                <w:noProof/>
              </w:rPr>
              <w:br/>
            </w:r>
            <w:r>
              <w:rPr>
                <w:rFonts w:ascii="Times New Roman" w:hAnsi="Times New Roman"/>
                <w:noProof/>
                <w:sz w:val="18"/>
              </w:rPr>
              <w:t>II) suojella ja ennallistaa rannikkoekosysteemejä tai huonontuneita alueita. Tämä on tehtävä a) siirtämällä laitoksia, joihin taantuminen vaikuttaa; b) valtion omistaman maalla sijaitsevan merialueen rajaaminen; C) epäasianmukaisesti tai epäasianmukaisesti miehitetyn valtion omistaman merimaan hyödyntäminen; d) riskinarviointi ja riskinhallinta tai vastaavat toimet; e) huonontuneiden rannikkoalueiden ja ekosysteemien elvyttäminen ympäristön kannalta; F) rannikoiden säilyttäminen ja hoito; ja/tai g) toimet, joilla on samanlaiset vaikutukset.</w:t>
            </w:r>
            <w:r>
              <w:rPr>
                <w:noProof/>
              </w:rPr>
              <w:t xml:space="preserve"> </w:t>
            </w:r>
            <w:r>
              <w:rPr>
                <w:noProof/>
              </w:rPr>
              <w:br/>
            </w:r>
            <w:r>
              <w:rPr>
                <w:rFonts w:ascii="Times New Roman" w:hAnsi="Times New Roman"/>
                <w:noProof/>
                <w:sz w:val="18"/>
              </w:rPr>
              <w:t>III) Parannetaan hallittua ja asianmukaista pääsyä julkiselle maalla sijaitsevalle merialueelle. Tämä on tehtävä ottamalla maa talteen, jotta pääsy julkiselle alueelle voidaan tarjota, suunnitella, hallinnoida ja ennallistaa maankäyttöä tai toteuttaa vastaavia toimia.</w:t>
            </w:r>
            <w:r>
              <w:rPr>
                <w:noProof/>
              </w:rPr>
              <w:t xml:space="preserve"> </w:t>
            </w:r>
            <w:r>
              <w:rPr>
                <w:noProof/>
              </w:rPr>
              <w:br/>
            </w:r>
            <w:r>
              <w:rPr>
                <w:rFonts w:ascii="Times New Roman" w:hAnsi="Times New Roman"/>
                <w:noProof/>
                <w:sz w:val="18"/>
              </w:rPr>
              <w:t>IV) Strategisten merisuunnittelupolitiikkojen täytäntöönpano. Tämä toteutetaan panemalla täytäntöön merten aluesuunnittelu, meristrategiat, valtameriä, ilmastoa ja rannikkoa koskevat tieteelliset lausunnot sekä kehittämällä georeferoitu verkkosovellus merenkäyttäjille. (Perustaso: Joulukuuta 2023)</w:t>
            </w:r>
          </w:p>
        </w:tc>
      </w:tr>
    </w:tbl>
    <w:p w14:paraId="48B77EB9" w14:textId="77777777" w:rsidR="0065073E" w:rsidRDefault="0065073E">
      <w:pPr>
        <w:keepNext/>
        <w:spacing w:before="120" w:after="120" w:line="240" w:lineRule="auto"/>
        <w:ind w:left="720"/>
        <w:jc w:val="both"/>
        <w:rPr>
          <w:rFonts w:ascii="Times New Roman" w:hAnsi="Times New Roman" w:cs="Times New Roman"/>
          <w:b/>
          <w:noProof/>
          <w:sz w:val="24"/>
          <w:u w:val="single"/>
        </w:rPr>
      </w:pPr>
    </w:p>
    <w:p w14:paraId="74AFE277" w14:textId="77777777" w:rsidR="0065073E" w:rsidRDefault="0065073E">
      <w:pPr>
        <w:keepNext/>
        <w:spacing w:before="120" w:after="120" w:line="240" w:lineRule="auto"/>
        <w:ind w:left="720"/>
        <w:jc w:val="both"/>
        <w:rPr>
          <w:rFonts w:ascii="Times New Roman" w:hAnsi="Times New Roman" w:cs="Times New Roman"/>
          <w:noProof/>
          <w:sz w:val="24"/>
          <w:u w:val="single"/>
        </w:rPr>
        <w:sectPr w:rsidR="0065073E" w:rsidSect="00B511EF">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134" w:right="1134" w:bottom="1134" w:left="1134" w:header="567" w:footer="567" w:gutter="0"/>
          <w:cols w:space="720"/>
          <w:docGrid w:linePitch="360"/>
        </w:sectPr>
      </w:pPr>
    </w:p>
    <w:p w14:paraId="18EB0796" w14:textId="525474E5" w:rsidR="0065073E" w:rsidRDefault="000A0998">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E.3 </w:t>
      </w:r>
      <w:r>
        <w:rPr>
          <w:noProof/>
        </w:rPr>
        <w:t xml:space="preserve"> </w:t>
      </w:r>
      <w:r>
        <w:rPr>
          <w:rFonts w:ascii="Times New Roman" w:hAnsi="Times New Roman"/>
          <w:b/>
          <w:noProof/>
          <w:sz w:val="24"/>
          <w:u w:val="single"/>
        </w:rPr>
        <w:t>Lainatukeen liittyvien investointien kuvaus</w:t>
      </w:r>
    </w:p>
    <w:p w14:paraId="3D9C6AA9" w14:textId="2203FDE3" w:rsidR="0065073E" w:rsidRDefault="000A0998">
      <w:pPr>
        <w:pStyle w:val="P68B1DB1-Text119"/>
        <w:ind w:left="0"/>
        <w:rPr>
          <w:rFonts w:cs="Times New Roman"/>
          <w:noProof/>
        </w:rPr>
      </w:pPr>
      <w:r>
        <w:rPr>
          <w:noProof/>
        </w:rPr>
        <w:t>Investointi 5 (C5.I5) – Akviferin talteenotto vaihtoehtoisilla varoilla</w:t>
      </w:r>
    </w:p>
    <w:p w14:paraId="570A1B4B" w14:textId="618E6C0E" w:rsidR="0065073E" w:rsidRDefault="000A0998">
      <w:pPr>
        <w:pStyle w:val="P68B1DB1-Text118"/>
        <w:ind w:left="0"/>
        <w:rPr>
          <w:rFonts w:cs="Times New Roman"/>
          <w:noProof/>
        </w:rPr>
      </w:pPr>
      <w:r>
        <w:rPr>
          <w:noProof/>
        </w:rPr>
        <w:t xml:space="preserve">Investoinnin tavoitteena on vähentää pohjavedenottoa erityisesti Segura-joen, Välimeren ja Andalusian vesistöalueella sekä Katalonian sisäisillä vesistöalueilla. </w:t>
      </w:r>
    </w:p>
    <w:p w14:paraId="70874476" w14:textId="3D6EA4C5" w:rsidR="0065073E" w:rsidRDefault="000A0998">
      <w:pPr>
        <w:pStyle w:val="P68B1DB1-Text118"/>
        <w:ind w:left="0"/>
        <w:rPr>
          <w:rFonts w:cs="Times New Roman"/>
          <w:noProof/>
        </w:rPr>
      </w:pPr>
      <w:r>
        <w:rPr>
          <w:noProof/>
        </w:rPr>
        <w:t xml:space="preserve">Tämän investoinnin tavoitteena on i) luoda yhteyksiä Segura-joen valuma-alueen eri suolanpoistolaitosten välille Tajo-Segura-vesikanavan vedenkäyttäjien vesiturvallisuuden varmistamiseksi, ii) tuoda järjestelmään vettä, joka on peräisin useista Alicanten alueen uudelleenkäyttölaitoksista, ja iii) toteuttaa suolanpoistotoimia Katalonian (Tordera II – Foix) ja Välimeren ja Andalusian (Costa del Sol ja Levante Almeriense) vesipiirissä. Näillä toimilla vähennetään liikaa hyödynnetyistä ja huonossa ekologisessa tilassa olevista pohjavesiesiintymistä peräisin olevan pohjaveden määrää samalla kun varmistetaan eri käyttäjien vedensaanti ja edistetään pohjavettä johtavan kerroksen talteenottoa.  </w:t>
      </w:r>
    </w:p>
    <w:p w14:paraId="0930EAAC" w14:textId="21635E0D" w:rsidR="0065073E" w:rsidRDefault="000A0998">
      <w:pPr>
        <w:pStyle w:val="P68B1DB1-Text118"/>
        <w:ind w:left="0"/>
        <w:rPr>
          <w:rFonts w:cs="Times New Roman"/>
          <w:noProof/>
        </w:rPr>
      </w:pPr>
      <w:r>
        <w:rPr>
          <w:noProof/>
        </w:rPr>
        <w:t xml:space="preserve">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suolanpoistovesi on tuotettava käyttäen parasta saatavilla olevaa tekniikkaa, jonka ympäristövaikutukset ovat alalla vähäisimmät. Investointi ei myöskään saa johtaa kasteltujen alueiden laajentamiseen eikä kastelun voimakkuuden lisääntymiseen.  </w:t>
      </w:r>
    </w:p>
    <w:p w14:paraId="192FF083" w14:textId="77777777" w:rsidR="0065073E" w:rsidRDefault="000A0998">
      <w:pPr>
        <w:pStyle w:val="P68B1DB1-Text118"/>
        <w:ind w:left="0"/>
        <w:rPr>
          <w:rFonts w:cs="Times New Roman"/>
          <w:noProof/>
        </w:rPr>
      </w:pPr>
      <w:r>
        <w:rPr>
          <w:noProof/>
        </w:rPr>
        <w:t xml:space="preserve">Tämä investointi on saatettava päätökseen viimeistään 30 päivänä kesäkuuta 2026. </w:t>
      </w:r>
    </w:p>
    <w:p w14:paraId="731ED120" w14:textId="20D7EEA9" w:rsidR="0065073E" w:rsidRDefault="000A0998">
      <w:pPr>
        <w:pStyle w:val="P68B1DB1-Text119"/>
        <w:ind w:left="0"/>
        <w:rPr>
          <w:rFonts w:cs="Times New Roman"/>
          <w:noProof/>
        </w:rPr>
      </w:pPr>
      <w:r>
        <w:rPr>
          <w:noProof/>
        </w:rPr>
        <w:t>Investointi 6 (C5.I6) – PERTE vedenkäytön digitalisointia varten</w:t>
      </w:r>
    </w:p>
    <w:p w14:paraId="35B74DE3" w14:textId="77C208DE" w:rsidR="0065073E" w:rsidRDefault="000A0998">
      <w:pPr>
        <w:pStyle w:val="P68B1DB1-Text118"/>
        <w:ind w:left="0"/>
        <w:rPr>
          <w:rFonts w:cs="Times New Roman"/>
          <w:noProof/>
        </w:rPr>
      </w:pPr>
      <w:r>
        <w:rPr>
          <w:noProof/>
        </w:rPr>
        <w:t xml:space="preserve">Tällä investoinnilla pyritään tukemaan hankkeita sellaisten teknologioiden toteuttamiseksi, joilla edistetään digitalisaatiota ja vahvistetaan vedenkäytön seuranta- ja valvontakehystä kaupunkien veden kiertokulussa keskittyen keskisuuriin ja suuriin kuntiin ja teollisuuteen. </w:t>
      </w:r>
    </w:p>
    <w:p w14:paraId="4A0A5EDD" w14:textId="2045F899" w:rsidR="0065073E" w:rsidRDefault="000A0998">
      <w:pPr>
        <w:pStyle w:val="P68B1DB1-Text118"/>
        <w:ind w:left="0"/>
        <w:rPr>
          <w:rFonts w:cs="Times New Roman"/>
          <w:noProof/>
        </w:rPr>
      </w:pPr>
      <w:r>
        <w:rPr>
          <w:noProof/>
        </w:rPr>
        <w:t xml:space="preserve">Tämä investointi on saatettava päätökseen viimeistään 30 päivänä kesäkuuta 2026. </w:t>
      </w:r>
    </w:p>
    <w:p w14:paraId="47321117" w14:textId="77777777" w:rsidR="0065073E" w:rsidRDefault="0065073E">
      <w:pPr>
        <w:pStyle w:val="Text1"/>
        <w:ind w:left="0"/>
        <w:rPr>
          <w:rFonts w:ascii="Times New Roman" w:eastAsia="MS Mincho" w:hAnsi="Times New Roman" w:cs="Times New Roman"/>
          <w:noProof/>
        </w:rPr>
      </w:pPr>
    </w:p>
    <w:p w14:paraId="3DBF2AF7" w14:textId="5D74396D"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E.4 </w:t>
      </w:r>
      <w:r>
        <w:rPr>
          <w:noProof/>
        </w:rPr>
        <w:t xml:space="preserve"> </w:t>
      </w:r>
      <w:r>
        <w:rPr>
          <w:rFonts w:ascii="Times New Roman" w:hAnsi="Times New Roman"/>
          <w:b/>
          <w:noProof/>
          <w:sz w:val="24"/>
          <w:u w:val="single"/>
        </w:rPr>
        <w:t>Lainatuen seurannan ja täytäntöönpanon välitavoitteet, tavoitteet, indikaattorit ja aikataulu</w:t>
      </w:r>
    </w:p>
    <w:p w14:paraId="69E02543" w14:textId="2D0A3480" w:rsidR="0065073E" w:rsidRDefault="000A0998">
      <w:pPr>
        <w:pStyle w:val="P68B1DB1-Normal4"/>
        <w:spacing w:before="120" w:after="120" w:line="240" w:lineRule="auto"/>
        <w:jc w:val="both"/>
        <w:rPr>
          <w:rFonts w:cs="Times New Roman"/>
          <w:i/>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77C6D6B5" w14:textId="77777777" w:rsidR="0065073E" w:rsidRDefault="0065073E">
      <w:pPr>
        <w:spacing w:before="120" w:after="120" w:line="240" w:lineRule="auto"/>
        <w:jc w:val="both"/>
        <w:rPr>
          <w:rFonts w:ascii="Times New Roman" w:hAnsi="Times New Roman" w:cs="Times New Roman"/>
          <w:noProof/>
        </w:rPr>
        <w:sectPr w:rsidR="0065073E" w:rsidSect="00B511EF">
          <w:headerReference w:type="even" r:id="rId150"/>
          <w:headerReference w:type="default" r:id="rId151"/>
          <w:footerReference w:type="even" r:id="rId152"/>
          <w:footerReference w:type="default" r:id="rId153"/>
          <w:headerReference w:type="first" r:id="rId154"/>
          <w:footerReference w:type="first" r:id="rId155"/>
          <w:pgSz w:w="11907" w:h="16839"/>
          <w:pgMar w:top="1134" w:right="1134" w:bottom="1134" w:left="1134" w:header="567" w:footer="567" w:gutter="0"/>
          <w:cols w:space="720"/>
          <w:docGrid w:linePitch="360"/>
        </w:sectPr>
      </w:pPr>
    </w:p>
    <w:p w14:paraId="1B72A816" w14:textId="77777777" w:rsidR="0065073E" w:rsidRDefault="0065073E">
      <w:pPr>
        <w:spacing w:before="120" w:after="120" w:line="240" w:lineRule="auto"/>
        <w:jc w:val="both"/>
        <w:rPr>
          <w:rFonts w:ascii="Times New Roman" w:hAnsi="Times New Roman" w:cs="Times New Roman"/>
          <w:noProof/>
        </w:rPr>
      </w:pPr>
    </w:p>
    <w:p w14:paraId="23906EED" w14:textId="77777777" w:rsidR="0065073E" w:rsidRDefault="0065073E">
      <w:pPr>
        <w:pStyle w:val="Text1"/>
        <w:ind w:left="0"/>
        <w:rPr>
          <w:rFonts w:ascii="Times New Roman" w:eastAsia="MS Mincho" w:hAnsi="Times New Roman" w:cs="Times New Roman"/>
          <w:noProof/>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822"/>
        <w:gridCol w:w="821"/>
        <w:gridCol w:w="2731"/>
        <w:gridCol w:w="958"/>
        <w:gridCol w:w="821"/>
        <w:gridCol w:w="957"/>
        <w:gridCol w:w="685"/>
        <w:gridCol w:w="412"/>
        <w:gridCol w:w="548"/>
        <w:gridCol w:w="5869"/>
      </w:tblGrid>
      <w:tr w:rsidR="0065073E" w14:paraId="391966F2" w14:textId="77777777">
        <w:trPr>
          <w:trHeight w:val="309"/>
          <w:tblHeader/>
        </w:trPr>
        <w:tc>
          <w:tcPr>
            <w:tcW w:w="828" w:type="dxa"/>
            <w:tcBorders>
              <w:bottom w:val="nil"/>
            </w:tcBorders>
            <w:shd w:val="clear" w:color="auto" w:fill="C6D9F1" w:themeFill="text2" w:themeFillTint="33"/>
            <w:noWrap/>
            <w:vAlign w:val="center"/>
          </w:tcPr>
          <w:p w14:paraId="12BD0FD1" w14:textId="77777777" w:rsidR="0065073E" w:rsidRDefault="000A0998">
            <w:pPr>
              <w:pStyle w:val="P68B1DB1-Normal8"/>
              <w:spacing w:after="0" w:line="240" w:lineRule="auto"/>
              <w:jc w:val="center"/>
              <w:rPr>
                <w:rFonts w:cs="Times New Roman"/>
                <w:noProof/>
              </w:rPr>
            </w:pPr>
            <w:bookmarkStart w:id="15" w:name="_Hlk138346203"/>
            <w:r>
              <w:rPr>
                <w:noProof/>
              </w:rPr>
              <w:t>Määrä</w:t>
            </w:r>
          </w:p>
        </w:tc>
        <w:tc>
          <w:tcPr>
            <w:tcW w:w="822" w:type="dxa"/>
            <w:tcBorders>
              <w:bottom w:val="nil"/>
            </w:tcBorders>
            <w:shd w:val="clear" w:color="auto" w:fill="C6D9F1" w:themeFill="text2" w:themeFillTint="33"/>
            <w:noWrap/>
            <w:vAlign w:val="center"/>
          </w:tcPr>
          <w:p w14:paraId="7A1486DC" w14:textId="77777777" w:rsidR="0065073E" w:rsidRDefault="000A0998">
            <w:pPr>
              <w:pStyle w:val="P68B1DB1-Normal8"/>
              <w:spacing w:after="0" w:line="240" w:lineRule="auto"/>
              <w:jc w:val="center"/>
              <w:rPr>
                <w:rFonts w:cs="Times New Roman"/>
                <w:noProof/>
              </w:rPr>
            </w:pPr>
            <w:r>
              <w:rPr>
                <w:noProof/>
              </w:rPr>
              <w:t>Toimenpide</w:t>
            </w:r>
          </w:p>
        </w:tc>
        <w:tc>
          <w:tcPr>
            <w:tcW w:w="821" w:type="dxa"/>
            <w:tcBorders>
              <w:bottom w:val="nil"/>
            </w:tcBorders>
            <w:shd w:val="clear" w:color="auto" w:fill="C6D9F1" w:themeFill="text2" w:themeFillTint="33"/>
            <w:noWrap/>
            <w:vAlign w:val="center"/>
          </w:tcPr>
          <w:p w14:paraId="0086A022"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731" w:type="dxa"/>
            <w:tcBorders>
              <w:bottom w:val="nil"/>
            </w:tcBorders>
            <w:shd w:val="clear" w:color="auto" w:fill="C6D9F1" w:themeFill="text2" w:themeFillTint="33"/>
            <w:noWrap/>
            <w:vAlign w:val="center"/>
          </w:tcPr>
          <w:p w14:paraId="47B9F5B8" w14:textId="77777777" w:rsidR="0065073E" w:rsidRDefault="000A0998">
            <w:pPr>
              <w:pStyle w:val="P68B1DB1-Normal8"/>
              <w:spacing w:after="0" w:line="240" w:lineRule="auto"/>
              <w:jc w:val="center"/>
              <w:rPr>
                <w:rFonts w:cs="Times New Roman"/>
                <w:noProof/>
              </w:rPr>
            </w:pPr>
            <w:r>
              <w:rPr>
                <w:noProof/>
              </w:rPr>
              <w:t>Nimi</w:t>
            </w:r>
          </w:p>
        </w:tc>
        <w:tc>
          <w:tcPr>
            <w:tcW w:w="958" w:type="dxa"/>
            <w:tcBorders>
              <w:bottom w:val="nil"/>
            </w:tcBorders>
            <w:shd w:val="clear" w:color="auto" w:fill="C6D9F1" w:themeFill="text2" w:themeFillTint="33"/>
            <w:noWrap/>
            <w:vAlign w:val="center"/>
          </w:tcPr>
          <w:p w14:paraId="4414649E"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63" w:type="dxa"/>
            <w:gridSpan w:val="3"/>
            <w:shd w:val="clear" w:color="auto" w:fill="C6D9F1" w:themeFill="text2" w:themeFillTint="33"/>
            <w:noWrap/>
            <w:vAlign w:val="center"/>
          </w:tcPr>
          <w:p w14:paraId="5D64DF5B"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0" w:type="dxa"/>
            <w:gridSpan w:val="2"/>
            <w:shd w:val="clear" w:color="auto" w:fill="C6D9F1" w:themeFill="text2" w:themeFillTint="33"/>
            <w:noWrap/>
            <w:vAlign w:val="center"/>
          </w:tcPr>
          <w:p w14:paraId="01D99DB9" w14:textId="77777777" w:rsidR="0065073E" w:rsidRDefault="000A0998">
            <w:pPr>
              <w:pStyle w:val="P68B1DB1-Normal8"/>
              <w:spacing w:after="0" w:line="240" w:lineRule="auto"/>
              <w:jc w:val="center"/>
              <w:rPr>
                <w:rFonts w:cs="Times New Roman"/>
                <w:noProof/>
              </w:rPr>
            </w:pPr>
            <w:r>
              <w:rPr>
                <w:noProof/>
              </w:rPr>
              <w:t>Aika</w:t>
            </w:r>
          </w:p>
        </w:tc>
        <w:tc>
          <w:tcPr>
            <w:tcW w:w="5869" w:type="dxa"/>
            <w:tcBorders>
              <w:bottom w:val="nil"/>
            </w:tcBorders>
            <w:shd w:val="clear" w:color="auto" w:fill="C6D9F1" w:themeFill="text2" w:themeFillTint="33"/>
            <w:noWrap/>
            <w:vAlign w:val="center"/>
          </w:tcPr>
          <w:p w14:paraId="148478C2"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54EFC1AE" w14:textId="77777777">
        <w:trPr>
          <w:trHeight w:val="309"/>
          <w:tblHeader/>
        </w:trPr>
        <w:tc>
          <w:tcPr>
            <w:tcW w:w="828" w:type="dxa"/>
            <w:tcBorders>
              <w:top w:val="nil"/>
            </w:tcBorders>
            <w:shd w:val="clear" w:color="auto" w:fill="C6D9F1" w:themeFill="text2" w:themeFillTint="33"/>
            <w:noWrap/>
          </w:tcPr>
          <w:p w14:paraId="1E8F32CC" w14:textId="77777777" w:rsidR="0065073E" w:rsidRDefault="0065073E">
            <w:pPr>
              <w:spacing w:after="0" w:line="240" w:lineRule="auto"/>
              <w:jc w:val="center"/>
              <w:rPr>
                <w:rFonts w:ascii="Times New Roman" w:hAnsi="Times New Roman" w:cs="Times New Roman"/>
                <w:b/>
                <w:noProof/>
                <w:sz w:val="18"/>
              </w:rPr>
            </w:pPr>
          </w:p>
        </w:tc>
        <w:tc>
          <w:tcPr>
            <w:tcW w:w="822" w:type="dxa"/>
            <w:tcBorders>
              <w:top w:val="nil"/>
            </w:tcBorders>
            <w:shd w:val="clear" w:color="auto" w:fill="C6D9F1" w:themeFill="text2" w:themeFillTint="33"/>
            <w:noWrap/>
          </w:tcPr>
          <w:p w14:paraId="769C90A0" w14:textId="77777777" w:rsidR="0065073E" w:rsidRDefault="0065073E">
            <w:pPr>
              <w:spacing w:after="0" w:line="240" w:lineRule="auto"/>
              <w:jc w:val="center"/>
              <w:rPr>
                <w:rFonts w:ascii="Times New Roman" w:hAnsi="Times New Roman" w:cs="Times New Roman"/>
                <w:b/>
                <w:noProof/>
                <w:sz w:val="18"/>
              </w:rPr>
            </w:pPr>
          </w:p>
        </w:tc>
        <w:tc>
          <w:tcPr>
            <w:tcW w:w="821" w:type="dxa"/>
            <w:tcBorders>
              <w:top w:val="nil"/>
            </w:tcBorders>
            <w:shd w:val="clear" w:color="auto" w:fill="C6D9F1" w:themeFill="text2" w:themeFillTint="33"/>
            <w:noWrap/>
          </w:tcPr>
          <w:p w14:paraId="6F654621" w14:textId="77777777" w:rsidR="0065073E" w:rsidRDefault="0065073E">
            <w:pPr>
              <w:spacing w:after="0" w:line="240" w:lineRule="auto"/>
              <w:jc w:val="center"/>
              <w:rPr>
                <w:rFonts w:ascii="Times New Roman" w:hAnsi="Times New Roman" w:cs="Times New Roman"/>
                <w:b/>
                <w:noProof/>
                <w:sz w:val="18"/>
              </w:rPr>
            </w:pPr>
          </w:p>
        </w:tc>
        <w:tc>
          <w:tcPr>
            <w:tcW w:w="2731" w:type="dxa"/>
            <w:tcBorders>
              <w:top w:val="nil"/>
            </w:tcBorders>
            <w:shd w:val="clear" w:color="auto" w:fill="C6D9F1" w:themeFill="text2" w:themeFillTint="33"/>
            <w:noWrap/>
          </w:tcPr>
          <w:p w14:paraId="1B405182" w14:textId="77777777" w:rsidR="0065073E" w:rsidRDefault="0065073E">
            <w:pPr>
              <w:spacing w:after="0" w:line="240" w:lineRule="auto"/>
              <w:rPr>
                <w:rFonts w:ascii="Times New Roman" w:hAnsi="Times New Roman" w:cs="Times New Roman"/>
                <w:b/>
                <w:noProof/>
                <w:sz w:val="18"/>
              </w:rPr>
            </w:pPr>
          </w:p>
        </w:tc>
        <w:tc>
          <w:tcPr>
            <w:tcW w:w="958" w:type="dxa"/>
            <w:tcBorders>
              <w:top w:val="nil"/>
            </w:tcBorders>
            <w:shd w:val="clear" w:color="auto" w:fill="C6D9F1" w:themeFill="text2" w:themeFillTint="33"/>
            <w:noWrap/>
          </w:tcPr>
          <w:p w14:paraId="0D83A2E6" w14:textId="77777777" w:rsidR="0065073E" w:rsidRDefault="0065073E">
            <w:pPr>
              <w:spacing w:after="0" w:line="240" w:lineRule="auto"/>
              <w:jc w:val="center"/>
              <w:rPr>
                <w:rFonts w:ascii="Times New Roman" w:hAnsi="Times New Roman" w:cs="Times New Roman"/>
                <w:b/>
                <w:noProof/>
                <w:sz w:val="18"/>
              </w:rPr>
            </w:pPr>
          </w:p>
        </w:tc>
        <w:tc>
          <w:tcPr>
            <w:tcW w:w="821" w:type="dxa"/>
            <w:shd w:val="clear" w:color="auto" w:fill="C6D9F1" w:themeFill="text2" w:themeFillTint="33"/>
            <w:noWrap/>
            <w:vAlign w:val="center"/>
          </w:tcPr>
          <w:p w14:paraId="0E0D0DA7" w14:textId="77777777" w:rsidR="0065073E" w:rsidRDefault="000A0998">
            <w:pPr>
              <w:pStyle w:val="P68B1DB1-Normal8"/>
              <w:spacing w:after="0" w:line="240" w:lineRule="auto"/>
              <w:jc w:val="center"/>
              <w:rPr>
                <w:rFonts w:cs="Times New Roman"/>
                <w:noProof/>
              </w:rPr>
            </w:pPr>
            <w:r>
              <w:rPr>
                <w:noProof/>
              </w:rPr>
              <w:t>Yksikkö</w:t>
            </w:r>
          </w:p>
        </w:tc>
        <w:tc>
          <w:tcPr>
            <w:tcW w:w="957" w:type="dxa"/>
            <w:shd w:val="clear" w:color="auto" w:fill="C6D9F1" w:themeFill="text2" w:themeFillTint="33"/>
            <w:noWrap/>
            <w:vAlign w:val="center"/>
          </w:tcPr>
          <w:p w14:paraId="25D166B5" w14:textId="0F1DCE1B" w:rsidR="0065073E" w:rsidRDefault="000A0998">
            <w:pPr>
              <w:pStyle w:val="P68B1DB1-Normal8"/>
              <w:spacing w:after="0" w:line="240" w:lineRule="auto"/>
              <w:jc w:val="center"/>
              <w:rPr>
                <w:rFonts w:cs="Times New Roman"/>
                <w:noProof/>
              </w:rPr>
            </w:pPr>
            <w:r>
              <w:rPr>
                <w:noProof/>
              </w:rPr>
              <w:t>Lähtötaso</w:t>
            </w:r>
          </w:p>
        </w:tc>
        <w:tc>
          <w:tcPr>
            <w:tcW w:w="685" w:type="dxa"/>
            <w:shd w:val="clear" w:color="auto" w:fill="C6D9F1" w:themeFill="text2" w:themeFillTint="33"/>
            <w:noWrap/>
            <w:vAlign w:val="center"/>
          </w:tcPr>
          <w:p w14:paraId="6D5DF994" w14:textId="77777777" w:rsidR="0065073E" w:rsidRDefault="000A0998">
            <w:pPr>
              <w:pStyle w:val="P68B1DB1-Normal8"/>
              <w:spacing w:after="0" w:line="240" w:lineRule="auto"/>
              <w:jc w:val="center"/>
              <w:rPr>
                <w:rFonts w:cs="Times New Roman"/>
                <w:noProof/>
              </w:rPr>
            </w:pPr>
            <w:r>
              <w:rPr>
                <w:noProof/>
              </w:rPr>
              <w:t>Päämäärä</w:t>
            </w:r>
          </w:p>
        </w:tc>
        <w:tc>
          <w:tcPr>
            <w:tcW w:w="412" w:type="dxa"/>
            <w:shd w:val="clear" w:color="auto" w:fill="C6D9F1" w:themeFill="text2" w:themeFillTint="33"/>
            <w:noWrap/>
            <w:vAlign w:val="center"/>
          </w:tcPr>
          <w:p w14:paraId="493C9C13" w14:textId="77777777" w:rsidR="0065073E" w:rsidRDefault="000A0998">
            <w:pPr>
              <w:pStyle w:val="P68B1DB1-Normal8"/>
              <w:spacing w:after="0" w:line="240" w:lineRule="auto"/>
              <w:jc w:val="center"/>
              <w:rPr>
                <w:rFonts w:cs="Times New Roman"/>
                <w:noProof/>
              </w:rPr>
            </w:pPr>
            <w:r>
              <w:rPr>
                <w:noProof/>
              </w:rPr>
              <w:t>Q</w:t>
            </w:r>
          </w:p>
        </w:tc>
        <w:tc>
          <w:tcPr>
            <w:tcW w:w="548" w:type="dxa"/>
            <w:shd w:val="clear" w:color="auto" w:fill="C6D9F1" w:themeFill="text2" w:themeFillTint="33"/>
            <w:noWrap/>
            <w:vAlign w:val="center"/>
          </w:tcPr>
          <w:p w14:paraId="353C61BD" w14:textId="77777777" w:rsidR="0065073E" w:rsidRDefault="000A0998">
            <w:pPr>
              <w:pStyle w:val="P68B1DB1-Normal8"/>
              <w:spacing w:after="0" w:line="240" w:lineRule="auto"/>
              <w:jc w:val="center"/>
              <w:rPr>
                <w:rFonts w:cs="Times New Roman"/>
                <w:noProof/>
              </w:rPr>
            </w:pPr>
            <w:r>
              <w:rPr>
                <w:noProof/>
              </w:rPr>
              <w:t>Vuosi</w:t>
            </w:r>
          </w:p>
        </w:tc>
        <w:tc>
          <w:tcPr>
            <w:tcW w:w="5869" w:type="dxa"/>
            <w:tcBorders>
              <w:top w:val="nil"/>
            </w:tcBorders>
            <w:shd w:val="clear" w:color="auto" w:fill="C6D9F1" w:themeFill="text2" w:themeFillTint="33"/>
            <w:noWrap/>
          </w:tcPr>
          <w:p w14:paraId="687E6B85" w14:textId="77777777" w:rsidR="0065073E" w:rsidRDefault="0065073E">
            <w:pPr>
              <w:spacing w:after="0" w:line="240" w:lineRule="auto"/>
              <w:rPr>
                <w:rFonts w:ascii="Times New Roman" w:hAnsi="Times New Roman" w:cs="Times New Roman"/>
                <w:b/>
                <w:noProof/>
                <w:sz w:val="18"/>
              </w:rPr>
            </w:pPr>
          </w:p>
        </w:tc>
      </w:tr>
      <w:tr w:rsidR="0065073E" w14:paraId="4DB045D4" w14:textId="77777777">
        <w:trPr>
          <w:trHeight w:val="309"/>
        </w:trPr>
        <w:tc>
          <w:tcPr>
            <w:tcW w:w="828" w:type="dxa"/>
            <w:shd w:val="clear" w:color="auto" w:fill="C6EFCE"/>
            <w:noWrap/>
          </w:tcPr>
          <w:p w14:paraId="0CE60D6D" w14:textId="569AC578" w:rsidR="0065073E" w:rsidRDefault="000A0998">
            <w:pPr>
              <w:pStyle w:val="P68B1DB1-Normal12"/>
              <w:spacing w:after="0" w:line="240" w:lineRule="auto"/>
              <w:jc w:val="center"/>
              <w:rPr>
                <w:rFonts w:eastAsia="MS Mincho" w:cs="Times New Roman"/>
                <w:noProof/>
              </w:rPr>
            </w:pPr>
            <w:r>
              <w:rPr>
                <w:noProof/>
              </w:rPr>
              <w:t>L13</w:t>
            </w:r>
          </w:p>
        </w:tc>
        <w:tc>
          <w:tcPr>
            <w:tcW w:w="822" w:type="dxa"/>
            <w:shd w:val="clear" w:color="auto" w:fill="C6EFCE"/>
            <w:noWrap/>
          </w:tcPr>
          <w:p w14:paraId="709DC092" w14:textId="721839BE" w:rsidR="0065073E" w:rsidRDefault="000A0998">
            <w:pPr>
              <w:pStyle w:val="P68B1DB1-Normal12"/>
              <w:spacing w:after="0" w:line="240" w:lineRule="auto"/>
              <w:jc w:val="center"/>
              <w:rPr>
                <w:rFonts w:eastAsia="MS Mincho" w:cs="Times New Roman"/>
                <w:noProof/>
              </w:rPr>
            </w:pPr>
            <w:r>
              <w:rPr>
                <w:noProof/>
              </w:rPr>
              <w:t>C5.I5</w:t>
            </w:r>
          </w:p>
        </w:tc>
        <w:tc>
          <w:tcPr>
            <w:tcW w:w="821" w:type="dxa"/>
            <w:shd w:val="clear" w:color="auto" w:fill="C6EFCE"/>
            <w:noWrap/>
          </w:tcPr>
          <w:p w14:paraId="6EF1A728" w14:textId="60702C07" w:rsidR="0065073E" w:rsidRDefault="000A0998">
            <w:pPr>
              <w:pStyle w:val="P68B1DB1-Normal12"/>
              <w:spacing w:after="0" w:line="240" w:lineRule="auto"/>
              <w:jc w:val="center"/>
              <w:rPr>
                <w:rFonts w:eastAsia="MS Mincho" w:cs="Times New Roman"/>
                <w:noProof/>
              </w:rPr>
            </w:pPr>
            <w:r>
              <w:rPr>
                <w:noProof/>
              </w:rPr>
              <w:t>T</w:t>
            </w:r>
          </w:p>
        </w:tc>
        <w:tc>
          <w:tcPr>
            <w:tcW w:w="2731" w:type="dxa"/>
            <w:shd w:val="clear" w:color="auto" w:fill="C6EFCE"/>
            <w:noWrap/>
          </w:tcPr>
          <w:p w14:paraId="47A6AF21" w14:textId="0491A6D9" w:rsidR="0065073E" w:rsidRDefault="000A0998">
            <w:pPr>
              <w:pStyle w:val="P68B1DB1-Normal12"/>
              <w:spacing w:after="0" w:line="240" w:lineRule="auto"/>
              <w:rPr>
                <w:rFonts w:eastAsia="MS Mincho" w:cs="Times New Roman"/>
                <w:noProof/>
              </w:rPr>
            </w:pPr>
            <w:r>
              <w:rPr>
                <w:noProof/>
              </w:rPr>
              <w:t>Pohjavedenoton vähentäminen</w:t>
            </w:r>
          </w:p>
        </w:tc>
        <w:tc>
          <w:tcPr>
            <w:tcW w:w="958" w:type="dxa"/>
            <w:shd w:val="clear" w:color="auto" w:fill="C6EFCE"/>
            <w:noWrap/>
          </w:tcPr>
          <w:p w14:paraId="609959BB" w14:textId="39228FF8" w:rsidR="0065073E" w:rsidRDefault="0065073E">
            <w:pPr>
              <w:spacing w:after="0" w:line="240" w:lineRule="auto"/>
              <w:jc w:val="center"/>
              <w:rPr>
                <w:rFonts w:ascii="Times New Roman" w:hAnsi="Times New Roman" w:cs="Times New Roman"/>
                <w:noProof/>
                <w:sz w:val="18"/>
              </w:rPr>
            </w:pPr>
          </w:p>
        </w:tc>
        <w:tc>
          <w:tcPr>
            <w:tcW w:w="821" w:type="dxa"/>
            <w:shd w:val="clear" w:color="auto" w:fill="C6EFCE"/>
            <w:noWrap/>
          </w:tcPr>
          <w:p w14:paraId="7614457B" w14:textId="7744038C" w:rsidR="0065073E" w:rsidRDefault="000A0998">
            <w:pPr>
              <w:pStyle w:val="P68B1DB1-Normal12"/>
              <w:spacing w:after="0" w:line="240" w:lineRule="auto"/>
              <w:rPr>
                <w:rFonts w:eastAsia="MS Mincho" w:cs="Times New Roman"/>
                <w:noProof/>
              </w:rPr>
            </w:pPr>
            <w:r>
              <w:rPr>
                <w:noProof/>
              </w:rPr>
              <w:t xml:space="preserve">Lukumäärä (hm3/vuosi)  </w:t>
            </w:r>
          </w:p>
        </w:tc>
        <w:tc>
          <w:tcPr>
            <w:tcW w:w="957" w:type="dxa"/>
            <w:shd w:val="clear" w:color="auto" w:fill="C6EFCE"/>
            <w:noWrap/>
          </w:tcPr>
          <w:p w14:paraId="02BA64C4" w14:textId="1E482E31" w:rsidR="0065073E" w:rsidRDefault="000A0998">
            <w:pPr>
              <w:pStyle w:val="P68B1DB1-Normal12"/>
              <w:spacing w:after="0" w:line="240" w:lineRule="auto"/>
              <w:jc w:val="right"/>
              <w:rPr>
                <w:rFonts w:eastAsia="MS Mincho" w:cs="Times New Roman"/>
                <w:noProof/>
              </w:rPr>
            </w:pPr>
            <w:r>
              <w:rPr>
                <w:noProof/>
              </w:rPr>
              <w:t xml:space="preserve">0 </w:t>
            </w:r>
          </w:p>
        </w:tc>
        <w:tc>
          <w:tcPr>
            <w:tcW w:w="685" w:type="dxa"/>
            <w:shd w:val="clear" w:color="auto" w:fill="C6EFCE"/>
            <w:noWrap/>
          </w:tcPr>
          <w:p w14:paraId="43B86807" w14:textId="69674AB9" w:rsidR="0065073E" w:rsidRDefault="000A0998">
            <w:pPr>
              <w:pStyle w:val="P68B1DB1-Normal12"/>
              <w:spacing w:after="0" w:line="240" w:lineRule="auto"/>
              <w:jc w:val="right"/>
              <w:rPr>
                <w:rFonts w:eastAsia="MS Mincho" w:cs="Times New Roman"/>
                <w:noProof/>
              </w:rPr>
            </w:pPr>
            <w:r>
              <w:rPr>
                <w:noProof/>
              </w:rPr>
              <w:t xml:space="preserve">60 </w:t>
            </w:r>
          </w:p>
        </w:tc>
        <w:tc>
          <w:tcPr>
            <w:tcW w:w="412" w:type="dxa"/>
            <w:shd w:val="clear" w:color="auto" w:fill="C6EFCE"/>
            <w:noWrap/>
          </w:tcPr>
          <w:p w14:paraId="147BB08F" w14:textId="15C6E9E9" w:rsidR="0065073E" w:rsidRDefault="000A0998">
            <w:pPr>
              <w:pStyle w:val="P68B1DB1-Normal12"/>
              <w:spacing w:after="0" w:line="240" w:lineRule="auto"/>
              <w:jc w:val="center"/>
              <w:rPr>
                <w:rFonts w:eastAsia="MS Mincho" w:cs="Times New Roman"/>
                <w:noProof/>
              </w:rPr>
            </w:pPr>
            <w:r>
              <w:rPr>
                <w:noProof/>
              </w:rPr>
              <w:t>TOINEN VUOSINELJÄNNES</w:t>
            </w:r>
          </w:p>
        </w:tc>
        <w:tc>
          <w:tcPr>
            <w:tcW w:w="548" w:type="dxa"/>
            <w:shd w:val="clear" w:color="auto" w:fill="C6EFCE"/>
            <w:noWrap/>
          </w:tcPr>
          <w:p w14:paraId="68312A86" w14:textId="2757FA3D" w:rsidR="0065073E" w:rsidRDefault="000A0998">
            <w:pPr>
              <w:pStyle w:val="P68B1DB1-Normal12"/>
              <w:spacing w:after="0" w:line="240" w:lineRule="auto"/>
              <w:jc w:val="center"/>
              <w:rPr>
                <w:rFonts w:eastAsia="MS Mincho" w:cs="Times New Roman"/>
                <w:noProof/>
              </w:rPr>
            </w:pPr>
            <w:r>
              <w:rPr>
                <w:noProof/>
              </w:rPr>
              <w:t>2026</w:t>
            </w:r>
          </w:p>
        </w:tc>
        <w:tc>
          <w:tcPr>
            <w:tcW w:w="5869" w:type="dxa"/>
            <w:shd w:val="clear" w:color="auto" w:fill="C6EFCE"/>
            <w:noWrap/>
          </w:tcPr>
          <w:p w14:paraId="413948F2" w14:textId="26E4F286" w:rsidR="0065073E" w:rsidRDefault="000A0998">
            <w:pPr>
              <w:pStyle w:val="P68B1DB1-Normal12"/>
              <w:spacing w:after="0" w:line="240" w:lineRule="auto"/>
              <w:rPr>
                <w:rFonts w:eastAsia="MS Mincho" w:cs="Times New Roman"/>
                <w:noProof/>
              </w:rPr>
            </w:pPr>
            <w:r>
              <w:rPr>
                <w:noProof/>
              </w:rPr>
              <w:t xml:space="preserve">Vaihtoehtoisten resurssien tarjoaminen suolanpoistolaitoksista siten, että samalla vähennetään vastaavasti Katalonian ja Välimeren ja Välimeren ja Andalusian vesistöalueilla sijaitsevista pohjavesikerroksista peräisin olevan pohjaveden vuotuista määrää toimenpiteen kuvauksen mukaisesti. </w:t>
            </w:r>
          </w:p>
        </w:tc>
      </w:tr>
      <w:tr w:rsidR="0065073E" w14:paraId="236752E1" w14:textId="77777777">
        <w:trPr>
          <w:trHeight w:val="309"/>
        </w:trPr>
        <w:tc>
          <w:tcPr>
            <w:tcW w:w="828" w:type="dxa"/>
            <w:shd w:val="clear" w:color="auto" w:fill="C6EFCE"/>
            <w:noWrap/>
          </w:tcPr>
          <w:p w14:paraId="7E73AEA7" w14:textId="42D94A6F" w:rsidR="0065073E" w:rsidRDefault="000A0998">
            <w:pPr>
              <w:pStyle w:val="P68B1DB1-Normal12"/>
              <w:spacing w:after="0" w:line="240" w:lineRule="auto"/>
              <w:jc w:val="center"/>
              <w:rPr>
                <w:rFonts w:cs="Times New Roman"/>
                <w:noProof/>
              </w:rPr>
            </w:pPr>
            <w:r>
              <w:rPr>
                <w:noProof/>
              </w:rPr>
              <w:t>L14</w:t>
            </w:r>
          </w:p>
        </w:tc>
        <w:tc>
          <w:tcPr>
            <w:tcW w:w="822" w:type="dxa"/>
            <w:shd w:val="clear" w:color="auto" w:fill="C6EFCE"/>
            <w:noWrap/>
          </w:tcPr>
          <w:p w14:paraId="3700384D" w14:textId="7473AFB4" w:rsidR="0065073E" w:rsidRDefault="000A0998">
            <w:pPr>
              <w:pStyle w:val="P68B1DB1-Normal12"/>
              <w:spacing w:after="0" w:line="240" w:lineRule="auto"/>
              <w:jc w:val="center"/>
              <w:rPr>
                <w:rFonts w:cs="Times New Roman"/>
                <w:noProof/>
              </w:rPr>
            </w:pPr>
            <w:r>
              <w:rPr>
                <w:noProof/>
              </w:rPr>
              <w:t>C5.I6</w:t>
            </w:r>
          </w:p>
        </w:tc>
        <w:tc>
          <w:tcPr>
            <w:tcW w:w="821" w:type="dxa"/>
            <w:shd w:val="clear" w:color="auto" w:fill="C6EFCE"/>
            <w:noWrap/>
          </w:tcPr>
          <w:p w14:paraId="1E7CB0BA" w14:textId="0C4B5D5E" w:rsidR="0065073E" w:rsidRDefault="000A0998">
            <w:pPr>
              <w:pStyle w:val="P68B1DB1-Normal12"/>
              <w:spacing w:after="0" w:line="240" w:lineRule="auto"/>
              <w:jc w:val="center"/>
              <w:rPr>
                <w:rFonts w:cs="Times New Roman"/>
                <w:noProof/>
              </w:rPr>
            </w:pPr>
            <w:r>
              <w:rPr>
                <w:noProof/>
              </w:rPr>
              <w:t>M</w:t>
            </w:r>
          </w:p>
        </w:tc>
        <w:tc>
          <w:tcPr>
            <w:tcW w:w="2731" w:type="dxa"/>
            <w:shd w:val="clear" w:color="auto" w:fill="C6EFCE"/>
            <w:noWrap/>
          </w:tcPr>
          <w:p w14:paraId="30947F60" w14:textId="006CF621" w:rsidR="0065073E" w:rsidRDefault="000A0998">
            <w:pPr>
              <w:pStyle w:val="P68B1DB1-Normal12"/>
              <w:spacing w:after="0" w:line="240" w:lineRule="auto"/>
              <w:rPr>
                <w:rFonts w:cs="Times New Roman"/>
                <w:noProof/>
              </w:rPr>
            </w:pPr>
            <w:r>
              <w:rPr>
                <w:noProof/>
              </w:rPr>
              <w:t>Toimet kaupunkien vesikierron ja teollisuuden digitalisoimiseksi</w:t>
            </w:r>
          </w:p>
        </w:tc>
        <w:tc>
          <w:tcPr>
            <w:tcW w:w="958" w:type="dxa"/>
            <w:shd w:val="clear" w:color="auto" w:fill="C6EFCE"/>
            <w:noWrap/>
          </w:tcPr>
          <w:p w14:paraId="4BE75B5E" w14:textId="31B0FCDD" w:rsidR="0065073E" w:rsidRDefault="000A0998">
            <w:pPr>
              <w:pStyle w:val="P68B1DB1-Normal12"/>
              <w:spacing w:after="0" w:line="240" w:lineRule="auto"/>
              <w:jc w:val="center"/>
              <w:rPr>
                <w:rFonts w:cs="Times New Roman"/>
                <w:noProof/>
              </w:rPr>
            </w:pPr>
            <w:r>
              <w:rPr>
                <w:noProof/>
              </w:rPr>
              <w:t xml:space="preserve"> Virallinen ilmoitus valmistuneista töistä</w:t>
            </w:r>
          </w:p>
        </w:tc>
        <w:tc>
          <w:tcPr>
            <w:tcW w:w="821" w:type="dxa"/>
            <w:shd w:val="clear" w:color="auto" w:fill="C6EFCE"/>
            <w:noWrap/>
          </w:tcPr>
          <w:p w14:paraId="05A908A8" w14:textId="70F58511" w:rsidR="0065073E" w:rsidRDefault="000A0998">
            <w:pPr>
              <w:pStyle w:val="P68B1DB1-Normal12"/>
              <w:spacing w:after="0" w:line="240" w:lineRule="auto"/>
              <w:jc w:val="right"/>
              <w:rPr>
                <w:rFonts w:cs="Times New Roman"/>
                <w:noProof/>
              </w:rPr>
            </w:pPr>
            <w:r>
              <w:rPr>
                <w:noProof/>
              </w:rPr>
              <w:t xml:space="preserve"> </w:t>
            </w:r>
          </w:p>
        </w:tc>
        <w:tc>
          <w:tcPr>
            <w:tcW w:w="957" w:type="dxa"/>
            <w:shd w:val="clear" w:color="auto" w:fill="C6EFCE"/>
            <w:noWrap/>
          </w:tcPr>
          <w:p w14:paraId="40BDD0E6" w14:textId="6FFB4C1C" w:rsidR="0065073E" w:rsidRDefault="0065073E">
            <w:pPr>
              <w:spacing w:after="0" w:line="240" w:lineRule="auto"/>
              <w:jc w:val="right"/>
              <w:rPr>
                <w:rFonts w:ascii="Times New Roman" w:hAnsi="Times New Roman" w:cs="Times New Roman"/>
                <w:noProof/>
                <w:sz w:val="18"/>
              </w:rPr>
            </w:pPr>
          </w:p>
        </w:tc>
        <w:tc>
          <w:tcPr>
            <w:tcW w:w="685" w:type="dxa"/>
            <w:shd w:val="clear" w:color="auto" w:fill="C6EFCE"/>
            <w:noWrap/>
          </w:tcPr>
          <w:p w14:paraId="4D03E66A" w14:textId="48B971C1" w:rsidR="0065073E" w:rsidRDefault="0065073E">
            <w:pPr>
              <w:spacing w:after="0" w:line="240" w:lineRule="auto"/>
              <w:jc w:val="right"/>
              <w:rPr>
                <w:rFonts w:ascii="Times New Roman" w:hAnsi="Times New Roman" w:cs="Times New Roman"/>
                <w:noProof/>
                <w:sz w:val="18"/>
              </w:rPr>
            </w:pPr>
          </w:p>
        </w:tc>
        <w:tc>
          <w:tcPr>
            <w:tcW w:w="412" w:type="dxa"/>
            <w:shd w:val="clear" w:color="auto" w:fill="C6EFCE"/>
            <w:noWrap/>
          </w:tcPr>
          <w:p w14:paraId="29AB48B3" w14:textId="765DF2FB" w:rsidR="0065073E" w:rsidRDefault="000A0998">
            <w:pPr>
              <w:pStyle w:val="P68B1DB1-Normal12"/>
              <w:spacing w:after="0" w:line="240" w:lineRule="auto"/>
              <w:jc w:val="center"/>
              <w:rPr>
                <w:rFonts w:cs="Times New Roman"/>
                <w:noProof/>
              </w:rPr>
            </w:pPr>
            <w:r>
              <w:rPr>
                <w:noProof/>
              </w:rPr>
              <w:t xml:space="preserve">TOINEN VUOSINELJÄNNES </w:t>
            </w:r>
          </w:p>
        </w:tc>
        <w:tc>
          <w:tcPr>
            <w:tcW w:w="548" w:type="dxa"/>
            <w:shd w:val="clear" w:color="auto" w:fill="C6EFCE"/>
            <w:noWrap/>
          </w:tcPr>
          <w:p w14:paraId="2B10CCDA" w14:textId="6F2A8907" w:rsidR="0065073E" w:rsidRDefault="000A0998">
            <w:pPr>
              <w:pStyle w:val="P68B1DB1-Normal12"/>
              <w:spacing w:after="0" w:line="240" w:lineRule="auto"/>
              <w:jc w:val="center"/>
              <w:rPr>
                <w:rFonts w:cs="Times New Roman"/>
                <w:noProof/>
              </w:rPr>
            </w:pPr>
            <w:r>
              <w:rPr>
                <w:noProof/>
              </w:rPr>
              <w:t>2026</w:t>
            </w:r>
          </w:p>
        </w:tc>
        <w:tc>
          <w:tcPr>
            <w:tcW w:w="5869" w:type="dxa"/>
            <w:shd w:val="clear" w:color="auto" w:fill="C6EFCE"/>
            <w:noWrap/>
          </w:tcPr>
          <w:p w14:paraId="3E8F8829" w14:textId="445A439E" w:rsidR="0065073E" w:rsidRDefault="000A0998">
            <w:pPr>
              <w:pStyle w:val="P68B1DB1-Normal12"/>
              <w:spacing w:after="0" w:line="240" w:lineRule="auto"/>
              <w:rPr>
                <w:rFonts w:cs="Times New Roman"/>
                <w:noProof/>
              </w:rPr>
            </w:pPr>
            <w:r>
              <w:rPr>
                <w:noProof/>
              </w:rPr>
              <w:t xml:space="preserve">10000000 asukasta hyötyi kaupunkiveden kiertokulun digitalisointihankkeista ja vähintään 90:stä vesiasioita koskevasta teollisuushankkeesta. </w:t>
            </w:r>
          </w:p>
        </w:tc>
      </w:tr>
      <w:bookmarkEnd w:id="15"/>
    </w:tbl>
    <w:p w14:paraId="02DCC3DF" w14:textId="6426C795" w:rsidR="0065073E" w:rsidRDefault="0065073E">
      <w:pPr>
        <w:pStyle w:val="Text1"/>
        <w:ind w:left="0"/>
        <w:rPr>
          <w:rFonts w:ascii="Times New Roman" w:eastAsia="Calibri" w:hAnsi="Times New Roman" w:cs="Times New Roman"/>
          <w:noProof/>
        </w:rPr>
        <w:sectPr w:rsidR="0065073E" w:rsidSect="00B511EF">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134" w:right="1134" w:bottom="1134" w:left="1134" w:header="567" w:footer="567" w:gutter="0"/>
          <w:cols w:space="720"/>
          <w:docGrid w:linePitch="360"/>
        </w:sectPr>
      </w:pPr>
    </w:p>
    <w:p w14:paraId="711F0FB5" w14:textId="6A0A0092" w:rsidR="0065073E" w:rsidRDefault="000A0998">
      <w:pPr>
        <w:pStyle w:val="P68B1DB1-Heading12"/>
        <w:rPr>
          <w:rFonts w:cs="Times New Roman"/>
          <w:noProof/>
        </w:rPr>
      </w:pPr>
      <w:r>
        <w:rPr>
          <w:noProof/>
        </w:rPr>
        <w:t>F. OSA 06: Kestävä liikkuvuus (pitkäaikainen liikkuvuus)</w:t>
      </w:r>
    </w:p>
    <w:p w14:paraId="4BA2FD7C" w14:textId="77777777" w:rsidR="0065073E" w:rsidRDefault="000A0998">
      <w:pPr>
        <w:pStyle w:val="P68B1DB1-Normal4"/>
        <w:spacing w:line="240" w:lineRule="auto"/>
        <w:jc w:val="both"/>
        <w:rPr>
          <w:rFonts w:cs="Times New Roman"/>
          <w:noProof/>
        </w:rPr>
      </w:pPr>
      <w:r>
        <w:rPr>
          <w:noProof/>
        </w:rPr>
        <w:t>Tällä Espanjan elpymis- ja palautumissuunnitelman osa-alueella vastataan seuraaviin haasteisiin: 1) siirtyminen kestävämpiin liikennemuotoihin; 2) liikennealan päästöjen vähentäminen; Liikennealasta tehdään turvallisempi, saavutettavampi, kestävämpi ja osallistavampi.</w:t>
      </w:r>
    </w:p>
    <w:p w14:paraId="719433C5" w14:textId="77777777" w:rsidR="0065073E" w:rsidRDefault="000A0998">
      <w:pPr>
        <w:pStyle w:val="P68B1DB1-Normal4"/>
        <w:spacing w:line="240" w:lineRule="auto"/>
        <w:jc w:val="both"/>
        <w:rPr>
          <w:rFonts w:cs="Times New Roman"/>
          <w:noProof/>
        </w:rPr>
      </w:pPr>
      <w:r>
        <w:rPr>
          <w:noProof/>
        </w:rPr>
        <w:t xml:space="preserve">Osa-alueen tavoitteet ovat seuraavat: Espanjan rautatieverkon kehittäminen (erityisesti TEN-T-ydinkäytävät ja ydinverkon ulkopuolinen TEN-T-verkko); luodaan yhteentoimivampi liikenneverkko (rautatiet, maantiet, satamat), jotta voidaan pienentää sen hiilijalanjälkeä; rajatylittävien yhteyksien parantaminen Ranskan ja Portugalin kanssa; liikennealan nykyaikaistaminen ottamalla käyttöön edistyksellisiä digitaaliteknologioita. </w:t>
      </w:r>
    </w:p>
    <w:p w14:paraId="3BF698B3" w14:textId="77777777" w:rsidR="0065073E" w:rsidRDefault="000A0998">
      <w:pPr>
        <w:pStyle w:val="P68B1DB1-Normal4"/>
        <w:spacing w:line="240" w:lineRule="auto"/>
        <w:jc w:val="both"/>
        <w:rPr>
          <w:rFonts w:cs="Times New Roman"/>
          <w:noProof/>
        </w:rPr>
      </w:pPr>
      <w:r>
        <w:rPr>
          <w:noProof/>
        </w:rPr>
        <w:t>Tämä osa-alue vastaa maakohtaisia suosituksia energiatehokkuuteen ja resurssien käyttöön sekä rautateiden tavaraliikenneinfrastruktuuriin tehtävien investointien edistämisestä (maakohtainen suositus 3 2019) sekä vihreään ja digitaaliseen siirtymään ja kestävään liikenteeseen tehtävistä investoinneista (maakohtainen suositus 3 2020).</w:t>
      </w:r>
    </w:p>
    <w:p w14:paraId="121535DA" w14:textId="77777777" w:rsidR="0065073E" w:rsidRDefault="000A0998">
      <w:pPr>
        <w:pStyle w:val="P68B1DB1-Normal4"/>
        <w:spacing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1097947D"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F.1 </w:t>
      </w:r>
      <w:r>
        <w:rPr>
          <w:noProof/>
        </w:rPr>
        <w:t xml:space="preserve"> </w:t>
      </w:r>
      <w:r>
        <w:rPr>
          <w:rFonts w:ascii="Times New Roman" w:hAnsi="Times New Roman"/>
          <w:b/>
          <w:noProof/>
          <w:sz w:val="24"/>
          <w:u w:val="single"/>
        </w:rPr>
        <w:t>Kuvaus uudistuksista ja investoinneista, joita rahoitetaan rahoitustuella, jota ei makseta takaisin</w:t>
      </w:r>
    </w:p>
    <w:p w14:paraId="7CF8E487" w14:textId="77777777" w:rsidR="0065073E" w:rsidRDefault="000A0998">
      <w:pPr>
        <w:pStyle w:val="P68B1DB1-Normal5"/>
        <w:spacing w:line="240" w:lineRule="auto"/>
        <w:jc w:val="both"/>
        <w:rPr>
          <w:rFonts w:cs="Times New Roman"/>
          <w:noProof/>
        </w:rPr>
      </w:pPr>
      <w:r>
        <w:rPr>
          <w:noProof/>
        </w:rPr>
        <w:t>Uudistus 1 (C6.R1) – Turvallisen, kestävän ja verkottuneen liikkuvuuden strategia</w:t>
      </w:r>
    </w:p>
    <w:p w14:paraId="52F710EE" w14:textId="77777777" w:rsidR="0065073E" w:rsidRDefault="000A0998">
      <w:pPr>
        <w:pStyle w:val="P68B1DB1-Normal4"/>
        <w:spacing w:line="240" w:lineRule="auto"/>
        <w:jc w:val="both"/>
        <w:rPr>
          <w:rFonts w:cs="Times New Roman"/>
          <w:noProof/>
        </w:rPr>
      </w:pPr>
      <w:r>
        <w:rPr>
          <w:noProof/>
        </w:rPr>
        <w:t xml:space="preserve">Toimenpiteen tavoitteena on </w:t>
      </w:r>
    </w:p>
    <w:p w14:paraId="409A6AA4" w14:textId="77777777" w:rsidR="0065073E" w:rsidRDefault="000A0998">
      <w:pPr>
        <w:pStyle w:val="P68B1DB1-ListParagraph6"/>
        <w:numPr>
          <w:ilvl w:val="0"/>
          <w:numId w:val="171"/>
        </w:numPr>
        <w:spacing w:line="240" w:lineRule="auto"/>
        <w:jc w:val="both"/>
        <w:rPr>
          <w:rFonts w:cs="Times New Roman"/>
          <w:noProof/>
        </w:rPr>
      </w:pPr>
      <w:r>
        <w:rPr>
          <w:noProof/>
        </w:rPr>
        <w:t xml:space="preserve">Parannetaan liikkuvuusverkon turvallisuutta ja varmistetaan ihmisten ja tavaroiden parempi suojelu, parannetaan standardeja ja vähennetään onnettomuuksia. </w:t>
      </w:r>
    </w:p>
    <w:p w14:paraId="48EAEA90" w14:textId="77777777" w:rsidR="0065073E" w:rsidRDefault="000A0998">
      <w:pPr>
        <w:pStyle w:val="P68B1DB1-ListParagraph6"/>
        <w:numPr>
          <w:ilvl w:val="0"/>
          <w:numId w:val="171"/>
        </w:numPr>
        <w:spacing w:line="240" w:lineRule="auto"/>
        <w:jc w:val="both"/>
        <w:rPr>
          <w:rFonts w:cs="Times New Roman"/>
          <w:noProof/>
        </w:rPr>
      </w:pPr>
      <w:r>
        <w:rPr>
          <w:noProof/>
        </w:rPr>
        <w:t xml:space="preserve">Lisätään kestävyyttä asettamalla etusijalle päivittäinen liikkuvuus, taloudellinen ja sosiaalinen tasapuolisuus, energiatehokkuus ja ilmastonmuutoksen torjunta. </w:t>
      </w:r>
    </w:p>
    <w:p w14:paraId="688326EE" w14:textId="77777777" w:rsidR="0065073E" w:rsidRDefault="000A0998">
      <w:pPr>
        <w:pStyle w:val="P68B1DB1-ListParagraph6"/>
        <w:numPr>
          <w:ilvl w:val="0"/>
          <w:numId w:val="171"/>
        </w:numPr>
        <w:spacing w:line="240" w:lineRule="auto"/>
        <w:jc w:val="both"/>
        <w:rPr>
          <w:rFonts w:cs="Times New Roman"/>
          <w:noProof/>
        </w:rPr>
      </w:pPr>
      <w:r>
        <w:rPr>
          <w:noProof/>
        </w:rPr>
        <w:t>Parannetaan yhteyksiä digitalisaation, teknologisen kehityksen ja multimodaalisten yhteyksien avulla.</w:t>
      </w:r>
    </w:p>
    <w:p w14:paraId="3C003996" w14:textId="77777777" w:rsidR="0065073E" w:rsidRDefault="000A0998">
      <w:pPr>
        <w:pStyle w:val="P68B1DB1-Normal4"/>
        <w:spacing w:line="240" w:lineRule="auto"/>
        <w:jc w:val="both"/>
        <w:rPr>
          <w:rFonts w:cs="Times New Roman"/>
          <w:noProof/>
        </w:rPr>
      </w:pPr>
      <w:r>
        <w:rPr>
          <w:noProof/>
        </w:rPr>
        <w:t xml:space="preserve">Strategiassa on käsiteltävä erityistoimia seuraavilla yhdeksällä alalla: </w:t>
      </w:r>
    </w:p>
    <w:p w14:paraId="2CF7308B" w14:textId="77777777" w:rsidR="0065073E" w:rsidRDefault="000A0998">
      <w:pPr>
        <w:pStyle w:val="P68B1DB1-ListParagraph6"/>
        <w:numPr>
          <w:ilvl w:val="0"/>
          <w:numId w:val="172"/>
        </w:numPr>
        <w:spacing w:line="240" w:lineRule="auto"/>
        <w:jc w:val="both"/>
        <w:rPr>
          <w:rFonts w:cs="Times New Roman"/>
          <w:noProof/>
        </w:rPr>
      </w:pPr>
      <w:r>
        <w:rPr>
          <w:noProof/>
        </w:rPr>
        <w:t xml:space="preserve">Liikkuvuus kaikille (yleisen saatavuuden varmistaminen kohtuullisin kustannuksin) </w:t>
      </w:r>
    </w:p>
    <w:p w14:paraId="7CFBDBEE" w14:textId="77777777" w:rsidR="0065073E" w:rsidRDefault="000A0998">
      <w:pPr>
        <w:pStyle w:val="P68B1DB1-ListParagraph6"/>
        <w:numPr>
          <w:ilvl w:val="0"/>
          <w:numId w:val="172"/>
        </w:numPr>
        <w:spacing w:line="240" w:lineRule="auto"/>
        <w:jc w:val="both"/>
        <w:rPr>
          <w:rFonts w:cs="Times New Roman"/>
          <w:noProof/>
        </w:rPr>
      </w:pPr>
      <w:r>
        <w:rPr>
          <w:noProof/>
        </w:rPr>
        <w:t xml:space="preserve">Uudet investointipolitiikat (liikenneinfrastruktuurien ja -palvelujen riittävän rahoituksen varmistamiseksi) </w:t>
      </w:r>
    </w:p>
    <w:p w14:paraId="4DF51691" w14:textId="77777777" w:rsidR="0065073E" w:rsidRDefault="000A0998">
      <w:pPr>
        <w:pStyle w:val="P68B1DB1-ListParagraph6"/>
        <w:numPr>
          <w:ilvl w:val="0"/>
          <w:numId w:val="172"/>
        </w:numPr>
        <w:spacing w:line="240" w:lineRule="auto"/>
        <w:jc w:val="both"/>
        <w:rPr>
          <w:rFonts w:cs="Times New Roman"/>
          <w:noProof/>
        </w:rPr>
      </w:pPr>
      <w:r>
        <w:rPr>
          <w:noProof/>
        </w:rPr>
        <w:t xml:space="preserve">Turvallinen liikkuvuus (ensisijaisesti investoinnit seurantaan, ylläpitoon ja kyberturvallisuuteen); </w:t>
      </w:r>
    </w:p>
    <w:p w14:paraId="47C9B44E" w14:textId="77777777" w:rsidR="0065073E" w:rsidRDefault="000A0998">
      <w:pPr>
        <w:pStyle w:val="P68B1DB1-ListParagraph6"/>
        <w:numPr>
          <w:ilvl w:val="0"/>
          <w:numId w:val="172"/>
        </w:numPr>
        <w:spacing w:line="240" w:lineRule="auto"/>
        <w:jc w:val="both"/>
        <w:rPr>
          <w:rFonts w:cs="Times New Roman"/>
          <w:noProof/>
        </w:rPr>
      </w:pPr>
      <w:r>
        <w:rPr>
          <w:noProof/>
        </w:rPr>
        <w:t xml:space="preserve">Vähäpäästöinen liikkuvuus (tehokkuuden lisääminen, energiankulutuksen vähentäminen) </w:t>
      </w:r>
    </w:p>
    <w:p w14:paraId="65035110" w14:textId="77777777" w:rsidR="0065073E" w:rsidRDefault="000A0998">
      <w:pPr>
        <w:pStyle w:val="P68B1DB1-ListParagraph6"/>
        <w:numPr>
          <w:ilvl w:val="0"/>
          <w:numId w:val="172"/>
        </w:numPr>
        <w:spacing w:line="240" w:lineRule="auto"/>
        <w:jc w:val="both"/>
        <w:rPr>
          <w:rFonts w:cs="Times New Roman"/>
          <w:noProof/>
        </w:rPr>
      </w:pPr>
      <w:r>
        <w:rPr>
          <w:noProof/>
        </w:rPr>
        <w:t xml:space="preserve">Älykäs liikkuvuus (tehokas T &amp; K ja liikkuvuusinnovointi, älykkään infrastruktuurin rakentaminen ja hallinnointi) </w:t>
      </w:r>
    </w:p>
    <w:p w14:paraId="0ED2C07F" w14:textId="77777777" w:rsidR="0065073E" w:rsidRDefault="000A0998">
      <w:pPr>
        <w:pStyle w:val="P68B1DB1-ListParagraph6"/>
        <w:numPr>
          <w:ilvl w:val="0"/>
          <w:numId w:val="172"/>
        </w:numPr>
        <w:spacing w:line="240" w:lineRule="auto"/>
        <w:jc w:val="both"/>
        <w:rPr>
          <w:rFonts w:cs="Times New Roman"/>
          <w:noProof/>
        </w:rPr>
      </w:pPr>
      <w:r>
        <w:rPr>
          <w:noProof/>
        </w:rPr>
        <w:t xml:space="preserve">Älykkäät intermodaaliset logistiikkaketjut (rautateitse tapahtuvan tavaraliikenteen priorisointi julkisissa ja yksityisissä ohjelmissa); </w:t>
      </w:r>
    </w:p>
    <w:p w14:paraId="33DEC856" w14:textId="77777777" w:rsidR="0065073E" w:rsidRDefault="000A0998">
      <w:pPr>
        <w:pStyle w:val="P68B1DB1-ListParagraph6"/>
        <w:numPr>
          <w:ilvl w:val="0"/>
          <w:numId w:val="172"/>
        </w:numPr>
        <w:spacing w:line="240" w:lineRule="auto"/>
        <w:jc w:val="both"/>
        <w:rPr>
          <w:rFonts w:cs="Times New Roman"/>
          <w:noProof/>
        </w:rPr>
      </w:pPr>
      <w:r>
        <w:rPr>
          <w:noProof/>
        </w:rPr>
        <w:t xml:space="preserve">Yhteydet Eurooppaan ja yhteydet maailmaan (satamien yhdistäminen intermodaalisiin logistiikkaterminaaleihin ja yhteistyön tehostaminen naapurimaiden kanssa rajatylittävien infrastruktuurien rakentamisen ja/tai parantamisen koordinoimiseksi); </w:t>
      </w:r>
    </w:p>
    <w:p w14:paraId="29ECA6C5" w14:textId="77777777" w:rsidR="0065073E" w:rsidRDefault="000A0998">
      <w:pPr>
        <w:pStyle w:val="P68B1DB1-ListParagraph6"/>
        <w:numPr>
          <w:ilvl w:val="0"/>
          <w:numId w:val="172"/>
        </w:numPr>
        <w:spacing w:line="240" w:lineRule="auto"/>
        <w:jc w:val="both"/>
        <w:rPr>
          <w:rFonts w:cs="Times New Roman"/>
          <w:noProof/>
        </w:rPr>
      </w:pPr>
      <w:r>
        <w:rPr>
          <w:noProof/>
        </w:rPr>
        <w:t>Sosiaaliset ja työhön liittyvät näkökohdat (sukupuolten tasa-arvo ja liikennealan työvoiman uudelleen- ja täydennyskoulutustoimet) ja</w:t>
      </w:r>
    </w:p>
    <w:p w14:paraId="3A87BF4B" w14:textId="77777777" w:rsidR="0065073E" w:rsidRDefault="000A0998">
      <w:pPr>
        <w:pStyle w:val="P68B1DB1-ListParagraph6"/>
        <w:numPr>
          <w:ilvl w:val="0"/>
          <w:numId w:val="172"/>
        </w:numPr>
        <w:spacing w:line="240" w:lineRule="auto"/>
        <w:jc w:val="both"/>
        <w:rPr>
          <w:rFonts w:cs="Times New Roman"/>
          <w:noProof/>
        </w:rPr>
      </w:pPr>
      <w:r>
        <w:rPr>
          <w:noProof/>
        </w:rPr>
        <w:t>Liikenne-, liikenne- ja kaupunkiagendan digitalisointi digitaalisen siirtymän edistämiseksi ja avoimemmaksi ja innovatiivisemmaksi.</w:t>
      </w:r>
    </w:p>
    <w:p w14:paraId="52B14BA0" w14:textId="77777777" w:rsidR="0065073E" w:rsidRDefault="000A0998">
      <w:pPr>
        <w:pStyle w:val="P68B1DB1-Normal4"/>
        <w:autoSpaceDE w:val="0"/>
        <w:autoSpaceDN w:val="0"/>
        <w:spacing w:before="40" w:after="40" w:line="240" w:lineRule="auto"/>
        <w:jc w:val="both"/>
        <w:rPr>
          <w:rFonts w:eastAsia="MS Mincho" w:cs="Times New Roman"/>
          <w:noProof/>
        </w:rPr>
      </w:pPr>
      <w:r>
        <w:rPr>
          <w:noProof/>
        </w:rPr>
        <w:t>Toimenpiteen täytäntöönpano on saatettava päätökseen 31 päivään joulukuuta 2021 mennessä.</w:t>
      </w:r>
    </w:p>
    <w:p w14:paraId="5366D74F" w14:textId="77777777" w:rsidR="0065073E" w:rsidRDefault="0065073E">
      <w:pPr>
        <w:keepNext/>
        <w:spacing w:line="240" w:lineRule="auto"/>
        <w:jc w:val="both"/>
        <w:rPr>
          <w:rFonts w:ascii="Times New Roman" w:hAnsi="Times New Roman" w:cs="Times New Roman"/>
          <w:noProof/>
          <w:sz w:val="24"/>
          <w:u w:val="single"/>
        </w:rPr>
      </w:pPr>
    </w:p>
    <w:p w14:paraId="4703E1F8" w14:textId="4C3975BE" w:rsidR="0065073E" w:rsidRDefault="000A0998">
      <w:pPr>
        <w:pStyle w:val="P68B1DB1-Normal5"/>
        <w:keepNext/>
        <w:spacing w:line="240" w:lineRule="auto"/>
        <w:jc w:val="both"/>
        <w:rPr>
          <w:rFonts w:cs="Times New Roman"/>
          <w:noProof/>
        </w:rPr>
      </w:pPr>
      <w:r>
        <w:rPr>
          <w:noProof/>
        </w:rPr>
        <w:t>Uudistus 2 (C6.R2) – maakohtainen rautatiestrategia</w:t>
      </w:r>
    </w:p>
    <w:p w14:paraId="624738E4" w14:textId="77777777" w:rsidR="0065073E" w:rsidRDefault="000A0998">
      <w:pPr>
        <w:pStyle w:val="P68B1DB1-Normal4"/>
        <w:spacing w:line="240" w:lineRule="auto"/>
        <w:jc w:val="both"/>
        <w:rPr>
          <w:rFonts w:cs="Times New Roman"/>
          <w:noProof/>
        </w:rPr>
      </w:pPr>
      <w:r>
        <w:rPr>
          <w:noProof/>
        </w:rPr>
        <w:t>Uudistuksen tavoitteena on luoda välineitä, joilla varmistetaan, että rautatieverkko vastaa tulevaisuuden liikkuvuustarpeisiin johdonmukaisella ja tehokkaalla tavalla. Strategiassa on vahvistettava rautatieliikennemuotoa koskeva selkeä suunnitteluskenaario, jonka avulla investointiprioriteetit voidaan sovittaa yhteen turvallista, kestävää ja yhteenliitettyä liikkuvuutta koskevan strategian (R1) kanssa.</w:t>
      </w:r>
    </w:p>
    <w:p w14:paraId="7C129B8F" w14:textId="77777777" w:rsidR="0065073E" w:rsidRDefault="000A0998">
      <w:pPr>
        <w:pStyle w:val="P68B1DB1-Normal4"/>
        <w:spacing w:line="240" w:lineRule="auto"/>
        <w:jc w:val="both"/>
        <w:rPr>
          <w:rFonts w:cs="Times New Roman"/>
          <w:noProof/>
        </w:rPr>
      </w:pPr>
      <w:r>
        <w:rPr>
          <w:noProof/>
        </w:rPr>
        <w:t xml:space="preserve">Uudistus koostuu useista toimista, joita ovat muun muassa seuraavat: </w:t>
      </w:r>
    </w:p>
    <w:p w14:paraId="79891D7F" w14:textId="77777777" w:rsidR="0065073E" w:rsidRDefault="000A0998">
      <w:pPr>
        <w:pStyle w:val="P68B1DB1-ListParagraph6"/>
        <w:numPr>
          <w:ilvl w:val="0"/>
          <w:numId w:val="173"/>
        </w:numPr>
        <w:spacing w:line="240" w:lineRule="auto"/>
        <w:jc w:val="both"/>
        <w:rPr>
          <w:rFonts w:cs="Times New Roman"/>
          <w:noProof/>
        </w:rPr>
      </w:pPr>
      <w:r>
        <w:rPr>
          <w:noProof/>
        </w:rPr>
        <w:t xml:space="preserve">rautatiealan toimien selkeämpi suunnittelu, jossa keskitytään erityisesti jokapäiväiseen liikkuvuuteen; </w:t>
      </w:r>
    </w:p>
    <w:p w14:paraId="44EEB80D" w14:textId="77777777" w:rsidR="0065073E" w:rsidRDefault="000A0998">
      <w:pPr>
        <w:pStyle w:val="P68B1DB1-ListParagraph6"/>
        <w:numPr>
          <w:ilvl w:val="0"/>
          <w:numId w:val="173"/>
        </w:numPr>
        <w:spacing w:line="240" w:lineRule="auto"/>
        <w:jc w:val="both"/>
        <w:rPr>
          <w:rFonts w:cs="Times New Roman"/>
          <w:noProof/>
        </w:rPr>
      </w:pPr>
      <w:r>
        <w:rPr>
          <w:noProof/>
        </w:rPr>
        <w:t xml:space="preserve">verkon ylläpidon parantaminen; </w:t>
      </w:r>
    </w:p>
    <w:p w14:paraId="1776C835" w14:textId="77777777" w:rsidR="0065073E" w:rsidRDefault="000A0998">
      <w:pPr>
        <w:pStyle w:val="P68B1DB1-ListParagraph6"/>
        <w:numPr>
          <w:ilvl w:val="0"/>
          <w:numId w:val="173"/>
        </w:numPr>
        <w:spacing w:line="240" w:lineRule="auto"/>
        <w:jc w:val="both"/>
        <w:rPr>
          <w:rFonts w:cs="Times New Roman"/>
          <w:noProof/>
        </w:rPr>
      </w:pPr>
      <w:r>
        <w:rPr>
          <w:noProof/>
        </w:rPr>
        <w:t xml:space="preserve">rautatieverkon taloudellisen kestävyyden varmistaminen; </w:t>
      </w:r>
    </w:p>
    <w:p w14:paraId="40CC3A21" w14:textId="77777777" w:rsidR="0065073E" w:rsidRDefault="000A0998">
      <w:pPr>
        <w:pStyle w:val="P68B1DB1-ListParagraph6"/>
        <w:numPr>
          <w:ilvl w:val="0"/>
          <w:numId w:val="173"/>
        </w:numPr>
        <w:spacing w:line="240" w:lineRule="auto"/>
        <w:jc w:val="both"/>
        <w:rPr>
          <w:rFonts w:cs="Times New Roman"/>
          <w:noProof/>
        </w:rPr>
      </w:pPr>
      <w:r>
        <w:rPr>
          <w:noProof/>
        </w:rPr>
        <w:t xml:space="preserve">resurssitehokkuuden priorisointi ja investointihankkeiden ennakko- ja jälkiarviointi; </w:t>
      </w:r>
    </w:p>
    <w:p w14:paraId="50F30C3F" w14:textId="77777777" w:rsidR="0065073E" w:rsidRDefault="000A0998">
      <w:pPr>
        <w:pStyle w:val="P68B1DB1-ListParagraph6"/>
        <w:numPr>
          <w:ilvl w:val="0"/>
          <w:numId w:val="173"/>
        </w:numPr>
        <w:spacing w:line="240" w:lineRule="auto"/>
        <w:jc w:val="both"/>
        <w:rPr>
          <w:rFonts w:cs="Times New Roman"/>
          <w:noProof/>
        </w:rPr>
      </w:pPr>
      <w:r>
        <w:rPr>
          <w:noProof/>
        </w:rPr>
        <w:t xml:space="preserve">verkon yhteentoimivuuden parantaminen erityisesti Euroopan laajuisten verkkokäytävien osalta ja verkon intermodaalisuuden parantaminen; </w:t>
      </w:r>
    </w:p>
    <w:p w14:paraId="00A3CD9D" w14:textId="77777777" w:rsidR="0065073E" w:rsidRDefault="000A0998">
      <w:pPr>
        <w:pStyle w:val="P68B1DB1-ListParagraph6"/>
        <w:numPr>
          <w:ilvl w:val="0"/>
          <w:numId w:val="173"/>
        </w:numPr>
        <w:spacing w:line="240" w:lineRule="auto"/>
        <w:jc w:val="both"/>
        <w:rPr>
          <w:rFonts w:cs="Times New Roman"/>
          <w:noProof/>
        </w:rPr>
      </w:pPr>
      <w:r>
        <w:rPr>
          <w:noProof/>
        </w:rPr>
        <w:t xml:space="preserve">rautateiden tavaraliikenteen edistäminen; </w:t>
      </w:r>
    </w:p>
    <w:p w14:paraId="190B71EE" w14:textId="77777777" w:rsidR="0065073E" w:rsidRDefault="000A0998">
      <w:pPr>
        <w:pStyle w:val="P68B1DB1-ListParagraph6"/>
        <w:numPr>
          <w:ilvl w:val="0"/>
          <w:numId w:val="173"/>
        </w:numPr>
        <w:spacing w:line="240" w:lineRule="auto"/>
        <w:jc w:val="both"/>
        <w:rPr>
          <w:rFonts w:cs="Times New Roman"/>
          <w:noProof/>
        </w:rPr>
      </w:pPr>
      <w:r>
        <w:rPr>
          <w:noProof/>
        </w:rPr>
        <w:t>rautatieliikenteen turvallisuuden parantaminen ja</w:t>
      </w:r>
    </w:p>
    <w:p w14:paraId="60599542" w14:textId="77777777" w:rsidR="0065073E" w:rsidRDefault="000A0998">
      <w:pPr>
        <w:pStyle w:val="P68B1DB1-ListParagraph6"/>
        <w:numPr>
          <w:ilvl w:val="0"/>
          <w:numId w:val="173"/>
        </w:numPr>
        <w:spacing w:line="240" w:lineRule="auto"/>
        <w:jc w:val="both"/>
        <w:rPr>
          <w:rFonts w:cs="Times New Roman"/>
          <w:noProof/>
        </w:rPr>
      </w:pPr>
      <w:r>
        <w:rPr>
          <w:noProof/>
        </w:rPr>
        <w:t>liikenteen digitalisoinnin ja innovoinnin edistäminen verkottuneen liikkuvuuden varmistamiseksi.</w:t>
      </w:r>
    </w:p>
    <w:p w14:paraId="29CB9B9C" w14:textId="77777777" w:rsidR="0065073E" w:rsidRDefault="000A0998">
      <w:pPr>
        <w:pStyle w:val="P68B1DB1-Normal4"/>
        <w:spacing w:line="240" w:lineRule="auto"/>
        <w:jc w:val="both"/>
        <w:rPr>
          <w:rFonts w:cs="Times New Roman"/>
          <w:noProof/>
        </w:rPr>
      </w:pPr>
      <w:r>
        <w:rPr>
          <w:noProof/>
        </w:rPr>
        <w:t>Toimenpiteen täytäntöönpano on saatettava päätökseen 31 päivään joulukuuta 2022 mennessä.</w:t>
      </w:r>
    </w:p>
    <w:p w14:paraId="63DE0F88" w14:textId="17705106" w:rsidR="0065073E" w:rsidRDefault="000A0998">
      <w:pPr>
        <w:pStyle w:val="P68B1DB1-Normal5"/>
        <w:spacing w:line="240" w:lineRule="auto"/>
        <w:jc w:val="both"/>
        <w:rPr>
          <w:rFonts w:cs="Times New Roman"/>
          <w:noProof/>
        </w:rPr>
      </w:pPr>
      <w:r>
        <w:rPr>
          <w:noProof/>
        </w:rPr>
        <w:t>Investointi 1 (C6.I1) – Kansallinen siirtoverkko: Euroopan liikennekäytävät</w:t>
      </w:r>
    </w:p>
    <w:p w14:paraId="36F21E81" w14:textId="77777777" w:rsidR="0065073E" w:rsidRDefault="000A0998">
      <w:pPr>
        <w:pStyle w:val="P68B1DB1-Normal4"/>
        <w:spacing w:line="240" w:lineRule="auto"/>
        <w:jc w:val="both"/>
        <w:rPr>
          <w:rFonts w:cs="Times New Roman"/>
          <w:noProof/>
        </w:rPr>
      </w:pPr>
      <w:r>
        <w:rPr>
          <w:noProof/>
        </w:rPr>
        <w:t>Toimenpiteen tavoitteena on rakentaa uutta rautatieinfrastruktuuria Euroopan laajuisen liikenneverkon ydinkäytäviin sekä nykyaikaistaa ja parantaa nykyisiä.</w:t>
      </w:r>
    </w:p>
    <w:p w14:paraId="5E43C7F3" w14:textId="77777777" w:rsidR="0065073E" w:rsidRDefault="000A0998">
      <w:pPr>
        <w:pStyle w:val="P68B1DB1-Normal4"/>
        <w:spacing w:line="240" w:lineRule="auto"/>
        <w:jc w:val="both"/>
        <w:rPr>
          <w:rFonts w:cs="Times New Roman"/>
          <w:noProof/>
        </w:rPr>
      </w:pPr>
      <w:r>
        <w:rPr>
          <w:noProof/>
        </w:rPr>
        <w:t xml:space="preserve">Investointi koostuu toimista, jotka koskevat seuraavia pääulottuvuuksia: </w:t>
      </w:r>
    </w:p>
    <w:p w14:paraId="1F40726A" w14:textId="77777777" w:rsidR="0065073E" w:rsidRDefault="000A0998">
      <w:pPr>
        <w:pStyle w:val="P68B1DB1-ListParagraph6"/>
        <w:numPr>
          <w:ilvl w:val="0"/>
          <w:numId w:val="174"/>
        </w:numPr>
        <w:spacing w:line="240" w:lineRule="auto"/>
        <w:jc w:val="both"/>
        <w:rPr>
          <w:rFonts w:cs="Times New Roman"/>
          <w:noProof/>
        </w:rPr>
      </w:pPr>
      <w:r>
        <w:rPr>
          <w:noProof/>
        </w:rPr>
        <w:t>Foorumi: Hankkeet, joiden avulla voidaan perustaa raiteita tukeva infrastruktuuri, johon kuuluvat muun muassa pengerrykset, raivaus, kaapelit, tunnelit jne. Nämä ovat pääasiassa uuden infrastruktuurin rakentamista;</w:t>
      </w:r>
    </w:p>
    <w:p w14:paraId="2A3A78ED" w14:textId="77777777" w:rsidR="0065073E" w:rsidRDefault="000A0998">
      <w:pPr>
        <w:pStyle w:val="P68B1DB1-ListParagraph6"/>
        <w:numPr>
          <w:ilvl w:val="0"/>
          <w:numId w:val="174"/>
        </w:numPr>
        <w:spacing w:line="240" w:lineRule="auto"/>
        <w:jc w:val="both"/>
        <w:rPr>
          <w:rFonts w:cs="Times New Roman"/>
          <w:noProof/>
        </w:rPr>
      </w:pPr>
      <w:r>
        <w:rPr>
          <w:noProof/>
        </w:rPr>
        <w:t>Palvelujen korvaaminen: Toimet, joilla palautetaan olemassa olevat palvelut (kevyt, kastelu, vesi jne.), joihin rautatietöiden toteuttaminen vaikuttaa;</w:t>
      </w:r>
    </w:p>
    <w:p w14:paraId="5DEB5229" w14:textId="77777777" w:rsidR="0065073E" w:rsidRDefault="000A0998">
      <w:pPr>
        <w:pStyle w:val="P68B1DB1-ListParagraph6"/>
        <w:numPr>
          <w:ilvl w:val="0"/>
          <w:numId w:val="174"/>
        </w:numPr>
        <w:spacing w:line="240" w:lineRule="auto"/>
        <w:jc w:val="both"/>
        <w:rPr>
          <w:rFonts w:cs="Times New Roman"/>
          <w:noProof/>
        </w:rPr>
      </w:pPr>
      <w:r>
        <w:rPr>
          <w:noProof/>
        </w:rPr>
        <w:t>Raiteet: Toimet, jotka koskevat radan materiaalien (virranrajoitin, ratapölkkyjen, kiskojen, kytkimien ja laajennuslaitteiden) kokoonpanoa ja toimittamista uusilla rautatieosuuksilla sekä olemassa olevien raiteiden uusimista;</w:t>
      </w:r>
    </w:p>
    <w:p w14:paraId="5D9AC05F" w14:textId="77777777" w:rsidR="0065073E" w:rsidRDefault="000A0998">
      <w:pPr>
        <w:pStyle w:val="P68B1DB1-ListParagraph6"/>
        <w:numPr>
          <w:ilvl w:val="0"/>
          <w:numId w:val="174"/>
        </w:numPr>
        <w:spacing w:line="240" w:lineRule="auto"/>
        <w:jc w:val="both"/>
        <w:rPr>
          <w:rFonts w:cs="Times New Roman"/>
          <w:noProof/>
        </w:rPr>
      </w:pPr>
      <w:r>
        <w:rPr>
          <w:noProof/>
        </w:rPr>
        <w:t>Sähkö: Toimet, jotka koskevat ratojen sähköistämistä, mukaan lukien seuraavat: ajojohdin, ajovoiman syöttöasemat, muunnoskeskukset, tehon kaukosäädin, suurjännitejohdot;</w:t>
      </w:r>
    </w:p>
    <w:p w14:paraId="124CBBCC" w14:textId="77777777" w:rsidR="0065073E" w:rsidRDefault="000A0998">
      <w:pPr>
        <w:pStyle w:val="P68B1DB1-ListParagraph6"/>
        <w:numPr>
          <w:ilvl w:val="0"/>
          <w:numId w:val="174"/>
        </w:numPr>
        <w:spacing w:line="240" w:lineRule="auto"/>
        <w:jc w:val="both"/>
        <w:rPr>
          <w:rFonts w:cs="Times New Roman"/>
          <w:noProof/>
        </w:rPr>
      </w:pPr>
      <w:r>
        <w:rPr>
          <w:noProof/>
        </w:rPr>
        <w:t>Liikennemerkinanto ja -ohjaus: Hankkeet, jotka koskevat uusien merkinanto- ja liikenteenvalvontajärjestelmien käyttöönottoa;</w:t>
      </w:r>
    </w:p>
    <w:p w14:paraId="5CD85DA3" w14:textId="77777777" w:rsidR="0065073E" w:rsidRDefault="000A0998">
      <w:pPr>
        <w:pStyle w:val="P68B1DB1-ListParagraph6"/>
        <w:numPr>
          <w:ilvl w:val="0"/>
          <w:numId w:val="174"/>
        </w:numPr>
        <w:spacing w:line="240" w:lineRule="auto"/>
        <w:jc w:val="both"/>
        <w:rPr>
          <w:rFonts w:cs="Times New Roman"/>
          <w:noProof/>
        </w:rPr>
      </w:pPr>
      <w:r>
        <w:rPr>
          <w:noProof/>
        </w:rPr>
        <w:t>Televiestintä: Hankkeet, jotka koskevat kiinteää ja matkaviestintäverkkoa rautateillä.</w:t>
      </w:r>
    </w:p>
    <w:p w14:paraId="661B790D" w14:textId="77777777" w:rsidR="0065073E" w:rsidRDefault="000A0998">
      <w:pPr>
        <w:pStyle w:val="P68B1DB1-ListParagraph6"/>
        <w:numPr>
          <w:ilvl w:val="0"/>
          <w:numId w:val="174"/>
        </w:numPr>
        <w:spacing w:line="240" w:lineRule="auto"/>
        <w:jc w:val="both"/>
        <w:rPr>
          <w:rFonts w:cs="Times New Roman"/>
          <w:noProof/>
        </w:rPr>
      </w:pPr>
      <w:r>
        <w:rPr>
          <w:noProof/>
        </w:rPr>
        <w:t>Asemat: Nykyisten asemien parantaminen ja kunnostaminen sekä uusien asemien rakentaminen.</w:t>
      </w:r>
    </w:p>
    <w:p w14:paraId="5A851514" w14:textId="77777777" w:rsidR="0065073E" w:rsidRDefault="000A0998">
      <w:pPr>
        <w:pStyle w:val="P68B1DB1-Normal4"/>
        <w:spacing w:line="240" w:lineRule="auto"/>
        <w:jc w:val="both"/>
        <w:rPr>
          <w:rFonts w:cs="Times New Roman"/>
          <w:noProof/>
        </w:rPr>
      </w:pPr>
      <w:r>
        <w:rPr>
          <w:noProof/>
        </w:rPr>
        <w:t xml:space="preserve">Työt on saatettava päätökseen vähintään 1400 kilometrin päässä Atlantin ja Välimeren liikennekäytäviin kuuluvasta verkosta, mukaan lukien toimet olemassa olevien osuuksien parantamiseksi ja investoinnit uusien osuuksien rakentamisen edistämiseksi. </w:t>
      </w:r>
    </w:p>
    <w:p w14:paraId="1EFEFCA5" w14:textId="77777777" w:rsidR="0065073E" w:rsidRDefault="000A0998">
      <w:pPr>
        <w:pStyle w:val="P68B1DB1-Normal4"/>
        <w:spacing w:line="240" w:lineRule="auto"/>
        <w:jc w:val="both"/>
        <w:rPr>
          <w:rFonts w:cs="Times New Roman"/>
          <w:noProof/>
        </w:rPr>
      </w:pPr>
      <w:r>
        <w:rPr>
          <w:noProof/>
        </w:rPr>
        <w:t>Investoinnin toteutus saatetaan päätökseen viimeistään 30. kesäkuuta 2026.</w:t>
      </w:r>
    </w:p>
    <w:p w14:paraId="568CF66A" w14:textId="77777777" w:rsidR="0065073E" w:rsidRDefault="000A0998">
      <w:pPr>
        <w:pStyle w:val="P68B1DB1-Normal5"/>
        <w:spacing w:line="240" w:lineRule="auto"/>
        <w:jc w:val="both"/>
        <w:rPr>
          <w:rFonts w:cs="Times New Roman"/>
          <w:noProof/>
        </w:rPr>
      </w:pPr>
      <w:r>
        <w:rPr>
          <w:noProof/>
        </w:rPr>
        <w:t>Investointi 2 (C6.I2) – Euroopan laajuisen liikenneverkon ohjelma, muut työt</w:t>
      </w:r>
    </w:p>
    <w:p w14:paraId="653154FC" w14:textId="77777777" w:rsidR="0065073E" w:rsidRDefault="000A0998">
      <w:pPr>
        <w:pStyle w:val="P68B1DB1-Normal4"/>
        <w:spacing w:before="60" w:afterLines="60" w:after="144" w:line="240" w:lineRule="auto"/>
        <w:jc w:val="both"/>
        <w:rPr>
          <w:rFonts w:cs="Times New Roman"/>
          <w:noProof/>
        </w:rPr>
      </w:pPr>
      <w:r>
        <w:rPr>
          <w:noProof/>
        </w:rPr>
        <w:t xml:space="preserve">Toimenpiteen tavoitteena on parantaa kansallista liikenneverkkoa, joka kattaa kaikki liikennemuodot (rautatie-, maantie- ja lentoliikenne), jotta siitä tulisi luotettavampi, kestävämpi, turvallisempi ja kestävämpi. </w:t>
      </w:r>
    </w:p>
    <w:p w14:paraId="5DA01CD6" w14:textId="77777777" w:rsidR="0065073E" w:rsidRDefault="000A0998">
      <w:pPr>
        <w:pStyle w:val="P68B1DB1-Normal4"/>
        <w:spacing w:before="60" w:afterLines="60" w:after="144" w:line="240" w:lineRule="auto"/>
        <w:jc w:val="both"/>
        <w:rPr>
          <w:rFonts w:cs="Times New Roman"/>
          <w:noProof/>
        </w:rPr>
      </w:pPr>
      <w:r>
        <w:rPr>
          <w:noProof/>
        </w:rPr>
        <w:t>Investointi koostuu seuraavista toimista:</w:t>
      </w:r>
    </w:p>
    <w:p w14:paraId="4DEB9CC4" w14:textId="77777777" w:rsidR="0065073E" w:rsidRDefault="000A0998">
      <w:pPr>
        <w:pStyle w:val="P68B1DB1-ListParagraph6"/>
        <w:numPr>
          <w:ilvl w:val="0"/>
          <w:numId w:val="177"/>
        </w:numPr>
        <w:spacing w:before="60" w:afterLines="60" w:after="144" w:line="240" w:lineRule="auto"/>
        <w:ind w:left="993" w:hanging="284"/>
        <w:jc w:val="both"/>
        <w:rPr>
          <w:rFonts w:cs="Times New Roman"/>
          <w:noProof/>
        </w:rPr>
      </w:pPr>
      <w:r>
        <w:rPr>
          <w:noProof/>
        </w:rPr>
        <w:t>Rautatieverkon parantaminen TEN-T-ydinverkon ulkopuolisen verkon osalta vähintään 900 kilometrin pituisilla töillä;</w:t>
      </w:r>
    </w:p>
    <w:p w14:paraId="78BD8813" w14:textId="359A0732" w:rsidR="0065073E" w:rsidRDefault="000A0998">
      <w:pPr>
        <w:pStyle w:val="P68B1DB1-ListParagraph6"/>
        <w:numPr>
          <w:ilvl w:val="0"/>
          <w:numId w:val="177"/>
        </w:numPr>
        <w:spacing w:before="60" w:afterLines="60" w:after="144" w:line="240" w:lineRule="auto"/>
        <w:ind w:left="993" w:hanging="284"/>
        <w:jc w:val="both"/>
        <w:rPr>
          <w:rFonts w:cs="Times New Roman"/>
          <w:noProof/>
        </w:rPr>
      </w:pPr>
      <w:r>
        <w:rPr>
          <w:noProof/>
        </w:rPr>
        <w:t>Tieverkon turvallisuuden parantaminen kansallisten ja EU:n säännösten mukaisesti, kestävämpi, digitalisaation parantaminen ja älykkäiden liikennejärjestelmien käyttöönotto sekä Gibraltarinsalmessa sijaitsevan kiinteän yhteyden alustavan alustavan alustavan luonnoksen päivittäminen;</w:t>
      </w:r>
    </w:p>
    <w:p w14:paraId="20F4A635" w14:textId="77777777" w:rsidR="0065073E" w:rsidRDefault="000A0998">
      <w:pPr>
        <w:pStyle w:val="P68B1DB1-ListParagraph6"/>
        <w:numPr>
          <w:ilvl w:val="0"/>
          <w:numId w:val="177"/>
        </w:numPr>
        <w:spacing w:before="60" w:afterLines="60" w:after="144" w:line="240" w:lineRule="auto"/>
        <w:ind w:left="993" w:hanging="284"/>
        <w:jc w:val="both"/>
        <w:rPr>
          <w:rFonts w:cs="Times New Roman"/>
          <w:noProof/>
        </w:rPr>
      </w:pPr>
      <w:r>
        <w:rPr>
          <w:noProof/>
        </w:rPr>
        <w:t xml:space="preserve">Yhtenäisen eurooppalaisen ilmatilan kehittämisen edistäminen (20 hanketta) </w:t>
      </w:r>
    </w:p>
    <w:p w14:paraId="30B597CF" w14:textId="77777777" w:rsidR="0065073E" w:rsidRDefault="000A0998">
      <w:pPr>
        <w:pStyle w:val="P68B1DB1-ListParagraph6"/>
        <w:numPr>
          <w:ilvl w:val="0"/>
          <w:numId w:val="177"/>
        </w:numPr>
        <w:spacing w:before="60" w:afterLines="60" w:after="144" w:line="240" w:lineRule="auto"/>
        <w:ind w:left="993" w:hanging="284"/>
        <w:jc w:val="both"/>
        <w:rPr>
          <w:rFonts w:cs="Times New Roman"/>
          <w:noProof/>
        </w:rPr>
      </w:pPr>
      <w:r>
        <w:rPr>
          <w:noProof/>
        </w:rPr>
        <w:t xml:space="preserve">Tuetaan liikenne-, liikenne- ja kaupunkiagendan ministeriön digitalisaatiota. </w:t>
      </w:r>
    </w:p>
    <w:p w14:paraId="3D6D2685" w14:textId="217DA4E1" w:rsidR="0065073E" w:rsidRDefault="000A0998">
      <w:pPr>
        <w:pStyle w:val="P68B1DB1-Normal4"/>
        <w:spacing w:before="60" w:afterLines="60" w:after="144" w:line="240" w:lineRule="auto"/>
        <w:jc w:val="both"/>
        <w:rPr>
          <w:rFonts w:cs="Times New Roman"/>
          <w:noProof/>
        </w:rPr>
      </w:pPr>
      <w:r>
        <w:rPr>
          <w:noProof/>
        </w:rPr>
        <w:t>Valintaperusteilla varmistetaan, että vähintään 1010000000 eurolla edistetään ilmastonmuutostavoitteita, joiden ilmastokerroin on 100 prosenttia ja vähintään 301000000 euroa ja ilmastokerroin vähintään 40 prosenttia, elpymis- ja palautumistukivälineestä annetun asetuksen (EU) 2021/241 liitteen VI mukaisesti.</w:t>
      </w:r>
    </w:p>
    <w:p w14:paraId="4168DB18" w14:textId="77777777" w:rsidR="0065073E" w:rsidRDefault="000A0998">
      <w:pPr>
        <w:pStyle w:val="P68B1DB1-Normal4"/>
        <w:spacing w:before="60" w:afterLines="60" w:after="144" w:line="240" w:lineRule="auto"/>
        <w:jc w:val="both"/>
        <w:rPr>
          <w:rFonts w:cs="Times New Roman"/>
          <w:noProof/>
        </w:rPr>
      </w:pPr>
      <w:r>
        <w:rPr>
          <w:noProof/>
        </w:rPr>
        <w:t>Investoinnin toteutus saatetaan päätökseen viimeistään 30. kesäkuuta 2026.</w:t>
      </w:r>
    </w:p>
    <w:p w14:paraId="43EE3CA8" w14:textId="77777777" w:rsidR="0065073E" w:rsidRDefault="000A0998">
      <w:pPr>
        <w:pStyle w:val="P68B1DB1-Normal5"/>
        <w:spacing w:line="240" w:lineRule="auto"/>
        <w:jc w:val="both"/>
        <w:rPr>
          <w:rFonts w:cs="Times New Roman"/>
          <w:noProof/>
        </w:rPr>
      </w:pPr>
      <w:r>
        <w:rPr>
          <w:noProof/>
        </w:rPr>
        <w:t>Investointi 3 (C6.I3) – Intermodaalisuus ja logistiikka</w:t>
      </w:r>
    </w:p>
    <w:p w14:paraId="0960D80B" w14:textId="77777777" w:rsidR="0065073E" w:rsidRDefault="000A0998">
      <w:pPr>
        <w:pStyle w:val="P68B1DB1-Normal4"/>
        <w:spacing w:line="240" w:lineRule="auto"/>
        <w:jc w:val="both"/>
        <w:rPr>
          <w:rFonts w:cs="Times New Roman"/>
          <w:noProof/>
        </w:rPr>
      </w:pPr>
      <w:r>
        <w:rPr>
          <w:noProof/>
        </w:rPr>
        <w:t>Toimenpiteen tavoitteena on panna täytäntöön turvallisen, kestävän ja verkottuneen liikkuvuuden strategian (R1) toimintalinja 6, joka koskee älykkäitä intermodaalisia logistiikkaketjuja.</w:t>
      </w:r>
    </w:p>
    <w:p w14:paraId="39D659E0" w14:textId="77777777" w:rsidR="0065073E" w:rsidRDefault="000A0998">
      <w:pPr>
        <w:pStyle w:val="P68B1DB1-Normal4"/>
        <w:spacing w:line="240" w:lineRule="auto"/>
        <w:jc w:val="both"/>
        <w:rPr>
          <w:rFonts w:cs="Times New Roman"/>
          <w:noProof/>
        </w:rPr>
      </w:pPr>
      <w:r>
        <w:rPr>
          <w:noProof/>
        </w:rPr>
        <w:t xml:space="preserve">Investointi koostuu kolmesta toimintalinjasta: </w:t>
      </w:r>
    </w:p>
    <w:p w14:paraId="10D30F47" w14:textId="77777777" w:rsidR="0065073E" w:rsidRDefault="000A0998">
      <w:pPr>
        <w:pStyle w:val="P68B1DB1-ListParagraph6"/>
        <w:numPr>
          <w:ilvl w:val="0"/>
          <w:numId w:val="176"/>
        </w:numPr>
        <w:spacing w:line="240" w:lineRule="auto"/>
        <w:ind w:left="993" w:hanging="284"/>
        <w:jc w:val="both"/>
        <w:rPr>
          <w:rFonts w:cs="Times New Roman"/>
          <w:noProof/>
        </w:rPr>
      </w:pPr>
      <w:r>
        <w:rPr>
          <w:noProof/>
        </w:rPr>
        <w:t xml:space="preserve">yhdeksän strategisen intermodaali- ja logistisen terminaalin kehittäminen tai parantaminen, jotta intermodaaliterminaalit voidaan joissakin tapauksissa integroida logistiikka-alueeseen ja kaikissa tapauksissa edistää tavaraliikenteen siirtymistä maanteiltä rautateille; </w:t>
      </w:r>
    </w:p>
    <w:p w14:paraId="5262CC62" w14:textId="77777777" w:rsidR="0065073E" w:rsidRDefault="000A0998">
      <w:pPr>
        <w:pStyle w:val="P68B1DB1-ListParagraph6"/>
        <w:numPr>
          <w:ilvl w:val="0"/>
          <w:numId w:val="176"/>
        </w:numPr>
        <w:spacing w:line="240" w:lineRule="auto"/>
        <w:ind w:left="993" w:hanging="284"/>
        <w:jc w:val="both"/>
        <w:rPr>
          <w:rFonts w:cs="Times New Roman"/>
          <w:noProof/>
        </w:rPr>
      </w:pPr>
      <w:r>
        <w:rPr>
          <w:noProof/>
        </w:rPr>
        <w:t xml:space="preserve">parannetaan rautatie- ja maantieyhteyksiä Espanjan satamiin rautateiden tavaraliikenteen edistämiseksi parantamalla satamien yhteyksiä rautateihin (2 satamaa) ja tieverkkoon (yksi satama); </w:t>
      </w:r>
    </w:p>
    <w:p w14:paraId="183C0C7A" w14:textId="77777777" w:rsidR="0065073E" w:rsidRDefault="000A0998">
      <w:pPr>
        <w:pStyle w:val="P68B1DB1-ListParagraph6"/>
        <w:numPr>
          <w:ilvl w:val="0"/>
          <w:numId w:val="176"/>
        </w:numPr>
        <w:spacing w:line="240" w:lineRule="auto"/>
        <w:ind w:left="993" w:hanging="284"/>
        <w:jc w:val="both"/>
        <w:rPr>
          <w:rFonts w:cs="Times New Roman"/>
          <w:noProof/>
        </w:rPr>
      </w:pPr>
      <w:r>
        <w:rPr>
          <w:noProof/>
        </w:rPr>
        <w:t>saavutettavuuden (19 hanketta) ja kestävyyden parantaminen satamissa (hankkeet 25 satamaviranomaisessa).</w:t>
      </w:r>
    </w:p>
    <w:p w14:paraId="13AF8CCF" w14:textId="3CFB05EA" w:rsidR="0065073E" w:rsidRDefault="000A0998">
      <w:pPr>
        <w:pStyle w:val="P68B1DB1-Normal4"/>
        <w:spacing w:line="240" w:lineRule="auto"/>
        <w:jc w:val="both"/>
        <w:rPr>
          <w:rFonts w:cs="Times New Roman"/>
          <w:noProof/>
        </w:rPr>
      </w:pPr>
      <w:r>
        <w:rPr>
          <w:noProof/>
        </w:rPr>
        <w:t>Valintaperusteilla varmistetaan, että vähintään 584000000 eurolla edistetään ilmastonmuutostavoitteita, joiden ilmastokerroin on 100 prosenttia ja vähintään 217000000 euroa ja ilmastokerroin vähintään 40 prosenttia, elpymis- ja palautumistukivälineestä annetun asetuksen (EU) 2021/241 liitteen VI mukaisesti.</w:t>
      </w:r>
    </w:p>
    <w:p w14:paraId="38AB270D" w14:textId="77777777" w:rsidR="0065073E" w:rsidRDefault="000A0998">
      <w:pPr>
        <w:pStyle w:val="P68B1DB1-Normal4"/>
        <w:spacing w:line="240" w:lineRule="auto"/>
        <w:jc w:val="both"/>
        <w:rPr>
          <w:rFonts w:cs="Times New Roman"/>
          <w:noProof/>
        </w:rPr>
      </w:pPr>
      <w:r>
        <w:rPr>
          <w:noProof/>
        </w:rPr>
        <w:t>Investoinnin toteutus saatetaan päätökseen viimeistään 30. kesäkuuta 2026.</w:t>
      </w:r>
    </w:p>
    <w:p w14:paraId="4FC3640E" w14:textId="77777777" w:rsidR="0065073E" w:rsidRDefault="000A0998">
      <w:pPr>
        <w:pStyle w:val="P68B1DB1-Normal5"/>
        <w:spacing w:line="240" w:lineRule="auto"/>
        <w:jc w:val="both"/>
        <w:rPr>
          <w:rFonts w:cs="Times New Roman"/>
          <w:noProof/>
        </w:rPr>
      </w:pPr>
      <w:r>
        <w:rPr>
          <w:noProof/>
        </w:rPr>
        <w:t>Investointi 4 (C6.I4) – Kestävän ja digitaalisen liikenteen tukiohjelma</w:t>
      </w:r>
    </w:p>
    <w:p w14:paraId="7847248B" w14:textId="77777777" w:rsidR="0065073E" w:rsidRDefault="000A0998">
      <w:pPr>
        <w:pStyle w:val="P68B1DB1-Normal4"/>
        <w:spacing w:line="240" w:lineRule="auto"/>
        <w:jc w:val="both"/>
        <w:rPr>
          <w:rFonts w:cs="Times New Roman"/>
          <w:noProof/>
        </w:rPr>
      </w:pPr>
      <w:r>
        <w:rPr>
          <w:noProof/>
        </w:rPr>
        <w:t>Toimenpiteen tavoitteena on parantaa liikennejärjestelmän tehokkuutta digitalisoimalla ja ottamalla käyttöön uusia teknologioita alalla sekä tukemalla kestävimpiä liikennemuotoja, erityisesti rautateitä. Tämä investointi on linjassa Verkkojen Eurooppa -välineen työohjelman aloitteiden kanssa, ja siinä kehotetaan kehittämään Euroopan laajuista liikenneverkkoa.</w:t>
      </w:r>
    </w:p>
    <w:p w14:paraId="472FA319" w14:textId="79B5D066" w:rsidR="0065073E" w:rsidRDefault="000A0998">
      <w:pPr>
        <w:pStyle w:val="P68B1DB1-Normal4"/>
        <w:spacing w:line="240" w:lineRule="auto"/>
        <w:jc w:val="both"/>
        <w:rPr>
          <w:noProof/>
        </w:rPr>
      </w:pPr>
      <w:r>
        <w:rPr>
          <w:noProof/>
        </w:rPr>
        <w:t>Investointi koostuu paketista, joka koostuu seuraavista:</w:t>
      </w:r>
    </w:p>
    <w:p w14:paraId="7C1C0663" w14:textId="77777777" w:rsidR="0065073E" w:rsidRDefault="000A0998">
      <w:pPr>
        <w:pStyle w:val="P68B1DB1-ListParagraph6"/>
        <w:numPr>
          <w:ilvl w:val="0"/>
          <w:numId w:val="789"/>
        </w:numPr>
        <w:spacing w:after="200" w:line="240" w:lineRule="auto"/>
        <w:jc w:val="both"/>
        <w:rPr>
          <w:noProof/>
        </w:rPr>
      </w:pPr>
      <w:r>
        <w:rPr>
          <w:noProof/>
        </w:rPr>
        <w:t>kestävän tavaraliikenteen tukijärjestelmä, joka perustuu rautatie- ja meriliikenteeseen tarkoitettuihin ECO-INCENTIVES-hankkeisiin;</w:t>
      </w:r>
    </w:p>
    <w:p w14:paraId="578E4AA2" w14:textId="77777777" w:rsidR="0065073E" w:rsidRDefault="000A0998">
      <w:pPr>
        <w:pStyle w:val="P68B1DB1-ListParagraph6"/>
        <w:numPr>
          <w:ilvl w:val="0"/>
          <w:numId w:val="789"/>
        </w:numPr>
        <w:spacing w:after="200" w:line="240" w:lineRule="auto"/>
        <w:jc w:val="both"/>
        <w:rPr>
          <w:noProof/>
        </w:rPr>
      </w:pPr>
      <w:r>
        <w:rPr>
          <w:noProof/>
        </w:rPr>
        <w:t xml:space="preserve">varainsiirrot autonomisille yhteisöille avustusten myöntämiseksi henkilö- ja tavaraliikenteen digitalisointihankkeisiin alue- ja paikallistasolla; </w:t>
      </w:r>
    </w:p>
    <w:p w14:paraId="08D21953" w14:textId="77777777" w:rsidR="0065073E" w:rsidRDefault="000A0998">
      <w:pPr>
        <w:pStyle w:val="P68B1DB1-ListParagraph6"/>
        <w:numPr>
          <w:ilvl w:val="0"/>
          <w:numId w:val="789"/>
        </w:numPr>
        <w:spacing w:after="200" w:line="240" w:lineRule="auto"/>
        <w:jc w:val="both"/>
        <w:rPr>
          <w:noProof/>
        </w:rPr>
      </w:pPr>
      <w:r>
        <w:rPr>
          <w:noProof/>
        </w:rPr>
        <w:t xml:space="preserve">varainsiirrot itsehallintoalueille henkilö- ja tavaraliikenteen digitalisointihankkeita koskevien sopimusten tai muiden oikeudellisten välineiden tekemiseksi alueellisella ja paikallisella tasolla; ja  </w:t>
      </w:r>
    </w:p>
    <w:p w14:paraId="7F222AEA" w14:textId="6070AC3D" w:rsidR="0065073E" w:rsidRDefault="000A0998">
      <w:pPr>
        <w:pStyle w:val="P68B1DB1-ListParagraph6"/>
        <w:numPr>
          <w:ilvl w:val="0"/>
          <w:numId w:val="789"/>
        </w:numPr>
        <w:spacing w:after="200" w:line="240" w:lineRule="auto"/>
        <w:jc w:val="both"/>
        <w:rPr>
          <w:noProof/>
        </w:rPr>
      </w:pPr>
      <w:r>
        <w:rPr>
          <w:noProof/>
        </w:rPr>
        <w:t xml:space="preserve">hankkeiden myöntäminen seuraaville toimille: </w:t>
      </w:r>
    </w:p>
    <w:p w14:paraId="30FC8C22" w14:textId="77777777" w:rsidR="0065073E" w:rsidRDefault="000A0998">
      <w:pPr>
        <w:pStyle w:val="P68B1DB1-Normal17"/>
        <w:spacing w:line="240" w:lineRule="auto"/>
        <w:ind w:firstLine="709"/>
        <w:jc w:val="both"/>
        <w:rPr>
          <w:rFonts w:cs="Times New Roman"/>
          <w:noProof/>
        </w:rPr>
      </w:pPr>
      <w:r>
        <w:rPr>
          <w:noProof/>
        </w:rPr>
        <w:t xml:space="preserve">Toimintalinja 1. Rautateiden tavaraliikenteen yhteentoimivuus </w:t>
      </w:r>
    </w:p>
    <w:p w14:paraId="26BB990F" w14:textId="77777777" w:rsidR="0065073E" w:rsidRDefault="000A0998">
      <w:pPr>
        <w:pStyle w:val="P68B1DB1-Normal4"/>
        <w:spacing w:line="240" w:lineRule="auto"/>
        <w:ind w:left="709"/>
        <w:jc w:val="both"/>
        <w:rPr>
          <w:rFonts w:cs="Times New Roman"/>
          <w:noProof/>
        </w:rPr>
      </w:pPr>
      <w:r>
        <w:rPr>
          <w:noProof/>
        </w:rPr>
        <w:t xml:space="preserve">1. Euroopan rautatieliikenteen hallintajärjestelmä (ERTMS); </w:t>
      </w:r>
    </w:p>
    <w:p w14:paraId="3B85F9B0" w14:textId="77777777" w:rsidR="0065073E" w:rsidRDefault="000A0998">
      <w:pPr>
        <w:pStyle w:val="P68B1DB1-Normal4"/>
        <w:spacing w:line="240" w:lineRule="auto"/>
        <w:ind w:left="709"/>
        <w:jc w:val="both"/>
        <w:rPr>
          <w:rFonts w:cs="Times New Roman"/>
          <w:noProof/>
        </w:rPr>
      </w:pPr>
      <w:r>
        <w:rPr>
          <w:noProof/>
        </w:rPr>
        <w:t>2. Toimet rautateiden yhteentoimivuuden esteiden poistamiseksi;</w:t>
      </w:r>
    </w:p>
    <w:p w14:paraId="5DE276B0" w14:textId="77777777" w:rsidR="0065073E" w:rsidRDefault="000A0998">
      <w:pPr>
        <w:pStyle w:val="P68B1DB1-Normal4"/>
        <w:spacing w:line="240" w:lineRule="auto"/>
        <w:ind w:left="709"/>
        <w:jc w:val="both"/>
        <w:rPr>
          <w:rFonts w:cs="Times New Roman"/>
          <w:noProof/>
        </w:rPr>
      </w:pPr>
      <w:r>
        <w:rPr>
          <w:noProof/>
        </w:rPr>
        <w:t>3. Vaihtuvan raideleveyden akselin innovointi ja kehittäminen vetureissa;</w:t>
      </w:r>
    </w:p>
    <w:p w14:paraId="1FBCE622" w14:textId="77777777" w:rsidR="0065073E" w:rsidRDefault="000A0998">
      <w:pPr>
        <w:pStyle w:val="P68B1DB1-Normal17"/>
        <w:spacing w:line="240" w:lineRule="auto"/>
        <w:ind w:firstLine="709"/>
        <w:jc w:val="both"/>
        <w:rPr>
          <w:rFonts w:cs="Times New Roman"/>
          <w:noProof/>
        </w:rPr>
      </w:pPr>
      <w:r>
        <w:rPr>
          <w:noProof/>
        </w:rPr>
        <w:t xml:space="preserve">Toimintalinja 2. Liikenteen intermodaalisuuden edistäminen </w:t>
      </w:r>
    </w:p>
    <w:p w14:paraId="3C87EE9B" w14:textId="77777777" w:rsidR="0065073E" w:rsidRDefault="000A0998">
      <w:pPr>
        <w:pStyle w:val="P68B1DB1-Normal4"/>
        <w:spacing w:line="240" w:lineRule="auto"/>
        <w:ind w:left="709"/>
        <w:jc w:val="both"/>
        <w:rPr>
          <w:rFonts w:cs="Times New Roman"/>
          <w:noProof/>
        </w:rPr>
      </w:pPr>
      <w:r>
        <w:rPr>
          <w:noProof/>
        </w:rPr>
        <w:t>4. Rahdin ja intermodaalisten rautatie-tieterminaalien ja niiden maayhteyksien rakentaminen, mukauttaminen tai parantaminen;</w:t>
      </w:r>
    </w:p>
    <w:p w14:paraId="643CEABC" w14:textId="77777777" w:rsidR="0065073E" w:rsidRDefault="000A0998">
      <w:pPr>
        <w:pStyle w:val="P68B1DB1-Normal17"/>
        <w:spacing w:line="240" w:lineRule="auto"/>
        <w:ind w:firstLine="709"/>
        <w:jc w:val="both"/>
        <w:rPr>
          <w:rFonts w:cs="Times New Roman"/>
          <w:noProof/>
        </w:rPr>
      </w:pPr>
      <w:r>
        <w:rPr>
          <w:noProof/>
        </w:rPr>
        <w:t>Toimintalinja 3. Rautateiden rahtikaluston nykyaikaistaminen</w:t>
      </w:r>
    </w:p>
    <w:p w14:paraId="170E29B3" w14:textId="61FA3C75" w:rsidR="0065073E" w:rsidRDefault="000A0998">
      <w:pPr>
        <w:pStyle w:val="P68B1DB1-Normal4"/>
        <w:spacing w:line="240" w:lineRule="auto"/>
        <w:ind w:left="709"/>
        <w:jc w:val="both"/>
        <w:rPr>
          <w:rFonts w:cs="Times New Roman"/>
          <w:noProof/>
        </w:rPr>
      </w:pPr>
      <w:r>
        <w:rPr>
          <w:noProof/>
        </w:rPr>
        <w:t>5. Toimet, joilla tuetaan rautateiden tavaraliikenteen vaunujen kunnostamista tai parantamista, mukaan lukien rautateiden valtatieliikenteen perustaminen;</w:t>
      </w:r>
    </w:p>
    <w:p w14:paraId="38774CFD" w14:textId="29841364" w:rsidR="0065073E" w:rsidRDefault="000A0998">
      <w:pPr>
        <w:pStyle w:val="P68B1DB1-Normal4"/>
        <w:spacing w:line="240" w:lineRule="auto"/>
        <w:ind w:left="709"/>
        <w:jc w:val="both"/>
        <w:rPr>
          <w:rFonts w:cs="Times New Roman"/>
          <w:noProof/>
        </w:rPr>
      </w:pPr>
      <w:r>
        <w:rPr>
          <w:noProof/>
        </w:rPr>
        <w:t>6. Toimet, joilla tuetaan rautatiekaluston kunnostamista tai mukauttamista muihin materiaaleihin, joissa käytetään vaihtoehtoisia polttoaineita vedyna tai sähkönä;</w:t>
      </w:r>
    </w:p>
    <w:p w14:paraId="4B288179" w14:textId="77777777" w:rsidR="0065073E" w:rsidRDefault="000A0998">
      <w:pPr>
        <w:pStyle w:val="P68B1DB1-Normal17"/>
        <w:spacing w:line="240" w:lineRule="auto"/>
        <w:ind w:firstLine="709"/>
        <w:jc w:val="both"/>
        <w:rPr>
          <w:rFonts w:cs="Times New Roman"/>
          <w:noProof/>
        </w:rPr>
      </w:pPr>
      <w:r>
        <w:rPr>
          <w:noProof/>
        </w:rPr>
        <w:t>Toimintalinja 4. Turvallinen, kestävä ja verkottunut maantieliikenne</w:t>
      </w:r>
    </w:p>
    <w:p w14:paraId="5BFDD935" w14:textId="69377084" w:rsidR="0065073E" w:rsidRDefault="000A0998">
      <w:pPr>
        <w:pStyle w:val="P68B1DB1-Normal4"/>
        <w:spacing w:line="240" w:lineRule="auto"/>
        <w:ind w:left="709"/>
        <w:jc w:val="both"/>
        <w:rPr>
          <w:rFonts w:cs="Times New Roman"/>
          <w:noProof/>
        </w:rPr>
      </w:pPr>
      <w:r>
        <w:rPr>
          <w:noProof/>
        </w:rPr>
        <w:t>7. Hyötyajoneuvojen turvallisten pysäköintialueiden rakentaminen ja parantaminen sekä tietopalvelujen tarjoaminen;</w:t>
      </w:r>
    </w:p>
    <w:p w14:paraId="1A688CE0" w14:textId="0EE461AE" w:rsidR="0065073E" w:rsidRDefault="000A0998">
      <w:pPr>
        <w:pStyle w:val="P68B1DB1-Normal4"/>
        <w:spacing w:line="240" w:lineRule="auto"/>
        <w:ind w:left="709"/>
        <w:jc w:val="both"/>
        <w:rPr>
          <w:rFonts w:cs="Times New Roman"/>
          <w:noProof/>
        </w:rPr>
      </w:pPr>
      <w:r>
        <w:rPr>
          <w:noProof/>
        </w:rPr>
        <w:t>8. Tieliikenteen älykkäät liikennepalvelut (ITS) maksullisia moottoriteitä koskevissa toimiluvissa ja muissa liikenneturvallisuus- ja suojelupalveluissa;</w:t>
      </w:r>
    </w:p>
    <w:p w14:paraId="6153E05C" w14:textId="6A840F00" w:rsidR="0065073E" w:rsidRDefault="000A0998">
      <w:pPr>
        <w:pStyle w:val="P68B1DB1-Normal4"/>
        <w:spacing w:line="240" w:lineRule="auto"/>
        <w:ind w:left="709"/>
        <w:jc w:val="both"/>
        <w:rPr>
          <w:rFonts w:cs="Times New Roman"/>
          <w:noProof/>
        </w:rPr>
      </w:pPr>
      <w:r>
        <w:rPr>
          <w:noProof/>
        </w:rPr>
        <w:t>9. Toimet, joilla tuetaan raskaiden hyötyajoneuvojen vaihtoehtoisen tankkausinfrastruktuurin käyttöönottoa tieverkossa. Tämän toimenpiteen tukikelpoisuuskriteereillä on varmistettava ”ei merkittävää haittaa” -periaatteen noudattaminen (2021/C58/01) asettamalla edellytys, jonka mukaan kaasumaisten polttoaineiden siirtymä- ja jakeluinfrastruktuuri on rakentamisajankohtana mahdollista uusiutuvien ja vähähiilisten kaasujen kuljetusta varten;</w:t>
      </w:r>
    </w:p>
    <w:p w14:paraId="585B0BAC" w14:textId="67405514" w:rsidR="0065073E" w:rsidRDefault="000A0998">
      <w:pPr>
        <w:pStyle w:val="P68B1DB1-Normal4"/>
        <w:spacing w:line="240" w:lineRule="auto"/>
        <w:ind w:left="709"/>
        <w:jc w:val="both"/>
        <w:rPr>
          <w:rFonts w:cs="Times New Roman"/>
          <w:noProof/>
        </w:rPr>
      </w:pPr>
      <w:r>
        <w:rPr>
          <w:noProof/>
        </w:rPr>
        <w:t>10. Toimet, joilla tuetaan koneiden kunnostamista tai mukauttamista kestävää tienpäällystettä varten, hiilijalanjäljen pienentämistä ja melun vähentämistä varten;</w:t>
      </w:r>
    </w:p>
    <w:p w14:paraId="58F57D9D" w14:textId="77777777" w:rsidR="0065073E" w:rsidRDefault="000A0998">
      <w:pPr>
        <w:pStyle w:val="P68B1DB1-Normal17"/>
        <w:spacing w:line="240" w:lineRule="auto"/>
        <w:ind w:firstLine="709"/>
        <w:jc w:val="both"/>
        <w:rPr>
          <w:rFonts w:cs="Times New Roman"/>
          <w:noProof/>
        </w:rPr>
      </w:pPr>
      <w:r>
        <w:rPr>
          <w:noProof/>
        </w:rPr>
        <w:t>Toimintalinja 5. Meri- ja lentoliikenteen kestävyys</w:t>
      </w:r>
    </w:p>
    <w:p w14:paraId="5D543C70" w14:textId="2A0CD78E" w:rsidR="0065073E" w:rsidRDefault="000A0998">
      <w:pPr>
        <w:pStyle w:val="P68B1DB1-Normal4"/>
        <w:spacing w:line="240" w:lineRule="auto"/>
        <w:ind w:left="709"/>
        <w:jc w:val="both"/>
        <w:rPr>
          <w:rFonts w:cs="Times New Roman"/>
          <w:noProof/>
        </w:rPr>
      </w:pPr>
      <w:r>
        <w:rPr>
          <w:noProof/>
        </w:rPr>
        <w:t>11. Vaihtoehtoisten polttoaineiden käyttöönoton tukeminen satamissa ja lentoasemilla. Tämän toimenpiteen tukikelpoisuuskriteereillä on varmistettava ”ei merkittävää haittaa” -periaatteen noudattaminen (2021/C58/01) asettamalla edellytys, jonka mukaan kaasumaisten polttoaineiden siirtymä- ja jakeluinfrastruktuuri on rakentamisajankohtana mahdollista uusiutuvien ja vähähiilisten kaasujen kuljetusta varten;</w:t>
      </w:r>
    </w:p>
    <w:p w14:paraId="031CE937" w14:textId="49B61CA8" w:rsidR="0065073E" w:rsidRDefault="000A0998">
      <w:pPr>
        <w:pStyle w:val="P68B1DB1-Normal4"/>
        <w:spacing w:line="240" w:lineRule="auto"/>
        <w:ind w:left="709"/>
        <w:jc w:val="both"/>
        <w:rPr>
          <w:rFonts w:cs="Times New Roman"/>
          <w:noProof/>
        </w:rPr>
      </w:pPr>
      <w:r>
        <w:rPr>
          <w:noProof/>
        </w:rPr>
        <w:t>12. Vaihtoehtoisten energiateknologioiden käyttöönoton tukeminen merenkulkualalla;</w:t>
      </w:r>
    </w:p>
    <w:p w14:paraId="164B7123" w14:textId="77777777" w:rsidR="0065073E" w:rsidRDefault="000A0998">
      <w:pPr>
        <w:pStyle w:val="P68B1DB1-Normal17"/>
        <w:spacing w:line="240" w:lineRule="auto"/>
        <w:ind w:firstLine="709"/>
        <w:jc w:val="both"/>
        <w:rPr>
          <w:rFonts w:cs="Times New Roman"/>
          <w:noProof/>
        </w:rPr>
      </w:pPr>
      <w:r>
        <w:rPr>
          <w:noProof/>
        </w:rPr>
        <w:t>Toimintalinja 6. Liikenteen digitointi</w:t>
      </w:r>
    </w:p>
    <w:p w14:paraId="144D893F" w14:textId="6A762A1A" w:rsidR="0065073E" w:rsidRDefault="000A0998">
      <w:pPr>
        <w:pStyle w:val="P68B1DB1-Normal4"/>
        <w:spacing w:line="240" w:lineRule="auto"/>
        <w:ind w:left="709"/>
        <w:jc w:val="both"/>
        <w:rPr>
          <w:rFonts w:cs="Times New Roman"/>
          <w:noProof/>
        </w:rPr>
      </w:pPr>
      <w:r>
        <w:rPr>
          <w:noProof/>
        </w:rPr>
        <w:t>13. Henkilö- ja tavaraliikenteen digitalisointihankkeet kansallisella tasolla;</w:t>
      </w:r>
    </w:p>
    <w:p w14:paraId="1151D345" w14:textId="2113D5B2" w:rsidR="0065073E" w:rsidRDefault="000A0998">
      <w:pPr>
        <w:pStyle w:val="P68B1DB1-Normal4"/>
        <w:spacing w:line="240" w:lineRule="auto"/>
        <w:jc w:val="both"/>
        <w:rPr>
          <w:rFonts w:cs="Times New Roman"/>
          <w:noProof/>
        </w:rPr>
      </w:pPr>
      <w:r>
        <w:rPr>
          <w:noProof/>
        </w:rPr>
        <w:t>Valintaperusteilla varmistetaan, että vähintään 63500000 eurolla edistetään ilmastonmuutostavoitteita, joiden ilmastokerroin on 100 prosenttia ja vähintään 210000000 euroa ja ilmastokerroin vähintään 40 prosenttia, elpymis- ja palautumistukivälineestä annetun asetuksen (EU) 2021/241 liitteen VI mukaisesti.</w:t>
      </w:r>
    </w:p>
    <w:p w14:paraId="6A97E3B3" w14:textId="77777777" w:rsidR="0065073E" w:rsidRDefault="000A0998">
      <w:pPr>
        <w:pStyle w:val="P68B1DB1-Normal4"/>
        <w:spacing w:line="240" w:lineRule="auto"/>
        <w:jc w:val="both"/>
        <w:rPr>
          <w:rFonts w:cs="Times New Roman"/>
          <w:b/>
          <w:noProof/>
          <w:u w:val="single"/>
        </w:rPr>
      </w:pPr>
      <w:r>
        <w:rPr>
          <w:noProof/>
        </w:rPr>
        <w:t>Investoinnin toteutus saatetaan päätökseen viimeistään 30. kesäkuuta 2026.</w:t>
      </w:r>
    </w:p>
    <w:p w14:paraId="58835673"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F.2.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9D0813A"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48A21919" w14:textId="77777777" w:rsidR="0065073E" w:rsidRDefault="0065073E">
      <w:pPr>
        <w:spacing w:before="120" w:after="120" w:line="240" w:lineRule="auto"/>
        <w:jc w:val="both"/>
        <w:rPr>
          <w:rFonts w:ascii="Times New Roman" w:hAnsi="Times New Roman" w:cs="Times New Roman"/>
          <w:b/>
          <w:noProof/>
          <w:sz w:val="24"/>
          <w:u w:val="single"/>
        </w:rPr>
      </w:pPr>
    </w:p>
    <w:p w14:paraId="6BD18F9B" w14:textId="77777777" w:rsidR="0065073E" w:rsidRDefault="0065073E">
      <w:pPr>
        <w:spacing w:before="120" w:after="120" w:line="240" w:lineRule="auto"/>
        <w:ind w:left="709"/>
        <w:jc w:val="both"/>
        <w:rPr>
          <w:rFonts w:ascii="Times New Roman" w:hAnsi="Times New Roman" w:cs="Times New Roman"/>
          <w:noProof/>
          <w:sz w:val="24"/>
        </w:rPr>
      </w:pPr>
    </w:p>
    <w:p w14:paraId="238601FE"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162"/>
          <w:headerReference w:type="default" r:id="rId163"/>
          <w:footerReference w:type="even" r:id="rId164"/>
          <w:footerReference w:type="default" r:id="rId165"/>
          <w:headerReference w:type="first" r:id="rId166"/>
          <w:footerReference w:type="first" r:id="rId167"/>
          <w:pgSz w:w="11907" w:h="16839"/>
          <w:pgMar w:top="1134" w:right="1134" w:bottom="1134" w:left="1134" w:header="567" w:footer="567" w:gutter="0"/>
          <w:cols w:space="720"/>
          <w:docGrid w:linePitch="360"/>
        </w:sectPr>
      </w:pPr>
    </w:p>
    <w:tbl>
      <w:tblPr>
        <w:tblW w:w="142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818"/>
        <w:gridCol w:w="817"/>
        <w:gridCol w:w="1497"/>
        <w:gridCol w:w="1089"/>
        <w:gridCol w:w="980"/>
        <w:gridCol w:w="953"/>
        <w:gridCol w:w="546"/>
        <w:gridCol w:w="410"/>
        <w:gridCol w:w="546"/>
        <w:gridCol w:w="5810"/>
      </w:tblGrid>
      <w:tr w:rsidR="0065073E" w14:paraId="2264A0BA" w14:textId="77777777">
        <w:trPr>
          <w:trHeight w:val="309"/>
          <w:tblHeader/>
        </w:trPr>
        <w:tc>
          <w:tcPr>
            <w:tcW w:w="832" w:type="dxa"/>
            <w:tcBorders>
              <w:bottom w:val="nil"/>
            </w:tcBorders>
            <w:shd w:val="clear" w:color="auto" w:fill="C6D9F1" w:themeFill="text2" w:themeFillTint="33"/>
            <w:noWrap/>
            <w:vAlign w:val="center"/>
          </w:tcPr>
          <w:p w14:paraId="3E7FF3B6" w14:textId="77777777" w:rsidR="0065073E" w:rsidRDefault="000A0998">
            <w:pPr>
              <w:pStyle w:val="P68B1DB1-Normal8"/>
              <w:spacing w:after="0" w:line="240" w:lineRule="auto"/>
              <w:jc w:val="center"/>
              <w:rPr>
                <w:rFonts w:cs="Times New Roman"/>
                <w:noProof/>
              </w:rPr>
            </w:pPr>
            <w:r>
              <w:rPr>
                <w:noProof/>
              </w:rPr>
              <w:t>Määrä</w:t>
            </w:r>
          </w:p>
        </w:tc>
        <w:tc>
          <w:tcPr>
            <w:tcW w:w="828" w:type="dxa"/>
            <w:tcBorders>
              <w:bottom w:val="nil"/>
            </w:tcBorders>
            <w:shd w:val="clear" w:color="auto" w:fill="C6D9F1" w:themeFill="text2" w:themeFillTint="33"/>
            <w:noWrap/>
            <w:vAlign w:val="center"/>
          </w:tcPr>
          <w:p w14:paraId="1BA64599" w14:textId="77777777" w:rsidR="0065073E" w:rsidRDefault="000A0998">
            <w:pPr>
              <w:pStyle w:val="P68B1DB1-Normal8"/>
              <w:spacing w:after="0" w:line="240" w:lineRule="auto"/>
              <w:jc w:val="center"/>
              <w:rPr>
                <w:rFonts w:cs="Times New Roman"/>
                <w:noProof/>
              </w:rPr>
            </w:pPr>
            <w:r>
              <w:rPr>
                <w:noProof/>
              </w:rPr>
              <w:t>Toimenpide</w:t>
            </w:r>
          </w:p>
        </w:tc>
        <w:tc>
          <w:tcPr>
            <w:tcW w:w="827" w:type="dxa"/>
            <w:tcBorders>
              <w:bottom w:val="nil"/>
            </w:tcBorders>
            <w:shd w:val="clear" w:color="auto" w:fill="C6D9F1" w:themeFill="text2" w:themeFillTint="33"/>
            <w:noWrap/>
            <w:vAlign w:val="center"/>
          </w:tcPr>
          <w:p w14:paraId="7CC8C155"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515" w:type="dxa"/>
            <w:tcBorders>
              <w:bottom w:val="nil"/>
            </w:tcBorders>
            <w:shd w:val="clear" w:color="auto" w:fill="C6D9F1" w:themeFill="text2" w:themeFillTint="33"/>
            <w:noWrap/>
            <w:vAlign w:val="center"/>
          </w:tcPr>
          <w:p w14:paraId="69C41B3B" w14:textId="77777777" w:rsidR="0065073E" w:rsidRDefault="000A0998">
            <w:pPr>
              <w:pStyle w:val="P68B1DB1-Normal8"/>
              <w:spacing w:after="0" w:line="240" w:lineRule="auto"/>
              <w:jc w:val="center"/>
              <w:rPr>
                <w:rFonts w:cs="Times New Roman"/>
                <w:noProof/>
              </w:rPr>
            </w:pPr>
            <w:r>
              <w:rPr>
                <w:noProof/>
              </w:rPr>
              <w:t>Nimi</w:t>
            </w:r>
          </w:p>
        </w:tc>
        <w:tc>
          <w:tcPr>
            <w:tcW w:w="1102" w:type="dxa"/>
            <w:tcBorders>
              <w:bottom w:val="nil"/>
            </w:tcBorders>
            <w:shd w:val="clear" w:color="auto" w:fill="C6D9F1" w:themeFill="text2" w:themeFillTint="33"/>
            <w:noWrap/>
            <w:vAlign w:val="center"/>
          </w:tcPr>
          <w:p w14:paraId="36402FE8"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33" w:type="dxa"/>
            <w:gridSpan w:val="3"/>
            <w:shd w:val="clear" w:color="auto" w:fill="C6D9F1" w:themeFill="text2" w:themeFillTint="33"/>
            <w:noWrap/>
            <w:vAlign w:val="center"/>
          </w:tcPr>
          <w:p w14:paraId="12A6E265"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6" w:type="dxa"/>
            <w:gridSpan w:val="2"/>
            <w:shd w:val="clear" w:color="auto" w:fill="C6D9F1" w:themeFill="text2" w:themeFillTint="33"/>
            <w:noWrap/>
            <w:vAlign w:val="center"/>
          </w:tcPr>
          <w:p w14:paraId="728075A5" w14:textId="77777777" w:rsidR="0065073E" w:rsidRDefault="000A0998">
            <w:pPr>
              <w:pStyle w:val="P68B1DB1-Normal8"/>
              <w:spacing w:after="0" w:line="240" w:lineRule="auto"/>
              <w:jc w:val="center"/>
              <w:rPr>
                <w:rFonts w:cs="Times New Roman"/>
                <w:noProof/>
              </w:rPr>
            </w:pPr>
            <w:r>
              <w:rPr>
                <w:noProof/>
              </w:rPr>
              <w:t>Aika</w:t>
            </w:r>
          </w:p>
        </w:tc>
        <w:tc>
          <w:tcPr>
            <w:tcW w:w="5885" w:type="dxa"/>
            <w:tcBorders>
              <w:bottom w:val="nil"/>
            </w:tcBorders>
            <w:shd w:val="clear" w:color="auto" w:fill="C6D9F1" w:themeFill="text2" w:themeFillTint="33"/>
            <w:noWrap/>
            <w:vAlign w:val="center"/>
          </w:tcPr>
          <w:p w14:paraId="5AC1046A"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F717916" w14:textId="77777777">
        <w:trPr>
          <w:trHeight w:val="309"/>
          <w:tblHeader/>
        </w:trPr>
        <w:tc>
          <w:tcPr>
            <w:tcW w:w="832" w:type="dxa"/>
            <w:tcBorders>
              <w:top w:val="nil"/>
            </w:tcBorders>
            <w:shd w:val="clear" w:color="auto" w:fill="C6D9F1" w:themeFill="text2" w:themeFillTint="33"/>
            <w:noWrap/>
          </w:tcPr>
          <w:p w14:paraId="0F3CABC7"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5B08B5D1" w14:textId="77777777" w:rsidR="0065073E" w:rsidRDefault="0065073E">
            <w:pPr>
              <w:spacing w:after="0" w:line="240" w:lineRule="auto"/>
              <w:jc w:val="center"/>
              <w:rPr>
                <w:rFonts w:ascii="Times New Roman" w:hAnsi="Times New Roman" w:cs="Times New Roman"/>
                <w:b/>
                <w:noProof/>
                <w:sz w:val="18"/>
              </w:rPr>
            </w:pPr>
          </w:p>
        </w:tc>
        <w:tc>
          <w:tcPr>
            <w:tcW w:w="827" w:type="dxa"/>
            <w:tcBorders>
              <w:top w:val="nil"/>
            </w:tcBorders>
            <w:shd w:val="clear" w:color="auto" w:fill="C6D9F1" w:themeFill="text2" w:themeFillTint="33"/>
            <w:noWrap/>
          </w:tcPr>
          <w:p w14:paraId="16DEB4AB" w14:textId="77777777" w:rsidR="0065073E" w:rsidRDefault="0065073E">
            <w:pPr>
              <w:spacing w:after="0" w:line="240" w:lineRule="auto"/>
              <w:jc w:val="center"/>
              <w:rPr>
                <w:rFonts w:ascii="Times New Roman" w:hAnsi="Times New Roman" w:cs="Times New Roman"/>
                <w:b/>
                <w:noProof/>
                <w:sz w:val="18"/>
              </w:rPr>
            </w:pPr>
          </w:p>
        </w:tc>
        <w:tc>
          <w:tcPr>
            <w:tcW w:w="1515" w:type="dxa"/>
            <w:tcBorders>
              <w:top w:val="nil"/>
            </w:tcBorders>
            <w:shd w:val="clear" w:color="auto" w:fill="C6D9F1" w:themeFill="text2" w:themeFillTint="33"/>
            <w:noWrap/>
          </w:tcPr>
          <w:p w14:paraId="0AD9C6F4" w14:textId="77777777" w:rsidR="0065073E" w:rsidRDefault="0065073E">
            <w:pPr>
              <w:spacing w:after="0" w:line="240" w:lineRule="auto"/>
              <w:rPr>
                <w:rFonts w:ascii="Times New Roman" w:hAnsi="Times New Roman" w:cs="Times New Roman"/>
                <w:b/>
                <w:noProof/>
                <w:sz w:val="18"/>
              </w:rPr>
            </w:pPr>
          </w:p>
        </w:tc>
        <w:tc>
          <w:tcPr>
            <w:tcW w:w="1102" w:type="dxa"/>
            <w:tcBorders>
              <w:top w:val="nil"/>
            </w:tcBorders>
            <w:shd w:val="clear" w:color="auto" w:fill="C6D9F1" w:themeFill="text2" w:themeFillTint="33"/>
            <w:noWrap/>
          </w:tcPr>
          <w:p w14:paraId="4B1F511A" w14:textId="77777777" w:rsidR="0065073E" w:rsidRDefault="0065073E">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444B5E16" w14:textId="77777777" w:rsidR="0065073E" w:rsidRDefault="000A0998">
            <w:pPr>
              <w:pStyle w:val="P68B1DB1-Normal8"/>
              <w:spacing w:after="0" w:line="240" w:lineRule="auto"/>
              <w:jc w:val="center"/>
              <w:rPr>
                <w:rFonts w:cs="Times New Roman"/>
                <w:noProof/>
              </w:rPr>
            </w:pPr>
            <w:r>
              <w:rPr>
                <w:noProof/>
              </w:rPr>
              <w:t>Yksikkö</w:t>
            </w:r>
          </w:p>
        </w:tc>
        <w:tc>
          <w:tcPr>
            <w:tcW w:w="964" w:type="dxa"/>
            <w:shd w:val="clear" w:color="auto" w:fill="C6D9F1" w:themeFill="text2" w:themeFillTint="33"/>
            <w:noWrap/>
            <w:vAlign w:val="center"/>
          </w:tcPr>
          <w:p w14:paraId="4AA23600" w14:textId="0578A519" w:rsidR="0065073E" w:rsidRDefault="000A0998">
            <w:pPr>
              <w:pStyle w:val="P68B1DB1-Normal8"/>
              <w:spacing w:after="0" w:line="240" w:lineRule="auto"/>
              <w:jc w:val="center"/>
              <w:rPr>
                <w:rFonts w:cs="Times New Roman"/>
                <w:noProof/>
              </w:rPr>
            </w:pPr>
            <w:r>
              <w:rPr>
                <w:noProof/>
              </w:rPr>
              <w:t>Lähtötaso</w:t>
            </w:r>
          </w:p>
        </w:tc>
        <w:tc>
          <w:tcPr>
            <w:tcW w:w="552" w:type="dxa"/>
            <w:shd w:val="clear" w:color="auto" w:fill="C6D9F1" w:themeFill="text2" w:themeFillTint="33"/>
            <w:noWrap/>
            <w:vAlign w:val="center"/>
          </w:tcPr>
          <w:p w14:paraId="21A36EB4" w14:textId="77777777" w:rsidR="0065073E" w:rsidRDefault="000A0998">
            <w:pPr>
              <w:pStyle w:val="P68B1DB1-Normal8"/>
              <w:spacing w:after="0" w:line="240" w:lineRule="auto"/>
              <w:jc w:val="center"/>
              <w:rPr>
                <w:rFonts w:cs="Times New Roman"/>
                <w:noProof/>
              </w:rPr>
            </w:pPr>
            <w:r>
              <w:rPr>
                <w:noProof/>
              </w:rPr>
              <w:t>Päämäärä</w:t>
            </w:r>
          </w:p>
        </w:tc>
        <w:tc>
          <w:tcPr>
            <w:tcW w:w="414" w:type="dxa"/>
            <w:shd w:val="clear" w:color="auto" w:fill="C6D9F1" w:themeFill="text2" w:themeFillTint="33"/>
            <w:noWrap/>
            <w:vAlign w:val="center"/>
          </w:tcPr>
          <w:p w14:paraId="5A5446A4" w14:textId="77777777" w:rsidR="0065073E" w:rsidRDefault="000A0998">
            <w:pPr>
              <w:pStyle w:val="P68B1DB1-Normal8"/>
              <w:spacing w:after="0" w:line="240" w:lineRule="auto"/>
              <w:jc w:val="center"/>
              <w:rPr>
                <w:rFonts w:cs="Times New Roman"/>
                <w:noProof/>
              </w:rPr>
            </w:pPr>
            <w:r>
              <w:rPr>
                <w:noProof/>
              </w:rPr>
              <w:t>Q</w:t>
            </w:r>
          </w:p>
        </w:tc>
        <w:tc>
          <w:tcPr>
            <w:tcW w:w="552" w:type="dxa"/>
            <w:shd w:val="clear" w:color="auto" w:fill="C6D9F1" w:themeFill="text2" w:themeFillTint="33"/>
            <w:noWrap/>
            <w:vAlign w:val="center"/>
          </w:tcPr>
          <w:p w14:paraId="2F79DAA1" w14:textId="77777777" w:rsidR="0065073E" w:rsidRDefault="000A0998">
            <w:pPr>
              <w:pStyle w:val="P68B1DB1-Normal8"/>
              <w:spacing w:after="0" w:line="240" w:lineRule="auto"/>
              <w:jc w:val="center"/>
              <w:rPr>
                <w:rFonts w:cs="Times New Roman"/>
                <w:noProof/>
              </w:rPr>
            </w:pPr>
            <w:r>
              <w:rPr>
                <w:noProof/>
              </w:rPr>
              <w:t>Vuosi</w:t>
            </w:r>
          </w:p>
        </w:tc>
        <w:tc>
          <w:tcPr>
            <w:tcW w:w="5885" w:type="dxa"/>
            <w:tcBorders>
              <w:top w:val="nil"/>
            </w:tcBorders>
            <w:shd w:val="clear" w:color="auto" w:fill="C6D9F1" w:themeFill="text2" w:themeFillTint="33"/>
            <w:noWrap/>
          </w:tcPr>
          <w:p w14:paraId="65F9C3DC" w14:textId="77777777" w:rsidR="0065073E" w:rsidRDefault="0065073E">
            <w:pPr>
              <w:spacing w:after="0" w:line="240" w:lineRule="auto"/>
              <w:rPr>
                <w:rFonts w:ascii="Times New Roman" w:hAnsi="Times New Roman" w:cs="Times New Roman"/>
                <w:b/>
                <w:noProof/>
                <w:sz w:val="18"/>
              </w:rPr>
            </w:pPr>
          </w:p>
        </w:tc>
      </w:tr>
      <w:tr w:rsidR="0065073E" w14:paraId="7093E2CB" w14:textId="77777777">
        <w:trPr>
          <w:trHeight w:val="309"/>
        </w:trPr>
        <w:tc>
          <w:tcPr>
            <w:tcW w:w="832" w:type="dxa"/>
            <w:shd w:val="clear" w:color="auto" w:fill="C6EFCE"/>
            <w:noWrap/>
          </w:tcPr>
          <w:p w14:paraId="49D83C2D" w14:textId="77777777" w:rsidR="0065073E" w:rsidRDefault="000A0998">
            <w:pPr>
              <w:pStyle w:val="P68B1DB1-Normal12"/>
              <w:spacing w:after="0" w:line="240" w:lineRule="auto"/>
              <w:jc w:val="center"/>
              <w:rPr>
                <w:rFonts w:eastAsia="MS Mincho" w:cs="Times New Roman"/>
                <w:noProof/>
              </w:rPr>
            </w:pPr>
            <w:r>
              <w:rPr>
                <w:noProof/>
              </w:rPr>
              <w:t>82</w:t>
            </w:r>
          </w:p>
        </w:tc>
        <w:tc>
          <w:tcPr>
            <w:tcW w:w="828" w:type="dxa"/>
            <w:shd w:val="clear" w:color="auto" w:fill="C6EFCE"/>
            <w:noWrap/>
          </w:tcPr>
          <w:p w14:paraId="2D6099C9" w14:textId="77777777" w:rsidR="0065073E" w:rsidRDefault="000A0998">
            <w:pPr>
              <w:pStyle w:val="P68B1DB1-Normal12"/>
              <w:spacing w:after="0" w:line="240" w:lineRule="auto"/>
              <w:jc w:val="center"/>
              <w:rPr>
                <w:rFonts w:eastAsia="MS Mincho" w:cs="Times New Roman"/>
                <w:noProof/>
              </w:rPr>
            </w:pPr>
            <w:r>
              <w:rPr>
                <w:noProof/>
              </w:rPr>
              <w:t>C6.R1</w:t>
            </w:r>
          </w:p>
        </w:tc>
        <w:tc>
          <w:tcPr>
            <w:tcW w:w="827" w:type="dxa"/>
            <w:shd w:val="clear" w:color="auto" w:fill="C6EFCE"/>
            <w:noWrap/>
          </w:tcPr>
          <w:p w14:paraId="7F5CD847" w14:textId="77777777" w:rsidR="0065073E" w:rsidRDefault="000A0998">
            <w:pPr>
              <w:pStyle w:val="P68B1DB1-Normal12"/>
              <w:spacing w:after="0" w:line="240" w:lineRule="auto"/>
              <w:jc w:val="center"/>
              <w:rPr>
                <w:rFonts w:eastAsia="MS Mincho" w:cs="Times New Roman"/>
                <w:noProof/>
              </w:rPr>
            </w:pPr>
            <w:r>
              <w:rPr>
                <w:noProof/>
              </w:rPr>
              <w:t>M</w:t>
            </w:r>
          </w:p>
        </w:tc>
        <w:tc>
          <w:tcPr>
            <w:tcW w:w="1515" w:type="dxa"/>
            <w:shd w:val="clear" w:color="auto" w:fill="C6EFCE"/>
            <w:noWrap/>
          </w:tcPr>
          <w:p w14:paraId="5B0922AD" w14:textId="77777777" w:rsidR="0065073E" w:rsidRDefault="000A0998">
            <w:pPr>
              <w:pStyle w:val="P68B1DB1-Normal12"/>
              <w:spacing w:after="0" w:line="240" w:lineRule="auto"/>
              <w:rPr>
                <w:rFonts w:eastAsia="MS Mincho" w:cs="Times New Roman"/>
                <w:noProof/>
              </w:rPr>
            </w:pPr>
            <w:r>
              <w:rPr>
                <w:noProof/>
              </w:rPr>
              <w:t>Kestävää, turvallista ja verkotettua liikkuvuutta koskeva strategia (julkinen kuuleminen)</w:t>
            </w:r>
          </w:p>
        </w:tc>
        <w:tc>
          <w:tcPr>
            <w:tcW w:w="1102" w:type="dxa"/>
            <w:shd w:val="clear" w:color="auto" w:fill="C6EFCE"/>
            <w:noWrap/>
          </w:tcPr>
          <w:p w14:paraId="1FD62937" w14:textId="77777777" w:rsidR="0065073E" w:rsidRDefault="000A0998">
            <w:pPr>
              <w:pStyle w:val="P68B1DB1-Normal12"/>
              <w:spacing w:after="0" w:line="240" w:lineRule="auto"/>
              <w:jc w:val="center"/>
              <w:rPr>
                <w:rFonts w:eastAsia="MS Mincho" w:cs="Times New Roman"/>
                <w:noProof/>
              </w:rPr>
            </w:pPr>
            <w:r>
              <w:rPr>
                <w:noProof/>
              </w:rPr>
              <w:t>Ilmoitus kuulemisen päättymisestä</w:t>
            </w:r>
          </w:p>
        </w:tc>
        <w:tc>
          <w:tcPr>
            <w:tcW w:w="992" w:type="dxa"/>
            <w:shd w:val="clear" w:color="auto" w:fill="C6EFCE"/>
            <w:noWrap/>
          </w:tcPr>
          <w:p w14:paraId="4467701B"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4" w:type="dxa"/>
            <w:shd w:val="clear" w:color="auto" w:fill="C6EFCE"/>
            <w:noWrap/>
          </w:tcPr>
          <w:p w14:paraId="762EAA38"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552" w:type="dxa"/>
            <w:shd w:val="clear" w:color="auto" w:fill="C6EFCE"/>
            <w:noWrap/>
          </w:tcPr>
          <w:p w14:paraId="16E66445"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414" w:type="dxa"/>
            <w:shd w:val="clear" w:color="auto" w:fill="C6EFCE"/>
            <w:noWrap/>
          </w:tcPr>
          <w:p w14:paraId="46E2525C" w14:textId="77777777" w:rsidR="0065073E" w:rsidRDefault="000A0998">
            <w:pPr>
              <w:pStyle w:val="P68B1DB1-Normal12"/>
              <w:spacing w:after="0" w:line="240" w:lineRule="auto"/>
              <w:jc w:val="center"/>
              <w:rPr>
                <w:rFonts w:eastAsia="MS Mincho" w:cs="Times New Roman"/>
                <w:noProof/>
              </w:rPr>
            </w:pPr>
            <w:r>
              <w:rPr>
                <w:noProof/>
              </w:rPr>
              <w:t>Q4</w:t>
            </w:r>
          </w:p>
        </w:tc>
        <w:tc>
          <w:tcPr>
            <w:tcW w:w="552" w:type="dxa"/>
            <w:shd w:val="clear" w:color="auto" w:fill="C6EFCE"/>
            <w:noWrap/>
          </w:tcPr>
          <w:p w14:paraId="6458ECF6" w14:textId="77777777" w:rsidR="0065073E" w:rsidRDefault="000A0998">
            <w:pPr>
              <w:pStyle w:val="P68B1DB1-Normal12"/>
              <w:spacing w:after="0" w:line="240" w:lineRule="auto"/>
              <w:jc w:val="center"/>
              <w:rPr>
                <w:rFonts w:eastAsia="MS Mincho" w:cs="Times New Roman"/>
                <w:noProof/>
              </w:rPr>
            </w:pPr>
            <w:r>
              <w:rPr>
                <w:noProof/>
              </w:rPr>
              <w:t>2020</w:t>
            </w:r>
          </w:p>
        </w:tc>
        <w:tc>
          <w:tcPr>
            <w:tcW w:w="5885" w:type="dxa"/>
            <w:shd w:val="clear" w:color="auto" w:fill="C6EFCE"/>
            <w:noWrap/>
          </w:tcPr>
          <w:p w14:paraId="082F3B67" w14:textId="77777777" w:rsidR="0065073E" w:rsidRDefault="000A0998">
            <w:pPr>
              <w:spacing w:after="0" w:line="240" w:lineRule="auto"/>
              <w:rPr>
                <w:rFonts w:ascii="Times New Roman" w:eastAsia="MS Mincho" w:hAnsi="Times New Roman" w:cs="Times New Roman"/>
                <w:noProof/>
                <w:sz w:val="18"/>
              </w:rPr>
            </w:pPr>
            <w:r>
              <w:rPr>
                <w:rFonts w:ascii="Times New Roman" w:hAnsi="Times New Roman"/>
                <w:noProof/>
                <w:sz w:val="18"/>
              </w:rPr>
              <w:t>Strategian julkinen kuuleminen päättyy seuraavilla yhdeksällä alalla:</w:t>
            </w:r>
            <w:r>
              <w:rPr>
                <w:noProof/>
              </w:rPr>
              <w:t xml:space="preserve"> </w:t>
            </w:r>
            <w:r>
              <w:rPr>
                <w:noProof/>
              </w:rPr>
              <w:br/>
            </w:r>
            <w:r>
              <w:rPr>
                <w:rFonts w:ascii="Times New Roman" w:hAnsi="Times New Roman"/>
                <w:noProof/>
                <w:sz w:val="18"/>
              </w:rPr>
              <w:t>1) liikkuvuus kaikille (yleisen saatavuuden varmistaminen kohtuullisin kustannuksin)</w:t>
            </w:r>
            <w:r>
              <w:rPr>
                <w:noProof/>
              </w:rPr>
              <w:t xml:space="preserve"> </w:t>
            </w:r>
            <w:r>
              <w:rPr>
                <w:noProof/>
              </w:rPr>
              <w:br/>
            </w:r>
            <w:r>
              <w:rPr>
                <w:rFonts w:ascii="Times New Roman" w:hAnsi="Times New Roman"/>
                <w:noProof/>
                <w:sz w:val="18"/>
              </w:rPr>
              <w:t>2) Uudet investointipolitiikat (liikenneinfrastruktuurien ja -palvelujen riittävän rahoituksen varmistamiseksi);</w:t>
            </w:r>
            <w:r>
              <w:rPr>
                <w:noProof/>
              </w:rPr>
              <w:t xml:space="preserve"> </w:t>
            </w:r>
            <w:r>
              <w:rPr>
                <w:noProof/>
              </w:rPr>
              <w:br/>
            </w:r>
            <w:r>
              <w:rPr>
                <w:rFonts w:ascii="Times New Roman" w:hAnsi="Times New Roman"/>
                <w:noProof/>
                <w:sz w:val="18"/>
              </w:rPr>
              <w:t>3) turvallinen liikkuvuus (ensisijaisesti investoinnit seurantaan, ylläpitoon ja kyberturvallisuuteen);</w:t>
            </w:r>
            <w:r>
              <w:rPr>
                <w:noProof/>
              </w:rPr>
              <w:t xml:space="preserve"> </w:t>
            </w:r>
            <w:r>
              <w:rPr>
                <w:noProof/>
              </w:rPr>
              <w:br/>
            </w:r>
            <w:r>
              <w:rPr>
                <w:rFonts w:ascii="Times New Roman" w:hAnsi="Times New Roman"/>
                <w:noProof/>
                <w:sz w:val="18"/>
              </w:rPr>
              <w:t>4) vähäpäästöinen liikkuvuus (tehokkuuden lisääminen, energiankulutuksen vähentäminen);</w:t>
            </w:r>
            <w:r>
              <w:rPr>
                <w:noProof/>
              </w:rPr>
              <w:t xml:space="preserve"> </w:t>
            </w:r>
            <w:r>
              <w:rPr>
                <w:noProof/>
              </w:rPr>
              <w:br/>
            </w:r>
            <w:r>
              <w:rPr>
                <w:rFonts w:ascii="Times New Roman" w:hAnsi="Times New Roman"/>
                <w:noProof/>
                <w:sz w:val="18"/>
              </w:rPr>
              <w:t>5) älykäs liikkuvuus (tehokas T &amp; K ja liikkuvuusinnovointi, älykkään infrastruktuurin rakentaminen ja hallinnointi);</w:t>
            </w:r>
            <w:r>
              <w:rPr>
                <w:noProof/>
              </w:rPr>
              <w:t xml:space="preserve"> </w:t>
            </w:r>
            <w:r>
              <w:rPr>
                <w:noProof/>
              </w:rPr>
              <w:br/>
            </w:r>
            <w:r>
              <w:rPr>
                <w:rFonts w:ascii="Times New Roman" w:hAnsi="Times New Roman"/>
                <w:noProof/>
                <w:sz w:val="18"/>
              </w:rPr>
              <w:t>6) älykkäät intermodaaliset logistiikkaketjut (rautateitse tapahtuvan tavaraliikenteen priorisointi);</w:t>
            </w:r>
            <w:r>
              <w:rPr>
                <w:noProof/>
              </w:rPr>
              <w:t xml:space="preserve"> </w:t>
            </w:r>
            <w:r>
              <w:rPr>
                <w:noProof/>
              </w:rPr>
              <w:br/>
            </w:r>
            <w:r>
              <w:rPr>
                <w:rFonts w:ascii="Times New Roman" w:hAnsi="Times New Roman"/>
                <w:noProof/>
                <w:sz w:val="18"/>
              </w:rPr>
              <w:t>7) verkkojen Eurooppa ja yhteydet maailmaan (satamien yhdistäminen intermodaalisiin logistiikkaterminaaleihin ja yhteistyön tehostaminen naapurimaiden kanssa rajatylittävien infrastruktuurien rakentamisen ja/tai parantamisen koordinoimiseksi);</w:t>
            </w:r>
            <w:r>
              <w:rPr>
                <w:noProof/>
              </w:rPr>
              <w:t xml:space="preserve"> </w:t>
            </w:r>
            <w:r>
              <w:rPr>
                <w:noProof/>
              </w:rPr>
              <w:br/>
            </w:r>
            <w:r>
              <w:rPr>
                <w:rFonts w:ascii="Times New Roman" w:hAnsi="Times New Roman"/>
                <w:noProof/>
                <w:sz w:val="18"/>
              </w:rPr>
              <w:t>8) sosiaali- ja työvoimanäkökohdat (sukupuolten tasapaino sekä liikennealan työvoiman uudelleen- ja täydennyskoulutustoimet);</w:t>
            </w:r>
            <w:r>
              <w:rPr>
                <w:noProof/>
              </w:rPr>
              <w:t xml:space="preserve"> </w:t>
            </w:r>
            <w:r>
              <w:rPr>
                <w:noProof/>
              </w:rPr>
              <w:br/>
            </w:r>
            <w:r>
              <w:rPr>
                <w:rFonts w:ascii="Times New Roman" w:hAnsi="Times New Roman"/>
                <w:noProof/>
                <w:sz w:val="18"/>
              </w:rPr>
              <w:t>9) Liikenneministeriön (MITMA) digitalisointi.</w:t>
            </w:r>
          </w:p>
        </w:tc>
      </w:tr>
      <w:tr w:rsidR="0065073E" w14:paraId="25E71458" w14:textId="77777777">
        <w:trPr>
          <w:trHeight w:val="309"/>
        </w:trPr>
        <w:tc>
          <w:tcPr>
            <w:tcW w:w="832" w:type="dxa"/>
            <w:shd w:val="clear" w:color="auto" w:fill="C6EFCE"/>
            <w:noWrap/>
          </w:tcPr>
          <w:p w14:paraId="702436C1" w14:textId="77777777" w:rsidR="0065073E" w:rsidRDefault="000A0998">
            <w:pPr>
              <w:pStyle w:val="P68B1DB1-Normal12"/>
              <w:spacing w:after="0" w:line="240" w:lineRule="auto"/>
              <w:jc w:val="center"/>
              <w:rPr>
                <w:rFonts w:eastAsia="MS Mincho" w:cs="Times New Roman"/>
                <w:noProof/>
              </w:rPr>
            </w:pPr>
            <w:r>
              <w:rPr>
                <w:noProof/>
              </w:rPr>
              <w:t>83</w:t>
            </w:r>
          </w:p>
        </w:tc>
        <w:tc>
          <w:tcPr>
            <w:tcW w:w="828" w:type="dxa"/>
            <w:shd w:val="clear" w:color="auto" w:fill="C6EFCE"/>
            <w:noWrap/>
          </w:tcPr>
          <w:p w14:paraId="4325626B" w14:textId="77777777" w:rsidR="0065073E" w:rsidRDefault="000A0998">
            <w:pPr>
              <w:pStyle w:val="P68B1DB1-Normal12"/>
              <w:spacing w:after="0" w:line="240" w:lineRule="auto"/>
              <w:jc w:val="center"/>
              <w:rPr>
                <w:rFonts w:eastAsia="MS Mincho" w:cs="Times New Roman"/>
                <w:noProof/>
              </w:rPr>
            </w:pPr>
            <w:r>
              <w:rPr>
                <w:noProof/>
              </w:rPr>
              <w:t>C6.R1</w:t>
            </w:r>
          </w:p>
        </w:tc>
        <w:tc>
          <w:tcPr>
            <w:tcW w:w="827" w:type="dxa"/>
            <w:shd w:val="clear" w:color="auto" w:fill="C6EFCE"/>
            <w:noWrap/>
          </w:tcPr>
          <w:p w14:paraId="2C576514" w14:textId="77777777" w:rsidR="0065073E" w:rsidRDefault="000A0998">
            <w:pPr>
              <w:pStyle w:val="P68B1DB1-Normal12"/>
              <w:spacing w:after="0" w:line="240" w:lineRule="auto"/>
              <w:jc w:val="center"/>
              <w:rPr>
                <w:rFonts w:eastAsia="MS Mincho" w:cs="Times New Roman"/>
                <w:noProof/>
              </w:rPr>
            </w:pPr>
            <w:r>
              <w:rPr>
                <w:noProof/>
              </w:rPr>
              <w:t>M</w:t>
            </w:r>
          </w:p>
        </w:tc>
        <w:tc>
          <w:tcPr>
            <w:tcW w:w="1515" w:type="dxa"/>
            <w:shd w:val="clear" w:color="auto" w:fill="C6EFCE"/>
            <w:noWrap/>
          </w:tcPr>
          <w:p w14:paraId="4598375C" w14:textId="77777777" w:rsidR="0065073E" w:rsidRDefault="000A0998">
            <w:pPr>
              <w:pStyle w:val="P68B1DB1-Normal12"/>
              <w:spacing w:after="0" w:line="240" w:lineRule="auto"/>
              <w:rPr>
                <w:rFonts w:eastAsia="MS Mincho" w:cs="Times New Roman"/>
                <w:noProof/>
              </w:rPr>
            </w:pPr>
            <w:r>
              <w:rPr>
                <w:noProof/>
              </w:rPr>
              <w:t xml:space="preserve">Kestävää, turvallista ja verkotettua liikkuvuutta koskeva strategia (hyväksyntä) </w:t>
            </w:r>
          </w:p>
        </w:tc>
        <w:tc>
          <w:tcPr>
            <w:tcW w:w="1102" w:type="dxa"/>
            <w:shd w:val="clear" w:color="auto" w:fill="C6EFCE"/>
            <w:noWrap/>
          </w:tcPr>
          <w:p w14:paraId="3A6DB7E6" w14:textId="77777777" w:rsidR="0065073E" w:rsidRDefault="000A0998">
            <w:pPr>
              <w:pStyle w:val="P68B1DB1-Normal12"/>
              <w:spacing w:after="0" w:line="240" w:lineRule="auto"/>
              <w:jc w:val="center"/>
              <w:rPr>
                <w:rFonts w:eastAsia="MS Mincho" w:cs="Times New Roman"/>
                <w:noProof/>
              </w:rPr>
            </w:pPr>
            <w:r>
              <w:rPr>
                <w:noProof/>
              </w:rPr>
              <w:t>Ministerineuvoston hyväksyntä:</w:t>
            </w:r>
          </w:p>
        </w:tc>
        <w:tc>
          <w:tcPr>
            <w:tcW w:w="992" w:type="dxa"/>
            <w:shd w:val="clear" w:color="auto" w:fill="C6EFCE"/>
            <w:noWrap/>
          </w:tcPr>
          <w:p w14:paraId="7DE13593"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964" w:type="dxa"/>
            <w:shd w:val="clear" w:color="auto" w:fill="C6EFCE"/>
            <w:noWrap/>
          </w:tcPr>
          <w:p w14:paraId="6EBA70B7" w14:textId="77777777" w:rsidR="0065073E" w:rsidRDefault="000A0998">
            <w:pPr>
              <w:pStyle w:val="P68B1DB1-Normal12"/>
              <w:spacing w:after="0" w:line="240" w:lineRule="auto"/>
              <w:jc w:val="right"/>
              <w:rPr>
                <w:rFonts w:eastAsia="MS Mincho" w:cs="Times New Roman"/>
                <w:noProof/>
              </w:rPr>
            </w:pPr>
            <w:r>
              <w:rPr>
                <w:noProof/>
              </w:rPr>
              <w:t xml:space="preserve"> </w:t>
            </w:r>
          </w:p>
        </w:tc>
        <w:tc>
          <w:tcPr>
            <w:tcW w:w="552" w:type="dxa"/>
            <w:shd w:val="clear" w:color="auto" w:fill="C6EFCE"/>
            <w:noWrap/>
          </w:tcPr>
          <w:p w14:paraId="3F2CD050"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1B8E0E01"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62DDAFF6" w14:textId="77777777" w:rsidR="0065073E" w:rsidRDefault="000A0998">
            <w:pPr>
              <w:pStyle w:val="P68B1DB1-Normal12"/>
              <w:spacing w:after="0" w:line="240" w:lineRule="auto"/>
              <w:jc w:val="center"/>
              <w:rPr>
                <w:rFonts w:eastAsia="Calibri" w:cs="Times New Roman"/>
                <w:noProof/>
              </w:rPr>
            </w:pPr>
            <w:r>
              <w:rPr>
                <w:noProof/>
              </w:rPr>
              <w:t>2021</w:t>
            </w:r>
          </w:p>
        </w:tc>
        <w:tc>
          <w:tcPr>
            <w:tcW w:w="5885" w:type="dxa"/>
            <w:shd w:val="clear" w:color="auto" w:fill="C6EFCE"/>
            <w:noWrap/>
          </w:tcPr>
          <w:p w14:paraId="65F89C6C" w14:textId="77777777"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Ministerineuvosto hyväksyy strategian, joka koskee toimia seuraavilla yhdeksällä alalla:</w:t>
            </w:r>
            <w:r>
              <w:rPr>
                <w:noProof/>
              </w:rPr>
              <w:t xml:space="preserve"> </w:t>
            </w:r>
            <w:r>
              <w:rPr>
                <w:noProof/>
              </w:rPr>
              <w:br/>
            </w:r>
            <w:r>
              <w:rPr>
                <w:rFonts w:ascii="Times New Roman" w:hAnsi="Times New Roman"/>
                <w:noProof/>
                <w:sz w:val="18"/>
              </w:rPr>
              <w:t>1) liikkuvuus kaikille (yleisen saatavuuden varmistaminen kohtuullisin kustannuksin)</w:t>
            </w:r>
            <w:r>
              <w:rPr>
                <w:noProof/>
              </w:rPr>
              <w:t xml:space="preserve"> </w:t>
            </w:r>
            <w:r>
              <w:rPr>
                <w:noProof/>
              </w:rPr>
              <w:br/>
            </w:r>
            <w:r>
              <w:rPr>
                <w:rFonts w:ascii="Times New Roman" w:hAnsi="Times New Roman"/>
                <w:noProof/>
                <w:sz w:val="18"/>
              </w:rPr>
              <w:t>2) Uudet investointipolitiikat (liikenneinfrastruktuurien ja -palvelujen riittävän rahoituksen varmistamiseksi);</w:t>
            </w:r>
            <w:r>
              <w:rPr>
                <w:noProof/>
              </w:rPr>
              <w:t xml:space="preserve"> </w:t>
            </w:r>
            <w:r>
              <w:rPr>
                <w:noProof/>
              </w:rPr>
              <w:br/>
            </w:r>
            <w:r>
              <w:rPr>
                <w:rFonts w:ascii="Times New Roman" w:hAnsi="Times New Roman"/>
                <w:noProof/>
                <w:sz w:val="18"/>
              </w:rPr>
              <w:t>3) turvallinen liikkuvuus (ensisijaisesti investoinnit seurantaan, ylläpitoon ja kyberturvallisuuteen);</w:t>
            </w:r>
            <w:r>
              <w:rPr>
                <w:noProof/>
              </w:rPr>
              <w:t xml:space="preserve"> </w:t>
            </w:r>
            <w:r>
              <w:rPr>
                <w:noProof/>
              </w:rPr>
              <w:br/>
            </w:r>
            <w:r>
              <w:rPr>
                <w:rFonts w:ascii="Times New Roman" w:hAnsi="Times New Roman"/>
                <w:noProof/>
                <w:sz w:val="18"/>
              </w:rPr>
              <w:t>4) vähäpäästöinen liikkuvuus (tehokkuuden lisääminen, energiankulutuksen vähentäminen);</w:t>
            </w:r>
            <w:r>
              <w:rPr>
                <w:noProof/>
              </w:rPr>
              <w:t xml:space="preserve"> </w:t>
            </w:r>
            <w:r>
              <w:rPr>
                <w:noProof/>
              </w:rPr>
              <w:br/>
            </w:r>
            <w:r>
              <w:rPr>
                <w:rFonts w:ascii="Times New Roman" w:hAnsi="Times New Roman"/>
                <w:noProof/>
                <w:sz w:val="18"/>
              </w:rPr>
              <w:t>5) älykäs liikkuvuus (tehokas T &amp; K ja liikkuvuusinnovointi, älykkään infrastruktuurin rakentaminen ja hallinnointi);</w:t>
            </w:r>
            <w:r>
              <w:rPr>
                <w:noProof/>
              </w:rPr>
              <w:t xml:space="preserve"> </w:t>
            </w:r>
            <w:r>
              <w:rPr>
                <w:noProof/>
              </w:rPr>
              <w:br/>
            </w:r>
            <w:r>
              <w:rPr>
                <w:rFonts w:ascii="Times New Roman" w:hAnsi="Times New Roman"/>
                <w:noProof/>
                <w:sz w:val="18"/>
              </w:rPr>
              <w:t>6) älykkäät intermodaaliset logistiikkaketjut (rautateitse tapahtuvan tavaraliikenteen priorisointi julkisissa ja yksityisissä ohjelmissa);</w:t>
            </w:r>
            <w:r>
              <w:rPr>
                <w:noProof/>
              </w:rPr>
              <w:t xml:space="preserve"> </w:t>
            </w:r>
            <w:r>
              <w:rPr>
                <w:noProof/>
              </w:rPr>
              <w:br/>
            </w:r>
            <w:r>
              <w:rPr>
                <w:rFonts w:ascii="Times New Roman" w:hAnsi="Times New Roman"/>
                <w:noProof/>
                <w:sz w:val="18"/>
              </w:rPr>
              <w:t>7) verkkojen Eurooppa ja yhteydet maailmaan (satamien yhdistäminen intermodaalisiin logistiikkaterminaaleihin ja yhteistyön tehostaminen naapurimaiden kanssa rajatylittävien infrastruktuurien rakentamisen ja/tai parantamisen koordinoimiseksi);</w:t>
            </w:r>
            <w:r>
              <w:rPr>
                <w:noProof/>
              </w:rPr>
              <w:t xml:space="preserve"> </w:t>
            </w:r>
            <w:r>
              <w:rPr>
                <w:noProof/>
              </w:rPr>
              <w:br/>
            </w:r>
            <w:r>
              <w:rPr>
                <w:rFonts w:ascii="Times New Roman" w:hAnsi="Times New Roman"/>
                <w:noProof/>
                <w:sz w:val="18"/>
              </w:rPr>
              <w:t>8) sosiaali- ja työvoimanäkökohdat (sukupuolten tasapaino sekä liikennealan työvoiman uudelleen- ja täydennyskoulutustoimet);</w:t>
            </w:r>
            <w:r>
              <w:rPr>
                <w:noProof/>
              </w:rPr>
              <w:t xml:space="preserve"> </w:t>
            </w:r>
            <w:r>
              <w:rPr>
                <w:noProof/>
              </w:rPr>
              <w:br/>
            </w:r>
            <w:r>
              <w:rPr>
                <w:rFonts w:ascii="Times New Roman" w:hAnsi="Times New Roman"/>
                <w:noProof/>
                <w:sz w:val="18"/>
              </w:rPr>
              <w:t>9) Liikenneministeriön digitalisointi (MITMA).</w:t>
            </w:r>
          </w:p>
        </w:tc>
      </w:tr>
      <w:tr w:rsidR="0065073E" w14:paraId="7D05ACBB" w14:textId="77777777">
        <w:trPr>
          <w:trHeight w:val="309"/>
        </w:trPr>
        <w:tc>
          <w:tcPr>
            <w:tcW w:w="832" w:type="dxa"/>
            <w:shd w:val="clear" w:color="auto" w:fill="C6EFCE"/>
            <w:noWrap/>
          </w:tcPr>
          <w:p w14:paraId="31B2963F" w14:textId="77777777" w:rsidR="0065073E" w:rsidRDefault="000A0998">
            <w:pPr>
              <w:pStyle w:val="P68B1DB1-Normal12"/>
              <w:spacing w:after="0" w:line="240" w:lineRule="auto"/>
              <w:jc w:val="center"/>
              <w:rPr>
                <w:rFonts w:eastAsia="Calibri" w:cs="Times New Roman"/>
                <w:noProof/>
              </w:rPr>
            </w:pPr>
            <w:r>
              <w:rPr>
                <w:noProof/>
              </w:rPr>
              <w:t>84</w:t>
            </w:r>
          </w:p>
        </w:tc>
        <w:tc>
          <w:tcPr>
            <w:tcW w:w="828" w:type="dxa"/>
            <w:shd w:val="clear" w:color="auto" w:fill="C6EFCE"/>
            <w:noWrap/>
          </w:tcPr>
          <w:p w14:paraId="7C599BFA" w14:textId="77777777" w:rsidR="0065073E" w:rsidRDefault="000A0998">
            <w:pPr>
              <w:pStyle w:val="P68B1DB1-Normal12"/>
              <w:spacing w:after="0" w:line="240" w:lineRule="auto"/>
              <w:jc w:val="center"/>
              <w:rPr>
                <w:rFonts w:eastAsia="Calibri" w:cs="Times New Roman"/>
                <w:noProof/>
              </w:rPr>
            </w:pPr>
            <w:r>
              <w:rPr>
                <w:noProof/>
              </w:rPr>
              <w:t>C6.R2</w:t>
            </w:r>
          </w:p>
        </w:tc>
        <w:tc>
          <w:tcPr>
            <w:tcW w:w="827" w:type="dxa"/>
            <w:shd w:val="clear" w:color="auto" w:fill="C6EFCE"/>
            <w:noWrap/>
          </w:tcPr>
          <w:p w14:paraId="696A3350"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038B2FB2" w14:textId="77777777" w:rsidR="0065073E" w:rsidRDefault="000A0998">
            <w:pPr>
              <w:pStyle w:val="P68B1DB1-Normal12"/>
              <w:spacing w:after="0" w:line="240" w:lineRule="auto"/>
              <w:rPr>
                <w:rFonts w:eastAsia="Calibri" w:cs="Times New Roman"/>
                <w:noProof/>
              </w:rPr>
            </w:pPr>
            <w:r>
              <w:rPr>
                <w:noProof/>
              </w:rPr>
              <w:t>Ohjeellinen rautatiestrategia</w:t>
            </w:r>
          </w:p>
        </w:tc>
        <w:tc>
          <w:tcPr>
            <w:tcW w:w="1102" w:type="dxa"/>
            <w:shd w:val="clear" w:color="auto" w:fill="C6EFCE"/>
            <w:noWrap/>
          </w:tcPr>
          <w:p w14:paraId="3DA68056" w14:textId="77777777" w:rsidR="0065073E" w:rsidRDefault="000A0998">
            <w:pPr>
              <w:pStyle w:val="P68B1DB1-Normal12"/>
              <w:spacing w:after="0" w:line="240" w:lineRule="auto"/>
              <w:jc w:val="center"/>
              <w:rPr>
                <w:rFonts w:eastAsia="Calibri" w:cs="Times New Roman"/>
                <w:noProof/>
              </w:rPr>
            </w:pPr>
            <w:r>
              <w:rPr>
                <w:noProof/>
              </w:rPr>
              <w:t>Julkaiseminen virallisessa lehdessä</w:t>
            </w:r>
          </w:p>
        </w:tc>
        <w:tc>
          <w:tcPr>
            <w:tcW w:w="992" w:type="dxa"/>
            <w:shd w:val="clear" w:color="auto" w:fill="C6EFCE"/>
            <w:noWrap/>
          </w:tcPr>
          <w:p w14:paraId="7212115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964" w:type="dxa"/>
            <w:shd w:val="clear" w:color="auto" w:fill="C6EFCE"/>
            <w:noWrap/>
          </w:tcPr>
          <w:p w14:paraId="32D65AFA"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09845CEA"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47A1A93F"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10646892" w14:textId="77777777" w:rsidR="0065073E" w:rsidRDefault="000A0998">
            <w:pPr>
              <w:pStyle w:val="P68B1DB1-Normal12"/>
              <w:spacing w:after="0" w:line="240" w:lineRule="auto"/>
              <w:jc w:val="center"/>
              <w:rPr>
                <w:rFonts w:eastAsia="Calibri" w:cs="Times New Roman"/>
                <w:noProof/>
              </w:rPr>
            </w:pPr>
            <w:r>
              <w:rPr>
                <w:noProof/>
              </w:rPr>
              <w:t>2022</w:t>
            </w:r>
          </w:p>
        </w:tc>
        <w:tc>
          <w:tcPr>
            <w:tcW w:w="5885" w:type="dxa"/>
            <w:shd w:val="clear" w:color="auto" w:fill="C6EFCE"/>
            <w:noWrap/>
          </w:tcPr>
          <w:p w14:paraId="755A0E16" w14:textId="77777777" w:rsidR="0065073E" w:rsidRDefault="000A0998">
            <w:pPr>
              <w:spacing w:after="0" w:line="240" w:lineRule="auto"/>
              <w:rPr>
                <w:rFonts w:ascii="Times New Roman" w:eastAsia="Calibri" w:hAnsi="Times New Roman" w:cs="Times New Roman"/>
                <w:noProof/>
                <w:sz w:val="18"/>
              </w:rPr>
            </w:pPr>
            <w:r>
              <w:rPr>
                <w:noProof/>
              </w:rPr>
              <w:t>Ohjeellisen rautatiestrategian hyväksymistä koskevan päätöslauselman</w:t>
            </w:r>
            <w:r>
              <w:rPr>
                <w:rFonts w:ascii="Times New Roman" w:hAnsi="Times New Roman"/>
                <w:noProof/>
                <w:sz w:val="18"/>
              </w:rPr>
              <w:t xml:space="preserve">julkaiseminen Euroopan unionin virallisessa lehdessä. Päätöslauselma sisältää seuraavat toimet: </w:t>
            </w:r>
            <w:r>
              <w:rPr>
                <w:noProof/>
              </w:rPr>
              <w:t xml:space="preserve"> </w:t>
            </w:r>
            <w:r>
              <w:rPr>
                <w:noProof/>
              </w:rPr>
              <w:br/>
            </w:r>
            <w:r>
              <w:rPr>
                <w:rFonts w:ascii="Times New Roman" w:hAnsi="Times New Roman"/>
                <w:noProof/>
                <w:sz w:val="18"/>
              </w:rPr>
              <w:t xml:space="preserve">rautatiealan toimien selkeämpi suunnittelu erityisesti päivittäistä liikkuvuutta silmällä pitäen; </w:t>
            </w:r>
            <w:r>
              <w:rPr>
                <w:noProof/>
              </w:rPr>
              <w:t xml:space="preserve"> </w:t>
            </w:r>
            <w:r>
              <w:rPr>
                <w:noProof/>
              </w:rPr>
              <w:br/>
            </w:r>
            <w:r>
              <w:rPr>
                <w:rFonts w:ascii="Times New Roman" w:hAnsi="Times New Roman"/>
                <w:noProof/>
                <w:sz w:val="18"/>
              </w:rPr>
              <w:t xml:space="preserve">verkon ylläpidon parantaminen; </w:t>
            </w:r>
            <w:r>
              <w:rPr>
                <w:noProof/>
              </w:rPr>
              <w:t xml:space="preserve"> </w:t>
            </w:r>
            <w:r>
              <w:rPr>
                <w:noProof/>
              </w:rPr>
              <w:br/>
            </w:r>
            <w:r>
              <w:rPr>
                <w:rFonts w:ascii="Times New Roman" w:hAnsi="Times New Roman"/>
                <w:noProof/>
                <w:sz w:val="18"/>
              </w:rPr>
              <w:t xml:space="preserve">rautatieverkon taloudellisen kestävyyden varmistaminen; </w:t>
            </w:r>
            <w:r>
              <w:rPr>
                <w:noProof/>
              </w:rPr>
              <w:t xml:space="preserve"> </w:t>
            </w:r>
            <w:r>
              <w:rPr>
                <w:noProof/>
              </w:rPr>
              <w:br/>
            </w:r>
            <w:r>
              <w:rPr>
                <w:rFonts w:ascii="Times New Roman" w:hAnsi="Times New Roman"/>
                <w:noProof/>
                <w:sz w:val="18"/>
              </w:rPr>
              <w:t xml:space="preserve">resurssitehokkuuden priorisointi ja investointihankkeiden ennakko- ja jälkiarviointi; </w:t>
            </w:r>
            <w:r>
              <w:rPr>
                <w:noProof/>
              </w:rPr>
              <w:t xml:space="preserve"> </w:t>
            </w:r>
            <w:r>
              <w:rPr>
                <w:noProof/>
              </w:rPr>
              <w:br/>
            </w:r>
            <w:r>
              <w:rPr>
                <w:rFonts w:ascii="Times New Roman" w:hAnsi="Times New Roman"/>
                <w:noProof/>
                <w:sz w:val="18"/>
              </w:rPr>
              <w:t xml:space="preserve">verkon yhteentoimivuuden parantaminen erityisesti Euroopan laajuisten verkkokäytävien osalta ja verkon intermodaalisuuden parantaminen; </w:t>
            </w:r>
            <w:r>
              <w:rPr>
                <w:noProof/>
              </w:rPr>
              <w:t xml:space="preserve"> </w:t>
            </w:r>
            <w:r>
              <w:rPr>
                <w:noProof/>
              </w:rPr>
              <w:br/>
            </w:r>
            <w:r>
              <w:rPr>
                <w:rFonts w:ascii="Times New Roman" w:hAnsi="Times New Roman"/>
                <w:noProof/>
                <w:sz w:val="18"/>
              </w:rPr>
              <w:t xml:space="preserve">F) rautateiden tavaraliikenteen edistäminen; </w:t>
            </w:r>
            <w:r>
              <w:rPr>
                <w:noProof/>
              </w:rPr>
              <w:t xml:space="preserve"> </w:t>
            </w:r>
            <w:r>
              <w:rPr>
                <w:noProof/>
              </w:rPr>
              <w:br/>
            </w:r>
            <w:r>
              <w:rPr>
                <w:rFonts w:ascii="Times New Roman" w:hAnsi="Times New Roman"/>
                <w:noProof/>
                <w:sz w:val="18"/>
              </w:rPr>
              <w:t xml:space="preserve">rautatieliikenteen turvallisuuden parantaminen; </w:t>
            </w:r>
            <w:r>
              <w:rPr>
                <w:noProof/>
              </w:rPr>
              <w:t xml:space="preserve"> </w:t>
            </w:r>
            <w:r>
              <w:rPr>
                <w:noProof/>
              </w:rPr>
              <w:br/>
            </w:r>
            <w:r>
              <w:rPr>
                <w:rFonts w:ascii="Times New Roman" w:hAnsi="Times New Roman"/>
                <w:noProof/>
                <w:sz w:val="18"/>
              </w:rPr>
              <w:t>H) liikenteen digitalisoinnin ja innovoinnin edistäminen verkottuneen liikkuvuuden varmistamiseksi.</w:t>
            </w:r>
            <w:r>
              <w:rPr>
                <w:noProof/>
              </w:rPr>
              <w:t xml:space="preserve"> </w:t>
            </w:r>
            <w:r>
              <w:rPr>
                <w:noProof/>
              </w:rPr>
              <w:br/>
            </w:r>
            <w:r>
              <w:rPr>
                <w:rFonts w:ascii="Times New Roman" w:hAnsi="Times New Roman"/>
                <w:noProof/>
                <w:sz w:val="18"/>
              </w:rPr>
              <w:t>Varmistettava kaikkien ohjeelliseen rautatiestrategiaan sisältyvien toimien osalta ympäristövaikutusten arvioinnista annetun lain 21/2013 ja lain 21/2013 muuttamisesta 5 päivänä joulukuuta 2018 annetun lain 9/2018 säännösten noudattaminen ja pantava täytäntöön ympäristövaikutusten arvioinnin (YVA) edellyttämät ympäristönsuojelutoimet.</w:t>
            </w:r>
          </w:p>
        </w:tc>
      </w:tr>
      <w:tr w:rsidR="0065073E" w14:paraId="0AFEE561" w14:textId="77777777">
        <w:trPr>
          <w:trHeight w:val="309"/>
        </w:trPr>
        <w:tc>
          <w:tcPr>
            <w:tcW w:w="832" w:type="dxa"/>
            <w:shd w:val="clear" w:color="auto" w:fill="C6EFCE"/>
            <w:noWrap/>
          </w:tcPr>
          <w:p w14:paraId="663C344E" w14:textId="0BCEE8DD" w:rsidR="0065073E" w:rsidRDefault="000A0998">
            <w:pPr>
              <w:pStyle w:val="P68B1DB1-Normal12"/>
              <w:spacing w:after="0" w:line="240" w:lineRule="auto"/>
              <w:jc w:val="center"/>
              <w:rPr>
                <w:rFonts w:eastAsia="Calibri" w:cs="Times New Roman"/>
                <w:noProof/>
              </w:rPr>
            </w:pPr>
            <w:r>
              <w:rPr>
                <w:noProof/>
              </w:rPr>
              <w:t>85</w:t>
            </w:r>
          </w:p>
        </w:tc>
        <w:tc>
          <w:tcPr>
            <w:tcW w:w="828" w:type="dxa"/>
            <w:shd w:val="clear" w:color="auto" w:fill="C6EFCE"/>
            <w:noWrap/>
          </w:tcPr>
          <w:p w14:paraId="0F519D59" w14:textId="77777777" w:rsidR="0065073E" w:rsidRDefault="000A0998">
            <w:pPr>
              <w:pStyle w:val="P68B1DB1-Normal12"/>
              <w:spacing w:after="0" w:line="240" w:lineRule="auto"/>
              <w:jc w:val="center"/>
              <w:rPr>
                <w:rFonts w:eastAsia="Calibri" w:cs="Times New Roman"/>
                <w:noProof/>
              </w:rPr>
            </w:pPr>
            <w:r>
              <w:rPr>
                <w:noProof/>
              </w:rPr>
              <w:t>C6.I1</w:t>
            </w:r>
          </w:p>
        </w:tc>
        <w:tc>
          <w:tcPr>
            <w:tcW w:w="827" w:type="dxa"/>
            <w:shd w:val="clear" w:color="auto" w:fill="C6EFCE"/>
            <w:noWrap/>
          </w:tcPr>
          <w:p w14:paraId="5BB7AFFC" w14:textId="5A9E9179"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6FDBCDCA" w14:textId="73F32BB1" w:rsidR="0065073E" w:rsidRDefault="000A0998">
            <w:pPr>
              <w:pStyle w:val="P68B1DB1-Normal12"/>
              <w:spacing w:after="0" w:line="240" w:lineRule="auto"/>
              <w:rPr>
                <w:rFonts w:eastAsia="Calibri" w:cs="Times New Roman"/>
                <w:noProof/>
              </w:rPr>
            </w:pPr>
            <w:r>
              <w:rPr>
                <w:noProof/>
              </w:rPr>
              <w:t>TEN-T-ydinverkko: hankintasopimukset</w:t>
            </w:r>
          </w:p>
        </w:tc>
        <w:tc>
          <w:tcPr>
            <w:tcW w:w="1102" w:type="dxa"/>
            <w:shd w:val="clear" w:color="auto" w:fill="C6EFCE"/>
            <w:noWrap/>
          </w:tcPr>
          <w:p w14:paraId="576BD3EB" w14:textId="52E019AA" w:rsidR="0065073E" w:rsidRDefault="0065073E">
            <w:pPr>
              <w:spacing w:after="0" w:line="240" w:lineRule="auto"/>
              <w:jc w:val="center"/>
              <w:rPr>
                <w:rFonts w:ascii="Times New Roman" w:eastAsia="Calibri" w:hAnsi="Times New Roman" w:cs="Times New Roman"/>
                <w:noProof/>
                <w:sz w:val="18"/>
              </w:rPr>
            </w:pPr>
          </w:p>
        </w:tc>
        <w:tc>
          <w:tcPr>
            <w:tcW w:w="992" w:type="dxa"/>
            <w:shd w:val="clear" w:color="auto" w:fill="C6EFCE"/>
            <w:noWrap/>
          </w:tcPr>
          <w:p w14:paraId="3E40803B" w14:textId="464DE357" w:rsidR="0065073E" w:rsidRDefault="000A0998">
            <w:pPr>
              <w:pStyle w:val="P68B1DB1-Normal12"/>
              <w:spacing w:after="0" w:line="240" w:lineRule="auto"/>
              <w:jc w:val="right"/>
              <w:rPr>
                <w:rFonts w:eastAsia="Calibri" w:cs="Times New Roman"/>
                <w:noProof/>
              </w:rPr>
            </w:pPr>
            <w:r>
              <w:rPr>
                <w:noProof/>
              </w:rPr>
              <w:t xml:space="preserve">Sopimus tai muu oikeudellinen asiakirja </w:t>
            </w:r>
          </w:p>
        </w:tc>
        <w:tc>
          <w:tcPr>
            <w:tcW w:w="964" w:type="dxa"/>
            <w:shd w:val="clear" w:color="auto" w:fill="C6EFCE"/>
            <w:noWrap/>
          </w:tcPr>
          <w:p w14:paraId="3AA4ADE7" w14:textId="4C8679AE" w:rsidR="0065073E" w:rsidRDefault="000A0998">
            <w:pPr>
              <w:pStyle w:val="P68B1DB1-Normal12"/>
              <w:spacing w:after="0" w:line="240" w:lineRule="auto"/>
              <w:jc w:val="right"/>
              <w:rPr>
                <w:rFonts w:eastAsia="Calibri" w:cs="Times New Roman"/>
                <w:noProof/>
              </w:rPr>
            </w:pPr>
            <w:r>
              <w:rPr>
                <w:noProof/>
              </w:rPr>
              <w:t xml:space="preserve">0 </w:t>
            </w:r>
          </w:p>
        </w:tc>
        <w:tc>
          <w:tcPr>
            <w:tcW w:w="552" w:type="dxa"/>
            <w:shd w:val="clear" w:color="auto" w:fill="C6EFCE"/>
            <w:noWrap/>
          </w:tcPr>
          <w:p w14:paraId="3ADD6AFE" w14:textId="5A2AC88D" w:rsidR="0065073E" w:rsidRDefault="000A0998">
            <w:pPr>
              <w:pStyle w:val="P68B1DB1-Normal12"/>
              <w:spacing w:after="0" w:line="240" w:lineRule="auto"/>
              <w:jc w:val="right"/>
              <w:rPr>
                <w:rFonts w:eastAsia="Calibri" w:cs="Times New Roman"/>
                <w:noProof/>
              </w:rPr>
            </w:pPr>
            <w:r>
              <w:rPr>
                <w:noProof/>
              </w:rPr>
              <w:t>144</w:t>
            </w:r>
          </w:p>
        </w:tc>
        <w:tc>
          <w:tcPr>
            <w:tcW w:w="414" w:type="dxa"/>
            <w:shd w:val="clear" w:color="auto" w:fill="C6EFCE"/>
            <w:noWrap/>
          </w:tcPr>
          <w:p w14:paraId="0BD78B8F"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1C646597" w14:textId="77777777" w:rsidR="0065073E" w:rsidRDefault="000A0998">
            <w:pPr>
              <w:pStyle w:val="P68B1DB1-Normal12"/>
              <w:spacing w:after="0" w:line="240" w:lineRule="auto"/>
              <w:jc w:val="center"/>
              <w:rPr>
                <w:rFonts w:eastAsia="Calibri" w:cs="Times New Roman"/>
                <w:noProof/>
              </w:rPr>
            </w:pPr>
            <w:r>
              <w:rPr>
                <w:noProof/>
              </w:rPr>
              <w:t>2022</w:t>
            </w:r>
          </w:p>
        </w:tc>
        <w:tc>
          <w:tcPr>
            <w:tcW w:w="5885" w:type="dxa"/>
            <w:shd w:val="clear" w:color="auto" w:fill="C6EFCE"/>
            <w:noWrap/>
          </w:tcPr>
          <w:p w14:paraId="72DDA19B" w14:textId="365CACE1"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Vähintään 144 sopimusta tai muuta oikeudellista välinettä, jotka sisältävät toimia yhdessä tai useammassa seuraavista TEN-T-ydinverkon käytävistä: </w:t>
            </w:r>
            <w:r>
              <w:rPr>
                <w:noProof/>
              </w:rPr>
              <w:t xml:space="preserve"> </w:t>
            </w:r>
            <w:r>
              <w:rPr>
                <w:noProof/>
              </w:rPr>
              <w:br/>
            </w:r>
            <w:r>
              <w:rPr>
                <w:rFonts w:ascii="Times New Roman" w:hAnsi="Times New Roman"/>
                <w:noProof/>
                <w:sz w:val="18"/>
              </w:rPr>
              <w:t>ATLANTIN KÄYTÄVÄ</w:t>
            </w:r>
            <w:r>
              <w:rPr>
                <w:noProof/>
              </w:rPr>
              <w:t xml:space="preserve"> </w:t>
            </w:r>
            <w:r>
              <w:rPr>
                <w:noProof/>
              </w:rPr>
              <w:br/>
              <w:t xml:space="preserve"> </w:t>
            </w:r>
            <w:r>
              <w:rPr>
                <w:rFonts w:ascii="Times New Roman" w:hAnsi="Times New Roman"/>
                <w:noProof/>
                <w:sz w:val="18"/>
              </w:rPr>
              <w:t>• Y Vasca: Vitoria-Bilbao-San Sebastian/Astigarraga-Irun</w:t>
            </w:r>
            <w:r>
              <w:rPr>
                <w:noProof/>
              </w:rPr>
              <w:t xml:space="preserve"> </w:t>
            </w:r>
            <w:r>
              <w:rPr>
                <w:noProof/>
              </w:rPr>
              <w:br/>
              <w:t xml:space="preserve"> </w:t>
            </w:r>
            <w:r>
              <w:rPr>
                <w:rFonts w:ascii="Times New Roman" w:hAnsi="Times New Roman"/>
                <w:noProof/>
                <w:sz w:val="18"/>
              </w:rPr>
              <w:t>• Valladolid-Palencia-León</w:t>
            </w:r>
            <w:r>
              <w:rPr>
                <w:noProof/>
              </w:rPr>
              <w:t xml:space="preserve"> </w:t>
            </w:r>
            <w:r>
              <w:rPr>
                <w:noProof/>
              </w:rPr>
              <w:br/>
              <w:t xml:space="preserve"> </w:t>
            </w:r>
            <w:r>
              <w:rPr>
                <w:rFonts w:ascii="Times New Roman" w:hAnsi="Times New Roman"/>
                <w:noProof/>
                <w:sz w:val="18"/>
              </w:rPr>
              <w:t>• León-La Robla-Pola de Lena</w:t>
            </w:r>
            <w:r>
              <w:rPr>
                <w:noProof/>
              </w:rPr>
              <w:t xml:space="preserve"> </w:t>
            </w:r>
            <w:r>
              <w:rPr>
                <w:noProof/>
              </w:rPr>
              <w:br/>
              <w:t xml:space="preserve"> </w:t>
            </w:r>
            <w:r>
              <w:rPr>
                <w:rFonts w:ascii="Times New Roman" w:hAnsi="Times New Roman"/>
                <w:noProof/>
                <w:sz w:val="18"/>
              </w:rPr>
              <w:t>• Castejón-Pamplona-Logroño-Bilbao</w:t>
            </w:r>
          </w:p>
          <w:p w14:paraId="4F7E14A6" w14:textId="0C25F427" w:rsidR="0065073E" w:rsidRPr="00EA2514" w:rsidRDefault="000A0998">
            <w:pPr>
              <w:spacing w:after="0" w:line="240" w:lineRule="auto"/>
              <w:rPr>
                <w:rFonts w:ascii="Times New Roman" w:hAnsi="Times New Roman" w:cs="Times New Roman"/>
                <w:noProof/>
                <w:sz w:val="18"/>
                <w:lang w:val="fr-BE"/>
              </w:rPr>
            </w:pPr>
            <w:r w:rsidRPr="00EA2514">
              <w:rPr>
                <w:rFonts w:ascii="Times New Roman" w:hAnsi="Times New Roman"/>
                <w:noProof/>
                <w:sz w:val="18"/>
                <w:lang w:val="fr-BE"/>
              </w:rPr>
              <w:t>• Coruña-Vigo-Ourense</w:t>
            </w:r>
            <w:r w:rsidRPr="00EA2514">
              <w:rPr>
                <w:noProof/>
                <w:lang w:val="fr-BE"/>
              </w:rPr>
              <w:t xml:space="preserve"> </w:t>
            </w:r>
            <w:r w:rsidRPr="00EA2514">
              <w:rPr>
                <w:noProof/>
                <w:lang w:val="fr-BE"/>
              </w:rPr>
              <w:br/>
            </w:r>
            <w:r w:rsidRPr="00EA2514">
              <w:rPr>
                <w:rFonts w:ascii="Times New Roman" w:hAnsi="Times New Roman"/>
                <w:noProof/>
                <w:sz w:val="18"/>
                <w:lang w:val="fr-BE"/>
              </w:rPr>
              <w:t>• Ourense-Monforte</w:t>
            </w:r>
          </w:p>
          <w:p w14:paraId="25A8B19A" w14:textId="5983C8F2" w:rsidR="0065073E" w:rsidRPr="00EA2514" w:rsidRDefault="000A0998">
            <w:pPr>
              <w:spacing w:after="0"/>
              <w:rPr>
                <w:rFonts w:ascii="Times New Roman" w:hAnsi="Times New Roman" w:cs="Times New Roman"/>
                <w:noProof/>
                <w:sz w:val="18"/>
                <w:lang w:val="fr-BE"/>
              </w:rPr>
            </w:pPr>
            <w:r w:rsidRPr="00EA2514">
              <w:rPr>
                <w:rFonts w:ascii="Times New Roman" w:hAnsi="Times New Roman"/>
                <w:noProof/>
                <w:sz w:val="18"/>
                <w:lang w:val="fr-BE"/>
              </w:rPr>
              <w:t>• Monforte-León</w:t>
            </w:r>
            <w:r w:rsidRPr="00EA2514">
              <w:rPr>
                <w:noProof/>
                <w:lang w:val="fr-BE"/>
              </w:rPr>
              <w:t xml:space="preserve"> </w:t>
            </w:r>
            <w:r w:rsidRPr="00EA2514">
              <w:rPr>
                <w:noProof/>
                <w:lang w:val="fr-BE"/>
              </w:rPr>
              <w:br/>
            </w:r>
            <w:r w:rsidRPr="00EA2514">
              <w:rPr>
                <w:rFonts w:ascii="Times New Roman" w:hAnsi="Times New Roman"/>
                <w:noProof/>
                <w:sz w:val="18"/>
                <w:lang w:val="fr-BE"/>
              </w:rPr>
              <w:t>• Talayuela-Plasencia-Cáceres-Mérida-Badajoz</w:t>
            </w:r>
          </w:p>
          <w:p w14:paraId="1C814A71" w14:textId="3719664A" w:rsidR="0065073E" w:rsidRDefault="000A0998">
            <w:pPr>
              <w:pStyle w:val="P68B1DB1-Normal12"/>
              <w:spacing w:after="0"/>
              <w:jc w:val="both"/>
              <w:rPr>
                <w:rFonts w:cs="Times New Roman"/>
                <w:noProof/>
              </w:rPr>
            </w:pPr>
            <w:r>
              <w:rPr>
                <w:noProof/>
              </w:rPr>
              <w:t xml:space="preserve">• Talayuela-Madrid-Valladolid-Vitoria </w:t>
            </w:r>
          </w:p>
          <w:p w14:paraId="2711880D" w14:textId="45762D7F" w:rsidR="0065073E" w:rsidRDefault="000A0998">
            <w:pPr>
              <w:pStyle w:val="P68B1DB1-Normal12"/>
              <w:spacing w:after="0"/>
              <w:jc w:val="both"/>
              <w:rPr>
                <w:rFonts w:cs="Times New Roman"/>
                <w:noProof/>
              </w:rPr>
            </w:pPr>
            <w:r>
              <w:rPr>
                <w:noProof/>
              </w:rPr>
              <w:t>• Sevilla-Huelva</w:t>
            </w:r>
          </w:p>
          <w:p w14:paraId="7E352252" w14:textId="45762D7F" w:rsidR="0065073E" w:rsidRDefault="000A0998">
            <w:pPr>
              <w:spacing w:after="0" w:line="240" w:lineRule="auto"/>
              <w:rPr>
                <w:rFonts w:ascii="Times New Roman" w:hAnsi="Times New Roman" w:cs="Times New Roman"/>
                <w:noProof/>
                <w:sz w:val="18"/>
              </w:rPr>
            </w:pPr>
            <w:r>
              <w:rPr>
                <w:noProof/>
              </w:rPr>
              <w:t xml:space="preserve"> </w:t>
            </w:r>
            <w:r>
              <w:rPr>
                <w:noProof/>
              </w:rPr>
              <w:br/>
            </w:r>
            <w:r>
              <w:rPr>
                <w:rFonts w:ascii="Times New Roman" w:hAnsi="Times New Roman"/>
                <w:noProof/>
                <w:sz w:val="18"/>
              </w:rPr>
              <w:t>VÄLIMEREN KÄYTÄVÄ:</w:t>
            </w:r>
            <w:r>
              <w:rPr>
                <w:noProof/>
              </w:rPr>
              <w:t xml:space="preserve"> </w:t>
            </w:r>
            <w:r>
              <w:rPr>
                <w:noProof/>
              </w:rPr>
              <w:br/>
            </w:r>
            <w:r>
              <w:rPr>
                <w:rFonts w:ascii="Times New Roman" w:hAnsi="Times New Roman"/>
                <w:noProof/>
                <w:sz w:val="18"/>
              </w:rPr>
              <w:t>• Madrid-Zaragoza-Tarragona</w:t>
            </w:r>
          </w:p>
          <w:p w14:paraId="324E204A" w14:textId="45762D7F" w:rsidR="0065073E" w:rsidRDefault="0065073E">
            <w:pPr>
              <w:spacing w:after="0" w:line="240" w:lineRule="auto"/>
              <w:rPr>
                <w:rFonts w:ascii="Times New Roman" w:hAnsi="Times New Roman" w:cs="Times New Roman"/>
                <w:noProof/>
                <w:sz w:val="18"/>
              </w:rPr>
            </w:pPr>
          </w:p>
          <w:p w14:paraId="43858E69" w14:textId="45762D7F" w:rsidR="0065073E" w:rsidRDefault="000A0998">
            <w:pPr>
              <w:pStyle w:val="P68B1DB1-Normal12"/>
              <w:spacing w:after="0" w:line="240" w:lineRule="auto"/>
              <w:rPr>
                <w:rFonts w:cs="Times New Roman"/>
                <w:noProof/>
              </w:rPr>
            </w:pPr>
            <w:r>
              <w:rPr>
                <w:noProof/>
              </w:rPr>
              <w:t>• Frontera francesa-Barcelona/Tarragona-Vandellós</w:t>
            </w:r>
          </w:p>
          <w:p w14:paraId="4A5AD4EF" w14:textId="45762D7F" w:rsidR="0065073E" w:rsidRDefault="000A0998">
            <w:pPr>
              <w:spacing w:after="0" w:line="240" w:lineRule="auto"/>
              <w:rPr>
                <w:rFonts w:ascii="Times New Roman" w:hAnsi="Times New Roman" w:cs="Times New Roman"/>
                <w:noProof/>
                <w:sz w:val="18"/>
              </w:rPr>
            </w:pPr>
            <w:r>
              <w:rPr>
                <w:rFonts w:ascii="Times New Roman" w:hAnsi="Times New Roman"/>
                <w:noProof/>
                <w:sz w:val="18"/>
              </w:rPr>
              <w:t>• Vandellós-Castellón</w:t>
            </w:r>
            <w:r>
              <w:rPr>
                <w:noProof/>
              </w:rPr>
              <w:t xml:space="preserve"> </w:t>
            </w:r>
            <w:r>
              <w:rPr>
                <w:noProof/>
              </w:rPr>
              <w:br/>
            </w:r>
            <w:r>
              <w:rPr>
                <w:rFonts w:ascii="Times New Roman" w:hAnsi="Times New Roman"/>
                <w:noProof/>
                <w:sz w:val="18"/>
              </w:rPr>
              <w:t>• Sagunto-Teruel – Zaragoza</w:t>
            </w:r>
            <w:r>
              <w:rPr>
                <w:noProof/>
              </w:rPr>
              <w:t xml:space="preserve"> </w:t>
            </w:r>
            <w:r>
              <w:rPr>
                <w:noProof/>
              </w:rPr>
              <w:br/>
              <w:t xml:space="preserve"> </w:t>
            </w:r>
            <w:r>
              <w:rPr>
                <w:rFonts w:ascii="Times New Roman" w:hAnsi="Times New Roman"/>
                <w:noProof/>
                <w:sz w:val="18"/>
              </w:rPr>
              <w:t>• Zaragoza-Tarragona</w:t>
            </w:r>
            <w:r>
              <w:rPr>
                <w:noProof/>
              </w:rPr>
              <w:t xml:space="preserve"> </w:t>
            </w:r>
            <w:r>
              <w:rPr>
                <w:noProof/>
              </w:rPr>
              <w:br/>
              <w:t xml:space="preserve"> </w:t>
            </w:r>
            <w:r>
              <w:rPr>
                <w:rFonts w:ascii="Times New Roman" w:hAnsi="Times New Roman"/>
                <w:noProof/>
                <w:sz w:val="18"/>
              </w:rPr>
              <w:t>• Castellón-Valencia-La Encina-Alicante</w:t>
            </w:r>
          </w:p>
          <w:p w14:paraId="7246D609" w14:textId="7888A4DB" w:rsidR="0065073E" w:rsidRDefault="000A0998">
            <w:pPr>
              <w:spacing w:after="0"/>
              <w:rPr>
                <w:rFonts w:ascii="Times New Roman" w:hAnsi="Times New Roman" w:cs="Times New Roman"/>
                <w:noProof/>
                <w:sz w:val="18"/>
              </w:rPr>
            </w:pPr>
            <w:r>
              <w:rPr>
                <w:rFonts w:ascii="Times New Roman" w:hAnsi="Times New Roman"/>
                <w:noProof/>
                <w:sz w:val="18"/>
              </w:rPr>
              <w:t>• Alcázar de San Juan-La Encina</w:t>
            </w:r>
            <w:r>
              <w:rPr>
                <w:noProof/>
              </w:rPr>
              <w:t xml:space="preserve"> </w:t>
            </w:r>
            <w:r>
              <w:rPr>
                <w:noProof/>
              </w:rPr>
              <w:br/>
            </w:r>
            <w:r>
              <w:rPr>
                <w:rFonts w:ascii="Times New Roman" w:hAnsi="Times New Roman"/>
                <w:noProof/>
                <w:sz w:val="18"/>
              </w:rPr>
              <w:t>• Murcia-Cartagena</w:t>
            </w:r>
            <w:r>
              <w:rPr>
                <w:noProof/>
              </w:rPr>
              <w:t xml:space="preserve"> </w:t>
            </w:r>
            <w:r>
              <w:rPr>
                <w:noProof/>
              </w:rPr>
              <w:br/>
              <w:t xml:space="preserve"> </w:t>
            </w:r>
            <w:r>
              <w:rPr>
                <w:rFonts w:ascii="Times New Roman" w:hAnsi="Times New Roman"/>
                <w:noProof/>
                <w:sz w:val="18"/>
              </w:rPr>
              <w:t>• Murcia-Almería</w:t>
            </w:r>
          </w:p>
          <w:p w14:paraId="6D7E4E24" w14:textId="45762D7F" w:rsidR="0065073E" w:rsidRPr="00EA2514" w:rsidRDefault="000A0998">
            <w:pPr>
              <w:pStyle w:val="P68B1DB1-Normal12"/>
              <w:spacing w:after="0"/>
              <w:rPr>
                <w:rFonts w:cs="Times New Roman"/>
                <w:noProof/>
                <w:lang w:val="fr-BE"/>
              </w:rPr>
            </w:pPr>
            <w:r w:rsidRPr="00EA2514">
              <w:rPr>
                <w:noProof/>
                <w:lang w:val="fr-BE"/>
              </w:rPr>
              <w:t>• Utrera-Antequera Santa Ana</w:t>
            </w:r>
          </w:p>
          <w:p w14:paraId="2188A029" w14:textId="45762D7F" w:rsidR="0065073E" w:rsidRPr="00EA2514" w:rsidRDefault="000A0998">
            <w:pPr>
              <w:pStyle w:val="P68B1DB1-Normal12"/>
              <w:spacing w:after="0"/>
              <w:jc w:val="both"/>
              <w:rPr>
                <w:rFonts w:cs="Times New Roman"/>
                <w:noProof/>
                <w:lang w:val="fr-BE"/>
              </w:rPr>
            </w:pPr>
            <w:r w:rsidRPr="00EA2514">
              <w:rPr>
                <w:noProof/>
                <w:lang w:val="fr-BE"/>
              </w:rPr>
              <w:t>• Madrid-Valencia</w:t>
            </w:r>
          </w:p>
          <w:p w14:paraId="5EB1FC24" w14:textId="1C60FD8C" w:rsidR="0065073E" w:rsidRDefault="000A0998">
            <w:pPr>
              <w:spacing w:after="0" w:line="240" w:lineRule="auto"/>
              <w:rPr>
                <w:rFonts w:ascii="Times New Roman" w:hAnsi="Times New Roman" w:cs="Times New Roman"/>
                <w:noProof/>
                <w:sz w:val="18"/>
              </w:rPr>
            </w:pPr>
            <w:r w:rsidRPr="00EA2514">
              <w:rPr>
                <w:noProof/>
                <w:lang w:val="fr-BE"/>
              </w:rPr>
              <w:t xml:space="preserve"> </w:t>
            </w:r>
            <w:r w:rsidRPr="00DE7145">
              <w:rPr>
                <w:noProof/>
                <w:lang w:val="fi-FI"/>
              </w:rPr>
              <w:br/>
            </w:r>
            <w:r>
              <w:rPr>
                <w:rFonts w:ascii="Times New Roman" w:hAnsi="Times New Roman"/>
                <w:noProof/>
                <w:sz w:val="18"/>
              </w:rPr>
              <w:t>MOLEMMILLE LIIKENNEKÄYTÄVILLE YHTEISET</w:t>
            </w:r>
            <w:r>
              <w:rPr>
                <w:noProof/>
              </w:rPr>
              <w:t xml:space="preserve"> </w:t>
            </w:r>
            <w:r>
              <w:rPr>
                <w:noProof/>
              </w:rPr>
              <w:br/>
              <w:t xml:space="preserve"> </w:t>
            </w:r>
            <w:r>
              <w:rPr>
                <w:rFonts w:ascii="Times New Roman" w:hAnsi="Times New Roman"/>
                <w:noProof/>
                <w:sz w:val="18"/>
              </w:rPr>
              <w:t>• HSL Barcelonan ja HSL Levanten välinen yhteys</w:t>
            </w:r>
            <w:r>
              <w:rPr>
                <w:noProof/>
              </w:rPr>
              <w:t xml:space="preserve"> </w:t>
            </w:r>
            <w:r>
              <w:rPr>
                <w:noProof/>
              </w:rPr>
              <w:br/>
              <w:t xml:space="preserve"> </w:t>
            </w:r>
            <w:r>
              <w:rPr>
                <w:rFonts w:ascii="Times New Roman" w:hAnsi="Times New Roman"/>
                <w:noProof/>
                <w:sz w:val="18"/>
              </w:rPr>
              <w:t>• Aranjuez-Alcázar de San Juan-Manzanares-Córdoba-Algeciras</w:t>
            </w:r>
            <w:r>
              <w:rPr>
                <w:noProof/>
              </w:rPr>
              <w:t xml:space="preserve"> </w:t>
            </w:r>
            <w:r>
              <w:rPr>
                <w:noProof/>
              </w:rPr>
              <w:br/>
              <w:t xml:space="preserve"> </w:t>
            </w:r>
            <w:r>
              <w:rPr>
                <w:rFonts w:ascii="Times New Roman" w:hAnsi="Times New Roman"/>
                <w:noProof/>
                <w:sz w:val="18"/>
              </w:rPr>
              <w:t>• Madrid-Sevilla</w:t>
            </w:r>
            <w:r>
              <w:rPr>
                <w:noProof/>
              </w:rPr>
              <w:t xml:space="preserve"> </w:t>
            </w:r>
            <w:r>
              <w:rPr>
                <w:noProof/>
              </w:rPr>
              <w:br/>
              <w:t xml:space="preserve"> </w:t>
            </w:r>
            <w:r>
              <w:rPr>
                <w:rFonts w:ascii="Times New Roman" w:hAnsi="Times New Roman"/>
                <w:noProof/>
                <w:sz w:val="18"/>
              </w:rPr>
              <w:t xml:space="preserve">Toimien on kuuluttava yhteen tai useampaan seuraavista tyypeistä: </w:t>
            </w:r>
            <w:r>
              <w:rPr>
                <w:noProof/>
              </w:rPr>
              <w:t xml:space="preserve"> </w:t>
            </w:r>
            <w:r>
              <w:rPr>
                <w:noProof/>
              </w:rPr>
              <w:br/>
            </w:r>
            <w:r>
              <w:rPr>
                <w:rFonts w:ascii="Times New Roman" w:hAnsi="Times New Roman"/>
                <w:noProof/>
                <w:sz w:val="18"/>
              </w:rPr>
              <w:t>• Alusta. Siihen sisältyy hankkeita, joiden avulla voidaan perustaa raiteita tukeva infrastruktuuri, johon kuuluvat muun muassa pengerrykset, raivaus, kaapelikanavat, tunnelit jne. Nämä ovat pääasiassa uuden infrastruktuurin rakentamista.</w:t>
            </w:r>
            <w:r>
              <w:rPr>
                <w:noProof/>
              </w:rPr>
              <w:t xml:space="preserve"> </w:t>
            </w:r>
            <w:r>
              <w:rPr>
                <w:noProof/>
              </w:rPr>
              <w:br/>
            </w:r>
            <w:r>
              <w:rPr>
                <w:rFonts w:ascii="Times New Roman" w:hAnsi="Times New Roman"/>
                <w:noProof/>
                <w:sz w:val="18"/>
              </w:rPr>
              <w:t>• Palvelujen uusiminen. Siihen sisältyy toimia, joilla pyritään ennallistamaan olemassa olevia palveluja (kevyt, kastelu, vesi jne.), joihin rautatietöiden toteuttaminen vaikuttaa.</w:t>
            </w:r>
            <w:r>
              <w:rPr>
                <w:noProof/>
              </w:rPr>
              <w:t xml:space="preserve"> </w:t>
            </w:r>
            <w:r>
              <w:rPr>
                <w:noProof/>
              </w:rPr>
              <w:br/>
            </w:r>
            <w:r>
              <w:rPr>
                <w:rFonts w:ascii="Times New Roman" w:hAnsi="Times New Roman"/>
                <w:noProof/>
                <w:sz w:val="18"/>
              </w:rPr>
              <w:t>• Raiteet. Siihen sisältyy toimia, jotka koskevat radan materiaalien (virranrajoitin, ratapölkkyjen, kiskojen, kytkimien ja laajennuslaitteiden) kokoonpanoa ja toimittamista uusilla rautatieosuuksilla sekä olemassa olevien raiteiden uusimista.</w:t>
            </w:r>
            <w:r>
              <w:rPr>
                <w:noProof/>
              </w:rPr>
              <w:t xml:space="preserve"> </w:t>
            </w:r>
            <w:r>
              <w:rPr>
                <w:noProof/>
              </w:rPr>
              <w:br/>
            </w:r>
            <w:r>
              <w:rPr>
                <w:rFonts w:ascii="Times New Roman" w:hAnsi="Times New Roman"/>
                <w:noProof/>
                <w:sz w:val="18"/>
              </w:rPr>
              <w:t>• Sähkö. Siihen sisältyy toimia, joiden tavoitteena on ratojen sähköistäminen, mukaan lukien seuraavat: ajojohdin, ajovoiman syöttöasemat, muunnoskeskukset, tehon kaukosäädin, suurjännitejohdot jne.</w:t>
            </w:r>
            <w:r>
              <w:rPr>
                <w:noProof/>
              </w:rPr>
              <w:t xml:space="preserve"> </w:t>
            </w:r>
            <w:r>
              <w:rPr>
                <w:noProof/>
              </w:rPr>
              <w:br/>
              <w:t xml:space="preserve"> </w:t>
            </w:r>
            <w:r>
              <w:rPr>
                <w:rFonts w:ascii="Times New Roman" w:hAnsi="Times New Roman"/>
                <w:noProof/>
                <w:sz w:val="18"/>
              </w:rPr>
              <w:t>• Liikennemerkinanto ja -ohjaus. Siihen sisältyy hankkeita, joiden tarkoituksena on ottaa käyttöön uusia merkinanto- ja liikenteenvalvontajärjestelmiä (ERTMS jne.).</w:t>
            </w:r>
            <w:r>
              <w:rPr>
                <w:noProof/>
              </w:rPr>
              <w:t xml:space="preserve"> </w:t>
            </w:r>
            <w:r>
              <w:rPr>
                <w:noProof/>
              </w:rPr>
              <w:br/>
            </w:r>
            <w:r>
              <w:rPr>
                <w:rFonts w:ascii="Times New Roman" w:hAnsi="Times New Roman"/>
                <w:noProof/>
                <w:sz w:val="18"/>
              </w:rPr>
              <w:t>• Televiestintä. Sisältää kiinteän ja matkaviestinverkon televiestintään liittyvät hankkeet rautateillä (kuten valokuituoptiikka, GSM-R)</w:t>
            </w:r>
            <w:r>
              <w:rPr>
                <w:noProof/>
              </w:rPr>
              <w:t xml:space="preserve"> </w:t>
            </w:r>
            <w:r>
              <w:rPr>
                <w:noProof/>
              </w:rPr>
              <w:br/>
              <w:t xml:space="preserve"> </w:t>
            </w:r>
            <w:r>
              <w:rPr>
                <w:rFonts w:ascii="Times New Roman" w:hAnsi="Times New Roman"/>
                <w:noProof/>
                <w:sz w:val="18"/>
              </w:rPr>
              <w:t>• Asemat. Siihen sisältyy nykyisten asemien parantaminen ja kunnostaminen sekä uusien asemien rakentaminen.</w:t>
            </w:r>
          </w:p>
        </w:tc>
      </w:tr>
      <w:tr w:rsidR="0065073E" w14:paraId="79F038B6" w14:textId="77777777">
        <w:trPr>
          <w:trHeight w:val="309"/>
        </w:trPr>
        <w:tc>
          <w:tcPr>
            <w:tcW w:w="832" w:type="dxa"/>
            <w:shd w:val="clear" w:color="auto" w:fill="C6EFCE"/>
            <w:noWrap/>
          </w:tcPr>
          <w:p w14:paraId="4894D1EF" w14:textId="77777777" w:rsidR="0065073E" w:rsidRDefault="000A0998">
            <w:pPr>
              <w:pStyle w:val="P68B1DB1-Normal12"/>
              <w:spacing w:after="0" w:line="240" w:lineRule="auto"/>
              <w:jc w:val="center"/>
              <w:rPr>
                <w:rFonts w:cs="Times New Roman"/>
                <w:noProof/>
              </w:rPr>
            </w:pPr>
            <w:r>
              <w:rPr>
                <w:noProof/>
              </w:rPr>
              <w:t>86</w:t>
            </w:r>
          </w:p>
        </w:tc>
        <w:tc>
          <w:tcPr>
            <w:tcW w:w="828" w:type="dxa"/>
            <w:shd w:val="clear" w:color="auto" w:fill="C6EFCE"/>
            <w:noWrap/>
          </w:tcPr>
          <w:p w14:paraId="6E297F68" w14:textId="77777777" w:rsidR="0065073E" w:rsidRDefault="000A0998">
            <w:pPr>
              <w:pStyle w:val="P68B1DB1-Normal12"/>
              <w:spacing w:after="0" w:line="240" w:lineRule="auto"/>
              <w:jc w:val="center"/>
              <w:rPr>
                <w:rFonts w:cs="Times New Roman"/>
                <w:noProof/>
              </w:rPr>
            </w:pPr>
            <w:r>
              <w:rPr>
                <w:noProof/>
              </w:rPr>
              <w:t>C6.I1</w:t>
            </w:r>
          </w:p>
        </w:tc>
        <w:tc>
          <w:tcPr>
            <w:tcW w:w="827" w:type="dxa"/>
            <w:shd w:val="clear" w:color="auto" w:fill="C6EFCE"/>
            <w:noWrap/>
          </w:tcPr>
          <w:p w14:paraId="5CEACC07" w14:textId="77777777" w:rsidR="0065073E" w:rsidRDefault="000A0998">
            <w:pPr>
              <w:pStyle w:val="P68B1DB1-Normal12"/>
              <w:spacing w:after="0" w:line="240" w:lineRule="auto"/>
              <w:jc w:val="center"/>
              <w:rPr>
                <w:rFonts w:cs="Times New Roman"/>
                <w:noProof/>
              </w:rPr>
            </w:pPr>
            <w:r>
              <w:rPr>
                <w:noProof/>
              </w:rPr>
              <w:t>T</w:t>
            </w:r>
          </w:p>
        </w:tc>
        <w:tc>
          <w:tcPr>
            <w:tcW w:w="1515" w:type="dxa"/>
            <w:shd w:val="clear" w:color="auto" w:fill="C6EFCE"/>
            <w:noWrap/>
          </w:tcPr>
          <w:p w14:paraId="73D30899" w14:textId="77777777" w:rsidR="0065073E" w:rsidRDefault="000A0998">
            <w:pPr>
              <w:pStyle w:val="P68B1DB1-Normal12"/>
              <w:spacing w:after="0" w:line="240" w:lineRule="auto"/>
              <w:rPr>
                <w:rFonts w:cs="Times New Roman"/>
                <w:noProof/>
              </w:rPr>
            </w:pPr>
            <w:r>
              <w:rPr>
                <w:noProof/>
              </w:rPr>
              <w:t xml:space="preserve">TEN-T-ydinverkko: työskentelyn edistyminen </w:t>
            </w:r>
          </w:p>
        </w:tc>
        <w:tc>
          <w:tcPr>
            <w:tcW w:w="1102" w:type="dxa"/>
            <w:shd w:val="clear" w:color="auto" w:fill="C6EFCE"/>
            <w:noWrap/>
          </w:tcPr>
          <w:p w14:paraId="6A09E912" w14:textId="77777777" w:rsidR="0065073E" w:rsidRDefault="000A0998">
            <w:pPr>
              <w:pStyle w:val="P68B1DB1-Normal12"/>
              <w:spacing w:after="0" w:line="240" w:lineRule="auto"/>
              <w:jc w:val="center"/>
              <w:rPr>
                <w:rFonts w:cs="Times New Roman"/>
                <w:noProof/>
              </w:rPr>
            </w:pPr>
            <w:r>
              <w:rPr>
                <w:noProof/>
              </w:rPr>
              <w:t>—</w:t>
            </w:r>
          </w:p>
        </w:tc>
        <w:tc>
          <w:tcPr>
            <w:tcW w:w="992" w:type="dxa"/>
            <w:shd w:val="clear" w:color="auto" w:fill="C6EFCE"/>
            <w:noWrap/>
          </w:tcPr>
          <w:p w14:paraId="3E935E90" w14:textId="77777777" w:rsidR="0065073E" w:rsidRDefault="000A0998">
            <w:pPr>
              <w:pStyle w:val="P68B1DB1-Normal12"/>
              <w:spacing w:after="0" w:line="240" w:lineRule="auto"/>
              <w:jc w:val="center"/>
              <w:rPr>
                <w:rFonts w:cs="Times New Roman"/>
                <w:noProof/>
              </w:rPr>
            </w:pPr>
            <w:r>
              <w:rPr>
                <w:noProof/>
              </w:rPr>
              <w:t>Lukumäärä (km)</w:t>
            </w:r>
          </w:p>
        </w:tc>
        <w:tc>
          <w:tcPr>
            <w:tcW w:w="964" w:type="dxa"/>
            <w:shd w:val="clear" w:color="auto" w:fill="C6EFCE"/>
            <w:noWrap/>
          </w:tcPr>
          <w:p w14:paraId="674C0320" w14:textId="77777777" w:rsidR="0065073E" w:rsidRDefault="000A0998">
            <w:pPr>
              <w:pStyle w:val="P68B1DB1-Normal12"/>
              <w:spacing w:after="0" w:line="240" w:lineRule="auto"/>
              <w:jc w:val="right"/>
              <w:rPr>
                <w:rFonts w:cs="Times New Roman"/>
                <w:noProof/>
              </w:rPr>
            </w:pPr>
            <w:r>
              <w:rPr>
                <w:noProof/>
              </w:rPr>
              <w:t>0</w:t>
            </w:r>
          </w:p>
        </w:tc>
        <w:tc>
          <w:tcPr>
            <w:tcW w:w="552" w:type="dxa"/>
            <w:shd w:val="clear" w:color="auto" w:fill="C6EFCE"/>
            <w:noWrap/>
          </w:tcPr>
          <w:p w14:paraId="14BEB24D" w14:textId="77777777" w:rsidR="0065073E" w:rsidRDefault="000A0998">
            <w:pPr>
              <w:pStyle w:val="P68B1DB1-Normal12"/>
              <w:spacing w:after="0" w:line="240" w:lineRule="auto"/>
              <w:jc w:val="right"/>
              <w:rPr>
                <w:rFonts w:cs="Times New Roman"/>
                <w:noProof/>
              </w:rPr>
            </w:pPr>
            <w:r>
              <w:rPr>
                <w:noProof/>
              </w:rPr>
              <w:t>335</w:t>
            </w:r>
          </w:p>
        </w:tc>
        <w:tc>
          <w:tcPr>
            <w:tcW w:w="414" w:type="dxa"/>
            <w:shd w:val="clear" w:color="auto" w:fill="C6EFCE"/>
            <w:noWrap/>
          </w:tcPr>
          <w:p w14:paraId="0171B95B" w14:textId="77777777" w:rsidR="0065073E" w:rsidRDefault="000A0998">
            <w:pPr>
              <w:pStyle w:val="P68B1DB1-Normal12"/>
              <w:spacing w:after="0" w:line="240" w:lineRule="auto"/>
              <w:jc w:val="center"/>
              <w:rPr>
                <w:rFonts w:cs="Times New Roman"/>
                <w:noProof/>
              </w:rPr>
            </w:pPr>
            <w:r>
              <w:rPr>
                <w:noProof/>
              </w:rPr>
              <w:t>Q4</w:t>
            </w:r>
          </w:p>
        </w:tc>
        <w:tc>
          <w:tcPr>
            <w:tcW w:w="552" w:type="dxa"/>
            <w:shd w:val="clear" w:color="auto" w:fill="C6EFCE"/>
            <w:noWrap/>
          </w:tcPr>
          <w:p w14:paraId="665BC6A2" w14:textId="77777777" w:rsidR="0065073E" w:rsidRDefault="000A0998">
            <w:pPr>
              <w:pStyle w:val="P68B1DB1-Normal12"/>
              <w:spacing w:after="0" w:line="240" w:lineRule="auto"/>
              <w:jc w:val="center"/>
              <w:rPr>
                <w:rFonts w:cs="Times New Roman"/>
                <w:noProof/>
              </w:rPr>
            </w:pPr>
            <w:r>
              <w:rPr>
                <w:noProof/>
              </w:rPr>
              <w:t>2024</w:t>
            </w:r>
          </w:p>
        </w:tc>
        <w:tc>
          <w:tcPr>
            <w:tcW w:w="5885" w:type="dxa"/>
            <w:shd w:val="clear" w:color="auto" w:fill="C6EFCE"/>
            <w:noWrap/>
          </w:tcPr>
          <w:p w14:paraId="3DD4BD97" w14:textId="77777777" w:rsidR="0065073E" w:rsidRDefault="000A0998">
            <w:pPr>
              <w:pStyle w:val="P68B1DB1-Normal12"/>
              <w:spacing w:after="0" w:line="240" w:lineRule="auto"/>
              <w:rPr>
                <w:rFonts w:cs="Times New Roman"/>
                <w:noProof/>
              </w:rPr>
            </w:pPr>
            <w:r>
              <w:rPr>
                <w:noProof/>
              </w:rPr>
              <w:t xml:space="preserve">Vähintään 335 kilometriä päätökseen saatettuja töitä TEN-T-ydinverkossa käytävillä, joilla on vuoden 2022 neljännen neljänneksen tavoitteessa #85 määritellyt ominaisuudet </w:t>
            </w:r>
          </w:p>
        </w:tc>
      </w:tr>
      <w:tr w:rsidR="0065073E" w14:paraId="33F640E8" w14:textId="77777777">
        <w:trPr>
          <w:trHeight w:val="309"/>
        </w:trPr>
        <w:tc>
          <w:tcPr>
            <w:tcW w:w="832" w:type="dxa"/>
            <w:shd w:val="clear" w:color="auto" w:fill="C6EFCE"/>
            <w:noWrap/>
          </w:tcPr>
          <w:p w14:paraId="67DDB69B" w14:textId="77777777" w:rsidR="0065073E" w:rsidRDefault="000A0998">
            <w:pPr>
              <w:pStyle w:val="P68B1DB1-Normal12"/>
              <w:spacing w:after="0" w:line="240" w:lineRule="auto"/>
              <w:jc w:val="center"/>
              <w:rPr>
                <w:rFonts w:eastAsia="Calibri" w:cs="Times New Roman"/>
                <w:noProof/>
              </w:rPr>
            </w:pPr>
            <w:r>
              <w:rPr>
                <w:noProof/>
              </w:rPr>
              <w:t>87</w:t>
            </w:r>
          </w:p>
        </w:tc>
        <w:tc>
          <w:tcPr>
            <w:tcW w:w="828" w:type="dxa"/>
            <w:shd w:val="clear" w:color="auto" w:fill="C6EFCE"/>
            <w:noWrap/>
          </w:tcPr>
          <w:p w14:paraId="1322D1FC" w14:textId="77777777" w:rsidR="0065073E" w:rsidRDefault="000A0998">
            <w:pPr>
              <w:pStyle w:val="P68B1DB1-Normal12"/>
              <w:spacing w:after="0" w:line="240" w:lineRule="auto"/>
              <w:jc w:val="center"/>
              <w:rPr>
                <w:rFonts w:eastAsia="Calibri" w:cs="Times New Roman"/>
                <w:noProof/>
              </w:rPr>
            </w:pPr>
            <w:r>
              <w:rPr>
                <w:noProof/>
              </w:rPr>
              <w:t>C6.I1</w:t>
            </w:r>
          </w:p>
        </w:tc>
        <w:tc>
          <w:tcPr>
            <w:tcW w:w="827" w:type="dxa"/>
            <w:shd w:val="clear" w:color="auto" w:fill="C6EFCE"/>
            <w:noWrap/>
          </w:tcPr>
          <w:p w14:paraId="3C81BE46"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70B957AF" w14:textId="77777777" w:rsidR="0065073E" w:rsidRDefault="000A0998">
            <w:pPr>
              <w:pStyle w:val="P68B1DB1-Normal12"/>
              <w:spacing w:after="0" w:line="240" w:lineRule="auto"/>
              <w:rPr>
                <w:rFonts w:eastAsia="Calibri" w:cs="Times New Roman"/>
                <w:noProof/>
              </w:rPr>
            </w:pPr>
            <w:r>
              <w:rPr>
                <w:noProof/>
              </w:rPr>
              <w:t xml:space="preserve">TEN-T-ydinverkko: töiden loppuun saattaminen </w:t>
            </w:r>
          </w:p>
        </w:tc>
        <w:tc>
          <w:tcPr>
            <w:tcW w:w="1102" w:type="dxa"/>
            <w:shd w:val="clear" w:color="auto" w:fill="C6EFCE"/>
            <w:noWrap/>
          </w:tcPr>
          <w:p w14:paraId="33E67AC6"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1C84F6D9" w14:textId="77777777" w:rsidR="0065073E" w:rsidRDefault="000A0998">
            <w:pPr>
              <w:pStyle w:val="P68B1DB1-Normal12"/>
              <w:spacing w:after="0" w:line="240" w:lineRule="auto"/>
              <w:jc w:val="center"/>
              <w:rPr>
                <w:rFonts w:eastAsia="Calibri" w:cs="Times New Roman"/>
                <w:noProof/>
              </w:rPr>
            </w:pPr>
            <w:r>
              <w:rPr>
                <w:noProof/>
              </w:rPr>
              <w:t>Lukumäärä (km)</w:t>
            </w:r>
          </w:p>
        </w:tc>
        <w:tc>
          <w:tcPr>
            <w:tcW w:w="964" w:type="dxa"/>
            <w:shd w:val="clear" w:color="auto" w:fill="C6EFCE"/>
            <w:noWrap/>
          </w:tcPr>
          <w:p w14:paraId="2996073B" w14:textId="77777777" w:rsidR="0065073E" w:rsidRDefault="000A0998">
            <w:pPr>
              <w:pStyle w:val="P68B1DB1-Normal12"/>
              <w:spacing w:after="0" w:line="240" w:lineRule="auto"/>
              <w:jc w:val="right"/>
              <w:rPr>
                <w:rFonts w:eastAsia="Calibri" w:cs="Times New Roman"/>
                <w:noProof/>
              </w:rPr>
            </w:pPr>
            <w:r>
              <w:rPr>
                <w:noProof/>
              </w:rPr>
              <w:t>335</w:t>
            </w:r>
          </w:p>
        </w:tc>
        <w:tc>
          <w:tcPr>
            <w:tcW w:w="552" w:type="dxa"/>
            <w:shd w:val="clear" w:color="auto" w:fill="C6EFCE"/>
            <w:noWrap/>
          </w:tcPr>
          <w:p w14:paraId="6671B730" w14:textId="77777777" w:rsidR="0065073E" w:rsidRDefault="000A0998">
            <w:pPr>
              <w:pStyle w:val="P68B1DB1-Normal12"/>
              <w:spacing w:after="0" w:line="240" w:lineRule="auto"/>
              <w:jc w:val="right"/>
              <w:rPr>
                <w:rFonts w:eastAsia="Calibri" w:cs="Times New Roman"/>
                <w:noProof/>
              </w:rPr>
            </w:pPr>
            <w:r>
              <w:rPr>
                <w:noProof/>
              </w:rPr>
              <w:t>1 400</w:t>
            </w:r>
          </w:p>
        </w:tc>
        <w:tc>
          <w:tcPr>
            <w:tcW w:w="414" w:type="dxa"/>
            <w:shd w:val="clear" w:color="auto" w:fill="C6EFCE"/>
            <w:noWrap/>
          </w:tcPr>
          <w:p w14:paraId="39627014"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10641807"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79709815" w14:textId="77777777" w:rsidR="0065073E" w:rsidRDefault="000A0998">
            <w:pPr>
              <w:pStyle w:val="P68B1DB1-Normal12"/>
              <w:spacing w:after="0" w:line="240" w:lineRule="auto"/>
              <w:rPr>
                <w:rFonts w:eastAsia="Calibri" w:cs="Times New Roman"/>
                <w:noProof/>
              </w:rPr>
            </w:pPr>
            <w:r>
              <w:rPr>
                <w:noProof/>
              </w:rPr>
              <w:t>Vähintään 1400 kilometriä päätökseen saatettuja töitä TEN-T-ydinverkossa käytävillä, joilla on vuoden 2022 neljännen neljänneksen tavoitteessa #85 määritellyt ominaisuudet. (perustaso: Joulukuuta 2024).</w:t>
            </w:r>
          </w:p>
        </w:tc>
      </w:tr>
      <w:tr w:rsidR="0065073E" w14:paraId="476E2B6F" w14:textId="77777777">
        <w:trPr>
          <w:trHeight w:val="309"/>
        </w:trPr>
        <w:tc>
          <w:tcPr>
            <w:tcW w:w="832" w:type="dxa"/>
            <w:shd w:val="clear" w:color="auto" w:fill="C6EFCE"/>
            <w:noWrap/>
          </w:tcPr>
          <w:p w14:paraId="1DCB3458" w14:textId="3096FFE1" w:rsidR="0065073E" w:rsidRDefault="000A0998">
            <w:pPr>
              <w:pStyle w:val="P68B1DB1-Normal12"/>
              <w:spacing w:after="0" w:line="240" w:lineRule="auto"/>
              <w:jc w:val="center"/>
              <w:rPr>
                <w:rFonts w:eastAsia="Calibri" w:cs="Times New Roman"/>
                <w:noProof/>
              </w:rPr>
            </w:pPr>
            <w:r>
              <w:rPr>
                <w:noProof/>
              </w:rPr>
              <w:t>88</w:t>
            </w:r>
          </w:p>
        </w:tc>
        <w:tc>
          <w:tcPr>
            <w:tcW w:w="828" w:type="dxa"/>
            <w:shd w:val="clear" w:color="auto" w:fill="C6EFCE"/>
            <w:noWrap/>
          </w:tcPr>
          <w:p w14:paraId="36E9323E"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374870AA" w14:textId="4FEB941D"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11FE6E32" w14:textId="1B9DF57A" w:rsidR="0065073E" w:rsidRDefault="000A0998">
            <w:pPr>
              <w:pStyle w:val="P68B1DB1-Normal12"/>
              <w:spacing w:after="0" w:line="240" w:lineRule="auto"/>
              <w:rPr>
                <w:rFonts w:eastAsia="Calibri" w:cs="Times New Roman"/>
                <w:noProof/>
              </w:rPr>
            </w:pPr>
            <w:r>
              <w:rPr>
                <w:noProof/>
              </w:rPr>
              <w:t xml:space="preserve">TEN-T-verkko Rautatieliikenne ja valtion tieverkko, josta on tehty sopimukset </w:t>
            </w:r>
          </w:p>
        </w:tc>
        <w:tc>
          <w:tcPr>
            <w:tcW w:w="1102" w:type="dxa"/>
            <w:shd w:val="clear" w:color="auto" w:fill="C6EFCE"/>
            <w:noWrap/>
          </w:tcPr>
          <w:p w14:paraId="112BB7C3" w14:textId="15DF141A" w:rsidR="0065073E" w:rsidRDefault="0065073E">
            <w:pPr>
              <w:spacing w:after="0" w:line="240" w:lineRule="auto"/>
              <w:jc w:val="center"/>
              <w:rPr>
                <w:rFonts w:ascii="Times New Roman" w:eastAsia="Calibri" w:hAnsi="Times New Roman" w:cs="Times New Roman"/>
                <w:noProof/>
                <w:sz w:val="18"/>
              </w:rPr>
            </w:pPr>
          </w:p>
        </w:tc>
        <w:tc>
          <w:tcPr>
            <w:tcW w:w="992" w:type="dxa"/>
            <w:shd w:val="clear" w:color="auto" w:fill="C6EFCE"/>
            <w:noWrap/>
          </w:tcPr>
          <w:p w14:paraId="3BAC30D4" w14:textId="1E65182C" w:rsidR="0065073E" w:rsidRDefault="000A0998">
            <w:pPr>
              <w:pStyle w:val="P68B1DB1-Normal12"/>
              <w:spacing w:after="0" w:line="240" w:lineRule="auto"/>
              <w:jc w:val="right"/>
              <w:rPr>
                <w:rFonts w:eastAsia="Calibri" w:cs="Times New Roman"/>
                <w:noProof/>
              </w:rPr>
            </w:pPr>
            <w:r>
              <w:rPr>
                <w:noProof/>
              </w:rPr>
              <w:t xml:space="preserve">Sopimus tai muu oikeudellinen asiakirja </w:t>
            </w:r>
          </w:p>
        </w:tc>
        <w:tc>
          <w:tcPr>
            <w:tcW w:w="964" w:type="dxa"/>
            <w:shd w:val="clear" w:color="auto" w:fill="C6EFCE"/>
            <w:noWrap/>
          </w:tcPr>
          <w:p w14:paraId="77ABD302" w14:textId="7FFAB9CF" w:rsidR="0065073E" w:rsidRDefault="000A0998">
            <w:pPr>
              <w:pStyle w:val="P68B1DB1-Normal12"/>
              <w:spacing w:after="0" w:line="240" w:lineRule="auto"/>
              <w:jc w:val="right"/>
              <w:rPr>
                <w:rFonts w:eastAsia="Calibri" w:cs="Times New Roman"/>
                <w:noProof/>
              </w:rPr>
            </w:pPr>
            <w:r>
              <w:rPr>
                <w:noProof/>
              </w:rPr>
              <w:t xml:space="preserve">0 </w:t>
            </w:r>
          </w:p>
        </w:tc>
        <w:tc>
          <w:tcPr>
            <w:tcW w:w="552" w:type="dxa"/>
            <w:shd w:val="clear" w:color="auto" w:fill="C6EFCE"/>
            <w:noWrap/>
          </w:tcPr>
          <w:p w14:paraId="68605206" w14:textId="5EE29FE5" w:rsidR="0065073E" w:rsidRDefault="000A0998">
            <w:pPr>
              <w:pStyle w:val="P68B1DB1-Normal12"/>
              <w:spacing w:after="0" w:line="240" w:lineRule="auto"/>
              <w:jc w:val="right"/>
              <w:rPr>
                <w:rFonts w:eastAsia="Calibri" w:cs="Times New Roman"/>
                <w:noProof/>
              </w:rPr>
            </w:pPr>
            <w:r>
              <w:rPr>
                <w:noProof/>
              </w:rPr>
              <w:t xml:space="preserve">188 </w:t>
            </w:r>
          </w:p>
        </w:tc>
        <w:tc>
          <w:tcPr>
            <w:tcW w:w="414" w:type="dxa"/>
            <w:shd w:val="clear" w:color="auto" w:fill="C6EFCE"/>
            <w:noWrap/>
          </w:tcPr>
          <w:p w14:paraId="79A890B5"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069484E3" w14:textId="77777777" w:rsidR="0065073E" w:rsidRDefault="000A0998">
            <w:pPr>
              <w:pStyle w:val="P68B1DB1-Normal12"/>
              <w:spacing w:after="0" w:line="240" w:lineRule="auto"/>
              <w:jc w:val="center"/>
              <w:rPr>
                <w:rFonts w:eastAsia="Calibri" w:cs="Times New Roman"/>
                <w:noProof/>
              </w:rPr>
            </w:pPr>
            <w:r>
              <w:rPr>
                <w:noProof/>
              </w:rPr>
              <w:t>2022</w:t>
            </w:r>
          </w:p>
        </w:tc>
        <w:tc>
          <w:tcPr>
            <w:tcW w:w="5885" w:type="dxa"/>
            <w:shd w:val="clear" w:color="auto" w:fill="C6EFCE"/>
            <w:noWrap/>
          </w:tcPr>
          <w:p w14:paraId="29B783A3" w14:textId="412149BB"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 xml:space="preserve">Vähintään 188 sopimusta tai muuta oikeudellista välinettä, joihin sisältyy toimia eri liikennemuodoissa: rautatiealan tukitoimet TEN-T-ydinverkon ulkopuolella ja valtion tieverkon maanteillä </w:t>
            </w:r>
            <w:r>
              <w:rPr>
                <w:noProof/>
              </w:rPr>
              <w:t xml:space="preserve"> </w:t>
            </w:r>
            <w:r>
              <w:rPr>
                <w:noProof/>
              </w:rPr>
              <w:br/>
            </w:r>
            <w:r>
              <w:rPr>
                <w:rFonts w:ascii="Times New Roman" w:hAnsi="Times New Roman"/>
                <w:noProof/>
                <w:sz w:val="18"/>
              </w:rPr>
              <w:t>rautatieliikenteen osalta tukitoimien on kuuluttava yhteen tai useampaan seuraavista tukitoimityypeistä:</w:t>
            </w:r>
            <w:r>
              <w:rPr>
                <w:noProof/>
              </w:rPr>
              <w:t xml:space="preserve"> </w:t>
            </w:r>
            <w:r>
              <w:rPr>
                <w:noProof/>
              </w:rPr>
              <w:br/>
            </w:r>
            <w:r>
              <w:rPr>
                <w:rFonts w:ascii="Times New Roman" w:hAnsi="Times New Roman"/>
                <w:noProof/>
                <w:sz w:val="18"/>
              </w:rPr>
              <w:t>• Rautatieliikenteen hallinnan teknisen infrastruktuurin parantaminen</w:t>
            </w:r>
            <w:r>
              <w:rPr>
                <w:noProof/>
              </w:rPr>
              <w:t xml:space="preserve"> </w:t>
            </w:r>
            <w:r>
              <w:rPr>
                <w:noProof/>
              </w:rPr>
              <w:br/>
              <w:t xml:space="preserve"> </w:t>
            </w:r>
            <w:r>
              <w:rPr>
                <w:rFonts w:ascii="Times New Roman" w:hAnsi="Times New Roman"/>
                <w:noProof/>
                <w:sz w:val="18"/>
              </w:rPr>
              <w:t>• Turvallisuus (kuten kyberturvallisuus, törmäysilmaisimien asentaminen)</w:t>
            </w:r>
            <w:r>
              <w:rPr>
                <w:noProof/>
              </w:rPr>
              <w:t xml:space="preserve"> </w:t>
            </w:r>
            <w:r>
              <w:rPr>
                <w:noProof/>
              </w:rPr>
              <w:br/>
              <w:t xml:space="preserve"> </w:t>
            </w:r>
            <w:r>
              <w:rPr>
                <w:rFonts w:ascii="Times New Roman" w:hAnsi="Times New Roman"/>
                <w:noProof/>
                <w:sz w:val="18"/>
              </w:rPr>
              <w:t>• Akustiset suojaukset/melukartat</w:t>
            </w:r>
            <w:r>
              <w:rPr>
                <w:noProof/>
              </w:rPr>
              <w:t xml:space="preserve"> </w:t>
            </w:r>
            <w:r>
              <w:rPr>
                <w:noProof/>
              </w:rPr>
              <w:br/>
              <w:t xml:space="preserve"> </w:t>
            </w:r>
            <w:r>
              <w:rPr>
                <w:rFonts w:ascii="Times New Roman" w:hAnsi="Times New Roman"/>
                <w:noProof/>
                <w:sz w:val="18"/>
              </w:rPr>
              <w:t>• ERTMS:n rautatieliikenteen merkinantoon sovellettavan satelliittiteknologian kehittäminen</w:t>
            </w:r>
            <w:r>
              <w:rPr>
                <w:noProof/>
              </w:rPr>
              <w:t xml:space="preserve"> </w:t>
            </w:r>
            <w:r>
              <w:rPr>
                <w:noProof/>
              </w:rPr>
              <w:br/>
              <w:t xml:space="preserve"> </w:t>
            </w:r>
            <w:r>
              <w:rPr>
                <w:rFonts w:ascii="Times New Roman" w:hAnsi="Times New Roman"/>
                <w:noProof/>
                <w:sz w:val="18"/>
              </w:rPr>
              <w:t>• Osuuksien sähköistäminen (kuten Monforte-Lugo)</w:t>
            </w:r>
            <w:r>
              <w:rPr>
                <w:noProof/>
              </w:rPr>
              <w:t xml:space="preserve"> </w:t>
            </w:r>
            <w:r>
              <w:rPr>
                <w:noProof/>
              </w:rPr>
              <w:br/>
              <w:t xml:space="preserve"> </w:t>
            </w:r>
            <w:r>
              <w:rPr>
                <w:rFonts w:ascii="Times New Roman" w:hAnsi="Times New Roman"/>
                <w:noProof/>
                <w:sz w:val="18"/>
              </w:rPr>
              <w:t>• Radan uusiminen (esim. Soria-Torralba ja Monforte-Lugo)</w:t>
            </w:r>
            <w:r>
              <w:rPr>
                <w:noProof/>
              </w:rPr>
              <w:t xml:space="preserve"> </w:t>
            </w:r>
            <w:r>
              <w:rPr>
                <w:noProof/>
              </w:rPr>
              <w:br/>
              <w:t xml:space="preserve"> </w:t>
            </w:r>
            <w:r>
              <w:rPr>
                <w:rFonts w:ascii="Times New Roman" w:hAnsi="Times New Roman"/>
                <w:noProof/>
                <w:sz w:val="18"/>
              </w:rPr>
              <w:t>• Ohjaus-, hallinta- ja merkinanto-osajärjestelmän (kuten Soria-Torralba ja Ávila-Salamanca) parantaminen</w:t>
            </w:r>
            <w:r>
              <w:rPr>
                <w:noProof/>
              </w:rPr>
              <w:t xml:space="preserve"> </w:t>
            </w:r>
            <w:r>
              <w:rPr>
                <w:noProof/>
              </w:rPr>
              <w:br/>
              <w:t xml:space="preserve"> </w:t>
            </w:r>
            <w:r>
              <w:rPr>
                <w:rFonts w:ascii="Times New Roman" w:hAnsi="Times New Roman"/>
                <w:noProof/>
                <w:sz w:val="18"/>
              </w:rPr>
              <w:t xml:space="preserve">• Uusien osien tai muunnosten luominen (kuten Palencia-Santander, Rincón de Soton ja Ourense-variant) </w:t>
            </w:r>
            <w:r>
              <w:rPr>
                <w:noProof/>
              </w:rPr>
              <w:t xml:space="preserve"> </w:t>
            </w:r>
            <w:r>
              <w:rPr>
                <w:noProof/>
              </w:rPr>
              <w:br/>
              <w:t xml:space="preserve"> </w:t>
            </w:r>
            <w:r>
              <w:rPr>
                <w:rFonts w:ascii="Times New Roman" w:hAnsi="Times New Roman"/>
                <w:noProof/>
                <w:sz w:val="18"/>
              </w:rPr>
              <w:t>b) teiden osalta tukitoimien on kuuluttava yhteen tai useampaan seuraavista tukitoimityypeistä:</w:t>
            </w:r>
            <w:r>
              <w:rPr>
                <w:noProof/>
              </w:rPr>
              <w:t xml:space="preserve"> </w:t>
            </w:r>
            <w:r>
              <w:rPr>
                <w:noProof/>
              </w:rPr>
              <w:br/>
            </w:r>
            <w:r>
              <w:rPr>
                <w:rFonts w:ascii="Times New Roman" w:hAnsi="Times New Roman"/>
                <w:noProof/>
                <w:sz w:val="18"/>
              </w:rPr>
              <w:t xml:space="preserve">• Liikenneturvallisuuden parantaminen: mukaan lukien liikenneturvallisuus tunneleissa, haavoittuvien luonnonvaraisten eläinten ja kasvien suojelu ja haavoittuvien käyttäjien suojelu </w:t>
            </w:r>
            <w:r>
              <w:rPr>
                <w:noProof/>
              </w:rPr>
              <w:t xml:space="preserve"> </w:t>
            </w:r>
            <w:r>
              <w:rPr>
                <w:noProof/>
              </w:rPr>
              <w:br/>
              <w:t xml:space="preserve"> </w:t>
            </w:r>
            <w:r>
              <w:rPr>
                <w:rFonts w:ascii="Times New Roman" w:hAnsi="Times New Roman"/>
                <w:noProof/>
                <w:sz w:val="18"/>
              </w:rPr>
              <w:t xml:space="preserve">• Kestävyys: ilmanlaadun parantaminen, kaupunkiliikenteen uudet muodot, biologisen monimuotoisuuden suojelu, ilmastoriskien ehkäiseminen, energiatehokkuus, melun vähentäminen </w:t>
            </w:r>
            <w:r>
              <w:rPr>
                <w:noProof/>
              </w:rPr>
              <w:t xml:space="preserve"> </w:t>
            </w:r>
            <w:r>
              <w:rPr>
                <w:noProof/>
              </w:rPr>
              <w:br/>
              <w:t xml:space="preserve"> </w:t>
            </w:r>
            <w:r>
              <w:rPr>
                <w:rFonts w:ascii="Times New Roman" w:hAnsi="Times New Roman"/>
                <w:noProof/>
                <w:sz w:val="18"/>
              </w:rPr>
              <w:t xml:space="preserve">• Digitalisaatio: Siltojen ja tunnelien seurantajärjestelmien käyttöönotto käyttäen massadata-analytiikkaa ja esineiden internetiä; teiden digitalisointi seurantaa ja kunnossapitoa varten </w:t>
            </w:r>
            <w:r>
              <w:rPr>
                <w:noProof/>
              </w:rPr>
              <w:t xml:space="preserve"> </w:t>
            </w:r>
            <w:r>
              <w:rPr>
                <w:noProof/>
              </w:rPr>
              <w:br/>
              <w:t xml:space="preserve"> </w:t>
            </w:r>
            <w:r>
              <w:rPr>
                <w:rFonts w:ascii="Times New Roman" w:hAnsi="Times New Roman"/>
                <w:noProof/>
                <w:sz w:val="18"/>
              </w:rPr>
              <w:t xml:space="preserve">• Älykkäiden liikennejärjestelmien käyttöönotto linja-auto-VAO-kaistoilla </w:t>
            </w:r>
            <w:r>
              <w:rPr>
                <w:noProof/>
              </w:rPr>
              <w:t xml:space="preserve"> </w:t>
            </w:r>
            <w:r>
              <w:rPr>
                <w:noProof/>
              </w:rPr>
              <w:br/>
              <w:t xml:space="preserve"> </w:t>
            </w:r>
            <w:r>
              <w:rPr>
                <w:rFonts w:ascii="Times New Roman" w:hAnsi="Times New Roman"/>
                <w:noProof/>
                <w:sz w:val="18"/>
              </w:rPr>
              <w:t xml:space="preserve">• Gibraltarinsalmessa sijaitsevan kiinteän yhteyden alustavan alustavan alustavan luonnoksen päivittäminen </w:t>
            </w:r>
            <w:r>
              <w:rPr>
                <w:noProof/>
              </w:rPr>
              <w:t xml:space="preserve"> </w:t>
            </w:r>
            <w:r>
              <w:rPr>
                <w:noProof/>
              </w:rPr>
              <w:br/>
            </w:r>
          </w:p>
        </w:tc>
      </w:tr>
      <w:tr w:rsidR="0065073E" w14:paraId="53B93168" w14:textId="77777777">
        <w:trPr>
          <w:trHeight w:val="309"/>
        </w:trPr>
        <w:tc>
          <w:tcPr>
            <w:tcW w:w="832" w:type="dxa"/>
            <w:shd w:val="clear" w:color="auto" w:fill="C6EFCE"/>
            <w:noWrap/>
          </w:tcPr>
          <w:p w14:paraId="4EF93A77" w14:textId="6559D143" w:rsidR="0065073E" w:rsidRDefault="000A0998">
            <w:pPr>
              <w:pStyle w:val="P68B1DB1-Normal12"/>
              <w:spacing w:after="0" w:line="240" w:lineRule="auto"/>
              <w:jc w:val="center"/>
              <w:rPr>
                <w:rFonts w:eastAsia="Calibri" w:cs="Times New Roman"/>
                <w:noProof/>
              </w:rPr>
            </w:pPr>
            <w:r>
              <w:rPr>
                <w:noProof/>
              </w:rPr>
              <w:t>89</w:t>
            </w:r>
          </w:p>
        </w:tc>
        <w:tc>
          <w:tcPr>
            <w:tcW w:w="828" w:type="dxa"/>
            <w:shd w:val="clear" w:color="auto" w:fill="C6EFCE"/>
            <w:noWrap/>
          </w:tcPr>
          <w:p w14:paraId="63469D30"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7010B219"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76322FAB" w14:textId="77777777" w:rsidR="0065073E" w:rsidRDefault="000A0998">
            <w:pPr>
              <w:pStyle w:val="P68B1DB1-Normal12"/>
              <w:spacing w:after="0" w:line="240" w:lineRule="auto"/>
              <w:rPr>
                <w:rFonts w:eastAsia="Calibri" w:cs="Times New Roman"/>
                <w:noProof/>
              </w:rPr>
            </w:pPr>
            <w:r>
              <w:rPr>
                <w:noProof/>
              </w:rPr>
              <w:t>TEN-T-ydinverkon ulkopuolinen verkko: rautatietöiden edistyminen</w:t>
            </w:r>
          </w:p>
        </w:tc>
        <w:tc>
          <w:tcPr>
            <w:tcW w:w="1102" w:type="dxa"/>
            <w:shd w:val="clear" w:color="auto" w:fill="C6EFCE"/>
            <w:noWrap/>
          </w:tcPr>
          <w:p w14:paraId="1BBD13F9"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610FC190" w14:textId="77777777" w:rsidR="0065073E" w:rsidRDefault="000A0998">
            <w:pPr>
              <w:pStyle w:val="P68B1DB1-Normal12"/>
              <w:spacing w:after="0" w:line="240" w:lineRule="auto"/>
              <w:jc w:val="center"/>
              <w:rPr>
                <w:rFonts w:eastAsia="Calibri" w:cs="Times New Roman"/>
                <w:noProof/>
              </w:rPr>
            </w:pPr>
            <w:r>
              <w:rPr>
                <w:noProof/>
              </w:rPr>
              <w:t>Lukumäärä (km)</w:t>
            </w:r>
          </w:p>
        </w:tc>
        <w:tc>
          <w:tcPr>
            <w:tcW w:w="964" w:type="dxa"/>
            <w:shd w:val="clear" w:color="auto" w:fill="C6EFCE"/>
            <w:noWrap/>
          </w:tcPr>
          <w:p w14:paraId="222157C1" w14:textId="77777777" w:rsidR="0065073E" w:rsidRDefault="000A0998">
            <w:pPr>
              <w:pStyle w:val="P68B1DB1-Normal12"/>
              <w:spacing w:after="0" w:line="240" w:lineRule="auto"/>
              <w:jc w:val="right"/>
              <w:rPr>
                <w:rFonts w:eastAsia="Calibri" w:cs="Times New Roman"/>
                <w:noProof/>
              </w:rPr>
            </w:pPr>
            <w:r>
              <w:rPr>
                <w:noProof/>
              </w:rPr>
              <w:t>0</w:t>
            </w:r>
          </w:p>
        </w:tc>
        <w:tc>
          <w:tcPr>
            <w:tcW w:w="552" w:type="dxa"/>
            <w:shd w:val="clear" w:color="auto" w:fill="C6EFCE"/>
            <w:noWrap/>
          </w:tcPr>
          <w:p w14:paraId="036AC05E" w14:textId="77777777" w:rsidR="0065073E" w:rsidRDefault="000A0998">
            <w:pPr>
              <w:pStyle w:val="P68B1DB1-Normal12"/>
              <w:spacing w:after="0" w:line="240" w:lineRule="auto"/>
              <w:jc w:val="right"/>
              <w:rPr>
                <w:rFonts w:eastAsia="Calibri" w:cs="Times New Roman"/>
                <w:noProof/>
              </w:rPr>
            </w:pPr>
            <w:r>
              <w:rPr>
                <w:noProof/>
              </w:rPr>
              <w:t>347</w:t>
            </w:r>
          </w:p>
        </w:tc>
        <w:tc>
          <w:tcPr>
            <w:tcW w:w="414" w:type="dxa"/>
            <w:shd w:val="clear" w:color="auto" w:fill="C6EFCE"/>
            <w:noWrap/>
          </w:tcPr>
          <w:p w14:paraId="12360FBC"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1B012AA2" w14:textId="77777777" w:rsidR="0065073E" w:rsidRDefault="000A0998">
            <w:pPr>
              <w:pStyle w:val="P68B1DB1-Normal12"/>
              <w:spacing w:after="0" w:line="240" w:lineRule="auto"/>
              <w:jc w:val="center"/>
              <w:rPr>
                <w:rFonts w:eastAsia="Calibri" w:cs="Times New Roman"/>
                <w:noProof/>
              </w:rPr>
            </w:pPr>
            <w:r>
              <w:rPr>
                <w:noProof/>
              </w:rPr>
              <w:t>2024</w:t>
            </w:r>
          </w:p>
        </w:tc>
        <w:tc>
          <w:tcPr>
            <w:tcW w:w="5885" w:type="dxa"/>
            <w:shd w:val="clear" w:color="auto" w:fill="C6EFCE"/>
            <w:noWrap/>
          </w:tcPr>
          <w:p w14:paraId="47B3F21C" w14:textId="078D8498" w:rsidR="0065073E" w:rsidRDefault="000A0998">
            <w:pPr>
              <w:pStyle w:val="P68B1DB1-Normal12"/>
              <w:spacing w:after="0" w:line="240" w:lineRule="auto"/>
              <w:rPr>
                <w:rFonts w:eastAsia="Calibri" w:cs="Times New Roman"/>
                <w:noProof/>
              </w:rPr>
            </w:pPr>
            <w:r>
              <w:rPr>
                <w:noProof/>
              </w:rPr>
              <w:t>Vähintään 347 kilometriä töitä, joiden tarkoituksena on tehdä rautatieverkosta yhteentoimivampi pääasiassa suhteessa Euroopan laajuiseen liikenneverkkoon. Lopullisena tavoitteena on tehdä kokonaistöitä vähintään 900 kilometrin rataverkolla. Töiden on oltava tavoitteen 88 a alakohdassa määriteltyjen tukitoimityyppien mukaisia.</w:t>
            </w:r>
          </w:p>
        </w:tc>
      </w:tr>
      <w:tr w:rsidR="0065073E" w14:paraId="69D24A91" w14:textId="77777777">
        <w:trPr>
          <w:trHeight w:val="309"/>
        </w:trPr>
        <w:tc>
          <w:tcPr>
            <w:tcW w:w="832" w:type="dxa"/>
            <w:shd w:val="clear" w:color="auto" w:fill="C6EFCE"/>
            <w:noWrap/>
          </w:tcPr>
          <w:p w14:paraId="5AA05B6E" w14:textId="77777777" w:rsidR="0065073E" w:rsidRDefault="000A0998">
            <w:pPr>
              <w:pStyle w:val="P68B1DB1-Normal12"/>
              <w:spacing w:after="0" w:line="240" w:lineRule="auto"/>
              <w:jc w:val="center"/>
              <w:rPr>
                <w:rFonts w:eastAsia="Calibri" w:cs="Times New Roman"/>
                <w:noProof/>
              </w:rPr>
            </w:pPr>
            <w:r>
              <w:rPr>
                <w:noProof/>
              </w:rPr>
              <w:t>90</w:t>
            </w:r>
          </w:p>
        </w:tc>
        <w:tc>
          <w:tcPr>
            <w:tcW w:w="828" w:type="dxa"/>
            <w:shd w:val="clear" w:color="auto" w:fill="C6EFCE"/>
            <w:noWrap/>
          </w:tcPr>
          <w:p w14:paraId="2994C83D"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336A9382"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4C190BEA" w14:textId="77777777" w:rsidR="0065073E" w:rsidRDefault="000A0998">
            <w:pPr>
              <w:pStyle w:val="P68B1DB1-Normal12"/>
              <w:spacing w:after="0" w:line="240" w:lineRule="auto"/>
              <w:rPr>
                <w:rFonts w:eastAsia="Calibri" w:cs="Times New Roman"/>
                <w:noProof/>
              </w:rPr>
            </w:pPr>
            <w:r>
              <w:rPr>
                <w:noProof/>
              </w:rPr>
              <w:t>Yhtenäinen eurooppalainen ilmatila: myönnetty hanke ja edistyminen hankkeiden loppuun saattamisessa</w:t>
            </w:r>
          </w:p>
        </w:tc>
        <w:tc>
          <w:tcPr>
            <w:tcW w:w="1102" w:type="dxa"/>
            <w:shd w:val="clear" w:color="auto" w:fill="C6EFCE"/>
            <w:noWrap/>
          </w:tcPr>
          <w:p w14:paraId="0BE14808"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114A3362" w14:textId="77777777" w:rsidR="0065073E" w:rsidRDefault="000A0998">
            <w:pPr>
              <w:pStyle w:val="P68B1DB1-Normal12"/>
              <w:spacing w:after="0" w:line="240" w:lineRule="auto"/>
              <w:jc w:val="center"/>
              <w:rPr>
                <w:rFonts w:eastAsia="Calibri" w:cs="Times New Roman"/>
                <w:noProof/>
              </w:rPr>
            </w:pPr>
            <w:r>
              <w:rPr>
                <w:noProof/>
              </w:rPr>
              <w:t xml:space="preserve">Määrä </w:t>
            </w:r>
          </w:p>
        </w:tc>
        <w:tc>
          <w:tcPr>
            <w:tcW w:w="964" w:type="dxa"/>
            <w:shd w:val="clear" w:color="auto" w:fill="C6EFCE"/>
            <w:noWrap/>
          </w:tcPr>
          <w:p w14:paraId="69777341" w14:textId="77777777" w:rsidR="0065073E" w:rsidRDefault="000A0998">
            <w:pPr>
              <w:pStyle w:val="P68B1DB1-Normal12"/>
              <w:spacing w:after="0" w:line="240" w:lineRule="auto"/>
              <w:jc w:val="right"/>
              <w:rPr>
                <w:rFonts w:eastAsia="Calibri" w:cs="Times New Roman"/>
                <w:noProof/>
              </w:rPr>
            </w:pPr>
            <w:r>
              <w:rPr>
                <w:noProof/>
              </w:rPr>
              <w:t>0</w:t>
            </w:r>
          </w:p>
        </w:tc>
        <w:tc>
          <w:tcPr>
            <w:tcW w:w="552" w:type="dxa"/>
            <w:shd w:val="clear" w:color="auto" w:fill="C6EFCE"/>
            <w:noWrap/>
          </w:tcPr>
          <w:p w14:paraId="41150DF2" w14:textId="77777777" w:rsidR="0065073E" w:rsidRDefault="000A0998">
            <w:pPr>
              <w:pStyle w:val="P68B1DB1-Normal12"/>
              <w:spacing w:after="0" w:line="240" w:lineRule="auto"/>
              <w:jc w:val="right"/>
              <w:rPr>
                <w:rFonts w:eastAsia="Calibri" w:cs="Times New Roman"/>
                <w:noProof/>
              </w:rPr>
            </w:pPr>
            <w:r>
              <w:rPr>
                <w:noProof/>
              </w:rPr>
              <w:t>15</w:t>
            </w:r>
          </w:p>
        </w:tc>
        <w:tc>
          <w:tcPr>
            <w:tcW w:w="414" w:type="dxa"/>
            <w:shd w:val="clear" w:color="auto" w:fill="C6EFCE"/>
            <w:noWrap/>
          </w:tcPr>
          <w:p w14:paraId="41A11207"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3A98CC6F" w14:textId="77777777" w:rsidR="0065073E" w:rsidRDefault="000A0998">
            <w:pPr>
              <w:pStyle w:val="P68B1DB1-Normal12"/>
              <w:spacing w:after="0" w:line="240" w:lineRule="auto"/>
              <w:jc w:val="center"/>
              <w:rPr>
                <w:rFonts w:eastAsia="Calibri" w:cs="Times New Roman"/>
                <w:noProof/>
              </w:rPr>
            </w:pPr>
            <w:r>
              <w:rPr>
                <w:noProof/>
              </w:rPr>
              <w:t>2024</w:t>
            </w:r>
          </w:p>
        </w:tc>
        <w:tc>
          <w:tcPr>
            <w:tcW w:w="5885" w:type="dxa"/>
            <w:shd w:val="clear" w:color="auto" w:fill="C6EFCE"/>
            <w:noWrap/>
          </w:tcPr>
          <w:p w14:paraId="7E26515C" w14:textId="77777777"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Yhteensä vähintään 15 päätökseen saatua digitalisaatiota ja turvallisuutta koskevaa hanketta (lopullinen tavoite 20 -hanke) yhtenäisen eurooppalaisen ilmatilan kehittämiseksi seuraavien valintaperusteiden luettelosta: Yhteensä vähintään 15 päätökseen saatua digitalisaatiota ja turvallisuutta koskevaa hanketta (lopullinen tavoite 20 -hanke) yhtenäisen eurooppalaisen ilmatilan kehittämiseksi seuraavien valintaperusteiden luettelosta:</w:t>
            </w:r>
            <w:r>
              <w:rPr>
                <w:noProof/>
              </w:rPr>
              <w:t xml:space="preserve"> </w:t>
            </w:r>
            <w:r>
              <w:rPr>
                <w:noProof/>
              </w:rPr>
              <w:br/>
            </w:r>
            <w:r>
              <w:rPr>
                <w:rFonts w:ascii="Times New Roman" w:hAnsi="Times New Roman"/>
                <w:noProof/>
                <w:sz w:val="18"/>
              </w:rPr>
              <w:t>• Suorat investoinnit ENAIREn (Air Navigation Manager, Espanja) kautta yhtenäisen eurooppalaisen ilmatilan kehittämiseen, jotka liittyvät lennonjohto- ja valvontajärjestelmien nykyaikaistamiseen, tietojärjestelmien digitalisaatioon ja viestintäjärjestelmien kehittämiseen.</w:t>
            </w:r>
            <w:r>
              <w:rPr>
                <w:noProof/>
              </w:rPr>
              <w:t xml:space="preserve"> </w:t>
            </w:r>
            <w:r>
              <w:rPr>
                <w:noProof/>
              </w:rPr>
              <w:br/>
            </w:r>
            <w:r>
              <w:rPr>
                <w:rFonts w:ascii="Times New Roman" w:hAnsi="Times New Roman"/>
                <w:noProof/>
                <w:sz w:val="18"/>
              </w:rPr>
              <w:t>• Käyttäjien saatavilla olevien ilmailuasiakirjojen (tietojen ja kartoitusten) digitalisointi lentojen suorittamista varten</w:t>
            </w:r>
            <w:r>
              <w:rPr>
                <w:noProof/>
              </w:rPr>
              <w:t xml:space="preserve"> </w:t>
            </w:r>
            <w:r>
              <w:rPr>
                <w:noProof/>
              </w:rPr>
              <w:br/>
              <w:t xml:space="preserve"> </w:t>
            </w:r>
            <w:r>
              <w:rPr>
                <w:rFonts w:ascii="Times New Roman" w:hAnsi="Times New Roman"/>
                <w:noProof/>
                <w:sz w:val="18"/>
              </w:rPr>
              <w:t>• Maan/lentoliikenteen kattavuuden laajentaminen ja puheen digitalisointi pilotti-ohjaajan viestinnässä. Parannetaan matalan tason kattavuutta tietyillä ilmatilan alueilla nykyaikaistamalla maaviestintäinfrastruktuuria</w:t>
            </w:r>
            <w:r>
              <w:rPr>
                <w:noProof/>
              </w:rPr>
              <w:t xml:space="preserve"> </w:t>
            </w:r>
            <w:r>
              <w:rPr>
                <w:noProof/>
              </w:rPr>
              <w:br/>
              <w:t xml:space="preserve"> </w:t>
            </w:r>
            <w:r>
              <w:rPr>
                <w:rFonts w:ascii="Times New Roman" w:hAnsi="Times New Roman"/>
                <w:noProof/>
                <w:sz w:val="18"/>
              </w:rPr>
              <w:t>• Lennonjohtokeskusten ääniviestintäjärjestelmän kehittäminen digitalisaation ja kehittyneen teknologian avulla, mikä parantaa laatua, parantaa turvallisuutta, tiedon saatavuutta ja lisää varautumiskapasiteettia</w:t>
            </w:r>
            <w:r>
              <w:rPr>
                <w:noProof/>
              </w:rPr>
              <w:t xml:space="preserve"> </w:t>
            </w:r>
            <w:r>
              <w:rPr>
                <w:noProof/>
              </w:rPr>
              <w:br/>
              <w:t xml:space="preserve"> </w:t>
            </w:r>
            <w:r>
              <w:rPr>
                <w:rFonts w:ascii="Times New Roman" w:hAnsi="Times New Roman"/>
                <w:noProof/>
                <w:sz w:val="18"/>
              </w:rPr>
              <w:t>• Ensiasteen tutkaverkon tekninen nykyaikaistaminen, suorituskyvyn parantaminen ja järjestelmien ohjaaminen kohti ensiasteen tutkalaitteiden täydellistä digitalisointia, jossa hyödynnetään kaikkea saatavilla olevaa teknologista kehitystä toiminnan tehokkuuden lisäämiseksi</w:t>
            </w:r>
            <w:r>
              <w:rPr>
                <w:noProof/>
              </w:rPr>
              <w:t xml:space="preserve"> </w:t>
            </w:r>
            <w:r>
              <w:rPr>
                <w:noProof/>
              </w:rPr>
              <w:br/>
              <w:t xml:space="preserve"> </w:t>
            </w:r>
            <w:r>
              <w:rPr>
                <w:rFonts w:ascii="Times New Roman" w:hAnsi="Times New Roman"/>
                <w:noProof/>
                <w:sz w:val="18"/>
              </w:rPr>
              <w:t>• Modo S. -teknologiaan nähden toissijaisten tutkajärjestelmien kehittäminen lennonjohtojärjestelmään</w:t>
            </w:r>
            <w:r>
              <w:rPr>
                <w:noProof/>
              </w:rPr>
              <w:t xml:space="preserve"> </w:t>
            </w:r>
            <w:r>
              <w:rPr>
                <w:noProof/>
              </w:rPr>
              <w:br/>
              <w:t xml:space="preserve"> </w:t>
            </w:r>
            <w:r>
              <w:rPr>
                <w:rFonts w:ascii="Times New Roman" w:hAnsi="Times New Roman"/>
                <w:noProof/>
                <w:sz w:val="18"/>
              </w:rPr>
              <w:t>• Eri ENAIRE-järjestelmien laitteistolaitteiden korvaaminen</w:t>
            </w:r>
            <w:r>
              <w:rPr>
                <w:noProof/>
              </w:rPr>
              <w:t xml:space="preserve"> </w:t>
            </w:r>
            <w:r>
              <w:rPr>
                <w:noProof/>
              </w:rPr>
              <w:br/>
              <w:t xml:space="preserve"> </w:t>
            </w:r>
            <w:r>
              <w:rPr>
                <w:rFonts w:ascii="Times New Roman" w:hAnsi="Times New Roman"/>
                <w:noProof/>
                <w:sz w:val="18"/>
              </w:rPr>
              <w:t>• Erilaisten hallinnointi- ja toimintasovellusten kehittäminen ENAIREn hallinnointia varten</w:t>
            </w:r>
            <w:r>
              <w:rPr>
                <w:noProof/>
              </w:rPr>
              <w:t xml:space="preserve"> </w:t>
            </w:r>
            <w:r>
              <w:rPr>
                <w:noProof/>
              </w:rPr>
              <w:br/>
              <w:t xml:space="preserve"> </w:t>
            </w:r>
            <w:r>
              <w:rPr>
                <w:rFonts w:ascii="Times New Roman" w:hAnsi="Times New Roman"/>
                <w:noProof/>
                <w:sz w:val="18"/>
              </w:rPr>
              <w:t>• Merenkulkujärjestelmien tekninen nykyaikaistaminen asettamalla etusijalle niiden täydellinen digitalisointi ja järjestelmien seuranta- ja kauko-ohjausratkaisujen käyttöönotto</w:t>
            </w:r>
            <w:r>
              <w:rPr>
                <w:noProof/>
              </w:rPr>
              <w:t xml:space="preserve"> </w:t>
            </w:r>
            <w:r>
              <w:rPr>
                <w:noProof/>
              </w:rPr>
              <w:br/>
              <w:t xml:space="preserve"> </w:t>
            </w:r>
            <w:r>
              <w:rPr>
                <w:rFonts w:ascii="Times New Roman" w:hAnsi="Times New Roman"/>
                <w:noProof/>
                <w:sz w:val="18"/>
              </w:rPr>
              <w:t>• Infrastruktuurin luominen uusien lennonjohtojärjestelmien käyttöönottoa varten. On olennaisen tärkeää, jotta voidaan varmistaa uusien toimintaperiaatteiden täytäntöönpano Espanjassa. Lisäksi siihen sisältyy laitosten nykyaikaistaminen, jotta voidaan varmistaa häiriönsietokyky.</w:t>
            </w:r>
            <w:r>
              <w:rPr>
                <w:noProof/>
              </w:rPr>
              <w:t xml:space="preserve"> </w:t>
            </w:r>
            <w:r>
              <w:rPr>
                <w:noProof/>
              </w:rPr>
              <w:br/>
            </w:r>
            <w:r>
              <w:rPr>
                <w:rFonts w:ascii="Times New Roman" w:hAnsi="Times New Roman"/>
                <w:noProof/>
                <w:sz w:val="18"/>
              </w:rPr>
              <w:t>• Teknisen toiminnan hallinnan digitalisointi ja automatisointi etävalvontavälineiden parantamiseksi yhdennetyllä tavalla</w:t>
            </w:r>
            <w:r>
              <w:rPr>
                <w:noProof/>
              </w:rPr>
              <w:t xml:space="preserve"> </w:t>
            </w:r>
            <w:r>
              <w:rPr>
                <w:noProof/>
              </w:rPr>
              <w:br/>
              <w:t xml:space="preserve"> </w:t>
            </w:r>
            <w:r>
              <w:rPr>
                <w:rFonts w:ascii="Times New Roman" w:hAnsi="Times New Roman"/>
                <w:noProof/>
                <w:sz w:val="18"/>
              </w:rPr>
              <w:t>• Lennonjohtojärjestelmän nykyaikaistaminen sääntelykriteerien noudattamiseksi sisällyttämällä siihen kaikki yhtenäisestä eurooppalaisesta ilmatilasta johtuvat kapasiteetin, turvallisuuden, kyberturvallisuuden ja digitalisaation käsitteiden parannukset</w:t>
            </w:r>
          </w:p>
        </w:tc>
      </w:tr>
      <w:tr w:rsidR="0065073E" w14:paraId="28651AEB" w14:textId="77777777">
        <w:trPr>
          <w:trHeight w:val="309"/>
        </w:trPr>
        <w:tc>
          <w:tcPr>
            <w:tcW w:w="832" w:type="dxa"/>
            <w:shd w:val="clear" w:color="auto" w:fill="C6EFCE"/>
            <w:noWrap/>
          </w:tcPr>
          <w:p w14:paraId="7E57E621" w14:textId="77777777" w:rsidR="0065073E" w:rsidRDefault="000A0998">
            <w:pPr>
              <w:pStyle w:val="P68B1DB1-Normal12"/>
              <w:spacing w:after="0" w:line="240" w:lineRule="auto"/>
              <w:jc w:val="center"/>
              <w:rPr>
                <w:rFonts w:eastAsia="Calibri" w:cs="Times New Roman"/>
                <w:noProof/>
              </w:rPr>
            </w:pPr>
            <w:r>
              <w:rPr>
                <w:noProof/>
              </w:rPr>
              <w:t>91</w:t>
            </w:r>
          </w:p>
        </w:tc>
        <w:tc>
          <w:tcPr>
            <w:tcW w:w="828" w:type="dxa"/>
            <w:shd w:val="clear" w:color="auto" w:fill="C6EFCE"/>
            <w:noWrap/>
          </w:tcPr>
          <w:p w14:paraId="31A8D38A"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7FE72E92"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6DE5166A" w14:textId="77777777" w:rsidR="0065073E" w:rsidRDefault="000A0998">
            <w:pPr>
              <w:pStyle w:val="P68B1DB1-Normal12"/>
              <w:spacing w:after="0" w:line="240" w:lineRule="auto"/>
              <w:rPr>
                <w:rFonts w:eastAsia="Calibri" w:cs="Times New Roman"/>
                <w:noProof/>
              </w:rPr>
            </w:pPr>
            <w:r>
              <w:rPr>
                <w:noProof/>
              </w:rPr>
              <w:t>Liikenne-, liikenne- ja kaupunkiagendan digitalisointi</w:t>
            </w:r>
          </w:p>
        </w:tc>
        <w:tc>
          <w:tcPr>
            <w:tcW w:w="1102" w:type="dxa"/>
            <w:shd w:val="clear" w:color="auto" w:fill="C6EFCE"/>
            <w:noWrap/>
          </w:tcPr>
          <w:p w14:paraId="7A8F370F" w14:textId="77777777" w:rsidR="0065073E" w:rsidRDefault="000A0998">
            <w:pPr>
              <w:pStyle w:val="P68B1DB1-Normal12"/>
              <w:spacing w:after="0" w:line="240" w:lineRule="auto"/>
              <w:jc w:val="center"/>
              <w:rPr>
                <w:rFonts w:eastAsia="Calibri" w:cs="Times New Roman"/>
                <w:noProof/>
              </w:rPr>
            </w:pPr>
            <w:r>
              <w:rPr>
                <w:noProof/>
              </w:rPr>
              <w:t>Virallinen ilmoitus töiden loppuun saattamisesta</w:t>
            </w:r>
          </w:p>
        </w:tc>
        <w:tc>
          <w:tcPr>
            <w:tcW w:w="992" w:type="dxa"/>
            <w:shd w:val="clear" w:color="auto" w:fill="C6EFCE"/>
            <w:noWrap/>
          </w:tcPr>
          <w:p w14:paraId="26105B5D" w14:textId="77777777" w:rsidR="0065073E" w:rsidRDefault="000A0998">
            <w:pPr>
              <w:pStyle w:val="P68B1DB1-Normal12"/>
              <w:spacing w:after="0" w:line="240" w:lineRule="auto"/>
              <w:jc w:val="center"/>
              <w:rPr>
                <w:rFonts w:eastAsia="Calibri" w:cs="Times New Roman"/>
                <w:noProof/>
              </w:rPr>
            </w:pPr>
            <w:r>
              <w:rPr>
                <w:noProof/>
              </w:rPr>
              <w:t xml:space="preserve"> </w:t>
            </w:r>
          </w:p>
        </w:tc>
        <w:tc>
          <w:tcPr>
            <w:tcW w:w="964" w:type="dxa"/>
            <w:shd w:val="clear" w:color="auto" w:fill="C6EFCE"/>
            <w:noWrap/>
          </w:tcPr>
          <w:p w14:paraId="15B3EB6E"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42CAE146"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6B987D97"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378F7546" w14:textId="77777777" w:rsidR="0065073E" w:rsidRDefault="000A0998">
            <w:pPr>
              <w:pStyle w:val="P68B1DB1-Normal12"/>
              <w:spacing w:after="0" w:line="240" w:lineRule="auto"/>
              <w:jc w:val="center"/>
              <w:rPr>
                <w:rFonts w:eastAsia="Calibri" w:cs="Times New Roman"/>
                <w:noProof/>
              </w:rPr>
            </w:pPr>
            <w:r>
              <w:rPr>
                <w:noProof/>
              </w:rPr>
              <w:t>2024</w:t>
            </w:r>
          </w:p>
        </w:tc>
        <w:tc>
          <w:tcPr>
            <w:tcW w:w="5885" w:type="dxa"/>
            <w:shd w:val="clear" w:color="auto" w:fill="C6EFCE"/>
            <w:noWrap/>
          </w:tcPr>
          <w:p w14:paraId="13ACFA3D" w14:textId="77777777"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Seuraavien hankkeiden loppuun saattaminen:</w:t>
            </w:r>
            <w:r>
              <w:rPr>
                <w:noProof/>
              </w:rPr>
              <w:t xml:space="preserve"> </w:t>
            </w:r>
            <w:r>
              <w:rPr>
                <w:noProof/>
              </w:rPr>
              <w:br/>
            </w:r>
            <w:r>
              <w:rPr>
                <w:rFonts w:ascii="Times New Roman" w:hAnsi="Times New Roman"/>
                <w:noProof/>
                <w:sz w:val="18"/>
              </w:rPr>
              <w:t>• Tietomallinnuksen (BIM) rakentaminen, jolla perustetaan yhteistyöfoorumi digitaalisten tietojen ja mallien hallintaa varten.</w:t>
            </w:r>
            <w:r>
              <w:rPr>
                <w:noProof/>
              </w:rPr>
              <w:t xml:space="preserve"> </w:t>
            </w:r>
            <w:r>
              <w:rPr>
                <w:noProof/>
              </w:rPr>
              <w:br/>
            </w:r>
            <w:r>
              <w:rPr>
                <w:rFonts w:ascii="Times New Roman" w:hAnsi="Times New Roman"/>
                <w:noProof/>
                <w:sz w:val="18"/>
              </w:rPr>
              <w:t>• Edistetään liikkuvuutta palveluna, tarjotaan avointa dataa ja hyödynnetään uusia teknologioita liikkuvuuden analysointiin ja optimointiin.</w:t>
            </w:r>
            <w:r>
              <w:rPr>
                <w:noProof/>
              </w:rPr>
              <w:t xml:space="preserve"> </w:t>
            </w:r>
            <w:r>
              <w:rPr>
                <w:noProof/>
              </w:rPr>
              <w:br/>
            </w:r>
            <w:r>
              <w:rPr>
                <w:rFonts w:ascii="Times New Roman" w:hAnsi="Times New Roman"/>
                <w:noProof/>
                <w:sz w:val="18"/>
              </w:rPr>
              <w:t xml:space="preserve">• Analyysi-, seuranta-, valvonta-, tarpeidenvalvonta-, palvelutoteutus- ja käyttöönottojärjestelmän käyttöönotto ja uusien tekniikoiden soveltaminen maaliikenteessä. </w:t>
            </w:r>
            <w:r>
              <w:rPr>
                <w:noProof/>
              </w:rPr>
              <w:t xml:space="preserve"> </w:t>
            </w:r>
            <w:r>
              <w:rPr>
                <w:noProof/>
              </w:rPr>
              <w:br/>
            </w:r>
            <w:r>
              <w:rPr>
                <w:rFonts w:ascii="Times New Roman" w:hAnsi="Times New Roman"/>
                <w:noProof/>
                <w:sz w:val="18"/>
              </w:rPr>
              <w:t>• Teiden pääosaston digitointisuunnitelma.</w:t>
            </w:r>
            <w:r>
              <w:rPr>
                <w:noProof/>
              </w:rPr>
              <w:t xml:space="preserve"> </w:t>
            </w:r>
            <w:r>
              <w:rPr>
                <w:noProof/>
              </w:rPr>
              <w:br/>
            </w:r>
            <w:r>
              <w:rPr>
                <w:rFonts w:ascii="Times New Roman" w:hAnsi="Times New Roman"/>
                <w:noProof/>
                <w:sz w:val="18"/>
              </w:rPr>
              <w:t>• Uusien palvelujen kehittäminen ja hallinnon parantaminen muun muassa lento-, meri- ja maantieteellisten tietojen alalla.</w:t>
            </w:r>
          </w:p>
        </w:tc>
      </w:tr>
      <w:tr w:rsidR="0065073E" w14:paraId="78FBFD04" w14:textId="77777777">
        <w:trPr>
          <w:trHeight w:val="309"/>
        </w:trPr>
        <w:tc>
          <w:tcPr>
            <w:tcW w:w="832" w:type="dxa"/>
            <w:shd w:val="clear" w:color="auto" w:fill="C6EFCE"/>
            <w:noWrap/>
          </w:tcPr>
          <w:p w14:paraId="54E323BA" w14:textId="77777777" w:rsidR="0065073E" w:rsidRDefault="000A0998">
            <w:pPr>
              <w:pStyle w:val="P68B1DB1-Normal12"/>
              <w:spacing w:after="0" w:line="240" w:lineRule="auto"/>
              <w:jc w:val="center"/>
              <w:rPr>
                <w:rFonts w:eastAsia="Calibri" w:cs="Times New Roman"/>
                <w:noProof/>
              </w:rPr>
            </w:pPr>
            <w:r>
              <w:rPr>
                <w:noProof/>
              </w:rPr>
              <w:t>92</w:t>
            </w:r>
          </w:p>
        </w:tc>
        <w:tc>
          <w:tcPr>
            <w:tcW w:w="828" w:type="dxa"/>
            <w:shd w:val="clear" w:color="auto" w:fill="C6EFCE"/>
            <w:noWrap/>
          </w:tcPr>
          <w:p w14:paraId="28DF5B12"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1BE4F848"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1AA5D08D" w14:textId="77777777" w:rsidR="0065073E" w:rsidRDefault="000A0998">
            <w:pPr>
              <w:pStyle w:val="P68B1DB1-Normal12"/>
              <w:spacing w:after="0" w:line="240" w:lineRule="auto"/>
              <w:rPr>
                <w:rFonts w:eastAsia="Calibri" w:cs="Times New Roman"/>
                <w:noProof/>
              </w:rPr>
            </w:pPr>
            <w:r>
              <w:rPr>
                <w:noProof/>
              </w:rPr>
              <w:t xml:space="preserve">Uudet tai parannetut TEN-T-verkot, muut työt </w:t>
            </w:r>
          </w:p>
        </w:tc>
        <w:tc>
          <w:tcPr>
            <w:tcW w:w="1102" w:type="dxa"/>
            <w:shd w:val="clear" w:color="auto" w:fill="C6EFCE"/>
            <w:noWrap/>
          </w:tcPr>
          <w:p w14:paraId="09FA2A7E"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71E02098" w14:textId="77777777" w:rsidR="0065073E" w:rsidRDefault="000A0998">
            <w:pPr>
              <w:pStyle w:val="P68B1DB1-Normal12"/>
              <w:spacing w:after="0" w:line="240" w:lineRule="auto"/>
              <w:jc w:val="center"/>
              <w:rPr>
                <w:rFonts w:eastAsia="Calibri" w:cs="Times New Roman"/>
                <w:noProof/>
              </w:rPr>
            </w:pPr>
            <w:r>
              <w:rPr>
                <w:noProof/>
              </w:rPr>
              <w:t xml:space="preserve">Lukumäärä (km) </w:t>
            </w:r>
          </w:p>
        </w:tc>
        <w:tc>
          <w:tcPr>
            <w:tcW w:w="964" w:type="dxa"/>
            <w:shd w:val="clear" w:color="auto" w:fill="C6EFCE"/>
            <w:noWrap/>
          </w:tcPr>
          <w:p w14:paraId="083C8542" w14:textId="77777777" w:rsidR="0065073E" w:rsidRDefault="000A0998">
            <w:pPr>
              <w:pStyle w:val="P68B1DB1-Normal12"/>
              <w:spacing w:after="0" w:line="240" w:lineRule="auto"/>
              <w:jc w:val="right"/>
              <w:rPr>
                <w:rFonts w:eastAsia="Calibri" w:cs="Times New Roman"/>
                <w:noProof/>
              </w:rPr>
            </w:pPr>
            <w:r>
              <w:rPr>
                <w:noProof/>
              </w:rPr>
              <w:t>347</w:t>
            </w:r>
          </w:p>
        </w:tc>
        <w:tc>
          <w:tcPr>
            <w:tcW w:w="552" w:type="dxa"/>
            <w:shd w:val="clear" w:color="auto" w:fill="C6EFCE"/>
            <w:noWrap/>
          </w:tcPr>
          <w:p w14:paraId="686A1351" w14:textId="77777777" w:rsidR="0065073E" w:rsidRDefault="000A0998">
            <w:pPr>
              <w:pStyle w:val="P68B1DB1-Normal12"/>
              <w:spacing w:after="0" w:line="240" w:lineRule="auto"/>
              <w:jc w:val="right"/>
              <w:rPr>
                <w:rFonts w:eastAsia="Calibri" w:cs="Times New Roman"/>
                <w:noProof/>
              </w:rPr>
            </w:pPr>
            <w:r>
              <w:rPr>
                <w:noProof/>
              </w:rPr>
              <w:t>900</w:t>
            </w:r>
          </w:p>
        </w:tc>
        <w:tc>
          <w:tcPr>
            <w:tcW w:w="414" w:type="dxa"/>
            <w:shd w:val="clear" w:color="auto" w:fill="C6EFCE"/>
            <w:noWrap/>
          </w:tcPr>
          <w:p w14:paraId="5AF26E6F"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7B84253B"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136DBF99" w14:textId="501113D2" w:rsidR="0065073E" w:rsidRDefault="000A0998">
            <w:pPr>
              <w:pStyle w:val="P68B1DB1-Normal12"/>
              <w:spacing w:after="0" w:line="240" w:lineRule="auto"/>
              <w:rPr>
                <w:rFonts w:eastAsia="Calibri" w:cs="Times New Roman"/>
                <w:noProof/>
              </w:rPr>
            </w:pPr>
            <w:r>
              <w:rPr>
                <w:noProof/>
              </w:rPr>
              <w:t>Vähintään 900 kilometriä töitä, joiden tarkoituksena on tehdä rautatieverkosta yhteentoimivampi pääasiassa suhteessa Euroopan laajuiseen liikenneverkkoon (TEN-T) töiden avulla. Töiden on oltava tavoitteen 88 a alakohdassa määriteltyjen tukitoimityyppien mukaisia. (perustaso: Joulukuuta 2024).</w:t>
            </w:r>
          </w:p>
        </w:tc>
      </w:tr>
      <w:tr w:rsidR="0065073E" w14:paraId="26C7BB39" w14:textId="77777777">
        <w:trPr>
          <w:trHeight w:val="309"/>
        </w:trPr>
        <w:tc>
          <w:tcPr>
            <w:tcW w:w="832" w:type="dxa"/>
            <w:shd w:val="clear" w:color="auto" w:fill="C6EFCE"/>
            <w:noWrap/>
          </w:tcPr>
          <w:p w14:paraId="52205903" w14:textId="77777777" w:rsidR="0065073E" w:rsidRDefault="000A0998">
            <w:pPr>
              <w:pStyle w:val="P68B1DB1-Normal12"/>
              <w:spacing w:after="0" w:line="240" w:lineRule="auto"/>
              <w:jc w:val="center"/>
              <w:rPr>
                <w:rFonts w:eastAsia="Calibri" w:cs="Times New Roman"/>
                <w:noProof/>
              </w:rPr>
            </w:pPr>
            <w:r>
              <w:rPr>
                <w:noProof/>
              </w:rPr>
              <w:t>93</w:t>
            </w:r>
          </w:p>
        </w:tc>
        <w:tc>
          <w:tcPr>
            <w:tcW w:w="828" w:type="dxa"/>
            <w:shd w:val="clear" w:color="auto" w:fill="C6EFCE"/>
            <w:noWrap/>
          </w:tcPr>
          <w:p w14:paraId="4307AF87"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40406B83"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45C2620C" w14:textId="77777777" w:rsidR="0065073E" w:rsidRDefault="000A0998">
            <w:pPr>
              <w:pStyle w:val="P68B1DB1-Normal12"/>
              <w:spacing w:after="0" w:line="240" w:lineRule="auto"/>
              <w:rPr>
                <w:rFonts w:eastAsia="Calibri" w:cs="Times New Roman"/>
                <w:noProof/>
              </w:rPr>
            </w:pPr>
            <w:r>
              <w:rPr>
                <w:noProof/>
              </w:rPr>
              <w:t>Yhtenäinen eurooppalainen ilmatila: hankkeen loppuun saattaminen</w:t>
            </w:r>
          </w:p>
        </w:tc>
        <w:tc>
          <w:tcPr>
            <w:tcW w:w="1102" w:type="dxa"/>
            <w:shd w:val="clear" w:color="auto" w:fill="C6EFCE"/>
            <w:noWrap/>
          </w:tcPr>
          <w:p w14:paraId="237AFA41"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1CB940D8" w14:textId="77777777" w:rsidR="0065073E" w:rsidRDefault="000A0998">
            <w:pPr>
              <w:pStyle w:val="P68B1DB1-Normal12"/>
              <w:spacing w:after="0" w:line="240" w:lineRule="auto"/>
              <w:jc w:val="right"/>
              <w:rPr>
                <w:rFonts w:eastAsia="Calibri" w:cs="Times New Roman"/>
                <w:noProof/>
              </w:rPr>
            </w:pPr>
            <w:r>
              <w:rPr>
                <w:noProof/>
              </w:rPr>
              <w:t>Määrä</w:t>
            </w:r>
          </w:p>
        </w:tc>
        <w:tc>
          <w:tcPr>
            <w:tcW w:w="964" w:type="dxa"/>
            <w:shd w:val="clear" w:color="auto" w:fill="C6EFCE"/>
            <w:noWrap/>
          </w:tcPr>
          <w:p w14:paraId="46BB2669" w14:textId="77777777" w:rsidR="0065073E" w:rsidRDefault="000A0998">
            <w:pPr>
              <w:pStyle w:val="P68B1DB1-Normal12"/>
              <w:spacing w:after="0" w:line="240" w:lineRule="auto"/>
              <w:jc w:val="right"/>
              <w:rPr>
                <w:rFonts w:eastAsia="Calibri" w:cs="Times New Roman"/>
                <w:noProof/>
              </w:rPr>
            </w:pPr>
            <w:r>
              <w:rPr>
                <w:noProof/>
              </w:rPr>
              <w:t>15</w:t>
            </w:r>
          </w:p>
        </w:tc>
        <w:tc>
          <w:tcPr>
            <w:tcW w:w="552" w:type="dxa"/>
            <w:shd w:val="clear" w:color="auto" w:fill="C6EFCE"/>
            <w:noWrap/>
          </w:tcPr>
          <w:p w14:paraId="74BC2F5A" w14:textId="77777777" w:rsidR="0065073E" w:rsidRDefault="000A0998">
            <w:pPr>
              <w:pStyle w:val="P68B1DB1-Normal12"/>
              <w:spacing w:after="0" w:line="240" w:lineRule="auto"/>
              <w:jc w:val="right"/>
              <w:rPr>
                <w:rFonts w:eastAsia="Calibri" w:cs="Times New Roman"/>
                <w:noProof/>
              </w:rPr>
            </w:pPr>
            <w:r>
              <w:rPr>
                <w:noProof/>
              </w:rPr>
              <w:t>20</w:t>
            </w:r>
          </w:p>
        </w:tc>
        <w:tc>
          <w:tcPr>
            <w:tcW w:w="414" w:type="dxa"/>
            <w:shd w:val="clear" w:color="auto" w:fill="C6EFCE"/>
            <w:noWrap/>
          </w:tcPr>
          <w:p w14:paraId="1D92D728"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7E23C7FD"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315DD83C" w14:textId="77777777" w:rsidR="0065073E" w:rsidRDefault="000A0998">
            <w:pPr>
              <w:pStyle w:val="P68B1DB1-Normal12"/>
              <w:spacing w:after="0" w:line="240" w:lineRule="auto"/>
              <w:rPr>
                <w:rFonts w:eastAsia="Calibri" w:cs="Times New Roman"/>
                <w:noProof/>
              </w:rPr>
            </w:pPr>
            <w:r>
              <w:rPr>
                <w:noProof/>
              </w:rPr>
              <w:t>Vähintään 20 digitalisaatiota ja turvallisuutta koskevaa hanketta yhtenäisen eurooppalaisen ilmatilan kehittämiseksi, ja hankkeet on valittu hankkeen (Milestone 90) valintaperusteiden mukaisesti. (perusskenaario: Joulukuuta 2024).</w:t>
            </w:r>
          </w:p>
        </w:tc>
      </w:tr>
      <w:tr w:rsidR="0065073E" w14:paraId="7AE80DCA" w14:textId="77777777">
        <w:trPr>
          <w:trHeight w:val="309"/>
        </w:trPr>
        <w:tc>
          <w:tcPr>
            <w:tcW w:w="832" w:type="dxa"/>
            <w:shd w:val="clear" w:color="auto" w:fill="C6EFCE"/>
            <w:noWrap/>
          </w:tcPr>
          <w:p w14:paraId="662CABB4" w14:textId="77777777" w:rsidR="0065073E" w:rsidRDefault="000A0998">
            <w:pPr>
              <w:pStyle w:val="P68B1DB1-Normal12"/>
              <w:spacing w:after="0" w:line="240" w:lineRule="auto"/>
              <w:jc w:val="center"/>
              <w:rPr>
                <w:rFonts w:eastAsia="Calibri" w:cs="Times New Roman"/>
                <w:noProof/>
              </w:rPr>
            </w:pPr>
            <w:r>
              <w:rPr>
                <w:noProof/>
              </w:rPr>
              <w:t>94</w:t>
            </w:r>
          </w:p>
        </w:tc>
        <w:tc>
          <w:tcPr>
            <w:tcW w:w="828" w:type="dxa"/>
            <w:shd w:val="clear" w:color="auto" w:fill="C6EFCE"/>
            <w:noWrap/>
          </w:tcPr>
          <w:p w14:paraId="606FE42A" w14:textId="77777777" w:rsidR="0065073E" w:rsidRDefault="000A0998">
            <w:pPr>
              <w:pStyle w:val="P68B1DB1-Normal12"/>
              <w:spacing w:after="0" w:line="240" w:lineRule="auto"/>
              <w:jc w:val="center"/>
              <w:rPr>
                <w:rFonts w:eastAsia="Calibri" w:cs="Times New Roman"/>
                <w:noProof/>
              </w:rPr>
            </w:pPr>
            <w:r>
              <w:rPr>
                <w:noProof/>
              </w:rPr>
              <w:t>C6.I2</w:t>
            </w:r>
          </w:p>
        </w:tc>
        <w:tc>
          <w:tcPr>
            <w:tcW w:w="827" w:type="dxa"/>
            <w:shd w:val="clear" w:color="auto" w:fill="C6EFCE"/>
            <w:noWrap/>
          </w:tcPr>
          <w:p w14:paraId="1F965BD1"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76D8F0EF" w14:textId="77777777" w:rsidR="0065073E" w:rsidRDefault="000A0998">
            <w:pPr>
              <w:pStyle w:val="P68B1DB1-Normal12"/>
              <w:spacing w:after="0" w:line="240" w:lineRule="auto"/>
              <w:rPr>
                <w:rFonts w:eastAsia="Calibri" w:cs="Times New Roman"/>
                <w:noProof/>
              </w:rPr>
            </w:pPr>
            <w:r>
              <w:rPr>
                <w:noProof/>
              </w:rPr>
              <w:t xml:space="preserve">Nykyiseen sääntelyyn mukautettu valtion tieverkko </w:t>
            </w:r>
          </w:p>
        </w:tc>
        <w:tc>
          <w:tcPr>
            <w:tcW w:w="1102" w:type="dxa"/>
            <w:shd w:val="clear" w:color="auto" w:fill="C6EFCE"/>
            <w:noWrap/>
          </w:tcPr>
          <w:p w14:paraId="5ED31B6D" w14:textId="77777777" w:rsidR="0065073E" w:rsidRDefault="000A0998">
            <w:pPr>
              <w:pStyle w:val="P68B1DB1-Normal12"/>
              <w:spacing w:after="0" w:line="240" w:lineRule="auto"/>
              <w:jc w:val="center"/>
              <w:rPr>
                <w:rFonts w:eastAsia="Calibri" w:cs="Times New Roman"/>
                <w:noProof/>
              </w:rPr>
            </w:pPr>
            <w:r>
              <w:rPr>
                <w:noProof/>
              </w:rPr>
              <w:t>Hankkeen loppuun saattaminen</w:t>
            </w:r>
          </w:p>
        </w:tc>
        <w:tc>
          <w:tcPr>
            <w:tcW w:w="992" w:type="dxa"/>
            <w:shd w:val="clear" w:color="auto" w:fill="C6EFCE"/>
            <w:noWrap/>
          </w:tcPr>
          <w:p w14:paraId="1AF05E09"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964" w:type="dxa"/>
            <w:shd w:val="clear" w:color="auto" w:fill="C6EFCE"/>
            <w:noWrap/>
          </w:tcPr>
          <w:p w14:paraId="0C9381D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6BF368CB"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0BC2A4FB"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2C164734"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55CF59BF" w14:textId="58F3975C" w:rsidR="0065073E" w:rsidRDefault="000A0998">
            <w:pPr>
              <w:pStyle w:val="P68B1DB1-Normal12"/>
              <w:spacing w:after="0" w:line="240" w:lineRule="auto"/>
              <w:rPr>
                <w:rFonts w:eastAsia="Calibri" w:cs="Times New Roman"/>
                <w:noProof/>
              </w:rPr>
            </w:pPr>
            <w:r>
              <w:rPr>
                <w:noProof/>
              </w:rPr>
              <w:t>Valtion tieverkon töiden loppuun saattaminen tavoitteen 88 b kohdassa määriteltyjen tukitoimityyppien mukaisesti. Siihen on sisällyttävä töitä vähintään 80 tunnelissa, aitojen ja opasteiden parantamista koskevia toimia, joilla vähennetään luonnonvaraisten eläinten ja kasvien tunkeutumisen todennäköisyyttä, toteutetaan toimia, joilla parannetaan suojattomimpien tienkäyttäjien, kuten jalankulkijoiden ja pyöräilijöiden (kävelytiet, pyörätiet), kestävyyttä (ilmanlaadun parantaminen, kaupunkiliikenteen uudet muodot, biologisen monimuotoisuuden suojelu, ilmastoriskien ehkäiseminen), energiatehokkuus, melun vähentäminen, digitalisaatio (siltojen, tunnelien, massadata-analyysin ja esineiden internetin seurantajärjestelmien käyttöönotto; teiden digitalisointi seurantaa ja ylläpitoa varten, älykkäiden liikennejärjestelmien käyttöönotto linja-autoissa ja Gibraltarinsalmen välisen kiinteän yhteyden alustavan alustavan luonnoksen päivittäminen.</w:t>
            </w:r>
          </w:p>
        </w:tc>
      </w:tr>
      <w:tr w:rsidR="0065073E" w14:paraId="72C896A4" w14:textId="77777777">
        <w:trPr>
          <w:trHeight w:val="309"/>
        </w:trPr>
        <w:tc>
          <w:tcPr>
            <w:tcW w:w="832" w:type="dxa"/>
            <w:shd w:val="clear" w:color="auto" w:fill="C6EFCE"/>
            <w:noWrap/>
          </w:tcPr>
          <w:p w14:paraId="3A9150B4" w14:textId="533798C6" w:rsidR="0065073E" w:rsidRDefault="000A0998">
            <w:pPr>
              <w:pStyle w:val="P68B1DB1-Normal12"/>
              <w:spacing w:after="0" w:line="240" w:lineRule="auto"/>
              <w:jc w:val="center"/>
              <w:rPr>
                <w:rFonts w:eastAsia="Calibri" w:cs="Times New Roman"/>
                <w:noProof/>
              </w:rPr>
            </w:pPr>
            <w:r>
              <w:rPr>
                <w:noProof/>
              </w:rPr>
              <w:t>95</w:t>
            </w:r>
          </w:p>
        </w:tc>
        <w:tc>
          <w:tcPr>
            <w:tcW w:w="828" w:type="dxa"/>
            <w:shd w:val="clear" w:color="auto" w:fill="C6EFCE"/>
            <w:noWrap/>
          </w:tcPr>
          <w:p w14:paraId="5291B500" w14:textId="77777777" w:rsidR="0065073E" w:rsidRDefault="000A0998">
            <w:pPr>
              <w:pStyle w:val="P68B1DB1-Normal12"/>
              <w:spacing w:after="0" w:line="240" w:lineRule="auto"/>
              <w:jc w:val="center"/>
              <w:rPr>
                <w:rFonts w:eastAsia="Calibri" w:cs="Times New Roman"/>
                <w:noProof/>
              </w:rPr>
            </w:pPr>
            <w:r>
              <w:rPr>
                <w:noProof/>
              </w:rPr>
              <w:t>C6.I3</w:t>
            </w:r>
          </w:p>
        </w:tc>
        <w:tc>
          <w:tcPr>
            <w:tcW w:w="827" w:type="dxa"/>
            <w:shd w:val="clear" w:color="auto" w:fill="C6EFCE"/>
            <w:noWrap/>
          </w:tcPr>
          <w:p w14:paraId="7731F430" w14:textId="151A777A"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678348CE" w14:textId="777E51AB" w:rsidR="0065073E" w:rsidRDefault="000A0998">
            <w:pPr>
              <w:pStyle w:val="P68B1DB1-Normal12"/>
              <w:spacing w:after="0" w:line="240" w:lineRule="auto"/>
              <w:rPr>
                <w:rFonts w:eastAsia="Calibri" w:cs="Times New Roman"/>
                <w:noProof/>
              </w:rPr>
            </w:pPr>
            <w:r>
              <w:rPr>
                <w:noProof/>
              </w:rPr>
              <w:t>T1: intermodaalisten ja logististen infrastruktuurien parantamiseksi tehtyjen sopimusten tai muiden oikeudellisten välineiden lukumäärä</w:t>
            </w:r>
          </w:p>
        </w:tc>
        <w:tc>
          <w:tcPr>
            <w:tcW w:w="1102" w:type="dxa"/>
            <w:shd w:val="clear" w:color="auto" w:fill="C6EFCE"/>
            <w:noWrap/>
          </w:tcPr>
          <w:p w14:paraId="2F4859FA" w14:textId="37043917" w:rsidR="0065073E" w:rsidRDefault="000A0998">
            <w:pPr>
              <w:pStyle w:val="P68B1DB1-Normal12"/>
              <w:spacing w:after="0" w:line="240" w:lineRule="auto"/>
              <w:jc w:val="center"/>
              <w:rPr>
                <w:rFonts w:eastAsia="Calibri" w:cs="Times New Roman"/>
                <w:noProof/>
              </w:rPr>
            </w:pPr>
            <w:r>
              <w:rPr>
                <w:noProof/>
              </w:rPr>
              <w:t xml:space="preserve"> —</w:t>
            </w:r>
          </w:p>
        </w:tc>
        <w:tc>
          <w:tcPr>
            <w:tcW w:w="992" w:type="dxa"/>
            <w:shd w:val="clear" w:color="auto" w:fill="C6EFCE"/>
            <w:noWrap/>
          </w:tcPr>
          <w:p w14:paraId="7EE978CC" w14:textId="6E5356F4" w:rsidR="0065073E" w:rsidRDefault="000A0998">
            <w:pPr>
              <w:pStyle w:val="P68B1DB1-Normal12"/>
              <w:spacing w:after="0" w:line="240" w:lineRule="auto"/>
              <w:jc w:val="right"/>
              <w:rPr>
                <w:rFonts w:eastAsia="Calibri" w:cs="Times New Roman"/>
                <w:noProof/>
              </w:rPr>
            </w:pPr>
            <w:r>
              <w:rPr>
                <w:noProof/>
              </w:rPr>
              <w:t xml:space="preserve">Sopimus tai muu oikeudellinen asiakirja </w:t>
            </w:r>
          </w:p>
        </w:tc>
        <w:tc>
          <w:tcPr>
            <w:tcW w:w="964" w:type="dxa"/>
            <w:shd w:val="clear" w:color="auto" w:fill="C6EFCE"/>
            <w:noWrap/>
          </w:tcPr>
          <w:p w14:paraId="5DD46645" w14:textId="7D046DFA" w:rsidR="0065073E" w:rsidRDefault="000A0998">
            <w:pPr>
              <w:pStyle w:val="P68B1DB1-Normal12"/>
              <w:spacing w:after="0" w:line="240" w:lineRule="auto"/>
              <w:jc w:val="right"/>
              <w:rPr>
                <w:rFonts w:eastAsia="Calibri" w:cs="Times New Roman"/>
                <w:noProof/>
              </w:rPr>
            </w:pPr>
            <w:r>
              <w:rPr>
                <w:noProof/>
              </w:rPr>
              <w:t xml:space="preserve">0 </w:t>
            </w:r>
          </w:p>
        </w:tc>
        <w:tc>
          <w:tcPr>
            <w:tcW w:w="552" w:type="dxa"/>
            <w:shd w:val="clear" w:color="auto" w:fill="C6EFCE"/>
            <w:noWrap/>
          </w:tcPr>
          <w:p w14:paraId="4B9B179D" w14:textId="7AFEC89E" w:rsidR="0065073E" w:rsidRDefault="000A0998">
            <w:pPr>
              <w:pStyle w:val="P68B1DB1-Normal12"/>
              <w:spacing w:after="0" w:line="240" w:lineRule="auto"/>
              <w:jc w:val="right"/>
              <w:rPr>
                <w:rFonts w:eastAsia="Calibri" w:cs="Times New Roman"/>
                <w:noProof/>
              </w:rPr>
            </w:pPr>
            <w:r>
              <w:rPr>
                <w:noProof/>
              </w:rPr>
              <w:t xml:space="preserve">66 </w:t>
            </w:r>
          </w:p>
        </w:tc>
        <w:tc>
          <w:tcPr>
            <w:tcW w:w="414" w:type="dxa"/>
            <w:shd w:val="clear" w:color="auto" w:fill="C6EFCE"/>
            <w:noWrap/>
          </w:tcPr>
          <w:p w14:paraId="03B6F028"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72CB7BC4" w14:textId="77777777" w:rsidR="0065073E" w:rsidRDefault="000A0998">
            <w:pPr>
              <w:pStyle w:val="P68B1DB1-Normal12"/>
              <w:spacing w:after="0" w:line="240" w:lineRule="auto"/>
              <w:jc w:val="center"/>
              <w:rPr>
                <w:rFonts w:eastAsia="Calibri" w:cs="Times New Roman"/>
                <w:noProof/>
              </w:rPr>
            </w:pPr>
            <w:r>
              <w:rPr>
                <w:noProof/>
              </w:rPr>
              <w:t>2022</w:t>
            </w:r>
          </w:p>
        </w:tc>
        <w:tc>
          <w:tcPr>
            <w:tcW w:w="5885" w:type="dxa"/>
            <w:shd w:val="clear" w:color="auto" w:fill="C6EFCE"/>
            <w:noWrap/>
          </w:tcPr>
          <w:p w14:paraId="1DE3A4F2" w14:textId="6EF724FB" w:rsidR="0065073E" w:rsidRDefault="000A0998">
            <w:pPr>
              <w:spacing w:after="0" w:line="240" w:lineRule="auto"/>
              <w:rPr>
                <w:rFonts w:ascii="Times New Roman" w:hAnsi="Times New Roman"/>
                <w:noProof/>
                <w:sz w:val="18"/>
              </w:rPr>
            </w:pPr>
            <w:r>
              <w:rPr>
                <w:rFonts w:ascii="Times New Roman" w:hAnsi="Times New Roman"/>
                <w:noProof/>
                <w:sz w:val="18"/>
              </w:rPr>
              <w:t>Vähintään 66 sopimusta tai muuta oikeudellista välinettä, mukaan lukien intermodaalisten ja logististen infrastruktuurien parantamiseen tähtäävät tukitoimet.</w:t>
            </w:r>
            <w:r>
              <w:rPr>
                <w:noProof/>
              </w:rPr>
              <w:t xml:space="preserve"> </w:t>
            </w:r>
            <w:r>
              <w:rPr>
                <w:noProof/>
              </w:rPr>
              <w:br/>
            </w:r>
            <w:r>
              <w:rPr>
                <w:rFonts w:ascii="Times New Roman" w:hAnsi="Times New Roman"/>
                <w:noProof/>
                <w:sz w:val="18"/>
              </w:rPr>
              <w:t>Tukitoimien on kuuluttava yhteen tai useampaan seuraavista aloista:</w:t>
            </w:r>
            <w:r>
              <w:rPr>
                <w:noProof/>
              </w:rPr>
              <w:t xml:space="preserve"> </w:t>
            </w:r>
            <w:r>
              <w:rPr>
                <w:noProof/>
              </w:rPr>
              <w:br/>
            </w:r>
            <w:r>
              <w:rPr>
                <w:rFonts w:ascii="Times New Roman" w:hAnsi="Times New Roman"/>
                <w:noProof/>
                <w:sz w:val="18"/>
              </w:rPr>
              <w:t>strategisten intermodaali- ja logistiikkaterminaalien kehittäminen ja päivittäminen yhdessä tai useammassa seuraavista paikoista:</w:t>
            </w:r>
            <w:r>
              <w:rPr>
                <w:noProof/>
              </w:rPr>
              <w:t xml:space="preserve"> </w:t>
            </w:r>
            <w:r>
              <w:rPr>
                <w:noProof/>
              </w:rPr>
              <w:br/>
            </w:r>
            <w:r>
              <w:rPr>
                <w:rFonts w:ascii="Times New Roman" w:hAnsi="Times New Roman"/>
                <w:noProof/>
                <w:sz w:val="18"/>
              </w:rPr>
              <w:t>• Vicálvaro Madridissa;</w:t>
            </w:r>
            <w:r>
              <w:rPr>
                <w:noProof/>
              </w:rPr>
              <w:t xml:space="preserve"> </w:t>
            </w:r>
            <w:r>
              <w:rPr>
                <w:noProof/>
              </w:rPr>
              <w:br/>
            </w:r>
            <w:r>
              <w:rPr>
                <w:rFonts w:ascii="Times New Roman" w:hAnsi="Times New Roman"/>
                <w:noProof/>
                <w:sz w:val="18"/>
              </w:rPr>
              <w:t>• La Llagosta Barcelonassa</w:t>
            </w:r>
            <w:r>
              <w:rPr>
                <w:noProof/>
              </w:rPr>
              <w:t xml:space="preserve"> </w:t>
            </w:r>
            <w:r>
              <w:rPr>
                <w:noProof/>
              </w:rPr>
              <w:br/>
              <w:t xml:space="preserve"> </w:t>
            </w:r>
            <w:r>
              <w:rPr>
                <w:rFonts w:ascii="Times New Roman" w:hAnsi="Times New Roman"/>
                <w:noProof/>
                <w:sz w:val="18"/>
              </w:rPr>
              <w:t>• San Luis Valenciassa</w:t>
            </w:r>
            <w:r>
              <w:rPr>
                <w:noProof/>
              </w:rPr>
              <w:t xml:space="preserve"> </w:t>
            </w:r>
            <w:r>
              <w:rPr>
                <w:noProof/>
              </w:rPr>
              <w:br/>
              <w:t xml:space="preserve"> </w:t>
            </w:r>
            <w:r>
              <w:rPr>
                <w:rFonts w:ascii="Times New Roman" w:hAnsi="Times New Roman"/>
                <w:noProof/>
                <w:sz w:val="18"/>
              </w:rPr>
              <w:t>• Júndiz Álavassa.</w:t>
            </w:r>
            <w:r>
              <w:rPr>
                <w:noProof/>
              </w:rPr>
              <w:t xml:space="preserve"> </w:t>
            </w:r>
            <w:r>
              <w:rPr>
                <w:noProof/>
              </w:rPr>
              <w:br/>
            </w:r>
            <w:r>
              <w:rPr>
                <w:rFonts w:ascii="Times New Roman" w:hAnsi="Times New Roman"/>
                <w:noProof/>
                <w:sz w:val="18"/>
              </w:rPr>
              <w:t>• Can Tunisin (Barcelona) logistiikkakeskus</w:t>
            </w:r>
            <w:r>
              <w:rPr>
                <w:noProof/>
              </w:rPr>
              <w:t xml:space="preserve"> </w:t>
            </w:r>
            <w:r>
              <w:rPr>
                <w:noProof/>
              </w:rPr>
              <w:br/>
              <w:t xml:space="preserve"> </w:t>
            </w:r>
            <w:r>
              <w:rPr>
                <w:rFonts w:ascii="Times New Roman" w:hAnsi="Times New Roman"/>
                <w:noProof/>
                <w:sz w:val="18"/>
              </w:rPr>
              <w:t>• Orduñan terminaali (Bizkaia)</w:t>
            </w:r>
            <w:r>
              <w:rPr>
                <w:noProof/>
              </w:rPr>
              <w:t xml:space="preserve"> </w:t>
            </w:r>
            <w:r>
              <w:rPr>
                <w:noProof/>
              </w:rPr>
              <w:br/>
              <w:t xml:space="preserve"> </w:t>
            </w:r>
            <w:r>
              <w:rPr>
                <w:rFonts w:ascii="Times New Roman" w:hAnsi="Times New Roman"/>
                <w:noProof/>
                <w:sz w:val="18"/>
              </w:rPr>
              <w:t>• Logistiikkakeskus Lezossa (Gipuzkoa)</w:t>
            </w:r>
            <w:r>
              <w:rPr>
                <w:noProof/>
              </w:rPr>
              <w:t xml:space="preserve"> </w:t>
            </w:r>
            <w:r>
              <w:rPr>
                <w:noProof/>
              </w:rPr>
              <w:br/>
              <w:t xml:space="preserve"> </w:t>
            </w:r>
            <w:r>
              <w:rPr>
                <w:rFonts w:ascii="Times New Roman" w:hAnsi="Times New Roman"/>
                <w:noProof/>
                <w:sz w:val="18"/>
              </w:rPr>
              <w:t>• Muriedas (Santander)</w:t>
            </w:r>
            <w:r>
              <w:rPr>
                <w:noProof/>
              </w:rPr>
              <w:t xml:space="preserve"> </w:t>
            </w:r>
            <w:r>
              <w:rPr>
                <w:noProof/>
              </w:rPr>
              <w:br/>
              <w:t xml:space="preserve"> </w:t>
            </w:r>
            <w:r>
              <w:rPr>
                <w:rFonts w:ascii="Times New Roman" w:hAnsi="Times New Roman"/>
                <w:noProof/>
                <w:sz w:val="18"/>
              </w:rPr>
              <w:t>• Escombrerasin terminaali (Murcia);</w:t>
            </w:r>
            <w:r>
              <w:rPr>
                <w:noProof/>
              </w:rPr>
              <w:t xml:space="preserve"> </w:t>
            </w:r>
            <w:r>
              <w:rPr>
                <w:noProof/>
              </w:rPr>
              <w:br/>
            </w:r>
            <w:r>
              <w:rPr>
                <w:rFonts w:ascii="Times New Roman" w:hAnsi="Times New Roman"/>
                <w:noProof/>
                <w:sz w:val="18"/>
              </w:rPr>
              <w:t>b) sivuraiteiden rakentaminen tai laajentaminen vähintään 750 metrin pituisiksi;</w:t>
            </w:r>
            <w:r>
              <w:rPr>
                <w:noProof/>
              </w:rPr>
              <w:t xml:space="preserve"> </w:t>
            </w:r>
            <w:r>
              <w:rPr>
                <w:noProof/>
              </w:rPr>
              <w:br/>
            </w:r>
            <w:r>
              <w:rPr>
                <w:rFonts w:ascii="Times New Roman" w:hAnsi="Times New Roman"/>
                <w:noProof/>
                <w:sz w:val="18"/>
              </w:rPr>
              <w:t>C) A Coruñan satamaan ja Castellónin satamaan johtavien rautatieyhteyksien parantaminen;</w:t>
            </w:r>
          </w:p>
          <w:p w14:paraId="3B8DF5D2" w14:textId="77777777" w:rsidR="0065073E" w:rsidRDefault="000A0998">
            <w:pPr>
              <w:pStyle w:val="P68B1DB1-Normal12"/>
              <w:spacing w:after="0" w:line="240" w:lineRule="auto"/>
              <w:rPr>
                <w:noProof/>
              </w:rPr>
            </w:pPr>
            <w:r>
              <w:rPr>
                <w:noProof/>
              </w:rPr>
              <w:t>Algecirasin satamaan johtavien teiden parantaminen; ja</w:t>
            </w:r>
          </w:p>
          <w:p w14:paraId="5E6C250E" w14:textId="10B64A2A"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e) satamien saavutettavuuden ja kestävyyden parantaminen, mukaan lukien</w:t>
            </w:r>
            <w:r>
              <w:rPr>
                <w:noProof/>
              </w:rPr>
              <w:t xml:space="preserve"> </w:t>
            </w:r>
            <w:r>
              <w:rPr>
                <w:noProof/>
              </w:rPr>
              <w:br/>
            </w:r>
            <w:r>
              <w:rPr>
                <w:rFonts w:ascii="Times New Roman" w:hAnsi="Times New Roman"/>
                <w:noProof/>
                <w:sz w:val="18"/>
              </w:rPr>
              <w:t>• Saavutettavuus: rautateiden liityntätyöt, mukaan lukien kunnostus- ja parannustyöt, sekä satamien sisäisen liikenteen uudet käyttöoikeudet ja parannukset mukauttamalla infrastruktuuria, joka jatkaa ulkoista maayhteyttä.</w:t>
            </w:r>
            <w:r>
              <w:rPr>
                <w:noProof/>
              </w:rPr>
              <w:t xml:space="preserve"> </w:t>
            </w:r>
            <w:r>
              <w:rPr>
                <w:noProof/>
              </w:rPr>
              <w:br/>
            </w:r>
            <w:r>
              <w:rPr>
                <w:rFonts w:ascii="Times New Roman" w:hAnsi="Times New Roman"/>
                <w:noProof/>
                <w:sz w:val="18"/>
              </w:rPr>
              <w:t xml:space="preserve">• Kestävyys: mukaan lukien vesihuolto- ja sanitaatiojärjestelmien riittävyys; ilmanlaadun parantamissuunnitelmat; tehokkaampien energiaverkkojen asentaminen; aurinkosähkölaitokset; valaistusverkkojen kunnostaminen ja LED-teknologian asentaminen; tehonkulutuksen säätöjärjestelmät; jalostusjärjestelmien kunnostaminen. </w:t>
            </w:r>
          </w:p>
        </w:tc>
      </w:tr>
      <w:tr w:rsidR="0065073E" w14:paraId="205345C6" w14:textId="77777777">
        <w:trPr>
          <w:trHeight w:val="309"/>
        </w:trPr>
        <w:tc>
          <w:tcPr>
            <w:tcW w:w="832" w:type="dxa"/>
            <w:shd w:val="clear" w:color="auto" w:fill="C6EFCE"/>
            <w:noWrap/>
          </w:tcPr>
          <w:p w14:paraId="5E240B06" w14:textId="77777777" w:rsidR="0065073E" w:rsidRDefault="000A0998">
            <w:pPr>
              <w:pStyle w:val="P68B1DB1-Normal12"/>
              <w:spacing w:after="0" w:line="240" w:lineRule="auto"/>
              <w:jc w:val="center"/>
              <w:rPr>
                <w:rFonts w:eastAsia="Calibri" w:cs="Times New Roman"/>
                <w:noProof/>
              </w:rPr>
            </w:pPr>
            <w:r>
              <w:rPr>
                <w:noProof/>
              </w:rPr>
              <w:t>96</w:t>
            </w:r>
          </w:p>
        </w:tc>
        <w:tc>
          <w:tcPr>
            <w:tcW w:w="828" w:type="dxa"/>
            <w:shd w:val="clear" w:color="auto" w:fill="C6EFCE"/>
            <w:noWrap/>
          </w:tcPr>
          <w:p w14:paraId="0423B15F" w14:textId="77777777" w:rsidR="0065073E" w:rsidRDefault="000A0998">
            <w:pPr>
              <w:pStyle w:val="P68B1DB1-Normal12"/>
              <w:spacing w:after="0" w:line="240" w:lineRule="auto"/>
              <w:jc w:val="center"/>
              <w:rPr>
                <w:rFonts w:eastAsia="Calibri" w:cs="Times New Roman"/>
                <w:noProof/>
              </w:rPr>
            </w:pPr>
            <w:r>
              <w:rPr>
                <w:noProof/>
              </w:rPr>
              <w:t>C6.I3</w:t>
            </w:r>
          </w:p>
        </w:tc>
        <w:tc>
          <w:tcPr>
            <w:tcW w:w="827" w:type="dxa"/>
            <w:shd w:val="clear" w:color="auto" w:fill="C6EFCE"/>
            <w:noWrap/>
          </w:tcPr>
          <w:p w14:paraId="2A206639" w14:textId="2FBE313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3BA36AFE" w14:textId="7DD3611C" w:rsidR="0065073E" w:rsidRDefault="000A0998">
            <w:pPr>
              <w:pStyle w:val="P68B1DB1-Normal12"/>
              <w:spacing w:after="0" w:line="240" w:lineRule="auto"/>
              <w:rPr>
                <w:rFonts w:eastAsia="Calibri" w:cs="Times New Roman"/>
                <w:noProof/>
              </w:rPr>
            </w:pPr>
            <w:r>
              <w:rPr>
                <w:noProof/>
              </w:rPr>
              <w:t xml:space="preserve">T2: Intermodaalisten ja logististen infrastruktuurien parantamiseksi tehtyjen sopimusten tai muiden oikeudellisten välineiden lukumäärä  </w:t>
            </w:r>
          </w:p>
        </w:tc>
        <w:tc>
          <w:tcPr>
            <w:tcW w:w="1102" w:type="dxa"/>
            <w:shd w:val="clear" w:color="auto" w:fill="C6EFCE"/>
            <w:noWrap/>
          </w:tcPr>
          <w:p w14:paraId="21530F9C" w14:textId="332D0C26" w:rsidR="0065073E" w:rsidRDefault="000A0998">
            <w:pPr>
              <w:pStyle w:val="P68B1DB1-Normal12"/>
              <w:spacing w:after="0" w:line="240" w:lineRule="auto"/>
              <w:jc w:val="center"/>
              <w:rPr>
                <w:rFonts w:eastAsia="Calibri" w:cs="Times New Roman"/>
                <w:noProof/>
              </w:rPr>
            </w:pPr>
            <w:r>
              <w:rPr>
                <w:noProof/>
              </w:rPr>
              <w:t xml:space="preserve"> —</w:t>
            </w:r>
          </w:p>
        </w:tc>
        <w:tc>
          <w:tcPr>
            <w:tcW w:w="992" w:type="dxa"/>
            <w:shd w:val="clear" w:color="auto" w:fill="C6EFCE"/>
            <w:noWrap/>
          </w:tcPr>
          <w:p w14:paraId="38BC71DC" w14:textId="6256657F" w:rsidR="0065073E" w:rsidRDefault="000A0998">
            <w:pPr>
              <w:pStyle w:val="P68B1DB1-Normal12"/>
              <w:spacing w:after="0" w:line="240" w:lineRule="auto"/>
              <w:jc w:val="right"/>
              <w:rPr>
                <w:rFonts w:eastAsia="Calibri" w:cs="Times New Roman"/>
                <w:noProof/>
              </w:rPr>
            </w:pPr>
            <w:r>
              <w:rPr>
                <w:noProof/>
              </w:rPr>
              <w:t xml:space="preserve">Sopimusten tai muiden oikeudellisten asiakirjojen lukumäärä </w:t>
            </w:r>
          </w:p>
        </w:tc>
        <w:tc>
          <w:tcPr>
            <w:tcW w:w="964" w:type="dxa"/>
            <w:shd w:val="clear" w:color="auto" w:fill="C6EFCE"/>
            <w:noWrap/>
          </w:tcPr>
          <w:p w14:paraId="66978A9C" w14:textId="39CFE5CB" w:rsidR="0065073E" w:rsidRDefault="000A0998">
            <w:pPr>
              <w:pStyle w:val="P68B1DB1-Normal12"/>
              <w:spacing w:after="0" w:line="240" w:lineRule="auto"/>
              <w:jc w:val="right"/>
              <w:rPr>
                <w:rFonts w:eastAsia="Calibri" w:cs="Times New Roman"/>
                <w:noProof/>
                <w:highlight w:val="yellow"/>
              </w:rPr>
            </w:pPr>
            <w:r>
              <w:rPr>
                <w:noProof/>
              </w:rPr>
              <w:t xml:space="preserve">66 </w:t>
            </w:r>
          </w:p>
        </w:tc>
        <w:tc>
          <w:tcPr>
            <w:tcW w:w="552" w:type="dxa"/>
            <w:shd w:val="clear" w:color="auto" w:fill="C6EFCE"/>
            <w:noWrap/>
          </w:tcPr>
          <w:p w14:paraId="4CD2E59C" w14:textId="7569975F" w:rsidR="0065073E" w:rsidRDefault="000A0998">
            <w:pPr>
              <w:pStyle w:val="P68B1DB1-Normal12"/>
              <w:spacing w:after="0" w:line="240" w:lineRule="auto"/>
              <w:jc w:val="right"/>
              <w:rPr>
                <w:rFonts w:eastAsia="Calibri" w:cs="Times New Roman"/>
                <w:noProof/>
              </w:rPr>
            </w:pPr>
            <w:r>
              <w:rPr>
                <w:noProof/>
              </w:rPr>
              <w:t xml:space="preserve">105 </w:t>
            </w:r>
          </w:p>
        </w:tc>
        <w:tc>
          <w:tcPr>
            <w:tcW w:w="414" w:type="dxa"/>
            <w:shd w:val="clear" w:color="auto" w:fill="C6EFCE"/>
            <w:noWrap/>
          </w:tcPr>
          <w:p w14:paraId="36174567"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05689B90" w14:textId="77777777" w:rsidR="0065073E" w:rsidRDefault="000A0998">
            <w:pPr>
              <w:pStyle w:val="P68B1DB1-Normal12"/>
              <w:spacing w:after="0" w:line="240" w:lineRule="auto"/>
              <w:jc w:val="center"/>
              <w:rPr>
                <w:rFonts w:eastAsia="Calibri" w:cs="Times New Roman"/>
                <w:noProof/>
              </w:rPr>
            </w:pPr>
            <w:r>
              <w:rPr>
                <w:noProof/>
              </w:rPr>
              <w:t>2024</w:t>
            </w:r>
          </w:p>
        </w:tc>
        <w:tc>
          <w:tcPr>
            <w:tcW w:w="5885" w:type="dxa"/>
            <w:shd w:val="clear" w:color="auto" w:fill="C6EFCE"/>
            <w:noWrap/>
          </w:tcPr>
          <w:p w14:paraId="0816BCB3" w14:textId="1CB2D09C" w:rsidR="0065073E" w:rsidRDefault="000A0998">
            <w:pPr>
              <w:pStyle w:val="P68B1DB1-Normal12"/>
              <w:tabs>
                <w:tab w:val="left" w:pos="5071"/>
              </w:tabs>
              <w:spacing w:after="0" w:line="240" w:lineRule="auto"/>
              <w:rPr>
                <w:rFonts w:eastAsia="Calibri" w:cs="Times New Roman"/>
                <w:noProof/>
              </w:rPr>
            </w:pPr>
            <w:r>
              <w:rPr>
                <w:noProof/>
              </w:rPr>
              <w:t xml:space="preserve">Tehtyjen sopimusten tai muiden oikeudellisten välineiden kumulatiivinen määrä, jossa otetaan huomioon tavoitteen 95 yhteydessä jo arvioidut sopimukset tai muut oikeudelliset välineet, mukaan lukien intermodaali- ja logistiikkainfrastruktuurien parantamiseen tähtäävät toimet tavoitteen 95 a, b, c, d tai e alakohdassa määriteltyjen alojen mukaisesti. </w:t>
            </w:r>
          </w:p>
        </w:tc>
      </w:tr>
      <w:tr w:rsidR="0065073E" w14:paraId="48B359EC" w14:textId="77777777">
        <w:trPr>
          <w:trHeight w:val="309"/>
        </w:trPr>
        <w:tc>
          <w:tcPr>
            <w:tcW w:w="832" w:type="dxa"/>
            <w:shd w:val="clear" w:color="auto" w:fill="C6EFCE"/>
            <w:noWrap/>
          </w:tcPr>
          <w:p w14:paraId="5C30BB71" w14:textId="77777777" w:rsidR="0065073E" w:rsidRDefault="000A0998">
            <w:pPr>
              <w:pStyle w:val="P68B1DB1-Normal12"/>
              <w:spacing w:after="0" w:line="240" w:lineRule="auto"/>
              <w:jc w:val="center"/>
              <w:rPr>
                <w:rFonts w:eastAsia="Calibri" w:cs="Times New Roman"/>
                <w:noProof/>
              </w:rPr>
            </w:pPr>
            <w:r>
              <w:rPr>
                <w:noProof/>
              </w:rPr>
              <w:t>97</w:t>
            </w:r>
          </w:p>
        </w:tc>
        <w:tc>
          <w:tcPr>
            <w:tcW w:w="828" w:type="dxa"/>
            <w:shd w:val="clear" w:color="auto" w:fill="C6EFCE"/>
            <w:noWrap/>
          </w:tcPr>
          <w:p w14:paraId="7C3AC971" w14:textId="77777777" w:rsidR="0065073E" w:rsidRDefault="000A0998">
            <w:pPr>
              <w:pStyle w:val="P68B1DB1-Normal12"/>
              <w:spacing w:after="0" w:line="240" w:lineRule="auto"/>
              <w:jc w:val="center"/>
              <w:rPr>
                <w:rFonts w:eastAsia="Calibri" w:cs="Times New Roman"/>
                <w:noProof/>
              </w:rPr>
            </w:pPr>
            <w:r>
              <w:rPr>
                <w:noProof/>
              </w:rPr>
              <w:t>C6.I3</w:t>
            </w:r>
          </w:p>
        </w:tc>
        <w:tc>
          <w:tcPr>
            <w:tcW w:w="827" w:type="dxa"/>
            <w:shd w:val="clear" w:color="auto" w:fill="C6EFCE"/>
            <w:noWrap/>
          </w:tcPr>
          <w:p w14:paraId="495C5B68"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7FE03AC2" w14:textId="12F9C126" w:rsidR="0065073E" w:rsidRDefault="000A0998">
            <w:pPr>
              <w:pStyle w:val="P68B1DB1-Normal12"/>
              <w:spacing w:after="0" w:line="240" w:lineRule="auto"/>
              <w:rPr>
                <w:rFonts w:eastAsia="Calibri" w:cs="Times New Roman"/>
                <w:noProof/>
              </w:rPr>
            </w:pPr>
            <w:r>
              <w:rPr>
                <w:noProof/>
              </w:rPr>
              <w:t xml:space="preserve">Intermodaali- ja logistiikkaterminaaleihin, satamiin ja 750 metrin sivuraiteisiin liittyvien hankkeiden loppuun saattaminen </w:t>
            </w:r>
          </w:p>
        </w:tc>
        <w:tc>
          <w:tcPr>
            <w:tcW w:w="1102" w:type="dxa"/>
            <w:shd w:val="clear" w:color="auto" w:fill="C6EFCE"/>
            <w:noWrap/>
          </w:tcPr>
          <w:p w14:paraId="3AD8BB85"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3B29AAD3" w14:textId="77777777" w:rsidR="0065073E" w:rsidRDefault="000A0998">
            <w:pPr>
              <w:pStyle w:val="P68B1DB1-Normal12"/>
              <w:spacing w:after="0" w:line="240" w:lineRule="auto"/>
              <w:jc w:val="right"/>
              <w:rPr>
                <w:rFonts w:eastAsia="Calibri" w:cs="Times New Roman"/>
                <w:noProof/>
              </w:rPr>
            </w:pPr>
            <w:r>
              <w:rPr>
                <w:noProof/>
              </w:rPr>
              <w:t>Määrä</w:t>
            </w:r>
          </w:p>
        </w:tc>
        <w:tc>
          <w:tcPr>
            <w:tcW w:w="964" w:type="dxa"/>
            <w:shd w:val="clear" w:color="auto" w:fill="C6EFCE"/>
            <w:noWrap/>
          </w:tcPr>
          <w:p w14:paraId="290A9710" w14:textId="77777777" w:rsidR="0065073E" w:rsidRDefault="000A0998">
            <w:pPr>
              <w:pStyle w:val="P68B1DB1-Normal12"/>
              <w:spacing w:after="0" w:line="240" w:lineRule="auto"/>
              <w:jc w:val="right"/>
              <w:rPr>
                <w:rFonts w:eastAsia="Calibri" w:cs="Times New Roman"/>
                <w:noProof/>
              </w:rPr>
            </w:pPr>
            <w:r>
              <w:rPr>
                <w:noProof/>
              </w:rPr>
              <w:t>0</w:t>
            </w:r>
          </w:p>
        </w:tc>
        <w:tc>
          <w:tcPr>
            <w:tcW w:w="552" w:type="dxa"/>
            <w:shd w:val="clear" w:color="auto" w:fill="C6EFCE"/>
            <w:noWrap/>
          </w:tcPr>
          <w:p w14:paraId="60A8096C" w14:textId="502D502D" w:rsidR="0065073E" w:rsidRDefault="000A0998">
            <w:pPr>
              <w:pStyle w:val="P68B1DB1-Normal12"/>
              <w:spacing w:after="0" w:line="240" w:lineRule="auto"/>
              <w:jc w:val="right"/>
              <w:rPr>
                <w:noProof/>
              </w:rPr>
            </w:pPr>
            <w:r>
              <w:rPr>
                <w:noProof/>
              </w:rPr>
              <w:t>14</w:t>
            </w:r>
          </w:p>
          <w:p w14:paraId="14D1BF0E" w14:textId="77777777" w:rsidR="0065073E" w:rsidRDefault="0065073E">
            <w:pPr>
              <w:spacing w:after="0" w:line="240" w:lineRule="auto"/>
              <w:jc w:val="right"/>
              <w:rPr>
                <w:rFonts w:ascii="Times New Roman" w:hAnsi="Times New Roman"/>
                <w:noProof/>
                <w:sz w:val="18"/>
              </w:rPr>
            </w:pPr>
          </w:p>
          <w:p w14:paraId="48DF98D7" w14:textId="48B1AD19" w:rsidR="0065073E" w:rsidRDefault="0065073E">
            <w:pPr>
              <w:spacing w:after="0" w:line="240" w:lineRule="auto"/>
              <w:jc w:val="right"/>
              <w:rPr>
                <w:rFonts w:ascii="Times New Roman" w:eastAsia="Calibri" w:hAnsi="Times New Roman" w:cs="Times New Roman"/>
                <w:noProof/>
                <w:sz w:val="18"/>
              </w:rPr>
            </w:pPr>
          </w:p>
        </w:tc>
        <w:tc>
          <w:tcPr>
            <w:tcW w:w="414" w:type="dxa"/>
            <w:shd w:val="clear" w:color="auto" w:fill="C6EFCE"/>
            <w:noWrap/>
          </w:tcPr>
          <w:p w14:paraId="1081CEB9"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03D54D94"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6DA6CB92" w14:textId="224C54E4" w:rsidR="0065073E" w:rsidRDefault="000A0998">
            <w:pPr>
              <w:pStyle w:val="P68B1DB1-Normal12"/>
              <w:spacing w:after="0" w:line="240" w:lineRule="auto"/>
              <w:rPr>
                <w:rFonts w:eastAsia="Calibri" w:cs="Times New Roman"/>
                <w:noProof/>
              </w:rPr>
            </w:pPr>
            <w:r>
              <w:rPr>
                <w:noProof/>
              </w:rPr>
              <w:t xml:space="preserve">Töiden loppuun saattaminen yhdeksässä strategisessa intermodaali- ja logistisessa terminaalissa (Tilos ja kolme satamaa pääsevät uuteen tai parannettu rautateiden tavaraliikenteen edistämiseksi ja vähintään kahden sivuraiteen rakentaminen tai laajentaminen vähintään 750 metrin pituisiin sivuraiteisiin. Töiden on oltava tavoitteen 95 a, b, c ja d alakohdassa määritellyn tukitoimityypin mukaisia.  </w:t>
            </w:r>
          </w:p>
        </w:tc>
      </w:tr>
      <w:tr w:rsidR="0065073E" w14:paraId="55E37360" w14:textId="77777777">
        <w:trPr>
          <w:trHeight w:val="309"/>
        </w:trPr>
        <w:tc>
          <w:tcPr>
            <w:tcW w:w="832" w:type="dxa"/>
            <w:shd w:val="clear" w:color="auto" w:fill="C6EFCE"/>
            <w:noWrap/>
          </w:tcPr>
          <w:p w14:paraId="1D3E6FDD" w14:textId="77777777" w:rsidR="0065073E" w:rsidRDefault="000A0998">
            <w:pPr>
              <w:pStyle w:val="P68B1DB1-Normal12"/>
              <w:spacing w:after="0" w:line="240" w:lineRule="auto"/>
              <w:jc w:val="center"/>
              <w:rPr>
                <w:rFonts w:eastAsia="Calibri" w:cs="Times New Roman"/>
                <w:noProof/>
              </w:rPr>
            </w:pPr>
            <w:r>
              <w:rPr>
                <w:noProof/>
              </w:rPr>
              <w:t>98</w:t>
            </w:r>
          </w:p>
        </w:tc>
        <w:tc>
          <w:tcPr>
            <w:tcW w:w="828" w:type="dxa"/>
            <w:shd w:val="clear" w:color="auto" w:fill="C6EFCE"/>
            <w:noWrap/>
          </w:tcPr>
          <w:p w14:paraId="62B12274" w14:textId="77777777" w:rsidR="0065073E" w:rsidRDefault="000A0998">
            <w:pPr>
              <w:pStyle w:val="P68B1DB1-Normal12"/>
              <w:spacing w:after="0" w:line="240" w:lineRule="auto"/>
              <w:jc w:val="center"/>
              <w:rPr>
                <w:rFonts w:eastAsia="Calibri" w:cs="Times New Roman"/>
                <w:noProof/>
              </w:rPr>
            </w:pPr>
            <w:r>
              <w:rPr>
                <w:noProof/>
              </w:rPr>
              <w:t>C6.I3</w:t>
            </w:r>
          </w:p>
        </w:tc>
        <w:tc>
          <w:tcPr>
            <w:tcW w:w="827" w:type="dxa"/>
            <w:shd w:val="clear" w:color="auto" w:fill="C6EFCE"/>
            <w:noWrap/>
          </w:tcPr>
          <w:p w14:paraId="6B68F24E" w14:textId="77777777" w:rsidR="0065073E" w:rsidRDefault="000A0998">
            <w:pPr>
              <w:pStyle w:val="P68B1DB1-Normal12"/>
              <w:spacing w:after="0" w:line="240" w:lineRule="auto"/>
              <w:jc w:val="center"/>
              <w:rPr>
                <w:rFonts w:eastAsia="Calibri" w:cs="Times New Roman"/>
                <w:noProof/>
              </w:rPr>
            </w:pPr>
            <w:r>
              <w:rPr>
                <w:noProof/>
              </w:rPr>
              <w:t>T</w:t>
            </w:r>
          </w:p>
        </w:tc>
        <w:tc>
          <w:tcPr>
            <w:tcW w:w="1515" w:type="dxa"/>
            <w:shd w:val="clear" w:color="auto" w:fill="C6EFCE"/>
            <w:noWrap/>
          </w:tcPr>
          <w:p w14:paraId="2FEE4FFB" w14:textId="77777777" w:rsidR="0065073E" w:rsidRDefault="000A0998">
            <w:pPr>
              <w:pStyle w:val="P68B1DB1-Normal12"/>
              <w:spacing w:after="0" w:line="240" w:lineRule="auto"/>
              <w:rPr>
                <w:rFonts w:eastAsia="Calibri" w:cs="Times New Roman"/>
                <w:noProof/>
              </w:rPr>
            </w:pPr>
            <w:r>
              <w:rPr>
                <w:noProof/>
              </w:rPr>
              <w:t xml:space="preserve">Rautateiden esteettömyyttä ja satamien kestävyyttä koskevien hankkeiden loppuun saattaminen </w:t>
            </w:r>
          </w:p>
        </w:tc>
        <w:tc>
          <w:tcPr>
            <w:tcW w:w="1102" w:type="dxa"/>
            <w:shd w:val="clear" w:color="auto" w:fill="C6EFCE"/>
            <w:noWrap/>
          </w:tcPr>
          <w:p w14:paraId="3AC2E41B" w14:textId="77777777" w:rsidR="0065073E" w:rsidRDefault="000A0998">
            <w:pPr>
              <w:pStyle w:val="P68B1DB1-Normal12"/>
              <w:spacing w:after="0" w:line="240" w:lineRule="auto"/>
              <w:jc w:val="center"/>
              <w:rPr>
                <w:rFonts w:eastAsia="Calibri" w:cs="Times New Roman"/>
                <w:noProof/>
              </w:rPr>
            </w:pPr>
            <w:r>
              <w:rPr>
                <w:noProof/>
              </w:rPr>
              <w:t>—</w:t>
            </w:r>
          </w:p>
        </w:tc>
        <w:tc>
          <w:tcPr>
            <w:tcW w:w="992" w:type="dxa"/>
            <w:shd w:val="clear" w:color="auto" w:fill="C6EFCE"/>
            <w:noWrap/>
          </w:tcPr>
          <w:p w14:paraId="5E79806A" w14:textId="77777777" w:rsidR="0065073E" w:rsidRDefault="000A0998">
            <w:pPr>
              <w:pStyle w:val="P68B1DB1-Normal12"/>
              <w:spacing w:after="0" w:line="240" w:lineRule="auto"/>
              <w:jc w:val="right"/>
              <w:rPr>
                <w:rFonts w:eastAsia="Calibri" w:cs="Times New Roman"/>
                <w:noProof/>
              </w:rPr>
            </w:pPr>
            <w:r>
              <w:rPr>
                <w:noProof/>
              </w:rPr>
              <w:t>Määrä</w:t>
            </w:r>
          </w:p>
        </w:tc>
        <w:tc>
          <w:tcPr>
            <w:tcW w:w="964" w:type="dxa"/>
            <w:shd w:val="clear" w:color="auto" w:fill="C6EFCE"/>
            <w:noWrap/>
          </w:tcPr>
          <w:p w14:paraId="40717F1A" w14:textId="77777777" w:rsidR="0065073E" w:rsidRDefault="000A0998">
            <w:pPr>
              <w:pStyle w:val="P68B1DB1-Normal12"/>
              <w:spacing w:after="0" w:line="240" w:lineRule="auto"/>
              <w:jc w:val="right"/>
              <w:rPr>
                <w:rFonts w:eastAsia="Calibri" w:cs="Times New Roman"/>
                <w:noProof/>
              </w:rPr>
            </w:pPr>
            <w:r>
              <w:rPr>
                <w:noProof/>
              </w:rPr>
              <w:t>0</w:t>
            </w:r>
          </w:p>
        </w:tc>
        <w:tc>
          <w:tcPr>
            <w:tcW w:w="552" w:type="dxa"/>
            <w:shd w:val="clear" w:color="auto" w:fill="C6EFCE"/>
            <w:noWrap/>
          </w:tcPr>
          <w:p w14:paraId="270091A6" w14:textId="77777777" w:rsidR="0065073E" w:rsidRDefault="000A0998">
            <w:pPr>
              <w:pStyle w:val="P68B1DB1-Normal12"/>
              <w:spacing w:after="0" w:line="240" w:lineRule="auto"/>
              <w:jc w:val="right"/>
              <w:rPr>
                <w:rFonts w:eastAsia="Calibri" w:cs="Times New Roman"/>
                <w:noProof/>
              </w:rPr>
            </w:pPr>
            <w:r>
              <w:rPr>
                <w:noProof/>
              </w:rPr>
              <w:t>44</w:t>
            </w:r>
          </w:p>
        </w:tc>
        <w:tc>
          <w:tcPr>
            <w:tcW w:w="414" w:type="dxa"/>
            <w:shd w:val="clear" w:color="auto" w:fill="C6EFCE"/>
            <w:noWrap/>
          </w:tcPr>
          <w:p w14:paraId="17B62A45"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56E4FF22"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6C922BF8" w14:textId="1FC33D90" w:rsidR="0065073E" w:rsidRDefault="000A0998">
            <w:pPr>
              <w:pStyle w:val="P68B1DB1-Normal12"/>
              <w:spacing w:after="0" w:line="240" w:lineRule="auto"/>
              <w:rPr>
                <w:rFonts w:eastAsia="Calibri" w:cs="Times New Roman"/>
                <w:noProof/>
              </w:rPr>
            </w:pPr>
            <w:r>
              <w:rPr>
                <w:noProof/>
              </w:rPr>
              <w:t xml:space="preserve">44 toimen (19+ 25) loppuun saattaminen: vähintään 19 rautateiden esteettömyyttä koskevaa hanketta ja kestävyyshankkeiden loppuun saattaminen satamissa 25 eri satamaviranomaisessa. Töiden on oltava tavoitteen 95 e alakohdassa määriteltyjen tukitoimityyppien mukaisia. </w:t>
            </w:r>
          </w:p>
        </w:tc>
      </w:tr>
      <w:tr w:rsidR="0065073E" w14:paraId="52A0EDE1" w14:textId="77777777">
        <w:trPr>
          <w:trHeight w:val="309"/>
        </w:trPr>
        <w:tc>
          <w:tcPr>
            <w:tcW w:w="832" w:type="dxa"/>
            <w:shd w:val="clear" w:color="auto" w:fill="C6EFCE"/>
            <w:noWrap/>
          </w:tcPr>
          <w:p w14:paraId="4C1829E2" w14:textId="1BC823A7" w:rsidR="0065073E" w:rsidRDefault="000A0998">
            <w:pPr>
              <w:pStyle w:val="P68B1DB1-Normal12"/>
              <w:spacing w:after="0" w:line="240" w:lineRule="auto"/>
              <w:jc w:val="center"/>
              <w:rPr>
                <w:rFonts w:eastAsia="Calibri" w:cs="Times New Roman"/>
                <w:noProof/>
              </w:rPr>
            </w:pPr>
            <w:r>
              <w:rPr>
                <w:noProof/>
              </w:rPr>
              <w:t>99</w:t>
            </w:r>
          </w:p>
        </w:tc>
        <w:tc>
          <w:tcPr>
            <w:tcW w:w="828" w:type="dxa"/>
            <w:shd w:val="clear" w:color="auto" w:fill="C6EFCE"/>
            <w:noWrap/>
          </w:tcPr>
          <w:p w14:paraId="3B30915B" w14:textId="77777777" w:rsidR="0065073E" w:rsidRDefault="000A0998">
            <w:pPr>
              <w:pStyle w:val="P68B1DB1-Normal12"/>
              <w:spacing w:after="0" w:line="240" w:lineRule="auto"/>
              <w:jc w:val="center"/>
              <w:rPr>
                <w:rFonts w:eastAsia="Calibri" w:cs="Times New Roman"/>
                <w:noProof/>
              </w:rPr>
            </w:pPr>
            <w:r>
              <w:rPr>
                <w:noProof/>
              </w:rPr>
              <w:t>C6.I4</w:t>
            </w:r>
          </w:p>
        </w:tc>
        <w:tc>
          <w:tcPr>
            <w:tcW w:w="827" w:type="dxa"/>
            <w:shd w:val="clear" w:color="auto" w:fill="C6EFCE"/>
            <w:noWrap/>
          </w:tcPr>
          <w:p w14:paraId="6D421D03"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7ACB2AAB" w14:textId="77777777" w:rsidR="0065073E" w:rsidRDefault="000A0998">
            <w:pPr>
              <w:pStyle w:val="P68B1DB1-Normal12"/>
              <w:spacing w:after="0" w:line="240" w:lineRule="auto"/>
              <w:rPr>
                <w:rFonts w:eastAsia="Calibri" w:cs="Times New Roman"/>
                <w:noProof/>
              </w:rPr>
            </w:pPr>
            <w:r>
              <w:rPr>
                <w:noProof/>
              </w:rPr>
              <w:t xml:space="preserve">Kestävän ja digitaalisen liikenteen ohjelman tukeminen. </w:t>
            </w:r>
          </w:p>
        </w:tc>
        <w:tc>
          <w:tcPr>
            <w:tcW w:w="1102" w:type="dxa"/>
            <w:shd w:val="clear" w:color="auto" w:fill="C6EFCE"/>
            <w:noWrap/>
          </w:tcPr>
          <w:p w14:paraId="0E045576" w14:textId="0E5DFEF6" w:rsidR="0065073E" w:rsidRDefault="000A0998">
            <w:pPr>
              <w:pStyle w:val="P68B1DB1-Normal12"/>
              <w:spacing w:after="0" w:line="240" w:lineRule="auto"/>
              <w:jc w:val="center"/>
              <w:rPr>
                <w:rFonts w:eastAsia="Calibri" w:cs="Times New Roman"/>
                <w:noProof/>
              </w:rPr>
            </w:pPr>
            <w:r>
              <w:rPr>
                <w:noProof/>
              </w:rPr>
              <w:t>Julkaiseminen Euroopan unionin virallisessa lehdessä ja virallisten päätöslauselmien hyväksyminen</w:t>
            </w:r>
          </w:p>
        </w:tc>
        <w:tc>
          <w:tcPr>
            <w:tcW w:w="992" w:type="dxa"/>
            <w:shd w:val="clear" w:color="auto" w:fill="C6EFCE"/>
            <w:noWrap/>
          </w:tcPr>
          <w:p w14:paraId="6F8FFF1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964" w:type="dxa"/>
            <w:shd w:val="clear" w:color="auto" w:fill="C6EFCE"/>
            <w:noWrap/>
          </w:tcPr>
          <w:p w14:paraId="336B16C7"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597B45D8"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73216A16"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4E312855" w14:textId="77777777" w:rsidR="0065073E" w:rsidRDefault="000A0998">
            <w:pPr>
              <w:pStyle w:val="P68B1DB1-Normal12"/>
              <w:spacing w:after="0" w:line="240" w:lineRule="auto"/>
              <w:jc w:val="center"/>
              <w:rPr>
                <w:rFonts w:eastAsia="Calibri" w:cs="Times New Roman"/>
                <w:noProof/>
              </w:rPr>
            </w:pPr>
            <w:r>
              <w:rPr>
                <w:noProof/>
              </w:rPr>
              <w:t>2022</w:t>
            </w:r>
          </w:p>
        </w:tc>
        <w:tc>
          <w:tcPr>
            <w:tcW w:w="5885" w:type="dxa"/>
            <w:shd w:val="clear" w:color="auto" w:fill="C6EFCE"/>
            <w:noWrap/>
          </w:tcPr>
          <w:p w14:paraId="56EE7AA2" w14:textId="1C19110D" w:rsidR="0065073E" w:rsidRDefault="000A0998">
            <w:pPr>
              <w:spacing w:after="0" w:line="240" w:lineRule="auto"/>
              <w:rPr>
                <w:rFonts w:ascii="Times New Roman" w:hAnsi="Times New Roman"/>
                <w:noProof/>
                <w:sz w:val="18"/>
              </w:rPr>
            </w:pPr>
            <w:r>
              <w:rPr>
                <w:rFonts w:ascii="Times New Roman" w:hAnsi="Times New Roman"/>
                <w:noProof/>
                <w:sz w:val="18"/>
              </w:rPr>
              <w:t xml:space="preserve">800000000 euron rahoitus kestävän ja digitaalisen liikenteen tukiohjelmasta seuraavasti: </w:t>
            </w:r>
            <w:r>
              <w:rPr>
                <w:noProof/>
              </w:rPr>
              <w:t xml:space="preserve"> </w:t>
            </w:r>
            <w:r>
              <w:rPr>
                <w:noProof/>
              </w:rPr>
              <w:br/>
            </w:r>
            <w:r>
              <w:rPr>
                <w:rFonts w:ascii="Times New Roman" w:hAnsi="Times New Roman"/>
                <w:noProof/>
                <w:sz w:val="18"/>
              </w:rPr>
              <w:t>Euroopan unionin virallisessa lehdessä julkaistut julkaisut eko-INCENTIVES-järjestelmään perustuvasta kestävän tavaraliikenteen tukijärjestelmästä rautatie- ja meriliikennettä varten;</w:t>
            </w:r>
          </w:p>
          <w:p w14:paraId="1D518C11" w14:textId="454C7B51" w:rsidR="0065073E" w:rsidRDefault="000A0998">
            <w:pPr>
              <w:pStyle w:val="P68B1DB1-Normal12"/>
              <w:spacing w:after="0" w:line="240" w:lineRule="auto"/>
              <w:rPr>
                <w:noProof/>
              </w:rPr>
            </w:pPr>
            <w:r>
              <w:rPr>
                <w:noProof/>
              </w:rPr>
              <w:t>viralliset päätökset, joilla hyväksytään varojen siirto autonomisille alueille henkilö- ja tavaraliikennepalvelujen digitalisointihankkeisiin alue- ja paikallistasolla;</w:t>
            </w:r>
          </w:p>
          <w:p w14:paraId="0F0FE3B1" w14:textId="04FC41CE" w:rsidR="0065073E" w:rsidRDefault="000A0998">
            <w:pPr>
              <w:pStyle w:val="P68B1DB1-Normal12"/>
              <w:spacing w:after="0" w:line="240" w:lineRule="auto"/>
              <w:rPr>
                <w:noProof/>
              </w:rPr>
            </w:pPr>
            <w:r>
              <w:rPr>
                <w:noProof/>
              </w:rPr>
              <w:t xml:space="preserve">viralliset päätöslauselmat, joilla hyväksytään liikenne-, liikenne- ja kaupunkiagendan valtiosihteerin päätöslauselmassa vahvistetut siirrot, jotka koskevat varojen siirtämistä autonomisille alueille henkilö- ja tavaraliikenteen digitalisointihankkeita varten alue- ja paikallistasolla, tai muita oikeudellisia välineitä; ja  </w:t>
            </w:r>
          </w:p>
          <w:p w14:paraId="23E33EAD" w14:textId="474C035A" w:rsidR="0065073E" w:rsidRDefault="000A0998">
            <w:pPr>
              <w:spacing w:after="0" w:line="240" w:lineRule="auto"/>
              <w:rPr>
                <w:rFonts w:ascii="Times New Roman" w:hAnsi="Times New Roman"/>
                <w:noProof/>
                <w:sz w:val="18"/>
              </w:rPr>
            </w:pPr>
            <w:r>
              <w:rPr>
                <w:rFonts w:ascii="Times New Roman" w:hAnsi="Times New Roman"/>
                <w:noProof/>
                <w:sz w:val="18"/>
              </w:rPr>
              <w:t>d) liikenteestä, liikkuvuudesta ja kaupunkiagendasta vastaavan valtiosihteerin päätöslauselma hankkeiden myöntämisestä seuraaville toimille:</w:t>
            </w:r>
            <w:r>
              <w:rPr>
                <w:noProof/>
              </w:rPr>
              <w:t xml:space="preserve"> </w:t>
            </w:r>
            <w:r>
              <w:rPr>
                <w:noProof/>
              </w:rPr>
              <w:br/>
            </w:r>
            <w:r>
              <w:rPr>
                <w:rFonts w:ascii="Times New Roman" w:hAnsi="Times New Roman"/>
                <w:noProof/>
                <w:sz w:val="18"/>
              </w:rPr>
              <w:t>Toimintalinja 1. Rautateiden tavaraliikenteen yhteentoimivuus</w:t>
            </w:r>
            <w:r>
              <w:rPr>
                <w:noProof/>
              </w:rPr>
              <w:t xml:space="preserve"> </w:t>
            </w:r>
            <w:r>
              <w:rPr>
                <w:noProof/>
              </w:rPr>
              <w:br/>
              <w:t xml:space="preserve"> </w:t>
            </w:r>
            <w:r>
              <w:rPr>
                <w:rFonts w:ascii="Times New Roman" w:hAnsi="Times New Roman"/>
                <w:noProof/>
                <w:sz w:val="18"/>
              </w:rPr>
              <w:t xml:space="preserve">1. Euroopan rautatieliikenteen hallintajärjestelmä (ERTMS) </w:t>
            </w:r>
            <w:r>
              <w:rPr>
                <w:noProof/>
              </w:rPr>
              <w:t xml:space="preserve"> </w:t>
            </w:r>
            <w:r>
              <w:rPr>
                <w:noProof/>
              </w:rPr>
              <w:br/>
              <w:t xml:space="preserve"> </w:t>
            </w:r>
            <w:r>
              <w:rPr>
                <w:rFonts w:ascii="Times New Roman" w:hAnsi="Times New Roman"/>
                <w:noProof/>
                <w:sz w:val="18"/>
              </w:rPr>
              <w:t>2. Toimet rautateiden yhteentoimivuuden esteiden poistamiseksi YTE:ien mukaisesti.</w:t>
            </w:r>
            <w:r>
              <w:rPr>
                <w:noProof/>
              </w:rPr>
              <w:t xml:space="preserve"> </w:t>
            </w:r>
            <w:r>
              <w:rPr>
                <w:noProof/>
              </w:rPr>
              <w:br/>
            </w:r>
            <w:r>
              <w:rPr>
                <w:rFonts w:ascii="Times New Roman" w:hAnsi="Times New Roman"/>
                <w:noProof/>
                <w:sz w:val="18"/>
              </w:rPr>
              <w:t>3. Vaihtuvan raideleveyden akselin innovointi ja kehittäminen vetureissa.</w:t>
            </w:r>
            <w:r>
              <w:rPr>
                <w:noProof/>
              </w:rPr>
              <w:t xml:space="preserve"> </w:t>
            </w:r>
            <w:r>
              <w:rPr>
                <w:noProof/>
              </w:rPr>
              <w:br/>
            </w:r>
            <w:r>
              <w:rPr>
                <w:rFonts w:ascii="Times New Roman" w:hAnsi="Times New Roman"/>
                <w:noProof/>
                <w:sz w:val="18"/>
              </w:rPr>
              <w:t xml:space="preserve">Toimintalinja 2. Liikenteen intermodaalisuuden edistäminen </w:t>
            </w:r>
          </w:p>
          <w:p w14:paraId="57EDFA9F" w14:textId="1C1039A5" w:rsidR="0065073E" w:rsidRDefault="000A0998">
            <w:pPr>
              <w:spacing w:after="0" w:line="240" w:lineRule="auto"/>
              <w:rPr>
                <w:rFonts w:ascii="Times New Roman" w:hAnsi="Times New Roman"/>
                <w:noProof/>
                <w:sz w:val="18"/>
              </w:rPr>
            </w:pPr>
            <w:r>
              <w:rPr>
                <w:rFonts w:ascii="Times New Roman" w:hAnsi="Times New Roman"/>
                <w:noProof/>
                <w:sz w:val="18"/>
              </w:rPr>
              <w:t xml:space="preserve">4. Rahdin ja intermodaalisten rautatie-maantieterminaalien ja niiden maayhteyksien rakentaminen, mukauttaminen tai parantaminen </w:t>
            </w:r>
            <w:r>
              <w:rPr>
                <w:noProof/>
              </w:rPr>
              <w:t xml:space="preserve"> </w:t>
            </w:r>
            <w:r>
              <w:rPr>
                <w:noProof/>
              </w:rPr>
              <w:br/>
            </w:r>
            <w:r>
              <w:rPr>
                <w:rFonts w:ascii="Times New Roman" w:hAnsi="Times New Roman"/>
                <w:noProof/>
                <w:sz w:val="18"/>
              </w:rPr>
              <w:t xml:space="preserve">Toimintalinja 3. Rautateiden rahtikaluston nykyaikaistaminen </w:t>
            </w:r>
            <w:r>
              <w:rPr>
                <w:noProof/>
              </w:rPr>
              <w:t xml:space="preserve"> </w:t>
            </w:r>
            <w:r>
              <w:rPr>
                <w:noProof/>
              </w:rPr>
              <w:br/>
              <w:t xml:space="preserve"> </w:t>
            </w:r>
            <w:r>
              <w:rPr>
                <w:rFonts w:ascii="Times New Roman" w:hAnsi="Times New Roman"/>
                <w:noProof/>
                <w:sz w:val="18"/>
              </w:rPr>
              <w:t>5. Toimet, joilla tuetaan rautateiden tavaraliikenteen vaunujen kunnostamista tai parantamista, mukaan lukien rautateiden valtatieliikenteen perustaminen.</w:t>
            </w:r>
            <w:r>
              <w:rPr>
                <w:noProof/>
              </w:rPr>
              <w:t xml:space="preserve"> </w:t>
            </w:r>
            <w:r>
              <w:rPr>
                <w:noProof/>
              </w:rPr>
              <w:br/>
            </w:r>
            <w:r>
              <w:rPr>
                <w:rFonts w:ascii="Times New Roman" w:hAnsi="Times New Roman"/>
                <w:noProof/>
                <w:sz w:val="18"/>
              </w:rPr>
              <w:t xml:space="preserve">6. Toimet, joilla tuetaan rautatietraktorilaitteiden kunnostamista tai mukauttamista muihin materiaaleihin, joissa käytetään vaihtoehtoisia polttoaineita (vetyä tai sähköä). </w:t>
            </w:r>
            <w:r>
              <w:rPr>
                <w:noProof/>
              </w:rPr>
              <w:t xml:space="preserve"> </w:t>
            </w:r>
            <w:r>
              <w:rPr>
                <w:noProof/>
              </w:rPr>
              <w:br/>
            </w:r>
            <w:r>
              <w:rPr>
                <w:rFonts w:ascii="Times New Roman" w:hAnsi="Times New Roman"/>
                <w:noProof/>
                <w:sz w:val="18"/>
              </w:rPr>
              <w:t xml:space="preserve">Toimintalinja 4. Turvallinen, kestävä ja verkottunut maantieliikenne </w:t>
            </w:r>
            <w:r>
              <w:rPr>
                <w:noProof/>
              </w:rPr>
              <w:t xml:space="preserve"> </w:t>
            </w:r>
            <w:r>
              <w:rPr>
                <w:noProof/>
              </w:rPr>
              <w:br/>
              <w:t xml:space="preserve"> </w:t>
            </w:r>
            <w:r>
              <w:rPr>
                <w:rFonts w:ascii="Times New Roman" w:hAnsi="Times New Roman"/>
                <w:noProof/>
                <w:sz w:val="18"/>
              </w:rPr>
              <w:t>7. Hyötyajoneuvojen turvallisten pysäköintialueiden rakentaminen ja parantaminen sekä tietopalvelujen tarjoaminen (delegoitu asetus (EU) N:o 885/2013).</w:t>
            </w:r>
            <w:r>
              <w:rPr>
                <w:noProof/>
              </w:rPr>
              <w:t xml:space="preserve"> </w:t>
            </w:r>
            <w:r>
              <w:rPr>
                <w:noProof/>
              </w:rPr>
              <w:br/>
            </w:r>
            <w:r>
              <w:rPr>
                <w:rFonts w:ascii="Times New Roman" w:hAnsi="Times New Roman"/>
                <w:noProof/>
                <w:sz w:val="18"/>
              </w:rPr>
              <w:t>8. Tieliikennealan älykkäät liikennepalvelut (ITS) maksullisia moottoriteitä koskevissa toimiluvissa ja muissa liikenneturvallisuus- ja suojelupalveluissa.</w:t>
            </w:r>
            <w:r>
              <w:rPr>
                <w:noProof/>
              </w:rPr>
              <w:t xml:space="preserve"> </w:t>
            </w:r>
            <w:r>
              <w:rPr>
                <w:noProof/>
              </w:rPr>
              <w:br/>
            </w:r>
            <w:r>
              <w:rPr>
                <w:rFonts w:ascii="Times New Roman" w:hAnsi="Times New Roman"/>
                <w:noProof/>
                <w:sz w:val="18"/>
              </w:rPr>
              <w:t>9. Toimet, joilla tuetaan raskaiden hyötyajoneuvojen vaihtoehtoisten polttoaineiden tankkausinfrastruktuurin käyttöönottoa tieverkossa</w:t>
            </w:r>
            <w:r>
              <w:rPr>
                <w:noProof/>
              </w:rPr>
              <w:t xml:space="preserve"> </w:t>
            </w:r>
            <w:r>
              <w:rPr>
                <w:noProof/>
              </w:rPr>
              <w:br/>
              <w:t xml:space="preserve"> </w:t>
            </w:r>
            <w:r>
              <w:rPr>
                <w:rFonts w:ascii="Times New Roman" w:hAnsi="Times New Roman"/>
                <w:noProof/>
                <w:sz w:val="18"/>
              </w:rPr>
              <w:t xml:space="preserve">10. Toimet, joilla tuetaan välineiden ja koneiden kunnostamista tai mukauttamista kestävän jalkakäytävän saavuttamiseksi: pienennetty hiilijalanjälki ja äänenvaimennuslaitteet </w:t>
            </w:r>
            <w:r>
              <w:rPr>
                <w:noProof/>
              </w:rPr>
              <w:t xml:space="preserve"> </w:t>
            </w:r>
            <w:r>
              <w:rPr>
                <w:noProof/>
              </w:rPr>
              <w:br/>
              <w:t xml:space="preserve"> </w:t>
            </w:r>
            <w:r>
              <w:rPr>
                <w:rFonts w:ascii="Times New Roman" w:hAnsi="Times New Roman"/>
                <w:noProof/>
                <w:sz w:val="18"/>
              </w:rPr>
              <w:t xml:space="preserve">Toimintalinja 5. Meri- ja lentoliikenteen kestävyys </w:t>
            </w:r>
            <w:r>
              <w:rPr>
                <w:noProof/>
              </w:rPr>
              <w:t xml:space="preserve"> </w:t>
            </w:r>
            <w:r>
              <w:rPr>
                <w:noProof/>
              </w:rPr>
              <w:br/>
              <w:t xml:space="preserve"> </w:t>
            </w:r>
            <w:r>
              <w:rPr>
                <w:rFonts w:ascii="Times New Roman" w:hAnsi="Times New Roman"/>
                <w:noProof/>
                <w:sz w:val="18"/>
              </w:rPr>
              <w:t>11. Vaihtoehtoisten polttoaineiden käyttöönoton tukeminen satamissa ja lentoasemilla.</w:t>
            </w:r>
            <w:r>
              <w:rPr>
                <w:noProof/>
              </w:rPr>
              <w:t xml:space="preserve"> </w:t>
            </w:r>
            <w:r>
              <w:rPr>
                <w:noProof/>
              </w:rPr>
              <w:br/>
            </w:r>
            <w:r>
              <w:rPr>
                <w:rFonts w:ascii="Times New Roman" w:hAnsi="Times New Roman"/>
                <w:noProof/>
                <w:sz w:val="18"/>
              </w:rPr>
              <w:t>12. Tuki propulsiivisten vaihtoehtoisten energiateknologioiden käyttöönotolle merenkulkualalla.</w:t>
            </w:r>
            <w:r>
              <w:rPr>
                <w:noProof/>
              </w:rPr>
              <w:t xml:space="preserve"> </w:t>
            </w:r>
            <w:r>
              <w:rPr>
                <w:noProof/>
              </w:rPr>
              <w:br/>
            </w:r>
            <w:r>
              <w:rPr>
                <w:rFonts w:ascii="Times New Roman" w:hAnsi="Times New Roman"/>
                <w:noProof/>
                <w:sz w:val="18"/>
              </w:rPr>
              <w:t xml:space="preserve">Toimintalinja 6. Liikenteen digitointi </w:t>
            </w:r>
            <w:r>
              <w:rPr>
                <w:noProof/>
              </w:rPr>
              <w:t xml:space="preserve"> </w:t>
            </w:r>
            <w:r>
              <w:rPr>
                <w:noProof/>
              </w:rPr>
              <w:br/>
              <w:t xml:space="preserve"> </w:t>
            </w:r>
            <w:r>
              <w:rPr>
                <w:rFonts w:ascii="Times New Roman" w:hAnsi="Times New Roman"/>
                <w:noProof/>
                <w:sz w:val="18"/>
              </w:rPr>
              <w:t>13. Henkilö- ja tavaraliikenteen digitalisointihankkeet kansallisella tasolla.</w:t>
            </w:r>
            <w:r>
              <w:rPr>
                <w:noProof/>
              </w:rPr>
              <w:t xml:space="preserve"> </w:t>
            </w:r>
            <w:r>
              <w:rPr>
                <w:noProof/>
              </w:rPr>
              <w:br/>
            </w:r>
          </w:p>
          <w:p w14:paraId="769F7FD6" w14:textId="4635D8A9" w:rsidR="0065073E" w:rsidRDefault="000A0998">
            <w:pPr>
              <w:spacing w:after="0" w:line="240" w:lineRule="auto"/>
              <w:rPr>
                <w:rFonts w:ascii="Times New Roman" w:eastAsia="Calibri" w:hAnsi="Times New Roman" w:cs="Times New Roman"/>
                <w:noProof/>
                <w:sz w:val="18"/>
              </w:rPr>
            </w:pPr>
            <w:r>
              <w:rPr>
                <w:rFonts w:ascii="Times New Roman" w:hAnsi="Times New Roman"/>
                <w:noProof/>
                <w:sz w:val="18"/>
              </w:rPr>
              <w:t>Toimien 9 ja 11 valintaperusteiden on oltava ”ei merkittävää haittaa” -periaatteen mukaisia teknisiä ohjeita (2021/C58/01), joilla varmistetaan, että infrastruktuuri on rakennushetkellä mahdollista uusiutuvien ja vähähiilisten kaasujen kuljetusta varten.</w:t>
            </w:r>
            <w:r>
              <w:rPr>
                <w:noProof/>
              </w:rPr>
              <w:t xml:space="preserve"> </w:t>
            </w:r>
            <w:r>
              <w:rPr>
                <w:noProof/>
              </w:rPr>
              <w:br/>
            </w:r>
          </w:p>
        </w:tc>
      </w:tr>
      <w:tr w:rsidR="0065073E" w14:paraId="19F42941" w14:textId="77777777">
        <w:trPr>
          <w:trHeight w:val="309"/>
        </w:trPr>
        <w:tc>
          <w:tcPr>
            <w:tcW w:w="832" w:type="dxa"/>
            <w:shd w:val="clear" w:color="auto" w:fill="C6EFCE"/>
            <w:noWrap/>
          </w:tcPr>
          <w:p w14:paraId="7863B65F" w14:textId="77777777" w:rsidR="0065073E" w:rsidRDefault="000A0998">
            <w:pPr>
              <w:pStyle w:val="P68B1DB1-Normal12"/>
              <w:spacing w:after="0" w:line="240" w:lineRule="auto"/>
              <w:jc w:val="center"/>
              <w:rPr>
                <w:rFonts w:eastAsia="Calibri" w:cs="Times New Roman"/>
                <w:noProof/>
              </w:rPr>
            </w:pPr>
            <w:r>
              <w:rPr>
                <w:noProof/>
              </w:rPr>
              <w:t>100</w:t>
            </w:r>
          </w:p>
        </w:tc>
        <w:tc>
          <w:tcPr>
            <w:tcW w:w="828" w:type="dxa"/>
            <w:shd w:val="clear" w:color="auto" w:fill="C6EFCE"/>
            <w:noWrap/>
          </w:tcPr>
          <w:p w14:paraId="17F5D837" w14:textId="77777777" w:rsidR="0065073E" w:rsidRDefault="000A0998">
            <w:pPr>
              <w:pStyle w:val="P68B1DB1-Normal12"/>
              <w:spacing w:after="0" w:line="240" w:lineRule="auto"/>
              <w:jc w:val="center"/>
              <w:rPr>
                <w:rFonts w:eastAsia="Calibri" w:cs="Times New Roman"/>
                <w:noProof/>
              </w:rPr>
            </w:pPr>
            <w:r>
              <w:rPr>
                <w:noProof/>
              </w:rPr>
              <w:t>C6.I4</w:t>
            </w:r>
          </w:p>
        </w:tc>
        <w:tc>
          <w:tcPr>
            <w:tcW w:w="827" w:type="dxa"/>
            <w:shd w:val="clear" w:color="auto" w:fill="C6EFCE"/>
            <w:noWrap/>
          </w:tcPr>
          <w:p w14:paraId="17EBD725"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6BF83F4C" w14:textId="2BDC5AE9" w:rsidR="0065073E" w:rsidRDefault="000A0998">
            <w:pPr>
              <w:pStyle w:val="P68B1DB1-Normal12"/>
              <w:spacing w:after="0" w:line="240" w:lineRule="auto"/>
              <w:rPr>
                <w:rFonts w:eastAsia="Calibri" w:cs="Times New Roman"/>
                <w:noProof/>
              </w:rPr>
            </w:pPr>
            <w:r>
              <w:rPr>
                <w:noProof/>
              </w:rPr>
              <w:t>ECO-INCENTIVES-verkoston myöntäminen ja virallinen ilmoitus töiden aloittamisesta kestävän ja digitaalisen liikenteen tukiohjelmassa</w:t>
            </w:r>
          </w:p>
        </w:tc>
        <w:tc>
          <w:tcPr>
            <w:tcW w:w="1102" w:type="dxa"/>
            <w:shd w:val="clear" w:color="auto" w:fill="C6EFCE"/>
            <w:noWrap/>
          </w:tcPr>
          <w:p w14:paraId="24CF6479" w14:textId="77777777" w:rsidR="0065073E" w:rsidRDefault="000A0998">
            <w:pPr>
              <w:pStyle w:val="P68B1DB1-Normal12"/>
              <w:spacing w:after="0" w:line="240" w:lineRule="auto"/>
              <w:jc w:val="center"/>
              <w:rPr>
                <w:rFonts w:eastAsia="Calibri" w:cs="Times New Roman"/>
                <w:noProof/>
              </w:rPr>
            </w:pPr>
            <w:r>
              <w:rPr>
                <w:noProof/>
              </w:rPr>
              <w:t xml:space="preserve">Virallinen ilmoitus töiden aloittamisesta </w:t>
            </w:r>
          </w:p>
        </w:tc>
        <w:tc>
          <w:tcPr>
            <w:tcW w:w="992" w:type="dxa"/>
            <w:shd w:val="clear" w:color="auto" w:fill="C6EFCE"/>
            <w:noWrap/>
          </w:tcPr>
          <w:p w14:paraId="582CCBB7"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964" w:type="dxa"/>
            <w:shd w:val="clear" w:color="auto" w:fill="C6EFCE"/>
            <w:noWrap/>
          </w:tcPr>
          <w:p w14:paraId="7737F96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339FCE4D"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65FAD227" w14:textId="77777777" w:rsidR="0065073E" w:rsidRDefault="000A0998">
            <w:pPr>
              <w:pStyle w:val="P68B1DB1-Normal12"/>
              <w:spacing w:after="0" w:line="240" w:lineRule="auto"/>
              <w:jc w:val="center"/>
              <w:rPr>
                <w:rFonts w:eastAsia="Calibri" w:cs="Times New Roman"/>
                <w:noProof/>
              </w:rPr>
            </w:pPr>
            <w:r>
              <w:rPr>
                <w:noProof/>
              </w:rPr>
              <w:t>Q4</w:t>
            </w:r>
          </w:p>
        </w:tc>
        <w:tc>
          <w:tcPr>
            <w:tcW w:w="552" w:type="dxa"/>
            <w:shd w:val="clear" w:color="auto" w:fill="C6EFCE"/>
            <w:noWrap/>
          </w:tcPr>
          <w:p w14:paraId="66D14CBD" w14:textId="77777777" w:rsidR="0065073E" w:rsidRDefault="000A0998">
            <w:pPr>
              <w:pStyle w:val="P68B1DB1-Normal12"/>
              <w:spacing w:after="0" w:line="240" w:lineRule="auto"/>
              <w:jc w:val="center"/>
              <w:rPr>
                <w:rFonts w:eastAsia="Calibri" w:cs="Times New Roman"/>
                <w:noProof/>
              </w:rPr>
            </w:pPr>
            <w:r>
              <w:rPr>
                <w:noProof/>
              </w:rPr>
              <w:t>2024</w:t>
            </w:r>
          </w:p>
        </w:tc>
        <w:tc>
          <w:tcPr>
            <w:tcW w:w="5885" w:type="dxa"/>
            <w:shd w:val="clear" w:color="auto" w:fill="C6EFCE"/>
            <w:noWrap/>
          </w:tcPr>
          <w:p w14:paraId="05C5E7B3" w14:textId="23226B78" w:rsidR="0065073E" w:rsidRDefault="000A0998">
            <w:pPr>
              <w:pStyle w:val="P68B1DB1-Normal12"/>
              <w:spacing w:after="0" w:line="240" w:lineRule="auto"/>
              <w:rPr>
                <w:rFonts w:eastAsia="Calibri" w:cs="Times New Roman"/>
                <w:noProof/>
              </w:rPr>
            </w:pPr>
            <w:r>
              <w:rPr>
                <w:noProof/>
              </w:rPr>
              <w:t xml:space="preserve">Vähintään 30000000 euron myöntäminen ECO-INCENTIVES-ohjelmasta rautatie- ja meriliikenteeseen ja b, c ja d alakohdassa määriteltyihin hankkeisiin liittyvien töiden aloittaminen välitavoite 99:ssä, joiden rahallinen arvo on vähintään 665371038 euroa. </w:t>
            </w:r>
          </w:p>
        </w:tc>
      </w:tr>
      <w:tr w:rsidR="0065073E" w14:paraId="6668EE6D" w14:textId="77777777">
        <w:trPr>
          <w:trHeight w:val="309"/>
        </w:trPr>
        <w:tc>
          <w:tcPr>
            <w:tcW w:w="832" w:type="dxa"/>
            <w:shd w:val="clear" w:color="auto" w:fill="C6EFCE"/>
            <w:noWrap/>
          </w:tcPr>
          <w:p w14:paraId="6666C624" w14:textId="77777777" w:rsidR="0065073E" w:rsidRDefault="000A0998">
            <w:pPr>
              <w:pStyle w:val="P68B1DB1-Normal12"/>
              <w:spacing w:after="0" w:line="240" w:lineRule="auto"/>
              <w:jc w:val="center"/>
              <w:rPr>
                <w:rFonts w:eastAsia="Calibri" w:cs="Times New Roman"/>
                <w:noProof/>
              </w:rPr>
            </w:pPr>
            <w:r>
              <w:rPr>
                <w:noProof/>
              </w:rPr>
              <w:t>101</w:t>
            </w:r>
          </w:p>
        </w:tc>
        <w:tc>
          <w:tcPr>
            <w:tcW w:w="828" w:type="dxa"/>
            <w:shd w:val="clear" w:color="auto" w:fill="C6EFCE"/>
            <w:noWrap/>
          </w:tcPr>
          <w:p w14:paraId="57632699" w14:textId="77777777" w:rsidR="0065073E" w:rsidRDefault="000A0998">
            <w:pPr>
              <w:pStyle w:val="P68B1DB1-Normal12"/>
              <w:spacing w:after="0" w:line="240" w:lineRule="auto"/>
              <w:jc w:val="center"/>
              <w:rPr>
                <w:rFonts w:eastAsia="Calibri" w:cs="Times New Roman"/>
                <w:noProof/>
              </w:rPr>
            </w:pPr>
            <w:r>
              <w:rPr>
                <w:noProof/>
              </w:rPr>
              <w:t>C6.I4</w:t>
            </w:r>
          </w:p>
        </w:tc>
        <w:tc>
          <w:tcPr>
            <w:tcW w:w="827" w:type="dxa"/>
            <w:shd w:val="clear" w:color="auto" w:fill="C6EFCE"/>
            <w:noWrap/>
          </w:tcPr>
          <w:p w14:paraId="702ECB99" w14:textId="77777777" w:rsidR="0065073E" w:rsidRDefault="000A0998">
            <w:pPr>
              <w:pStyle w:val="P68B1DB1-Normal12"/>
              <w:spacing w:after="0" w:line="240" w:lineRule="auto"/>
              <w:jc w:val="center"/>
              <w:rPr>
                <w:rFonts w:eastAsia="Calibri" w:cs="Times New Roman"/>
                <w:noProof/>
              </w:rPr>
            </w:pPr>
            <w:r>
              <w:rPr>
                <w:noProof/>
              </w:rPr>
              <w:t>M</w:t>
            </w:r>
          </w:p>
        </w:tc>
        <w:tc>
          <w:tcPr>
            <w:tcW w:w="1515" w:type="dxa"/>
            <w:shd w:val="clear" w:color="auto" w:fill="C6EFCE"/>
            <w:noWrap/>
          </w:tcPr>
          <w:p w14:paraId="7422091B" w14:textId="77777777" w:rsidR="0065073E" w:rsidRDefault="000A0998">
            <w:pPr>
              <w:pStyle w:val="P68B1DB1-Normal12"/>
              <w:spacing w:after="0" w:line="240" w:lineRule="auto"/>
              <w:rPr>
                <w:rFonts w:eastAsia="Calibri" w:cs="Times New Roman"/>
                <w:noProof/>
              </w:rPr>
            </w:pPr>
            <w:r>
              <w:rPr>
                <w:noProof/>
              </w:rPr>
              <w:t>Kestävä ja digitaalinen liikenne: töiden loppuun saattaminen</w:t>
            </w:r>
          </w:p>
        </w:tc>
        <w:tc>
          <w:tcPr>
            <w:tcW w:w="1102" w:type="dxa"/>
            <w:shd w:val="clear" w:color="auto" w:fill="C6EFCE"/>
            <w:noWrap/>
          </w:tcPr>
          <w:p w14:paraId="60E5B26E" w14:textId="77777777" w:rsidR="0065073E" w:rsidRDefault="000A0998">
            <w:pPr>
              <w:pStyle w:val="P68B1DB1-Normal12"/>
              <w:spacing w:after="0" w:line="240" w:lineRule="auto"/>
              <w:jc w:val="center"/>
              <w:rPr>
                <w:rFonts w:eastAsia="Calibri" w:cs="Times New Roman"/>
                <w:noProof/>
              </w:rPr>
            </w:pPr>
            <w:r>
              <w:rPr>
                <w:noProof/>
              </w:rPr>
              <w:t>Virallinen ilmoitus töiden loppuun saattamisesta</w:t>
            </w:r>
          </w:p>
        </w:tc>
        <w:tc>
          <w:tcPr>
            <w:tcW w:w="992" w:type="dxa"/>
            <w:shd w:val="clear" w:color="auto" w:fill="C6EFCE"/>
            <w:noWrap/>
          </w:tcPr>
          <w:p w14:paraId="5F11E8D2"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964" w:type="dxa"/>
            <w:shd w:val="clear" w:color="auto" w:fill="C6EFCE"/>
            <w:noWrap/>
          </w:tcPr>
          <w:p w14:paraId="56156A73"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52" w:type="dxa"/>
            <w:shd w:val="clear" w:color="auto" w:fill="C6EFCE"/>
            <w:noWrap/>
          </w:tcPr>
          <w:p w14:paraId="693C4773"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414" w:type="dxa"/>
            <w:shd w:val="clear" w:color="auto" w:fill="C6EFCE"/>
            <w:noWrap/>
          </w:tcPr>
          <w:p w14:paraId="5A0931A9" w14:textId="77777777" w:rsidR="0065073E" w:rsidRDefault="000A0998">
            <w:pPr>
              <w:pStyle w:val="P68B1DB1-Normal12"/>
              <w:spacing w:after="0" w:line="240" w:lineRule="auto"/>
              <w:jc w:val="center"/>
              <w:rPr>
                <w:rFonts w:eastAsia="Calibri" w:cs="Times New Roman"/>
                <w:noProof/>
              </w:rPr>
            </w:pPr>
            <w:r>
              <w:rPr>
                <w:noProof/>
              </w:rPr>
              <w:t>TOINEN VUOSINELJÄNNES</w:t>
            </w:r>
          </w:p>
        </w:tc>
        <w:tc>
          <w:tcPr>
            <w:tcW w:w="552" w:type="dxa"/>
            <w:shd w:val="clear" w:color="auto" w:fill="C6EFCE"/>
            <w:noWrap/>
          </w:tcPr>
          <w:p w14:paraId="4C391F0A" w14:textId="77777777" w:rsidR="0065073E" w:rsidRDefault="000A0998">
            <w:pPr>
              <w:pStyle w:val="P68B1DB1-Normal12"/>
              <w:spacing w:after="0" w:line="240" w:lineRule="auto"/>
              <w:jc w:val="center"/>
              <w:rPr>
                <w:rFonts w:eastAsia="Calibri" w:cs="Times New Roman"/>
                <w:noProof/>
              </w:rPr>
            </w:pPr>
            <w:r>
              <w:rPr>
                <w:noProof/>
              </w:rPr>
              <w:t>2026</w:t>
            </w:r>
          </w:p>
        </w:tc>
        <w:tc>
          <w:tcPr>
            <w:tcW w:w="5885" w:type="dxa"/>
            <w:shd w:val="clear" w:color="auto" w:fill="C6EFCE"/>
            <w:noWrap/>
          </w:tcPr>
          <w:p w14:paraId="421AB524" w14:textId="77777777" w:rsidR="0065073E" w:rsidRDefault="000A0998">
            <w:pPr>
              <w:spacing w:after="0" w:line="240" w:lineRule="auto"/>
              <w:rPr>
                <w:rFonts w:ascii="Times New Roman" w:eastAsia="Calibri" w:hAnsi="Times New Roman" w:cs="Times New Roman"/>
                <w:noProof/>
                <w:sz w:val="18"/>
              </w:rPr>
            </w:pPr>
            <w:r>
              <w:rPr>
                <w:noProof/>
              </w:rPr>
              <w:t>Kaikkien kestävän ja digitaalisen liikenteen edistämiseksi vuoden 2022 viimeisellä neljänneksellä (Milestone 99) myönnettyjen hankkeiden</w:t>
            </w:r>
            <w:r>
              <w:rPr>
                <w:rFonts w:ascii="Times New Roman" w:hAnsi="Times New Roman"/>
                <w:noProof/>
                <w:sz w:val="18"/>
              </w:rPr>
              <w:t>loppuun saattaminen. Työt toteutetaan aloilla, jotka on määritelty vuoden 2022 viimeisellä neljänneksellä myönnettyjen hankkeiden valintaperusteissa.</w:t>
            </w:r>
            <w:r>
              <w:rPr>
                <w:noProof/>
              </w:rPr>
              <w:t xml:space="preserve"> </w:t>
            </w:r>
            <w:r>
              <w:rPr>
                <w:noProof/>
              </w:rPr>
              <w:br/>
            </w:r>
            <w:r>
              <w:rPr>
                <w:rFonts w:ascii="Times New Roman" w:hAnsi="Times New Roman"/>
                <w:noProof/>
                <w:sz w:val="18"/>
              </w:rPr>
              <w:t>Toimenpiteiden 10 ja 12 osalta valintaperusteiden on oltava ”ei merkittävää haittaa” -periaatteen mukaisia teknisiä ohjeita (2021/C58/01), joilla varmistetaan, että infrastruktuuri on rakennushetkellä mahdollista uusiutuvien ja vähähiilisten kaasujen kuljetusta varten.</w:t>
            </w:r>
          </w:p>
        </w:tc>
      </w:tr>
    </w:tbl>
    <w:p w14:paraId="1F3B1409"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134" w:right="1134" w:bottom="1134" w:left="1134" w:header="567" w:footer="567" w:gutter="0"/>
          <w:cols w:space="720"/>
          <w:docGrid w:linePitch="360"/>
        </w:sectPr>
      </w:pPr>
    </w:p>
    <w:p w14:paraId="480D5346" w14:textId="2A10D28A" w:rsidR="0065073E" w:rsidRDefault="000A0998">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F.3. </w:t>
      </w:r>
      <w:r>
        <w:rPr>
          <w:noProof/>
        </w:rPr>
        <w:t xml:space="preserve"> </w:t>
      </w:r>
      <w:r>
        <w:rPr>
          <w:rFonts w:ascii="Times New Roman" w:hAnsi="Times New Roman"/>
          <w:b/>
          <w:noProof/>
          <w:sz w:val="24"/>
          <w:u w:val="single"/>
        </w:rPr>
        <w:t>Lainatukeen liittyvien investointien kuvaus</w:t>
      </w:r>
    </w:p>
    <w:p w14:paraId="41E41CB2" w14:textId="28BB7C4E" w:rsidR="0065073E" w:rsidRDefault="000A0998">
      <w:pPr>
        <w:pStyle w:val="P68B1DB1-Normal5"/>
        <w:keepNext/>
        <w:spacing w:before="120" w:after="120" w:line="240" w:lineRule="auto"/>
        <w:jc w:val="both"/>
        <w:rPr>
          <w:rFonts w:cs="Times New Roman"/>
          <w:noProof/>
        </w:rPr>
      </w:pPr>
      <w:r>
        <w:rPr>
          <w:noProof/>
        </w:rPr>
        <w:t>Uudistus 3 (C6.R3) – Kansallisen liikenneverkon energiatehokkuusstrategia</w:t>
      </w:r>
    </w:p>
    <w:p w14:paraId="672DC29C" w14:textId="53DA354B" w:rsidR="0065073E" w:rsidRDefault="000A0998">
      <w:pPr>
        <w:pStyle w:val="P68B1DB1-Normal4"/>
        <w:keepNext/>
        <w:spacing w:before="120" w:after="120" w:line="240" w:lineRule="auto"/>
        <w:jc w:val="both"/>
        <w:rPr>
          <w:rFonts w:cs="Times New Roman"/>
          <w:noProof/>
        </w:rPr>
      </w:pPr>
      <w:bookmarkStart w:id="16" w:name="_Hlk145340180"/>
      <w:r>
        <w:rPr>
          <w:noProof/>
        </w:rPr>
        <w:t xml:space="preserve">Uudistuksen tavoitteena on julkistaa valtion tieverkon energiatehokkuusstrategia ja ottaa käyttöön joukko toimenpiteitä, joilla pyritään parantamaan valtion tieverkon energiatehokkuutta. </w:t>
      </w:r>
    </w:p>
    <w:bookmarkEnd w:id="16"/>
    <w:p w14:paraId="618FD4BA" w14:textId="77777777" w:rsidR="0065073E" w:rsidRDefault="000A0998">
      <w:pPr>
        <w:pStyle w:val="P68B1DB1-Normal4"/>
        <w:keepNext/>
        <w:spacing w:before="120" w:after="120" w:line="240" w:lineRule="auto"/>
        <w:jc w:val="both"/>
        <w:rPr>
          <w:rFonts w:cs="Times New Roman"/>
          <w:noProof/>
        </w:rPr>
      </w:pPr>
      <w:r>
        <w:rPr>
          <w:noProof/>
        </w:rPr>
        <w:t>Strategian on katettava ainakin seuraavat osatekijät:</w:t>
      </w:r>
    </w:p>
    <w:p w14:paraId="65E0DFA6" w14:textId="03A60BEA" w:rsidR="0065073E" w:rsidRDefault="000A0998">
      <w:pPr>
        <w:pStyle w:val="P68B1DB1-ListParagraph6"/>
        <w:keepNext/>
        <w:numPr>
          <w:ilvl w:val="0"/>
          <w:numId w:val="299"/>
        </w:numPr>
        <w:spacing w:before="120" w:after="120" w:line="240" w:lineRule="auto"/>
        <w:ind w:left="426"/>
        <w:jc w:val="both"/>
        <w:rPr>
          <w:rFonts w:cs="Times New Roman"/>
          <w:noProof/>
        </w:rPr>
      </w:pPr>
      <w:r>
        <w:rPr>
          <w:noProof/>
        </w:rPr>
        <w:t>analyysi kansallisen tieverkon energiatoimituksista;</w:t>
      </w:r>
    </w:p>
    <w:p w14:paraId="7EF0DBB6" w14:textId="5AB7F952" w:rsidR="0065073E" w:rsidRDefault="000A0998">
      <w:pPr>
        <w:pStyle w:val="P68B1DB1-ListParagraph6"/>
        <w:keepNext/>
        <w:numPr>
          <w:ilvl w:val="0"/>
          <w:numId w:val="299"/>
        </w:numPr>
        <w:spacing w:before="120" w:after="120" w:line="240" w:lineRule="auto"/>
        <w:ind w:left="426"/>
        <w:jc w:val="both"/>
        <w:rPr>
          <w:rFonts w:cs="Times New Roman"/>
          <w:noProof/>
        </w:rPr>
      </w:pPr>
      <w:r>
        <w:rPr>
          <w:noProof/>
        </w:rPr>
        <w:t>analyysi kansallisen tieverkon nykytilanteesta sen valaistuksen osalta ja mahdollisten ratkaisujen perustelut;</w:t>
      </w:r>
    </w:p>
    <w:p w14:paraId="7929D158" w14:textId="02C1B6F2" w:rsidR="0065073E" w:rsidRDefault="000A0998">
      <w:pPr>
        <w:pStyle w:val="P68B1DB1-ListParagraph6"/>
        <w:keepNext/>
        <w:numPr>
          <w:ilvl w:val="0"/>
          <w:numId w:val="299"/>
        </w:numPr>
        <w:spacing w:before="120" w:after="120" w:line="240" w:lineRule="auto"/>
        <w:ind w:left="426"/>
        <w:jc w:val="both"/>
        <w:rPr>
          <w:rFonts w:cs="Times New Roman"/>
          <w:noProof/>
        </w:rPr>
      </w:pPr>
      <w:r>
        <w:rPr>
          <w:noProof/>
        </w:rPr>
        <w:t>luettelo toteutettavista toimenpiteistä ja aikataulut niiden toteuttamiselle;</w:t>
      </w:r>
    </w:p>
    <w:p w14:paraId="54512377" w14:textId="28C22302" w:rsidR="0065073E" w:rsidRDefault="000A0998">
      <w:pPr>
        <w:pStyle w:val="P68B1DB1-ListParagraph6"/>
        <w:keepNext/>
        <w:numPr>
          <w:ilvl w:val="0"/>
          <w:numId w:val="299"/>
        </w:numPr>
        <w:spacing w:before="120" w:after="120" w:line="240" w:lineRule="auto"/>
        <w:ind w:left="426"/>
        <w:jc w:val="both"/>
        <w:rPr>
          <w:rFonts w:cs="Times New Roman"/>
          <w:noProof/>
        </w:rPr>
      </w:pPr>
      <w:r>
        <w:rPr>
          <w:noProof/>
        </w:rPr>
        <w:t>luettelo toimista, jotka on toteutettava tieverkon valaistusjärjestelmässä; ja</w:t>
      </w:r>
    </w:p>
    <w:p w14:paraId="47CA67DE" w14:textId="18DC2347" w:rsidR="0065073E" w:rsidRDefault="000A0998">
      <w:pPr>
        <w:pStyle w:val="P68B1DB1-ListParagraph6"/>
        <w:keepNext/>
        <w:numPr>
          <w:ilvl w:val="0"/>
          <w:numId w:val="299"/>
        </w:numPr>
        <w:spacing w:before="120" w:after="120" w:line="240" w:lineRule="auto"/>
        <w:ind w:left="426"/>
        <w:jc w:val="both"/>
        <w:rPr>
          <w:rFonts w:cs="Times New Roman"/>
          <w:noProof/>
        </w:rPr>
      </w:pPr>
      <w:r>
        <w:rPr>
          <w:noProof/>
        </w:rPr>
        <w:t>investointi- ja rahoitussuunnitelma tarvittavien toimenpiteiden toteuttamiseksi aikataulun mukaisesti.</w:t>
      </w:r>
    </w:p>
    <w:p w14:paraId="6260E200" w14:textId="264D0D4B" w:rsidR="0065073E" w:rsidRDefault="000A0998">
      <w:pPr>
        <w:pStyle w:val="P68B1DB1-Normal4"/>
        <w:keepNext/>
        <w:spacing w:before="120" w:after="120" w:line="240" w:lineRule="auto"/>
        <w:jc w:val="both"/>
        <w:rPr>
          <w:rFonts w:cs="Times New Roman"/>
          <w:noProof/>
        </w:rPr>
      </w:pPr>
      <w:r>
        <w:rPr>
          <w:noProof/>
        </w:rPr>
        <w:t xml:space="preserve">Strategia julkaistaan vuoden 2024 ensimmäisellä neljänneksellä. </w:t>
      </w:r>
    </w:p>
    <w:p w14:paraId="3AFF8F1C" w14:textId="367E3C2F" w:rsidR="0065073E" w:rsidRDefault="000A0998">
      <w:pPr>
        <w:pStyle w:val="P68B1DB1-Normal4"/>
        <w:keepNext/>
        <w:spacing w:before="120" w:after="120" w:line="240" w:lineRule="auto"/>
        <w:jc w:val="both"/>
        <w:rPr>
          <w:rFonts w:cs="Times New Roman"/>
          <w:noProof/>
        </w:rPr>
      </w:pPr>
      <w:r>
        <w:rPr>
          <w:noProof/>
        </w:rPr>
        <w:t>Osana kansallisen liikenneverkon energiatehokkuusstrategian täytäntöönpanoa tieliikenteen pääosaston on laskettava vuoden 2024 hiilijalanjälki, jonka tulokset esitetään vuonna 2025.</w:t>
      </w:r>
    </w:p>
    <w:p w14:paraId="3C71D9C4" w14:textId="47F5B719" w:rsidR="0065073E" w:rsidRDefault="000A0998">
      <w:pPr>
        <w:pStyle w:val="P68B1DB1-Normal4"/>
        <w:keepNext/>
        <w:spacing w:before="120" w:after="120" w:line="240" w:lineRule="auto"/>
        <w:jc w:val="both"/>
        <w:rPr>
          <w:rFonts w:cs="Times New Roman"/>
          <w:noProof/>
        </w:rPr>
      </w:pPr>
      <w:r>
        <w:rPr>
          <w:noProof/>
        </w:rPr>
        <w:t>Toimenpiteen täytäntöönpano on määrä saattaa päätökseen 31. joulukuuta 2025 mennessä.</w:t>
      </w:r>
    </w:p>
    <w:p w14:paraId="6073A5AE" w14:textId="32A6F5A7" w:rsidR="0065073E" w:rsidRDefault="000A0998">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F.4. </w:t>
      </w:r>
      <w:r>
        <w:rPr>
          <w:noProof/>
        </w:rPr>
        <w:t xml:space="preserve"> </w:t>
      </w:r>
      <w:r>
        <w:rPr>
          <w:rFonts w:ascii="Times New Roman" w:hAnsi="Times New Roman"/>
          <w:b/>
          <w:noProof/>
          <w:sz w:val="24"/>
          <w:u w:val="single"/>
        </w:rPr>
        <w:t>Lainatuen seurannan ja täytäntöönpanon välitavoitteet, tavoitteet, indikaattorit ja aikataulu</w:t>
      </w:r>
    </w:p>
    <w:p w14:paraId="1B69D7D8" w14:textId="77777777" w:rsidR="0065073E" w:rsidRDefault="000A0998">
      <w:pPr>
        <w:pStyle w:val="P68B1DB1-Normal17"/>
        <w:keepNext/>
        <w:spacing w:before="120" w:after="120" w:line="240" w:lineRule="auto"/>
        <w:jc w:val="both"/>
        <w:rPr>
          <w:rFonts w:cs="Times New Roman"/>
          <w:noProof/>
        </w:rPr>
        <w:sectPr w:rsidR="0065073E" w:rsidSect="00B511EF">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60"/>
        </w:sectPr>
      </w:pPr>
      <w:r>
        <w:rPr>
          <w:noProof/>
        </w:rPr>
        <w:t>Ks. taulukko jäljempänä. Kaikkien indikaattoreiden perustason päivämäärä on 1. helmikuuta, ellei toimen kuvauksessa toisin mainita. Taulukossa esitetyt määrät eivät sisällä arvonlisäveroa.</w:t>
      </w:r>
    </w:p>
    <w:tbl>
      <w:tblPr>
        <w:tblW w:w="142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1"/>
        <w:gridCol w:w="827"/>
        <w:gridCol w:w="826"/>
        <w:gridCol w:w="1514"/>
        <w:gridCol w:w="1101"/>
        <w:gridCol w:w="826"/>
        <w:gridCol w:w="964"/>
        <w:gridCol w:w="552"/>
        <w:gridCol w:w="414"/>
        <w:gridCol w:w="552"/>
        <w:gridCol w:w="5881"/>
      </w:tblGrid>
      <w:tr w:rsidR="0065073E" w14:paraId="6C70091A" w14:textId="77777777">
        <w:trPr>
          <w:trHeight w:val="309"/>
          <w:tblHeader/>
        </w:trPr>
        <w:tc>
          <w:tcPr>
            <w:tcW w:w="831" w:type="dxa"/>
            <w:tcBorders>
              <w:bottom w:val="nil"/>
            </w:tcBorders>
            <w:shd w:val="clear" w:color="auto" w:fill="C6D9F1" w:themeFill="text2" w:themeFillTint="33"/>
            <w:noWrap/>
            <w:vAlign w:val="center"/>
          </w:tcPr>
          <w:p w14:paraId="0F94297D" w14:textId="77777777" w:rsidR="0065073E" w:rsidRDefault="000A0998">
            <w:pPr>
              <w:pStyle w:val="P68B1DB1-Normal8"/>
              <w:spacing w:after="0" w:line="240" w:lineRule="auto"/>
              <w:jc w:val="center"/>
              <w:rPr>
                <w:rFonts w:cs="Times New Roman"/>
                <w:noProof/>
              </w:rPr>
            </w:pPr>
            <w:r>
              <w:rPr>
                <w:noProof/>
              </w:rPr>
              <w:t>Määrä</w:t>
            </w:r>
          </w:p>
        </w:tc>
        <w:tc>
          <w:tcPr>
            <w:tcW w:w="827" w:type="dxa"/>
            <w:tcBorders>
              <w:bottom w:val="nil"/>
            </w:tcBorders>
            <w:shd w:val="clear" w:color="auto" w:fill="C6D9F1" w:themeFill="text2" w:themeFillTint="33"/>
            <w:noWrap/>
            <w:vAlign w:val="center"/>
          </w:tcPr>
          <w:p w14:paraId="42085BC1" w14:textId="77777777" w:rsidR="0065073E" w:rsidRDefault="000A0998">
            <w:pPr>
              <w:pStyle w:val="P68B1DB1-Normal8"/>
              <w:spacing w:after="0" w:line="240" w:lineRule="auto"/>
              <w:jc w:val="center"/>
              <w:rPr>
                <w:rFonts w:cs="Times New Roman"/>
                <w:noProof/>
              </w:rPr>
            </w:pPr>
            <w:r>
              <w:rPr>
                <w:noProof/>
              </w:rPr>
              <w:t>Toimenpide</w:t>
            </w:r>
          </w:p>
        </w:tc>
        <w:tc>
          <w:tcPr>
            <w:tcW w:w="826" w:type="dxa"/>
            <w:tcBorders>
              <w:bottom w:val="nil"/>
            </w:tcBorders>
            <w:shd w:val="clear" w:color="auto" w:fill="C6D9F1" w:themeFill="text2" w:themeFillTint="33"/>
            <w:noWrap/>
            <w:vAlign w:val="center"/>
          </w:tcPr>
          <w:p w14:paraId="55B4CF8E"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514" w:type="dxa"/>
            <w:tcBorders>
              <w:bottom w:val="nil"/>
            </w:tcBorders>
            <w:shd w:val="clear" w:color="auto" w:fill="C6D9F1" w:themeFill="text2" w:themeFillTint="33"/>
            <w:noWrap/>
            <w:vAlign w:val="center"/>
          </w:tcPr>
          <w:p w14:paraId="148B6FA0" w14:textId="77777777" w:rsidR="0065073E" w:rsidRDefault="000A0998">
            <w:pPr>
              <w:pStyle w:val="P68B1DB1-Normal8"/>
              <w:spacing w:after="0" w:line="240" w:lineRule="auto"/>
              <w:jc w:val="center"/>
              <w:rPr>
                <w:rFonts w:cs="Times New Roman"/>
                <w:noProof/>
              </w:rPr>
            </w:pPr>
            <w:r>
              <w:rPr>
                <w:noProof/>
              </w:rPr>
              <w:t>Nimi</w:t>
            </w:r>
          </w:p>
        </w:tc>
        <w:tc>
          <w:tcPr>
            <w:tcW w:w="1101" w:type="dxa"/>
            <w:tcBorders>
              <w:bottom w:val="nil"/>
            </w:tcBorders>
            <w:shd w:val="clear" w:color="auto" w:fill="C6D9F1" w:themeFill="text2" w:themeFillTint="33"/>
            <w:noWrap/>
            <w:vAlign w:val="center"/>
          </w:tcPr>
          <w:p w14:paraId="44461C53"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42" w:type="dxa"/>
            <w:gridSpan w:val="3"/>
            <w:shd w:val="clear" w:color="auto" w:fill="C6D9F1" w:themeFill="text2" w:themeFillTint="33"/>
            <w:noWrap/>
            <w:vAlign w:val="center"/>
          </w:tcPr>
          <w:p w14:paraId="50B975C4"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6" w:type="dxa"/>
            <w:gridSpan w:val="2"/>
            <w:shd w:val="clear" w:color="auto" w:fill="C6D9F1" w:themeFill="text2" w:themeFillTint="33"/>
            <w:noWrap/>
            <w:vAlign w:val="center"/>
          </w:tcPr>
          <w:p w14:paraId="75E7C355" w14:textId="77777777" w:rsidR="0065073E" w:rsidRDefault="000A0998">
            <w:pPr>
              <w:pStyle w:val="P68B1DB1-Normal8"/>
              <w:spacing w:after="0" w:line="240" w:lineRule="auto"/>
              <w:jc w:val="center"/>
              <w:rPr>
                <w:rFonts w:cs="Times New Roman"/>
                <w:noProof/>
              </w:rPr>
            </w:pPr>
            <w:r>
              <w:rPr>
                <w:noProof/>
              </w:rPr>
              <w:t>Aika</w:t>
            </w:r>
          </w:p>
        </w:tc>
        <w:tc>
          <w:tcPr>
            <w:tcW w:w="5881" w:type="dxa"/>
            <w:tcBorders>
              <w:bottom w:val="nil"/>
            </w:tcBorders>
            <w:shd w:val="clear" w:color="auto" w:fill="C6D9F1" w:themeFill="text2" w:themeFillTint="33"/>
            <w:noWrap/>
            <w:vAlign w:val="center"/>
          </w:tcPr>
          <w:p w14:paraId="573D79A1"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27AB19D" w14:textId="77777777">
        <w:trPr>
          <w:trHeight w:val="309"/>
          <w:tblHeader/>
        </w:trPr>
        <w:tc>
          <w:tcPr>
            <w:tcW w:w="831" w:type="dxa"/>
            <w:tcBorders>
              <w:top w:val="nil"/>
            </w:tcBorders>
            <w:shd w:val="clear" w:color="auto" w:fill="C6D9F1" w:themeFill="text2" w:themeFillTint="33"/>
            <w:noWrap/>
          </w:tcPr>
          <w:p w14:paraId="211A0EB4" w14:textId="77777777" w:rsidR="0065073E" w:rsidRDefault="0065073E">
            <w:pPr>
              <w:spacing w:after="0" w:line="240" w:lineRule="auto"/>
              <w:jc w:val="center"/>
              <w:rPr>
                <w:rFonts w:ascii="Times New Roman" w:hAnsi="Times New Roman" w:cs="Times New Roman"/>
                <w:b/>
                <w:noProof/>
                <w:sz w:val="18"/>
              </w:rPr>
            </w:pPr>
          </w:p>
        </w:tc>
        <w:tc>
          <w:tcPr>
            <w:tcW w:w="827" w:type="dxa"/>
            <w:tcBorders>
              <w:top w:val="nil"/>
            </w:tcBorders>
            <w:shd w:val="clear" w:color="auto" w:fill="C6D9F1" w:themeFill="text2" w:themeFillTint="33"/>
            <w:noWrap/>
          </w:tcPr>
          <w:p w14:paraId="7FB2C45D" w14:textId="77777777" w:rsidR="0065073E" w:rsidRDefault="0065073E">
            <w:pPr>
              <w:spacing w:after="0" w:line="240" w:lineRule="auto"/>
              <w:jc w:val="center"/>
              <w:rPr>
                <w:rFonts w:ascii="Times New Roman" w:hAnsi="Times New Roman" w:cs="Times New Roman"/>
                <w:b/>
                <w:noProof/>
                <w:sz w:val="18"/>
              </w:rPr>
            </w:pPr>
          </w:p>
        </w:tc>
        <w:tc>
          <w:tcPr>
            <w:tcW w:w="826" w:type="dxa"/>
            <w:tcBorders>
              <w:top w:val="nil"/>
            </w:tcBorders>
            <w:shd w:val="clear" w:color="auto" w:fill="C6D9F1" w:themeFill="text2" w:themeFillTint="33"/>
            <w:noWrap/>
          </w:tcPr>
          <w:p w14:paraId="08240DBD" w14:textId="77777777" w:rsidR="0065073E" w:rsidRDefault="0065073E">
            <w:pPr>
              <w:spacing w:after="0" w:line="240" w:lineRule="auto"/>
              <w:jc w:val="center"/>
              <w:rPr>
                <w:rFonts w:ascii="Times New Roman" w:hAnsi="Times New Roman" w:cs="Times New Roman"/>
                <w:b/>
                <w:noProof/>
                <w:sz w:val="18"/>
              </w:rPr>
            </w:pPr>
          </w:p>
        </w:tc>
        <w:tc>
          <w:tcPr>
            <w:tcW w:w="1514" w:type="dxa"/>
            <w:tcBorders>
              <w:top w:val="nil"/>
            </w:tcBorders>
            <w:shd w:val="clear" w:color="auto" w:fill="C6D9F1" w:themeFill="text2" w:themeFillTint="33"/>
            <w:noWrap/>
          </w:tcPr>
          <w:p w14:paraId="6A2FB924" w14:textId="77777777" w:rsidR="0065073E" w:rsidRDefault="0065073E">
            <w:pPr>
              <w:spacing w:after="0" w:line="240" w:lineRule="auto"/>
              <w:rPr>
                <w:rFonts w:ascii="Times New Roman" w:hAnsi="Times New Roman" w:cs="Times New Roman"/>
                <w:b/>
                <w:noProof/>
                <w:sz w:val="18"/>
              </w:rPr>
            </w:pPr>
          </w:p>
        </w:tc>
        <w:tc>
          <w:tcPr>
            <w:tcW w:w="1101" w:type="dxa"/>
            <w:tcBorders>
              <w:top w:val="nil"/>
            </w:tcBorders>
            <w:shd w:val="clear" w:color="auto" w:fill="C6D9F1" w:themeFill="text2" w:themeFillTint="33"/>
            <w:noWrap/>
          </w:tcPr>
          <w:p w14:paraId="43DE7DBC" w14:textId="77777777" w:rsidR="0065073E" w:rsidRDefault="0065073E">
            <w:pPr>
              <w:spacing w:after="0" w:line="240" w:lineRule="auto"/>
              <w:jc w:val="center"/>
              <w:rPr>
                <w:rFonts w:ascii="Times New Roman" w:hAnsi="Times New Roman" w:cs="Times New Roman"/>
                <w:b/>
                <w:noProof/>
                <w:sz w:val="18"/>
              </w:rPr>
            </w:pPr>
          </w:p>
        </w:tc>
        <w:tc>
          <w:tcPr>
            <w:tcW w:w="826" w:type="dxa"/>
            <w:shd w:val="clear" w:color="auto" w:fill="C6D9F1" w:themeFill="text2" w:themeFillTint="33"/>
            <w:noWrap/>
            <w:vAlign w:val="center"/>
          </w:tcPr>
          <w:p w14:paraId="498A5F1A" w14:textId="77777777" w:rsidR="0065073E" w:rsidRDefault="000A0998">
            <w:pPr>
              <w:pStyle w:val="P68B1DB1-Normal8"/>
              <w:spacing w:after="0" w:line="240" w:lineRule="auto"/>
              <w:jc w:val="center"/>
              <w:rPr>
                <w:rFonts w:cs="Times New Roman"/>
                <w:noProof/>
              </w:rPr>
            </w:pPr>
            <w:r>
              <w:rPr>
                <w:noProof/>
              </w:rPr>
              <w:t>Yksikkö</w:t>
            </w:r>
          </w:p>
        </w:tc>
        <w:tc>
          <w:tcPr>
            <w:tcW w:w="964" w:type="dxa"/>
            <w:shd w:val="clear" w:color="auto" w:fill="C6D9F1" w:themeFill="text2" w:themeFillTint="33"/>
            <w:noWrap/>
            <w:vAlign w:val="center"/>
          </w:tcPr>
          <w:p w14:paraId="5C6F3F10" w14:textId="006267E8" w:rsidR="0065073E" w:rsidRDefault="000A0998">
            <w:pPr>
              <w:pStyle w:val="P68B1DB1-Normal8"/>
              <w:spacing w:after="0" w:line="240" w:lineRule="auto"/>
              <w:jc w:val="center"/>
              <w:rPr>
                <w:rFonts w:cs="Times New Roman"/>
                <w:noProof/>
              </w:rPr>
            </w:pPr>
            <w:r>
              <w:rPr>
                <w:noProof/>
              </w:rPr>
              <w:t>Lähtötaso</w:t>
            </w:r>
          </w:p>
        </w:tc>
        <w:tc>
          <w:tcPr>
            <w:tcW w:w="552" w:type="dxa"/>
            <w:shd w:val="clear" w:color="auto" w:fill="C6D9F1" w:themeFill="text2" w:themeFillTint="33"/>
            <w:noWrap/>
            <w:vAlign w:val="center"/>
          </w:tcPr>
          <w:p w14:paraId="32D321C1" w14:textId="77777777" w:rsidR="0065073E" w:rsidRDefault="000A0998">
            <w:pPr>
              <w:pStyle w:val="P68B1DB1-Normal8"/>
              <w:spacing w:after="0" w:line="240" w:lineRule="auto"/>
              <w:jc w:val="center"/>
              <w:rPr>
                <w:rFonts w:cs="Times New Roman"/>
                <w:noProof/>
              </w:rPr>
            </w:pPr>
            <w:r>
              <w:rPr>
                <w:noProof/>
              </w:rPr>
              <w:t>Päämäärä</w:t>
            </w:r>
          </w:p>
        </w:tc>
        <w:tc>
          <w:tcPr>
            <w:tcW w:w="414" w:type="dxa"/>
            <w:shd w:val="clear" w:color="auto" w:fill="C6D9F1" w:themeFill="text2" w:themeFillTint="33"/>
            <w:noWrap/>
            <w:vAlign w:val="center"/>
          </w:tcPr>
          <w:p w14:paraId="68C2B3E4" w14:textId="77777777" w:rsidR="0065073E" w:rsidRDefault="000A0998">
            <w:pPr>
              <w:pStyle w:val="P68B1DB1-Normal8"/>
              <w:spacing w:after="0" w:line="240" w:lineRule="auto"/>
              <w:jc w:val="center"/>
              <w:rPr>
                <w:rFonts w:cs="Times New Roman"/>
                <w:noProof/>
              </w:rPr>
            </w:pPr>
            <w:r>
              <w:rPr>
                <w:noProof/>
              </w:rPr>
              <w:t>Q</w:t>
            </w:r>
          </w:p>
        </w:tc>
        <w:tc>
          <w:tcPr>
            <w:tcW w:w="552" w:type="dxa"/>
            <w:shd w:val="clear" w:color="auto" w:fill="C6D9F1" w:themeFill="text2" w:themeFillTint="33"/>
            <w:noWrap/>
            <w:vAlign w:val="center"/>
          </w:tcPr>
          <w:p w14:paraId="107C164F" w14:textId="77777777" w:rsidR="0065073E" w:rsidRDefault="000A0998">
            <w:pPr>
              <w:pStyle w:val="P68B1DB1-Normal8"/>
              <w:spacing w:after="0" w:line="240" w:lineRule="auto"/>
              <w:jc w:val="center"/>
              <w:rPr>
                <w:rFonts w:cs="Times New Roman"/>
                <w:noProof/>
              </w:rPr>
            </w:pPr>
            <w:r>
              <w:rPr>
                <w:noProof/>
              </w:rPr>
              <w:t>Vuosi</w:t>
            </w:r>
          </w:p>
        </w:tc>
        <w:tc>
          <w:tcPr>
            <w:tcW w:w="5881" w:type="dxa"/>
            <w:tcBorders>
              <w:top w:val="nil"/>
            </w:tcBorders>
            <w:shd w:val="clear" w:color="auto" w:fill="C6D9F1" w:themeFill="text2" w:themeFillTint="33"/>
            <w:noWrap/>
          </w:tcPr>
          <w:p w14:paraId="03709E6F" w14:textId="77777777" w:rsidR="0065073E" w:rsidRDefault="0065073E">
            <w:pPr>
              <w:spacing w:after="0" w:line="240" w:lineRule="auto"/>
              <w:rPr>
                <w:rFonts w:ascii="Times New Roman" w:hAnsi="Times New Roman" w:cs="Times New Roman"/>
                <w:b/>
                <w:noProof/>
                <w:sz w:val="18"/>
              </w:rPr>
            </w:pPr>
          </w:p>
        </w:tc>
      </w:tr>
      <w:tr w:rsidR="0065073E" w14:paraId="20DE5AEE" w14:textId="77777777">
        <w:trPr>
          <w:trHeight w:val="309"/>
        </w:trPr>
        <w:tc>
          <w:tcPr>
            <w:tcW w:w="831" w:type="dxa"/>
            <w:shd w:val="clear" w:color="auto" w:fill="C6EFCE"/>
            <w:noWrap/>
          </w:tcPr>
          <w:p w14:paraId="07FC8ABD" w14:textId="45474011" w:rsidR="0065073E" w:rsidRDefault="000A0998">
            <w:pPr>
              <w:pStyle w:val="P68B1DB1-Normal12"/>
              <w:spacing w:after="0" w:line="240" w:lineRule="auto"/>
              <w:jc w:val="center"/>
              <w:rPr>
                <w:rFonts w:eastAsia="Times New Roman" w:cs="Times New Roman"/>
                <w:noProof/>
              </w:rPr>
            </w:pPr>
            <w:r>
              <w:rPr>
                <w:noProof/>
              </w:rPr>
              <w:t>L15</w:t>
            </w:r>
          </w:p>
        </w:tc>
        <w:tc>
          <w:tcPr>
            <w:tcW w:w="827" w:type="dxa"/>
            <w:shd w:val="clear" w:color="auto" w:fill="C6EFCE"/>
            <w:noWrap/>
          </w:tcPr>
          <w:p w14:paraId="7E6318B2" w14:textId="77777777" w:rsidR="0065073E" w:rsidRDefault="000A0998">
            <w:pPr>
              <w:pStyle w:val="P68B1DB1-Normal12"/>
              <w:spacing w:after="0" w:line="240" w:lineRule="auto"/>
              <w:jc w:val="center"/>
              <w:rPr>
                <w:rFonts w:cs="Times New Roman"/>
                <w:noProof/>
              </w:rPr>
            </w:pPr>
            <w:r>
              <w:rPr>
                <w:noProof/>
              </w:rPr>
              <w:t>C6.R3</w:t>
            </w:r>
          </w:p>
        </w:tc>
        <w:tc>
          <w:tcPr>
            <w:tcW w:w="826" w:type="dxa"/>
            <w:shd w:val="clear" w:color="auto" w:fill="C6EFCE"/>
            <w:noWrap/>
          </w:tcPr>
          <w:p w14:paraId="3AB77307" w14:textId="77777777" w:rsidR="0065073E" w:rsidRDefault="000A0998">
            <w:pPr>
              <w:pStyle w:val="P68B1DB1-Normal12"/>
              <w:spacing w:after="0" w:line="240" w:lineRule="auto"/>
              <w:jc w:val="center"/>
              <w:rPr>
                <w:rFonts w:cs="Times New Roman"/>
                <w:noProof/>
              </w:rPr>
            </w:pPr>
            <w:r>
              <w:rPr>
                <w:noProof/>
              </w:rPr>
              <w:t>M</w:t>
            </w:r>
          </w:p>
        </w:tc>
        <w:tc>
          <w:tcPr>
            <w:tcW w:w="1514" w:type="dxa"/>
            <w:shd w:val="clear" w:color="auto" w:fill="C6EFCE"/>
            <w:noWrap/>
          </w:tcPr>
          <w:p w14:paraId="2AC4B1E1" w14:textId="77777777" w:rsidR="0065073E" w:rsidRDefault="000A0998">
            <w:pPr>
              <w:pStyle w:val="P68B1DB1-Normal12"/>
              <w:keepNext/>
              <w:spacing w:line="240" w:lineRule="auto"/>
              <w:jc w:val="both"/>
              <w:rPr>
                <w:rFonts w:cs="Times New Roman"/>
                <w:noProof/>
              </w:rPr>
            </w:pPr>
            <w:r>
              <w:rPr>
                <w:noProof/>
              </w:rPr>
              <w:t>Energiatehokkuusstrategia</w:t>
            </w:r>
          </w:p>
        </w:tc>
        <w:tc>
          <w:tcPr>
            <w:tcW w:w="1101" w:type="dxa"/>
            <w:shd w:val="clear" w:color="auto" w:fill="C6EFCE"/>
            <w:noWrap/>
          </w:tcPr>
          <w:p w14:paraId="56E8D283" w14:textId="77777777" w:rsidR="0065073E" w:rsidRDefault="000A0998">
            <w:pPr>
              <w:pStyle w:val="P68B1DB1-Normal12"/>
              <w:spacing w:after="0" w:line="240" w:lineRule="auto"/>
              <w:jc w:val="center"/>
              <w:rPr>
                <w:rFonts w:cs="Times New Roman"/>
                <w:noProof/>
              </w:rPr>
            </w:pPr>
            <w:r>
              <w:rPr>
                <w:noProof/>
              </w:rPr>
              <w:t>Julkaiseminen virallisessa lehdessä</w:t>
            </w:r>
          </w:p>
        </w:tc>
        <w:tc>
          <w:tcPr>
            <w:tcW w:w="826" w:type="dxa"/>
            <w:shd w:val="clear" w:color="auto" w:fill="C6EFCE"/>
            <w:noWrap/>
          </w:tcPr>
          <w:p w14:paraId="3CE0DA42" w14:textId="77777777" w:rsidR="0065073E" w:rsidRDefault="0065073E">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1921FAAF" w14:textId="77777777" w:rsidR="0065073E" w:rsidRDefault="0065073E">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479AC3D8" w14:textId="77777777" w:rsidR="0065073E" w:rsidRDefault="0065073E">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17581F1F" w14:textId="0875343C" w:rsidR="0065073E" w:rsidRDefault="000A0998">
            <w:pPr>
              <w:pStyle w:val="P68B1DB1-Normal12"/>
              <w:spacing w:after="0" w:line="240" w:lineRule="auto"/>
              <w:jc w:val="center"/>
              <w:rPr>
                <w:rFonts w:cs="Times New Roman"/>
                <w:noProof/>
              </w:rPr>
            </w:pPr>
            <w:r>
              <w:rPr>
                <w:noProof/>
              </w:rPr>
              <w:t>ENSIMMÄINEN VUOSINELJÄNNES</w:t>
            </w:r>
          </w:p>
        </w:tc>
        <w:tc>
          <w:tcPr>
            <w:tcW w:w="552" w:type="dxa"/>
            <w:shd w:val="clear" w:color="auto" w:fill="C6EFCE"/>
            <w:noWrap/>
          </w:tcPr>
          <w:p w14:paraId="2AAEA016" w14:textId="13619E7E" w:rsidR="0065073E" w:rsidRDefault="000A0998">
            <w:pPr>
              <w:pStyle w:val="P68B1DB1-Normal12"/>
              <w:spacing w:after="0" w:line="240" w:lineRule="auto"/>
              <w:jc w:val="center"/>
              <w:rPr>
                <w:rFonts w:cs="Times New Roman"/>
                <w:noProof/>
              </w:rPr>
            </w:pPr>
            <w:r>
              <w:rPr>
                <w:noProof/>
              </w:rPr>
              <w:t>2024</w:t>
            </w:r>
          </w:p>
        </w:tc>
        <w:tc>
          <w:tcPr>
            <w:tcW w:w="5881" w:type="dxa"/>
            <w:shd w:val="clear" w:color="auto" w:fill="C6EFCE"/>
            <w:noWrap/>
          </w:tcPr>
          <w:p w14:paraId="08402BD6" w14:textId="77777777" w:rsidR="0065073E" w:rsidRDefault="000A0998">
            <w:pPr>
              <w:pStyle w:val="P68B1DB1-Normal12"/>
              <w:spacing w:after="0" w:line="240" w:lineRule="auto"/>
              <w:rPr>
                <w:rFonts w:cs="Times New Roman"/>
                <w:noProof/>
              </w:rPr>
            </w:pPr>
            <w:r>
              <w:rPr>
                <w:noProof/>
              </w:rPr>
              <w:t>Kansallisen tieverkon energiatehokkuusstrategian, joka kattaa toimenpiteen kuvauksen mukaiset osatekijät, julkaiseminen Euroopan unionin virallisessa lehdessä.</w:t>
            </w:r>
          </w:p>
        </w:tc>
      </w:tr>
      <w:tr w:rsidR="0065073E" w14:paraId="136392DF" w14:textId="77777777">
        <w:trPr>
          <w:trHeight w:val="309"/>
        </w:trPr>
        <w:tc>
          <w:tcPr>
            <w:tcW w:w="831" w:type="dxa"/>
            <w:shd w:val="clear" w:color="auto" w:fill="C6EFCE"/>
            <w:noWrap/>
          </w:tcPr>
          <w:p w14:paraId="0D531A0E" w14:textId="26DB87DE" w:rsidR="0065073E" w:rsidRDefault="000A0998">
            <w:pPr>
              <w:pStyle w:val="P68B1DB1-Normal12"/>
              <w:spacing w:after="0" w:line="240" w:lineRule="auto"/>
              <w:jc w:val="center"/>
              <w:rPr>
                <w:rFonts w:cs="Times New Roman"/>
                <w:noProof/>
              </w:rPr>
            </w:pPr>
            <w:r>
              <w:rPr>
                <w:noProof/>
              </w:rPr>
              <w:t>L16</w:t>
            </w:r>
          </w:p>
        </w:tc>
        <w:tc>
          <w:tcPr>
            <w:tcW w:w="827" w:type="dxa"/>
            <w:shd w:val="clear" w:color="auto" w:fill="C6EFCE"/>
            <w:noWrap/>
          </w:tcPr>
          <w:p w14:paraId="481B4A66" w14:textId="77777777" w:rsidR="0065073E" w:rsidRDefault="000A0998">
            <w:pPr>
              <w:pStyle w:val="P68B1DB1-Normal12"/>
              <w:spacing w:after="0" w:line="240" w:lineRule="auto"/>
              <w:jc w:val="center"/>
              <w:rPr>
                <w:rFonts w:cs="Times New Roman"/>
                <w:noProof/>
              </w:rPr>
            </w:pPr>
            <w:r>
              <w:rPr>
                <w:noProof/>
              </w:rPr>
              <w:t>C6.R3</w:t>
            </w:r>
          </w:p>
        </w:tc>
        <w:tc>
          <w:tcPr>
            <w:tcW w:w="826" w:type="dxa"/>
            <w:shd w:val="clear" w:color="auto" w:fill="C6EFCE"/>
            <w:noWrap/>
          </w:tcPr>
          <w:p w14:paraId="5A02178D" w14:textId="77777777" w:rsidR="0065073E" w:rsidRDefault="000A0998">
            <w:pPr>
              <w:pStyle w:val="P68B1DB1-Normal12"/>
              <w:spacing w:after="0" w:line="240" w:lineRule="auto"/>
              <w:jc w:val="center"/>
              <w:rPr>
                <w:rFonts w:cs="Times New Roman"/>
                <w:noProof/>
              </w:rPr>
            </w:pPr>
            <w:r>
              <w:rPr>
                <w:noProof/>
              </w:rPr>
              <w:t>M</w:t>
            </w:r>
          </w:p>
        </w:tc>
        <w:tc>
          <w:tcPr>
            <w:tcW w:w="1514" w:type="dxa"/>
            <w:shd w:val="clear" w:color="auto" w:fill="C6EFCE"/>
            <w:noWrap/>
          </w:tcPr>
          <w:p w14:paraId="1D4E56AA" w14:textId="77777777" w:rsidR="0065073E" w:rsidRDefault="000A0998">
            <w:pPr>
              <w:pStyle w:val="P68B1DB1-Normal12"/>
              <w:keepNext/>
              <w:spacing w:line="240" w:lineRule="auto"/>
              <w:jc w:val="both"/>
              <w:rPr>
                <w:rFonts w:cs="Times New Roman"/>
                <w:noProof/>
              </w:rPr>
            </w:pPr>
            <w:r>
              <w:rPr>
                <w:noProof/>
              </w:rPr>
              <w:t>Tieliikenteen pääosaston hiilijalanjäljen laskeminen</w:t>
            </w:r>
          </w:p>
        </w:tc>
        <w:tc>
          <w:tcPr>
            <w:tcW w:w="1101" w:type="dxa"/>
            <w:shd w:val="clear" w:color="auto" w:fill="C6EFCE"/>
            <w:noWrap/>
          </w:tcPr>
          <w:p w14:paraId="615F7473" w14:textId="77777777" w:rsidR="0065073E" w:rsidRDefault="000A0998">
            <w:pPr>
              <w:pStyle w:val="P68B1DB1-Normal12"/>
              <w:spacing w:after="0" w:line="240" w:lineRule="auto"/>
              <w:jc w:val="center"/>
              <w:rPr>
                <w:rFonts w:cs="Times New Roman"/>
                <w:noProof/>
              </w:rPr>
            </w:pPr>
            <w:r>
              <w:rPr>
                <w:noProof/>
              </w:rPr>
              <w:t>Tulosten julkaiseminen virallisella verkkoalustalla</w:t>
            </w:r>
          </w:p>
        </w:tc>
        <w:tc>
          <w:tcPr>
            <w:tcW w:w="826" w:type="dxa"/>
            <w:shd w:val="clear" w:color="auto" w:fill="C6EFCE"/>
            <w:noWrap/>
          </w:tcPr>
          <w:p w14:paraId="26033E90" w14:textId="77777777" w:rsidR="0065073E" w:rsidRDefault="0065073E">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6583EB88" w14:textId="77777777" w:rsidR="0065073E" w:rsidRDefault="0065073E">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10EFBCB7" w14:textId="77777777" w:rsidR="0065073E" w:rsidRDefault="0065073E">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58277911" w14:textId="77777777" w:rsidR="0065073E" w:rsidRDefault="000A0998">
            <w:pPr>
              <w:pStyle w:val="P68B1DB1-Normal12"/>
              <w:spacing w:after="0" w:line="240" w:lineRule="auto"/>
              <w:jc w:val="center"/>
              <w:rPr>
                <w:rFonts w:cs="Times New Roman"/>
                <w:noProof/>
              </w:rPr>
            </w:pPr>
            <w:r>
              <w:rPr>
                <w:noProof/>
              </w:rPr>
              <w:t>Q4</w:t>
            </w:r>
          </w:p>
        </w:tc>
        <w:tc>
          <w:tcPr>
            <w:tcW w:w="552" w:type="dxa"/>
            <w:shd w:val="clear" w:color="auto" w:fill="C6EFCE"/>
            <w:noWrap/>
          </w:tcPr>
          <w:p w14:paraId="7D5C710A" w14:textId="77777777" w:rsidR="0065073E" w:rsidRDefault="000A0998">
            <w:pPr>
              <w:pStyle w:val="P68B1DB1-Normal12"/>
              <w:spacing w:after="0" w:line="240" w:lineRule="auto"/>
              <w:jc w:val="center"/>
              <w:rPr>
                <w:rFonts w:cs="Times New Roman"/>
                <w:noProof/>
              </w:rPr>
            </w:pPr>
            <w:r>
              <w:rPr>
                <w:noProof/>
              </w:rPr>
              <w:t>2025</w:t>
            </w:r>
          </w:p>
        </w:tc>
        <w:tc>
          <w:tcPr>
            <w:tcW w:w="5881" w:type="dxa"/>
            <w:shd w:val="clear" w:color="auto" w:fill="C6EFCE"/>
            <w:noWrap/>
          </w:tcPr>
          <w:p w14:paraId="5E69941A" w14:textId="750AAB04" w:rsidR="0065073E" w:rsidRDefault="000A0998">
            <w:pPr>
              <w:pStyle w:val="P68B1DB1-Normal12"/>
              <w:spacing w:after="0" w:line="240" w:lineRule="auto"/>
              <w:rPr>
                <w:rFonts w:cs="Times New Roman"/>
                <w:noProof/>
              </w:rPr>
            </w:pPr>
            <w:r>
              <w:rPr>
                <w:noProof/>
              </w:rPr>
              <w:t xml:space="preserve">Tieliikenteen pääosaston vuoden 2024 hiilijalanjäljen laskeminen, jonka tulokset esitetään vuonna 2025 osana energiatehokkuusstrategian täytäntöönpanoa. </w:t>
            </w:r>
          </w:p>
        </w:tc>
      </w:tr>
    </w:tbl>
    <w:p w14:paraId="387E03AA" w14:textId="5596F60B" w:rsidR="0065073E" w:rsidRDefault="0065073E">
      <w:pPr>
        <w:keepNext/>
        <w:spacing w:before="120" w:after="120" w:line="240" w:lineRule="auto"/>
        <w:jc w:val="both"/>
        <w:rPr>
          <w:rFonts w:ascii="Times New Roman" w:hAnsi="Times New Roman" w:cs="Times New Roman"/>
          <w:i/>
          <w:noProof/>
          <w:sz w:val="24"/>
        </w:rPr>
        <w:sectPr w:rsidR="0065073E" w:rsidSect="00B511EF">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60"/>
        </w:sectPr>
      </w:pPr>
    </w:p>
    <w:p w14:paraId="53C80719" w14:textId="7CE1C40B" w:rsidR="0065073E" w:rsidRDefault="000A0998">
      <w:pPr>
        <w:pStyle w:val="P68B1DB1-Heading12"/>
        <w:rPr>
          <w:rFonts w:cs="Times New Roman"/>
          <w:noProof/>
        </w:rPr>
      </w:pPr>
      <w:r>
        <w:rPr>
          <w:noProof/>
        </w:rPr>
        <w:t>G. OSA 07: Uusiutuvien energialähteiden käyttöönotto ja integrointi</w:t>
      </w:r>
    </w:p>
    <w:p w14:paraId="0BCA915E" w14:textId="77777777" w:rsidR="0065073E" w:rsidRDefault="000A0998">
      <w:pPr>
        <w:pStyle w:val="P68B1DB1-Normal4"/>
        <w:spacing w:before="120" w:after="120" w:line="240" w:lineRule="auto"/>
        <w:jc w:val="both"/>
        <w:rPr>
          <w:rFonts w:cs="Times New Roman"/>
          <w:noProof/>
        </w:rPr>
      </w:pPr>
      <w:r>
        <w:rPr>
          <w:noProof/>
        </w:rPr>
        <w:t xml:space="preserve">Espanjan kansallisessa energia- ja ilmastosuunnitelmassa vuosiksi 2021–2030 ennustetaan uusiutuvan energian osuuden merkittävää kasvua Espanjassa: sähköalalla 74 prosenttia ja loppukäytössä 42 prosenttia vuonna 2030. Tässä yhteydessä Espanjan elpymis- ja palautumissuunnitelman tämän komponentin tavoitteena on lisätä uusiutuvan energian käyttöä seuraavilla osa-alueilla: </w:t>
      </w:r>
    </w:p>
    <w:p w14:paraId="19807A53" w14:textId="77777777" w:rsidR="0065073E" w:rsidRDefault="000A0998">
      <w:pPr>
        <w:pStyle w:val="P68B1DB1-Normal4"/>
        <w:numPr>
          <w:ilvl w:val="0"/>
          <w:numId w:val="63"/>
        </w:numPr>
        <w:spacing w:before="120" w:after="120" w:line="240" w:lineRule="auto"/>
        <w:jc w:val="both"/>
        <w:rPr>
          <w:rFonts w:cs="Times New Roman"/>
          <w:noProof/>
        </w:rPr>
      </w:pPr>
      <w:r>
        <w:rPr>
          <w:noProof/>
        </w:rPr>
        <w:t xml:space="preserve">sellaisen selkeän ja ennakoitavan sääntelykehyksen kehittäminen, jolla edistetään investointeja uusiutuviin energialähteisiin; </w:t>
      </w:r>
    </w:p>
    <w:p w14:paraId="34DD1FF7" w14:textId="77777777" w:rsidR="0065073E" w:rsidRDefault="000A0998">
      <w:pPr>
        <w:pStyle w:val="P68B1DB1-Normal4"/>
        <w:numPr>
          <w:ilvl w:val="0"/>
          <w:numId w:val="63"/>
        </w:numPr>
        <w:spacing w:before="120" w:after="120" w:line="240" w:lineRule="auto"/>
        <w:jc w:val="both"/>
        <w:rPr>
          <w:rFonts w:cs="Times New Roman"/>
          <w:noProof/>
        </w:rPr>
      </w:pPr>
      <w:r>
        <w:rPr>
          <w:noProof/>
        </w:rPr>
        <w:t xml:space="preserve">teollisuuden arvoketjun perustaminen ja vakiinnuttaminen uusiutuvien energialähteiden alalla; </w:t>
      </w:r>
    </w:p>
    <w:p w14:paraId="2EB428BC" w14:textId="77777777" w:rsidR="0065073E" w:rsidRDefault="000A0998">
      <w:pPr>
        <w:pStyle w:val="P68B1DB1-Normal4"/>
        <w:numPr>
          <w:ilvl w:val="0"/>
          <w:numId w:val="63"/>
        </w:numPr>
        <w:spacing w:before="120" w:after="120" w:line="240" w:lineRule="auto"/>
        <w:jc w:val="both"/>
        <w:rPr>
          <w:rFonts w:cs="Times New Roman"/>
          <w:noProof/>
        </w:rPr>
      </w:pPr>
      <w:r>
        <w:rPr>
          <w:noProof/>
        </w:rPr>
        <w:t xml:space="preserve">uusiutuviin energialähteisiin perustuvien teknologioiden innovatiivisten lähteiden tukeminen, mukaan lukien niiden integrointi loppukäyttöihin; ja </w:t>
      </w:r>
    </w:p>
    <w:p w14:paraId="08C3D8B9" w14:textId="77777777" w:rsidR="0065073E" w:rsidRDefault="000A0998">
      <w:pPr>
        <w:pStyle w:val="P68B1DB1-Normal4"/>
        <w:numPr>
          <w:ilvl w:val="0"/>
          <w:numId w:val="63"/>
        </w:numPr>
        <w:spacing w:before="120" w:after="120" w:line="240" w:lineRule="auto"/>
        <w:jc w:val="both"/>
        <w:rPr>
          <w:rFonts w:cs="Times New Roman"/>
          <w:noProof/>
        </w:rPr>
      </w:pPr>
      <w:r>
        <w:rPr>
          <w:noProof/>
        </w:rPr>
        <w:t xml:space="preserve">vihreiden taitojen kehittäminen. </w:t>
      </w:r>
    </w:p>
    <w:p w14:paraId="6DE6D20B" w14:textId="77777777" w:rsidR="0065073E" w:rsidRDefault="000A0998">
      <w:pPr>
        <w:pStyle w:val="P68B1DB1-Normal4"/>
        <w:spacing w:before="120" w:after="120" w:line="240" w:lineRule="auto"/>
        <w:jc w:val="both"/>
        <w:rPr>
          <w:rFonts w:cs="Times New Roman"/>
          <w:noProof/>
        </w:rPr>
      </w:pPr>
      <w:r>
        <w:rPr>
          <w:noProof/>
        </w:rPr>
        <w:t>Lisäksi komponentilla pyritään erityisesti edistämään uusiutuvien energialähteiden käyttöönottoa Espanjan saarilla sekä kansalaisten osallistumista uusiutuvan energian yhteisöjen kautta.</w:t>
      </w:r>
    </w:p>
    <w:p w14:paraId="071ABE97" w14:textId="77777777" w:rsidR="0065073E" w:rsidRDefault="000A0998">
      <w:pPr>
        <w:pStyle w:val="P68B1DB1-Normal4"/>
        <w:spacing w:before="120" w:after="120" w:line="240" w:lineRule="auto"/>
        <w:jc w:val="both"/>
        <w:rPr>
          <w:rFonts w:cs="Times New Roman"/>
          <w:noProof/>
        </w:rPr>
      </w:pPr>
      <w:r>
        <w:rPr>
          <w:noProof/>
        </w:rPr>
        <w:t>Komponentti liittyy innovointiin ja energiatehokkuuteen tehtävien investointien edistämiseen (maakohtainen suositus 3 2019). Sillä edistetään myös julkisia ja yksityisiä investointeja ja vihreää siirtymää (maakohtainen suositus 3 2020).</w:t>
      </w:r>
    </w:p>
    <w:p w14:paraId="1018E939" w14:textId="77777777" w:rsidR="0065073E" w:rsidRDefault="000A0998">
      <w:pPr>
        <w:pStyle w:val="P68B1DB1-Normal4"/>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2458F8B1"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G.1 </w:t>
      </w:r>
      <w:r>
        <w:rPr>
          <w:noProof/>
        </w:rPr>
        <w:t xml:space="preserve"> </w:t>
      </w:r>
      <w:r>
        <w:rPr>
          <w:rFonts w:ascii="Times New Roman" w:hAnsi="Times New Roman"/>
          <w:b/>
          <w:noProof/>
          <w:sz w:val="24"/>
          <w:u w:val="single"/>
        </w:rPr>
        <w:t>Kuvaus uudistuksista ja investoinneista, joita rahoitetaan rahoitustuella, jota ei makseta takaisin</w:t>
      </w:r>
    </w:p>
    <w:p w14:paraId="1E488386" w14:textId="77777777" w:rsidR="0065073E" w:rsidRDefault="000A0998">
      <w:pPr>
        <w:pStyle w:val="P68B1DB1-Normal5"/>
        <w:spacing w:before="120" w:after="120" w:line="240" w:lineRule="auto"/>
        <w:jc w:val="both"/>
        <w:rPr>
          <w:rFonts w:cs="Times New Roman"/>
          <w:noProof/>
        </w:rPr>
      </w:pPr>
      <w:r>
        <w:rPr>
          <w:noProof/>
        </w:rPr>
        <w:t>Uudistus 1 (C7.R1) – Uusiutuvan energian tuotannon edistämistä koskeva sääntelykehys</w:t>
      </w:r>
    </w:p>
    <w:p w14:paraId="5340AD5C"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vahvistaa uusiutuvan energian tuotannon edistämistä koskevaa sääntelykehystä, jotta voidaan lisätä varmuutta ja kannustaa yksityisiä investointeja uusiutuvaan energiaan, poistaa uusiutuvien energialähteiden käyttöönoton esteitä ja parantaa niiden integrointia ympäristöön, sähköjärjestelmään ja eri aloille. </w:t>
      </w:r>
    </w:p>
    <w:p w14:paraId="1B4AD724" w14:textId="77777777" w:rsidR="0065073E" w:rsidRDefault="000A0998">
      <w:pPr>
        <w:pStyle w:val="P68B1DB1-Normal4"/>
        <w:spacing w:before="120" w:after="120" w:line="240" w:lineRule="auto"/>
        <w:jc w:val="both"/>
        <w:rPr>
          <w:rFonts w:cs="Times New Roman"/>
          <w:noProof/>
        </w:rPr>
      </w:pPr>
      <w:r>
        <w:rPr>
          <w:noProof/>
        </w:rPr>
        <w:t xml:space="preserve">Toimenpiteeseen on sisällyttävä useita lainsäädäntö- ja sääntelytoimia, joita ovat muun muassa seuraavat: </w:t>
      </w:r>
    </w:p>
    <w:p w14:paraId="5043E0B8" w14:textId="77777777" w:rsidR="0065073E" w:rsidRDefault="000A0998">
      <w:pPr>
        <w:pStyle w:val="P68B1DB1-ListParagraph6"/>
        <w:numPr>
          <w:ilvl w:val="0"/>
          <w:numId w:val="295"/>
        </w:numPr>
        <w:spacing w:before="120" w:after="120" w:line="240" w:lineRule="auto"/>
        <w:jc w:val="both"/>
        <w:rPr>
          <w:rFonts w:cs="Times New Roman"/>
          <w:noProof/>
        </w:rPr>
      </w:pPr>
      <w:r>
        <w:rPr>
          <w:noProof/>
        </w:rPr>
        <w:t xml:space="preserve">kesäkuussa 2020 annettu kuninkaallinen asetus 23/2020, jolla perustetaan uusi uusiutuvan energian tuotantoa koskeva huutokauppajärjestelmä ja parannetaan mekanismia, joka mahdollistaa uusiutuvan energian tuotannon pääsyn sähköverkkoon; </w:t>
      </w:r>
    </w:p>
    <w:p w14:paraId="486E4DAB" w14:textId="77777777" w:rsidR="0065073E" w:rsidRDefault="000A0998">
      <w:pPr>
        <w:pStyle w:val="P68B1DB1-Normal4"/>
        <w:numPr>
          <w:ilvl w:val="0"/>
          <w:numId w:val="295"/>
        </w:numPr>
        <w:spacing w:before="120" w:after="120" w:line="240" w:lineRule="auto"/>
        <w:jc w:val="both"/>
        <w:rPr>
          <w:rFonts w:cs="Times New Roman"/>
          <w:noProof/>
        </w:rPr>
      </w:pPr>
      <w:r>
        <w:rPr>
          <w:noProof/>
        </w:rPr>
        <w:t xml:space="preserve">marraskuussa 2020 hyväksyttiin kuninkaallinen asetus 960/2020, jolla parannetaan uusiutuvan energian tuotannosta uusissa huutokaupoissa saatavien tulojen ennustettavuutta; </w:t>
      </w:r>
    </w:p>
    <w:p w14:paraId="7C6CC9A8" w14:textId="77777777" w:rsidR="0065073E" w:rsidRDefault="000A0998">
      <w:pPr>
        <w:pStyle w:val="P68B1DB1-Normal4"/>
        <w:numPr>
          <w:ilvl w:val="0"/>
          <w:numId w:val="295"/>
        </w:numPr>
        <w:spacing w:before="120" w:after="120" w:line="240" w:lineRule="auto"/>
        <w:jc w:val="both"/>
        <w:rPr>
          <w:rFonts w:cs="Times New Roman"/>
          <w:noProof/>
        </w:rPr>
      </w:pPr>
      <w:r>
        <w:rPr>
          <w:noProof/>
        </w:rPr>
        <w:t>Joulukuussa 2020 annettu kuninkaallinen asetus 1183/2020, jolla säännellään uusiutuvan energian tuotantoon pääsyä ja verkkoon liittämistä koskevia ehtoja kuninkaan asetuksen 23/2020 säännösten mukaisesti; ja</w:t>
      </w:r>
    </w:p>
    <w:p w14:paraId="79636C6F" w14:textId="77777777" w:rsidR="0065073E" w:rsidRDefault="000A0998">
      <w:pPr>
        <w:pStyle w:val="P68B1DB1-Normal4"/>
        <w:numPr>
          <w:ilvl w:val="0"/>
          <w:numId w:val="295"/>
        </w:numPr>
        <w:spacing w:before="120" w:after="120" w:line="240" w:lineRule="auto"/>
        <w:jc w:val="both"/>
        <w:rPr>
          <w:rFonts w:cs="Times New Roman"/>
          <w:noProof/>
        </w:rPr>
      </w:pPr>
      <w:r>
        <w:rPr>
          <w:noProof/>
        </w:rPr>
        <w:t>Ilmastonmuutosta ja energiasiirtymää koskeva laki, joka on määrä hyväksyä vuoden 2021 alkupuoliskolla. Lailla vahvistetaan vuoteen 2030 ulottuvat uusiutuvaa energiaa koskevat tavoitteet ja tavoite ilmastoneutraaliudesta vuoteen 2050 mennessä (mukaan lukien kokonaan uusiutuvista energialähteistä tuotetun sähkön järjestelmä). Laki sisältää myös osia, jotka ovat merkityksellisiä suunnitelman muiden osien kannalta (kuten hallinnollisten esteiden vähentäminen ja julkisten latauspisteiden asentamista koskevat vaatimukset).</w:t>
      </w:r>
    </w:p>
    <w:p w14:paraId="3B7B3BD7"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248D7355" w14:textId="77777777" w:rsidR="0065073E" w:rsidRDefault="000A0998">
      <w:pPr>
        <w:pStyle w:val="P68B1DB1-Normal5"/>
        <w:spacing w:before="120" w:after="120" w:line="240" w:lineRule="auto"/>
        <w:jc w:val="both"/>
        <w:rPr>
          <w:rFonts w:cs="Times New Roman"/>
          <w:noProof/>
        </w:rPr>
      </w:pPr>
      <w:r>
        <w:rPr>
          <w:noProof/>
        </w:rPr>
        <w:t>Uudistus 2 (C7.R2) – Kansallista omaa kulutusta koskeva strategia</w:t>
      </w:r>
    </w:p>
    <w:p w14:paraId="563AF658"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lisätä omaa kulutusta uusiutuvan energian tuotannon vaihtoehtoisena muotona, asettaa tavoitteita tälle alalle vuosiksi 2021–2030 sekä määrittää ja kehittää toimenpiteitä, joilla lievennetään niiden käyttöönoton tärkeimpiä esteitä. Oma kulutus edistää uusiutuvan energian tuotannon integrointia rakennuksiin ja kaupunkiympäristöihin ja edistää paikallista työllisyyttä. </w:t>
      </w:r>
    </w:p>
    <w:p w14:paraId="72FA2ACE" w14:textId="77777777" w:rsidR="0065073E" w:rsidRDefault="000A0998">
      <w:pPr>
        <w:pStyle w:val="P68B1DB1-Normal4"/>
        <w:spacing w:before="120" w:after="120" w:line="240" w:lineRule="auto"/>
        <w:jc w:val="both"/>
        <w:rPr>
          <w:rFonts w:cs="Times New Roman"/>
          <w:noProof/>
        </w:rPr>
      </w:pPr>
      <w:r>
        <w:rPr>
          <w:noProof/>
        </w:rPr>
        <w:t xml:space="preserve">Toimenpiteeseen on sisällyttävä se, että Espanjan hallitus hyväksyy vuoden 2021 jälkipuoliskolla oman kulutuksen kansallisen strategian, jolla vähennetään itse tuotetun energian kulutuksen hallinnollisia esteitä. Strategiassa on diagnosoitava Espanjan nykyinen ja mahdollinen tilanne ja yksilöitävä toimenpiteet, joilla pyritään a) parempaa koordinointia hallintojen välillä; b) tiedon levittäminen kuluttajille ja tietoisuuden lisääminen; C) määritetään olemassa olevat asiaankuuluvat taidot sekä jatkokoulutusmahdollisuudet, jotka liittyvät itse tuotetun energian käyttöön. </w:t>
      </w:r>
    </w:p>
    <w:p w14:paraId="48BFAA29" w14:textId="77777777" w:rsidR="0065073E" w:rsidRDefault="000A0998">
      <w:pPr>
        <w:pStyle w:val="P68B1DB1-Normal4"/>
        <w:spacing w:before="120" w:after="120" w:line="240" w:lineRule="auto"/>
        <w:jc w:val="both"/>
        <w:rPr>
          <w:rFonts w:cs="Times New Roman"/>
          <w:noProof/>
        </w:rPr>
      </w:pPr>
      <w:r>
        <w:rPr>
          <w:noProof/>
        </w:rPr>
        <w:t xml:space="preserve">Toimenpiteessä on käsiteltävä kansallisen itsekulutusstrategian keskeisten osien täytäntöönpanoa, mukaan lukien itse tuotetun energian kulutuksen edistämistä koskevien ohjeiden julkaiseminen ja tarvittavien taitojen parantamiseen tähtäävän koulutuksen loppuun saattaminen. </w:t>
      </w:r>
    </w:p>
    <w:p w14:paraId="6AA14A28"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30 päivään kesäkuuta 2023 mennessä. </w:t>
      </w:r>
    </w:p>
    <w:p w14:paraId="59B44448" w14:textId="77777777" w:rsidR="0065073E" w:rsidRDefault="000A0998">
      <w:pPr>
        <w:pStyle w:val="P68B1DB1-Normal5"/>
        <w:spacing w:before="120" w:after="120" w:line="240" w:lineRule="auto"/>
        <w:jc w:val="both"/>
        <w:rPr>
          <w:rFonts w:cs="Times New Roman"/>
          <w:noProof/>
        </w:rPr>
      </w:pPr>
      <w:r>
        <w:rPr>
          <w:noProof/>
        </w:rPr>
        <w:t>Uudistus 3 (C7.R3) – Energiayhteisöjen kehittäminen</w:t>
      </w:r>
    </w:p>
    <w:p w14:paraId="25766895" w14:textId="1E565195" w:rsidR="0065073E" w:rsidRDefault="000A0998">
      <w:pPr>
        <w:pStyle w:val="P68B1DB1-Normal4"/>
        <w:spacing w:before="120" w:after="120" w:line="240" w:lineRule="auto"/>
        <w:jc w:val="both"/>
        <w:rPr>
          <w:rFonts w:cs="Times New Roman"/>
          <w:noProof/>
        </w:rPr>
      </w:pPr>
      <w:r>
        <w:rPr>
          <w:noProof/>
        </w:rPr>
        <w:t xml:space="preserve">Tämän toimenpiteen tavoitteena on kehittää energiayhteisöjä, joilla edistetään kansalaisten osallistumista energiasiirtymään uusiutuvan energian yhteisöjen ja kansalaisten energiayhteisöjen avulla. Toimenpiteellä tuetaan koulutusta, osallistavia ja yhteisöjen kehittämisprosesseja sekä erityishankkeita. </w:t>
      </w:r>
    </w:p>
    <w:p w14:paraId="483AED78" w14:textId="5EE49F85" w:rsidR="0065073E" w:rsidRDefault="000A0998">
      <w:pPr>
        <w:pStyle w:val="P68B1DB1-Normal4"/>
        <w:spacing w:before="120" w:after="120" w:line="240" w:lineRule="auto"/>
        <w:jc w:val="both"/>
        <w:rPr>
          <w:rFonts w:cs="Times New Roman"/>
          <w:noProof/>
        </w:rPr>
      </w:pPr>
      <w:r>
        <w:rPr>
          <w:noProof/>
        </w:rPr>
        <w:t xml:space="preserve">Toimenpiteessä myönnetään ensimmäinen energiayhteisöjä koskeva pilottihanke tarjouskilpailun perusteella tämän mallin elinkelpoisuuden osoittamiseksi. Se toteuttaa vuoden 2024 loppuun mennessä 37 pilottihanketta, joihin paikallisyhteisö osallistuu ja joihin sisältyy toteutettuja toimia koskeva etenemissuunnitelma ja määritellään asianmukaiset tulevat toimet. Näiden hankkeiden on perustuttava uusiutuvaan energiaan. </w:t>
      </w:r>
    </w:p>
    <w:p w14:paraId="7D97F96C" w14:textId="03C89E44"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2024 mennessä. </w:t>
      </w:r>
    </w:p>
    <w:p w14:paraId="2BB0E1F3" w14:textId="77777777" w:rsidR="0065073E" w:rsidRDefault="000A0998">
      <w:pPr>
        <w:pStyle w:val="P68B1DB1-Normal5"/>
        <w:spacing w:before="120" w:after="120" w:line="240" w:lineRule="auto"/>
        <w:jc w:val="both"/>
        <w:rPr>
          <w:rFonts w:cs="Times New Roman"/>
          <w:noProof/>
        </w:rPr>
      </w:pPr>
      <w:r>
        <w:rPr>
          <w:noProof/>
        </w:rPr>
        <w:t>Uudistus 4 (C7.R4) – Uusiutuvan energian innovoinnin ja teknologisen kehittämisen puitteet</w:t>
      </w:r>
    </w:p>
    <w:p w14:paraId="58BF458E" w14:textId="77777777" w:rsidR="0065073E" w:rsidRDefault="000A0998">
      <w:pPr>
        <w:pStyle w:val="P68B1DB1-Normal4"/>
        <w:spacing w:before="120" w:after="120" w:line="240" w:lineRule="auto"/>
        <w:jc w:val="both"/>
        <w:rPr>
          <w:rFonts w:cs="Times New Roman"/>
          <w:noProof/>
        </w:rPr>
      </w:pPr>
      <w:r>
        <w:rPr>
          <w:noProof/>
        </w:rPr>
        <w:t xml:space="preserve">Tällä toimenpiteellä vahvistetaan useiden uusiutuvien energialähteiden innovoinnin ja teknologisen kehittämisen puitteita ja edistetään sen tavoitteen saavuttamista, että uusiutuvien energialähteiden osuus energiankysynnästä on 100 prosenttia. Tämän toimenpiteen soveltamisalaan kuuluviin uusiutuviin energialähteisiin on sisällyttävä merituulivoima ja biokaasu. Toimenpiteellä helpotetaan myös uusiutuviin energialähteisiin liittyvien teknologioiden tutkimusta ja kehittämistä. </w:t>
      </w:r>
    </w:p>
    <w:p w14:paraId="7D861CFF" w14:textId="77777777" w:rsidR="0065073E" w:rsidRDefault="000A0998">
      <w:pPr>
        <w:pStyle w:val="P68B1DB1-Normal4"/>
        <w:spacing w:before="120" w:after="120" w:line="240" w:lineRule="auto"/>
        <w:jc w:val="both"/>
        <w:rPr>
          <w:rFonts w:cs="Times New Roman"/>
          <w:noProof/>
        </w:rPr>
      </w:pPr>
      <w:r>
        <w:rPr>
          <w:noProof/>
        </w:rPr>
        <w:t>Toimenpiteeseen on sisällyttävä merituulivoimaa ja muuta merienergiaa koskevan etenemissuunnitelman julkaiseminen. Etenemissuunnitelman tavoitteena on vähentää tämän uusiutuvan energian lähteen kehittämisen hallinnollisia esteitä. Etenemissuunnitelmassa on erityisesti pyrittävä a) edistää tutkimusta, kehitystä ja innovointia joustavamman sääntelykehyksen avulla ja vahvistamalla uusien prototyyppien teknologiakeskuksia ja testausalustoja; b) kartoittaa mahdollisuuksia ja synergioita keskeisten teollisuudenalojen kanssa; C) kehitetään asianmukainen sääntelykehys Espanjassa (erityisesti kelluvan teknologian) käyttöönottoa varten; ja d) yksilöimään toimenpiteitä, joilla minimoidaan ympäristövaikutukset (samaan aikaan pyritään yksinkertaistamaan hallinnollisia menettelyjä). Toimenpiteellä pannaan täytäntöön etenemissuunnitelmassa yksilöidyt keskeiset sääntelytoimenpiteet merituulipuistojen edistämiseksi, tutkimuksen ja kehityksen vauhdittamiseksi ja kelluvien teknologioiden käyttöönoton tukemiseksi.</w:t>
      </w:r>
    </w:p>
    <w:p w14:paraId="4E54DCE7" w14:textId="77777777" w:rsidR="0065073E" w:rsidRDefault="000A0998">
      <w:pPr>
        <w:pStyle w:val="P68B1DB1-Normal4"/>
        <w:spacing w:before="120" w:after="120" w:line="240" w:lineRule="auto"/>
        <w:jc w:val="both"/>
        <w:rPr>
          <w:rFonts w:cs="Times New Roman"/>
          <w:noProof/>
        </w:rPr>
      </w:pPr>
      <w:r>
        <w:rPr>
          <w:noProof/>
        </w:rPr>
        <w:t xml:space="preserve">Tämän toimenpiteen toinen osa on biokaasua koskevan etenemissuunnitelman julkaiseminen, jossa analysoidaan asianmukaisia sääntelyvälineitä ja alakohtaisia välineitä biokaasun edistämiseksi keskittyen tämän energialähteen tehokkaaseen käyttöön (esimerkiksi maatalousteollisuuden sovelluksissa ja raskaissa hyötyajoneuvoissa, joissa sähköistäminen ei vielä ole vaihtoehto). Uudistuksen tässä osassa käsitellään biokaasun etenemissuunnitelman keskeisten toimien täytäntöönpanoa, mukaan lukien seuraavat: a) perustetaan uusiutuvien kaasujen alkuperätakuujärjestelmä, jolla pyritään edistämään investointeja biokaasuun ja irrottamaan hiilestä teollisuuden ja liikenteen kaltaiset alat; b) sellaisen välineen kehittäminen, jolla lasketaan biokaasun vaikutus hiilestä irtautumiseen; ja c) toteutettavuustutkimukset biokaasun tuotantolaitosten käyttöönoton edistämiseksi. </w:t>
      </w:r>
    </w:p>
    <w:p w14:paraId="31D254F7"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6C72BB72" w14:textId="77777777" w:rsidR="0065073E" w:rsidRDefault="000A0998">
      <w:pPr>
        <w:pStyle w:val="P68B1DB1-Normal5"/>
        <w:spacing w:before="120" w:after="120" w:line="240" w:lineRule="auto"/>
        <w:jc w:val="both"/>
        <w:rPr>
          <w:rFonts w:cs="Times New Roman"/>
          <w:noProof/>
        </w:rPr>
      </w:pPr>
      <w:r>
        <w:rPr>
          <w:noProof/>
        </w:rPr>
        <w:t>Investointi 1 (C7.I1) – Rakennuksiin ja tuotantoprosesseihin integroitujen innovatiivisten uusiutuvien energialähteiden kehittäminen</w:t>
      </w:r>
    </w:p>
    <w:p w14:paraId="6D9582E1"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edistää innovatiivisten uusiutuvien energialähteiden sekä rakennuksiin ja tuotantoprosesseihin integroitavien uusiutuvien energialähteiden kehittämistä. Sillä tuetaan itse tuotetun uusiutuvan energian kulutusta ja teknologioita, jotka eivät ole vielä täysin kilpailukykyisiä, mukaan lukien maatalousalalla toimivat uusiutuvat sähkö- ja lämpölähteet, asuin- ja palvelualan jäähdytys-/lämmitystarpeisiin tähtäävät uusiutuvat energialähteet, uusiutuvista lähteistä teollisuusprosesseissa tuotettu lämpöenergia, bioenergia ja merten uusiutuvat energialähteet. Tuki myönnetään investointitukena, joka myönnetään tarjouskilpailuilla, joilla varmistetaan kustannustehokkaat tulokset, tai suoran pääomatuen muodossa uusiutuvaa energiaa koskeville hankkeille. Investoinnilla tuettaisiin myös uudelleen- ja täydennyskoulutusta uusiutuvan energian tuotannon alalla. </w:t>
      </w:r>
    </w:p>
    <w:p w14:paraId="73AEC436" w14:textId="77777777" w:rsidR="0065073E" w:rsidRDefault="000A0998">
      <w:pPr>
        <w:pStyle w:val="P68B1DB1-Normal4"/>
        <w:spacing w:before="120" w:after="120" w:line="240" w:lineRule="auto"/>
        <w:jc w:val="both"/>
        <w:rPr>
          <w:rFonts w:cs="Times New Roman"/>
          <w:noProof/>
        </w:rPr>
      </w:pPr>
      <w:r>
        <w:rPr>
          <w:noProof/>
        </w:rPr>
        <w:t>Tähän investointiin on asennettava vähintään 3800 megawattia innovatiivista tai lisäarvoa tuottavaa uusiutuvan energian tuotantoa vuoden 2026 alkupuoliskoon mennessä.</w:t>
      </w:r>
    </w:p>
    <w:p w14:paraId="3D18D682" w14:textId="77777777"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60E0F2E7" w14:textId="77777777" w:rsidR="0065073E" w:rsidRDefault="000A0998">
      <w:pPr>
        <w:pStyle w:val="P68B1DB1-Normal5"/>
        <w:spacing w:before="120" w:after="120" w:line="240" w:lineRule="auto"/>
        <w:jc w:val="both"/>
        <w:rPr>
          <w:rFonts w:cs="Times New Roman"/>
          <w:noProof/>
        </w:rPr>
      </w:pPr>
      <w:r>
        <w:rPr>
          <w:noProof/>
        </w:rPr>
        <w:t>Investointi 2 (C7.I2) – Kestävä energia saarilla</w:t>
      </w:r>
    </w:p>
    <w:p w14:paraId="2F377D1A" w14:textId="77777777" w:rsidR="0065073E" w:rsidRDefault="000A0998">
      <w:pPr>
        <w:pStyle w:val="P68B1DB1-Normal4"/>
        <w:spacing w:before="120" w:after="120" w:line="240" w:lineRule="auto"/>
        <w:jc w:val="both"/>
        <w:rPr>
          <w:rFonts w:cs="Times New Roman"/>
          <w:noProof/>
        </w:rPr>
      </w:pPr>
      <w:r>
        <w:rPr>
          <w:noProof/>
        </w:rPr>
        <w:t>Tällä investoinnilla tuetaan kestävää energiaa Espanjan saarilla (Kanariansaaret ja Baleaarit) osana laajempaa strategiaa, jolla tuetaan saarten energiasiirtymää, erityisesti tukemalla hankkeita, jotka koskevat uusiutuvan energian käyttöönottoa ja integrointia saariin ja muihin kuin saarijärjestelmiin. Tämä vastaa Espanjan kansallista energia- ja ilmastosuunnitelmaa, johon sisältyy toimia saarten hiilestä irtautumiseksi ja niiden öljyriippuvuuden vähentämiseksi.</w:t>
      </w:r>
    </w:p>
    <w:p w14:paraId="085FD631" w14:textId="77777777" w:rsidR="0065073E" w:rsidRDefault="000A0998">
      <w:pPr>
        <w:pStyle w:val="P68B1DB1-Normal4"/>
        <w:spacing w:before="120" w:after="120" w:line="240" w:lineRule="auto"/>
        <w:jc w:val="both"/>
        <w:rPr>
          <w:rFonts w:cs="Times New Roman"/>
          <w:noProof/>
        </w:rPr>
      </w:pPr>
      <w:r>
        <w:rPr>
          <w:noProof/>
        </w:rPr>
        <w:t xml:space="preserve">Tuettaviin erityisinvestointeihin kuuluvat uusiutuvat sähkölähteet, varastointiratkaisut ja älykkäät hankkeet (osana ”älykkäät saaret” -ohjelmaa). Osa investointiin kuuluvista toimista perustuu ”Puhdasta energiaa EU:n saarille” -ohjelman kautta hankittuun tietoon.  </w:t>
      </w:r>
    </w:p>
    <w:p w14:paraId="0F983BEF" w14:textId="08A34F2D" w:rsidR="0065073E" w:rsidRDefault="000A0998">
      <w:pPr>
        <w:pStyle w:val="P68B1DB1-Normal4"/>
        <w:spacing w:before="120" w:after="120" w:line="240" w:lineRule="auto"/>
        <w:jc w:val="both"/>
        <w:rPr>
          <w:rFonts w:cs="Times New Roman"/>
          <w:noProof/>
        </w:rPr>
      </w:pPr>
      <w:r>
        <w:rPr>
          <w:noProof/>
        </w:rPr>
        <w:t>Tämän investoinnin yhteydessä on asennettava vähintään 180 megawattia uusiutuvan energian tuotantoa sekä vähintään 600 tuettua tai toteutettua toimea, hanketta tai ohjelmaa, mukaan lukien dynaamisointiohjelmat tai -toimistot, saarten etenemissuunnitelmat, investointi- tai tukihankkeet, jotka liittyvät ”älykkäät saaret”- tai ”Puhdasta energiaa EU:n saarille” -ohjelmiin, uusiutuvaa energiaa koskeviin kestäviin hankkeisiin tai varastointihankkeisiin.</w:t>
      </w:r>
    </w:p>
    <w:p w14:paraId="408422B9" w14:textId="514254FA"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7D397997" w14:textId="77777777" w:rsidR="0065073E" w:rsidRDefault="000A0998">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G.2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2B466D42" w14:textId="77777777" w:rsidR="0065073E" w:rsidRDefault="000A0998">
      <w:pPr>
        <w:pStyle w:val="P68B1DB1-Normal17"/>
        <w:keepNext/>
        <w:spacing w:before="120" w:after="120" w:line="240" w:lineRule="auto"/>
        <w:rPr>
          <w:rFonts w:cs="Times New Roman"/>
          <w:noProof/>
          <w:u w:val="single"/>
        </w:rPr>
        <w:sectPr w:rsidR="0065073E" w:rsidSect="00B511EF">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60"/>
        </w:sectPr>
      </w:pPr>
      <w:r>
        <w:rPr>
          <w:noProof/>
        </w:rPr>
        <w:t>Ks. taulukko jäljempänä. Kaikkien indikaattoreiden perustason päivämäärä on 1. helmikuuta 2020, ellei toimen kuvauksessa toisin mainita. Taulukossa esitetyt määrät eivät sisällä arvonlisäveroa.</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276"/>
        <w:gridCol w:w="850"/>
        <w:gridCol w:w="709"/>
        <w:gridCol w:w="737"/>
        <w:gridCol w:w="567"/>
        <w:gridCol w:w="567"/>
        <w:gridCol w:w="5217"/>
      </w:tblGrid>
      <w:tr w:rsidR="0065073E" w14:paraId="43629D1D" w14:textId="77777777">
        <w:trPr>
          <w:trHeight w:val="309"/>
          <w:tblHeader/>
        </w:trPr>
        <w:tc>
          <w:tcPr>
            <w:tcW w:w="709" w:type="dxa"/>
            <w:tcBorders>
              <w:bottom w:val="nil"/>
            </w:tcBorders>
            <w:shd w:val="clear" w:color="auto" w:fill="C6D9F1" w:themeFill="text2" w:themeFillTint="33"/>
            <w:noWrap/>
            <w:vAlign w:val="center"/>
          </w:tcPr>
          <w:p w14:paraId="1137F6FE"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2D2030B1"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A014B3E"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977" w:type="dxa"/>
            <w:tcBorders>
              <w:bottom w:val="nil"/>
            </w:tcBorders>
            <w:shd w:val="clear" w:color="auto" w:fill="C6D9F1" w:themeFill="text2" w:themeFillTint="33"/>
            <w:noWrap/>
            <w:vAlign w:val="center"/>
          </w:tcPr>
          <w:p w14:paraId="76B22AC8" w14:textId="77777777" w:rsidR="0065073E" w:rsidRDefault="000A0998">
            <w:pPr>
              <w:pStyle w:val="P68B1DB1-Normal8"/>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2DDB3F40"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296" w:type="dxa"/>
            <w:gridSpan w:val="3"/>
            <w:shd w:val="clear" w:color="auto" w:fill="C6D9F1" w:themeFill="text2" w:themeFillTint="33"/>
            <w:noWrap/>
            <w:vAlign w:val="center"/>
          </w:tcPr>
          <w:p w14:paraId="3218836D"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1DEC776A" w14:textId="77777777" w:rsidR="0065073E" w:rsidRDefault="000A0998">
            <w:pPr>
              <w:pStyle w:val="P68B1DB1-Normal8"/>
              <w:spacing w:after="0" w:line="240" w:lineRule="auto"/>
              <w:jc w:val="center"/>
              <w:rPr>
                <w:rFonts w:cs="Times New Roman"/>
                <w:noProof/>
              </w:rPr>
            </w:pPr>
            <w:r>
              <w:rPr>
                <w:noProof/>
              </w:rPr>
              <w:t>Aika</w:t>
            </w:r>
          </w:p>
        </w:tc>
        <w:tc>
          <w:tcPr>
            <w:tcW w:w="5217" w:type="dxa"/>
            <w:tcBorders>
              <w:bottom w:val="nil"/>
            </w:tcBorders>
            <w:shd w:val="clear" w:color="auto" w:fill="C6D9F1" w:themeFill="text2" w:themeFillTint="33"/>
            <w:noWrap/>
            <w:vAlign w:val="center"/>
          </w:tcPr>
          <w:p w14:paraId="3B519A6D"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00D2986" w14:textId="77777777">
        <w:trPr>
          <w:trHeight w:val="309"/>
          <w:tblHeader/>
        </w:trPr>
        <w:tc>
          <w:tcPr>
            <w:tcW w:w="709" w:type="dxa"/>
            <w:tcBorders>
              <w:top w:val="nil"/>
            </w:tcBorders>
            <w:shd w:val="clear" w:color="auto" w:fill="C6D9F1" w:themeFill="text2" w:themeFillTint="33"/>
            <w:noWrap/>
          </w:tcPr>
          <w:p w14:paraId="562C75D1"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64355AD"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A965116" w14:textId="77777777" w:rsidR="0065073E" w:rsidRDefault="0065073E">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DF4E37C" w14:textId="77777777" w:rsidR="0065073E" w:rsidRDefault="0065073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77777777" w:rsidR="0065073E" w:rsidRDefault="000A0998">
            <w:pPr>
              <w:pStyle w:val="P68B1DB1-Normal8"/>
              <w:spacing w:after="0" w:line="240" w:lineRule="auto"/>
              <w:jc w:val="center"/>
              <w:rPr>
                <w:rFonts w:cs="Times New Roman"/>
                <w:noProof/>
              </w:rPr>
            </w:pPr>
            <w:r>
              <w:rPr>
                <w:noProof/>
              </w:rPr>
              <w:t>Yksikkö</w:t>
            </w:r>
          </w:p>
        </w:tc>
        <w:tc>
          <w:tcPr>
            <w:tcW w:w="709" w:type="dxa"/>
            <w:shd w:val="clear" w:color="auto" w:fill="C6D9F1" w:themeFill="text2" w:themeFillTint="33"/>
            <w:noWrap/>
          </w:tcPr>
          <w:p w14:paraId="7D9F17E7" w14:textId="77777777" w:rsidR="0065073E" w:rsidRDefault="000A0998">
            <w:pPr>
              <w:pStyle w:val="P68B1DB1-Normal8"/>
              <w:spacing w:after="0" w:line="240" w:lineRule="auto"/>
              <w:jc w:val="center"/>
              <w:rPr>
                <w:rFonts w:cs="Times New Roman"/>
                <w:noProof/>
              </w:rPr>
            </w:pPr>
            <w:r>
              <w:rPr>
                <w:noProof/>
              </w:rPr>
              <w:t>Lähtötaso</w:t>
            </w:r>
          </w:p>
        </w:tc>
        <w:tc>
          <w:tcPr>
            <w:tcW w:w="737" w:type="dxa"/>
            <w:shd w:val="clear" w:color="auto" w:fill="C6D9F1" w:themeFill="text2" w:themeFillTint="33"/>
            <w:noWrap/>
          </w:tcPr>
          <w:p w14:paraId="3D8A4BCD" w14:textId="77777777" w:rsidR="0065073E" w:rsidRDefault="000A0998">
            <w:pPr>
              <w:pStyle w:val="P68B1DB1-Normal8"/>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0C327E37"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00A6A508" w14:textId="77777777" w:rsidR="0065073E" w:rsidRDefault="000A0998">
            <w:pPr>
              <w:pStyle w:val="P68B1DB1-Normal8"/>
              <w:spacing w:after="0" w:line="240" w:lineRule="auto"/>
              <w:jc w:val="center"/>
              <w:rPr>
                <w:rFonts w:cs="Times New Roman"/>
                <w:noProof/>
              </w:rPr>
            </w:pPr>
            <w:r>
              <w:rPr>
                <w:noProof/>
              </w:rPr>
              <w:t>Vuosi</w:t>
            </w:r>
          </w:p>
        </w:tc>
        <w:tc>
          <w:tcPr>
            <w:tcW w:w="5217" w:type="dxa"/>
            <w:tcBorders>
              <w:top w:val="nil"/>
            </w:tcBorders>
            <w:shd w:val="clear" w:color="auto" w:fill="C6D9F1" w:themeFill="text2" w:themeFillTint="33"/>
            <w:noWrap/>
          </w:tcPr>
          <w:p w14:paraId="1DA6542E" w14:textId="77777777" w:rsidR="0065073E" w:rsidRDefault="0065073E">
            <w:pPr>
              <w:spacing w:after="0" w:line="240" w:lineRule="auto"/>
              <w:rPr>
                <w:rFonts w:ascii="Times New Roman" w:hAnsi="Times New Roman" w:cs="Times New Roman"/>
                <w:b/>
                <w:noProof/>
                <w:sz w:val="18"/>
              </w:rPr>
            </w:pPr>
          </w:p>
        </w:tc>
      </w:tr>
      <w:tr w:rsidR="0065073E" w14:paraId="26963381" w14:textId="77777777">
        <w:trPr>
          <w:trHeight w:val="309"/>
        </w:trPr>
        <w:tc>
          <w:tcPr>
            <w:tcW w:w="709" w:type="dxa"/>
            <w:shd w:val="clear" w:color="auto" w:fill="C6EFCE"/>
            <w:noWrap/>
          </w:tcPr>
          <w:p w14:paraId="69F24933" w14:textId="77777777" w:rsidR="0065073E" w:rsidRDefault="000A0998">
            <w:pPr>
              <w:pStyle w:val="P68B1DB1-Normal12"/>
              <w:spacing w:after="0" w:line="240" w:lineRule="auto"/>
              <w:jc w:val="center"/>
              <w:rPr>
                <w:rFonts w:eastAsia="Calibri" w:cs="Times New Roman"/>
                <w:noProof/>
              </w:rPr>
            </w:pPr>
            <w:r>
              <w:rPr>
                <w:noProof/>
              </w:rPr>
              <w:t>102</w:t>
            </w:r>
          </w:p>
        </w:tc>
        <w:tc>
          <w:tcPr>
            <w:tcW w:w="851" w:type="dxa"/>
            <w:shd w:val="clear" w:color="auto" w:fill="C6EFCE"/>
            <w:noWrap/>
          </w:tcPr>
          <w:p w14:paraId="7BFFF9DE" w14:textId="77777777" w:rsidR="0065073E" w:rsidRDefault="000A0998">
            <w:pPr>
              <w:pStyle w:val="P68B1DB1-Normal12"/>
              <w:spacing w:after="0" w:line="240" w:lineRule="auto"/>
              <w:jc w:val="center"/>
              <w:rPr>
                <w:rFonts w:eastAsia="Calibri" w:cs="Times New Roman"/>
                <w:noProof/>
              </w:rPr>
            </w:pPr>
            <w:r>
              <w:rPr>
                <w:noProof/>
              </w:rPr>
              <w:t>C7.R1</w:t>
            </w:r>
          </w:p>
        </w:tc>
        <w:tc>
          <w:tcPr>
            <w:tcW w:w="850" w:type="dxa"/>
            <w:shd w:val="clear" w:color="auto" w:fill="C6EFCE"/>
            <w:noWrap/>
          </w:tcPr>
          <w:p w14:paraId="5F9049A3" w14:textId="77777777" w:rsidR="0065073E" w:rsidRDefault="000A0998">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0918C12D" w14:textId="77777777" w:rsidR="0065073E" w:rsidRDefault="000A0998">
            <w:pPr>
              <w:pStyle w:val="P68B1DB1-Normal12"/>
              <w:spacing w:after="0" w:line="240" w:lineRule="auto"/>
              <w:rPr>
                <w:rFonts w:eastAsia="Calibri" w:cs="Times New Roman"/>
                <w:noProof/>
              </w:rPr>
            </w:pPr>
            <w:r>
              <w:rPr>
                <w:noProof/>
              </w:rPr>
              <w:t>Kuninkaan asetuksen 23/2020 (energiatoimenpiteet) voimaantulo</w:t>
            </w:r>
          </w:p>
        </w:tc>
        <w:tc>
          <w:tcPr>
            <w:tcW w:w="1276" w:type="dxa"/>
            <w:shd w:val="clear" w:color="auto" w:fill="C6EFCE"/>
            <w:noWrap/>
          </w:tcPr>
          <w:p w14:paraId="51A46B4C" w14:textId="77777777" w:rsidR="0065073E" w:rsidRDefault="000A0998">
            <w:pPr>
              <w:pStyle w:val="P68B1DB1-Normal12"/>
              <w:spacing w:after="0" w:line="240" w:lineRule="auto"/>
              <w:jc w:val="center"/>
              <w:rPr>
                <w:rFonts w:eastAsia="Calibri" w:cs="Times New Roman"/>
                <w:noProof/>
              </w:rPr>
            </w:pPr>
            <w:r>
              <w:rPr>
                <w:noProof/>
              </w:rPr>
              <w:t>Voimaantuloa koskevan kuninkaan asetuksen 23/2020 säännös</w:t>
            </w:r>
          </w:p>
        </w:tc>
        <w:tc>
          <w:tcPr>
            <w:tcW w:w="850" w:type="dxa"/>
            <w:shd w:val="clear" w:color="auto" w:fill="C6EFCE"/>
            <w:noWrap/>
          </w:tcPr>
          <w:p w14:paraId="714FDA4A"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709" w:type="dxa"/>
            <w:shd w:val="clear" w:color="auto" w:fill="C6EFCE"/>
            <w:noWrap/>
          </w:tcPr>
          <w:p w14:paraId="7B0679C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737" w:type="dxa"/>
            <w:shd w:val="clear" w:color="auto" w:fill="C6EFCE"/>
            <w:noWrap/>
          </w:tcPr>
          <w:p w14:paraId="637C29F4"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69FB017B" w14:textId="77777777" w:rsidR="0065073E" w:rsidRDefault="000A0998">
            <w:pPr>
              <w:pStyle w:val="P68B1DB1-Normal12"/>
              <w:spacing w:after="0" w:line="240" w:lineRule="auto"/>
              <w:jc w:val="center"/>
              <w:rPr>
                <w:rFonts w:eastAsia="Calibri" w:cs="Times New Roman"/>
                <w:noProof/>
              </w:rPr>
            </w:pPr>
            <w:r>
              <w:rPr>
                <w:noProof/>
              </w:rPr>
              <w:t>Q4</w:t>
            </w:r>
          </w:p>
        </w:tc>
        <w:tc>
          <w:tcPr>
            <w:tcW w:w="567" w:type="dxa"/>
            <w:shd w:val="clear" w:color="auto" w:fill="C6EFCE"/>
            <w:noWrap/>
          </w:tcPr>
          <w:p w14:paraId="12406FD9" w14:textId="77777777" w:rsidR="0065073E" w:rsidRDefault="000A0998">
            <w:pPr>
              <w:pStyle w:val="P68B1DB1-Normal12"/>
              <w:spacing w:after="0" w:line="240" w:lineRule="auto"/>
              <w:jc w:val="center"/>
              <w:rPr>
                <w:rFonts w:eastAsia="Calibri" w:cs="Times New Roman"/>
                <w:noProof/>
              </w:rPr>
            </w:pPr>
            <w:r>
              <w:rPr>
                <w:noProof/>
              </w:rPr>
              <w:t>2020</w:t>
            </w:r>
          </w:p>
        </w:tc>
        <w:tc>
          <w:tcPr>
            <w:tcW w:w="5217" w:type="dxa"/>
            <w:shd w:val="clear" w:color="auto" w:fill="C6EFCE"/>
            <w:noWrap/>
          </w:tcPr>
          <w:p w14:paraId="346A3E69" w14:textId="77777777" w:rsidR="0065073E" w:rsidRDefault="000A0998">
            <w:pPr>
              <w:pStyle w:val="P68B1DB1-Normal12"/>
              <w:spacing w:after="0" w:line="240" w:lineRule="auto"/>
              <w:rPr>
                <w:rFonts w:eastAsia="Calibri" w:cs="Times New Roman"/>
                <w:noProof/>
              </w:rPr>
            </w:pPr>
            <w:r>
              <w:rPr>
                <w:noProof/>
              </w:rPr>
              <w:t>Kuninkaan asetuksella 23/2020 hyväksytään energiatoimenpiteet, joiden tarkoituksena on luoda oikeusperusta uudelle huutokauppajärjestelmälle, määritellä energia-alan uudet toimijat, kuten riippumattomat yhteenliittymät ja uusiutuvan energian yhteisöt, ja järkeistää käyttö- ja liitäntälupia.</w:t>
            </w:r>
          </w:p>
        </w:tc>
      </w:tr>
      <w:tr w:rsidR="0065073E" w14:paraId="63DBD210" w14:textId="77777777">
        <w:trPr>
          <w:trHeight w:val="309"/>
        </w:trPr>
        <w:tc>
          <w:tcPr>
            <w:tcW w:w="709" w:type="dxa"/>
            <w:shd w:val="clear" w:color="auto" w:fill="C6EFCE"/>
            <w:noWrap/>
          </w:tcPr>
          <w:p w14:paraId="49FB466E" w14:textId="77777777" w:rsidR="0065073E" w:rsidRDefault="000A0998">
            <w:pPr>
              <w:pStyle w:val="P68B1DB1-Normal12"/>
              <w:spacing w:after="0" w:line="240" w:lineRule="auto"/>
              <w:jc w:val="center"/>
              <w:rPr>
                <w:rFonts w:eastAsia="Calibri" w:cs="Times New Roman"/>
                <w:noProof/>
              </w:rPr>
            </w:pPr>
            <w:r>
              <w:rPr>
                <w:noProof/>
              </w:rPr>
              <w:t>103</w:t>
            </w:r>
          </w:p>
        </w:tc>
        <w:tc>
          <w:tcPr>
            <w:tcW w:w="851" w:type="dxa"/>
            <w:shd w:val="clear" w:color="auto" w:fill="C6EFCE"/>
            <w:noWrap/>
          </w:tcPr>
          <w:p w14:paraId="01286CF5" w14:textId="77777777" w:rsidR="0065073E" w:rsidRDefault="000A0998">
            <w:pPr>
              <w:pStyle w:val="P68B1DB1-Normal12"/>
              <w:spacing w:after="0" w:line="240" w:lineRule="auto"/>
              <w:jc w:val="center"/>
              <w:rPr>
                <w:rFonts w:eastAsia="Calibri" w:cs="Times New Roman"/>
                <w:noProof/>
              </w:rPr>
            </w:pPr>
            <w:r>
              <w:rPr>
                <w:noProof/>
              </w:rPr>
              <w:t>C7.R1</w:t>
            </w:r>
          </w:p>
        </w:tc>
        <w:tc>
          <w:tcPr>
            <w:tcW w:w="850" w:type="dxa"/>
            <w:shd w:val="clear" w:color="auto" w:fill="C6EFCE"/>
            <w:noWrap/>
          </w:tcPr>
          <w:p w14:paraId="765D4946" w14:textId="77777777" w:rsidR="0065073E" w:rsidRDefault="000A0998">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409437D4" w14:textId="77777777" w:rsidR="0065073E" w:rsidRDefault="000A0998">
            <w:pPr>
              <w:pStyle w:val="P68B1DB1-Normal12"/>
              <w:spacing w:after="0" w:line="240" w:lineRule="auto"/>
              <w:rPr>
                <w:rFonts w:eastAsia="Calibri" w:cs="Times New Roman"/>
                <w:noProof/>
              </w:rPr>
            </w:pPr>
            <w:r>
              <w:rPr>
                <w:noProof/>
              </w:rPr>
              <w:t>Kuninkaan asetuksen 960/2020 (uusiutuvan energian taloudellinen järjestelmä) voimaantulo</w:t>
            </w:r>
          </w:p>
        </w:tc>
        <w:tc>
          <w:tcPr>
            <w:tcW w:w="1276" w:type="dxa"/>
            <w:shd w:val="clear" w:color="auto" w:fill="C6EFCE"/>
            <w:noWrap/>
          </w:tcPr>
          <w:p w14:paraId="01B679B0" w14:textId="77777777" w:rsidR="0065073E" w:rsidRDefault="000A0998">
            <w:pPr>
              <w:pStyle w:val="P68B1DB1-Normal12"/>
              <w:spacing w:after="0" w:line="240" w:lineRule="auto"/>
              <w:jc w:val="center"/>
              <w:rPr>
                <w:rFonts w:eastAsia="Calibri" w:cs="Times New Roman"/>
                <w:noProof/>
              </w:rPr>
            </w:pPr>
            <w:r>
              <w:rPr>
                <w:noProof/>
              </w:rPr>
              <w:t xml:space="preserve">Voimaantuloa koskevan kuninkaallisen asetuksen 960/2020 säännös </w:t>
            </w:r>
          </w:p>
        </w:tc>
        <w:tc>
          <w:tcPr>
            <w:tcW w:w="850" w:type="dxa"/>
            <w:shd w:val="clear" w:color="auto" w:fill="C6EFCE"/>
            <w:noWrap/>
          </w:tcPr>
          <w:p w14:paraId="7913A28A"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709" w:type="dxa"/>
            <w:shd w:val="clear" w:color="auto" w:fill="C6EFCE"/>
            <w:noWrap/>
          </w:tcPr>
          <w:p w14:paraId="2F0EC2E1"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737" w:type="dxa"/>
            <w:shd w:val="clear" w:color="auto" w:fill="C6EFCE"/>
            <w:noWrap/>
          </w:tcPr>
          <w:p w14:paraId="1B642F88" w14:textId="77777777" w:rsidR="0065073E" w:rsidRDefault="000A0998">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791A9D45" w14:textId="77777777" w:rsidR="0065073E" w:rsidRDefault="000A0998">
            <w:pPr>
              <w:pStyle w:val="P68B1DB1-Normal12"/>
              <w:spacing w:after="0" w:line="240" w:lineRule="auto"/>
              <w:jc w:val="center"/>
              <w:rPr>
                <w:rFonts w:eastAsia="Calibri" w:cs="Times New Roman"/>
                <w:noProof/>
              </w:rPr>
            </w:pPr>
            <w:r>
              <w:rPr>
                <w:noProof/>
              </w:rPr>
              <w:t>Q4</w:t>
            </w:r>
          </w:p>
        </w:tc>
        <w:tc>
          <w:tcPr>
            <w:tcW w:w="567" w:type="dxa"/>
            <w:shd w:val="clear" w:color="auto" w:fill="C6EFCE"/>
            <w:noWrap/>
          </w:tcPr>
          <w:p w14:paraId="0D42C9D5" w14:textId="77777777" w:rsidR="0065073E" w:rsidRDefault="000A0998">
            <w:pPr>
              <w:pStyle w:val="P68B1DB1-Normal12"/>
              <w:spacing w:after="0" w:line="240" w:lineRule="auto"/>
              <w:jc w:val="center"/>
              <w:rPr>
                <w:rFonts w:eastAsia="Calibri" w:cs="Times New Roman"/>
                <w:noProof/>
              </w:rPr>
            </w:pPr>
            <w:r>
              <w:rPr>
                <w:noProof/>
              </w:rPr>
              <w:t>2020</w:t>
            </w:r>
          </w:p>
        </w:tc>
        <w:tc>
          <w:tcPr>
            <w:tcW w:w="5217" w:type="dxa"/>
            <w:shd w:val="clear" w:color="auto" w:fill="C6EFCE"/>
            <w:noWrap/>
          </w:tcPr>
          <w:p w14:paraId="0B5BED5E" w14:textId="77777777" w:rsidR="0065073E" w:rsidRDefault="000A0998">
            <w:pPr>
              <w:pStyle w:val="P68B1DB1-Normal12"/>
              <w:spacing w:after="0" w:line="240" w:lineRule="auto"/>
              <w:rPr>
                <w:rFonts w:eastAsia="Calibri" w:cs="Times New Roman"/>
                <w:noProof/>
              </w:rPr>
            </w:pPr>
            <w:r>
              <w:rPr>
                <w:noProof/>
              </w:rPr>
              <w:t>Kuninkaan asetuksella 960/2020 säännellään uusiutuvan energian taloudellista järjestelmää</w:t>
            </w:r>
          </w:p>
        </w:tc>
      </w:tr>
      <w:tr w:rsidR="0065073E" w14:paraId="15FC492C" w14:textId="77777777">
        <w:trPr>
          <w:trHeight w:val="309"/>
        </w:trPr>
        <w:tc>
          <w:tcPr>
            <w:tcW w:w="709" w:type="dxa"/>
            <w:shd w:val="clear" w:color="auto" w:fill="C6EFCE"/>
            <w:noWrap/>
          </w:tcPr>
          <w:p w14:paraId="0F3167D2" w14:textId="77777777" w:rsidR="0065073E" w:rsidRDefault="000A0998">
            <w:pPr>
              <w:pStyle w:val="P68B1DB1-Normal12"/>
              <w:spacing w:after="0" w:line="240" w:lineRule="auto"/>
              <w:jc w:val="center"/>
              <w:rPr>
                <w:rFonts w:eastAsia="Calibri" w:cs="Times New Roman"/>
                <w:noProof/>
              </w:rPr>
            </w:pPr>
            <w:r>
              <w:rPr>
                <w:noProof/>
              </w:rPr>
              <w:t>104</w:t>
            </w:r>
          </w:p>
        </w:tc>
        <w:tc>
          <w:tcPr>
            <w:tcW w:w="851" w:type="dxa"/>
            <w:shd w:val="clear" w:color="auto" w:fill="C6EFCE"/>
            <w:noWrap/>
          </w:tcPr>
          <w:p w14:paraId="4A127E87" w14:textId="77777777" w:rsidR="0065073E" w:rsidRDefault="000A0998">
            <w:pPr>
              <w:pStyle w:val="P68B1DB1-Normal12"/>
              <w:spacing w:after="0" w:line="240" w:lineRule="auto"/>
              <w:jc w:val="center"/>
              <w:rPr>
                <w:rFonts w:eastAsia="Calibri" w:cs="Times New Roman"/>
                <w:noProof/>
              </w:rPr>
            </w:pPr>
            <w:r>
              <w:rPr>
                <w:noProof/>
              </w:rPr>
              <w:t>C7.R1</w:t>
            </w:r>
          </w:p>
        </w:tc>
        <w:tc>
          <w:tcPr>
            <w:tcW w:w="850" w:type="dxa"/>
            <w:shd w:val="clear" w:color="auto" w:fill="C6EFCE"/>
            <w:noWrap/>
          </w:tcPr>
          <w:p w14:paraId="05C89D75" w14:textId="77777777" w:rsidR="0065073E" w:rsidRDefault="000A0998">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69548247" w14:textId="77777777" w:rsidR="0065073E" w:rsidRDefault="000A0998">
            <w:pPr>
              <w:pStyle w:val="P68B1DB1-Normal12"/>
              <w:spacing w:after="0" w:line="240" w:lineRule="auto"/>
              <w:rPr>
                <w:rFonts w:eastAsia="Calibri" w:cs="Times New Roman"/>
                <w:noProof/>
              </w:rPr>
            </w:pPr>
            <w:r>
              <w:rPr>
                <w:noProof/>
              </w:rPr>
              <w:t>Kuninkaan asetuksen 1183/2020 (uusiutuvien energialähteiden liittäminen sähköverkkoon) voimaantulo</w:t>
            </w:r>
          </w:p>
        </w:tc>
        <w:tc>
          <w:tcPr>
            <w:tcW w:w="1276" w:type="dxa"/>
            <w:shd w:val="clear" w:color="auto" w:fill="C6EFCE"/>
            <w:noWrap/>
          </w:tcPr>
          <w:p w14:paraId="22819967" w14:textId="77777777" w:rsidR="0065073E" w:rsidRDefault="000A0998">
            <w:pPr>
              <w:pStyle w:val="P68B1DB1-Normal12"/>
              <w:spacing w:after="0" w:line="240" w:lineRule="auto"/>
              <w:jc w:val="center"/>
              <w:rPr>
                <w:rFonts w:eastAsia="Calibri" w:cs="Times New Roman"/>
                <w:noProof/>
              </w:rPr>
            </w:pPr>
            <w:r>
              <w:rPr>
                <w:noProof/>
              </w:rPr>
              <w:t>Voimaantuloa koskevan kuninkaallisen asetuksen 1183/2020 säännös</w:t>
            </w:r>
          </w:p>
        </w:tc>
        <w:tc>
          <w:tcPr>
            <w:tcW w:w="850" w:type="dxa"/>
            <w:shd w:val="clear" w:color="auto" w:fill="C6EFCE"/>
            <w:noWrap/>
          </w:tcPr>
          <w:p w14:paraId="35847AC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709" w:type="dxa"/>
            <w:shd w:val="clear" w:color="auto" w:fill="C6EFCE"/>
            <w:noWrap/>
          </w:tcPr>
          <w:p w14:paraId="2F1B62F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737" w:type="dxa"/>
            <w:shd w:val="clear" w:color="auto" w:fill="C6EFCE"/>
            <w:noWrap/>
          </w:tcPr>
          <w:p w14:paraId="26E74E7B"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2A9AACBE"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3E9589A3" w14:textId="77777777" w:rsidR="0065073E" w:rsidRDefault="000A0998">
            <w:pPr>
              <w:pStyle w:val="P68B1DB1-Normal12"/>
              <w:spacing w:after="0" w:line="240" w:lineRule="auto"/>
              <w:jc w:val="center"/>
              <w:rPr>
                <w:rFonts w:eastAsia="Symbol" w:cs="Times New Roman"/>
                <w:noProof/>
              </w:rPr>
            </w:pPr>
            <w:r>
              <w:rPr>
                <w:noProof/>
              </w:rPr>
              <w:t>2020</w:t>
            </w:r>
          </w:p>
        </w:tc>
        <w:tc>
          <w:tcPr>
            <w:tcW w:w="5217" w:type="dxa"/>
            <w:shd w:val="clear" w:color="auto" w:fill="C6EFCE"/>
            <w:noWrap/>
          </w:tcPr>
          <w:p w14:paraId="470396B6" w14:textId="77777777" w:rsidR="0065073E" w:rsidRDefault="000A0998">
            <w:pPr>
              <w:pStyle w:val="P68B1DB1-Normal12"/>
              <w:spacing w:after="0" w:line="240" w:lineRule="auto"/>
              <w:rPr>
                <w:rFonts w:eastAsia="Symbol" w:cs="Times New Roman"/>
                <w:noProof/>
              </w:rPr>
            </w:pPr>
            <w:r>
              <w:rPr>
                <w:noProof/>
              </w:rPr>
              <w:t>Kuninkaan asetuksella 1183/2020 säännellään hybridiyttämistä ja uusiutuvien energialähteiden verkkoon pääsyä ja liittämistä sähköverkkoon.</w:t>
            </w:r>
          </w:p>
        </w:tc>
      </w:tr>
      <w:tr w:rsidR="0065073E" w14:paraId="142D8E94" w14:textId="77777777">
        <w:trPr>
          <w:trHeight w:val="309"/>
        </w:trPr>
        <w:tc>
          <w:tcPr>
            <w:tcW w:w="709" w:type="dxa"/>
            <w:shd w:val="clear" w:color="auto" w:fill="C6EFCE"/>
            <w:noWrap/>
          </w:tcPr>
          <w:p w14:paraId="7A8958E4" w14:textId="77777777" w:rsidR="0065073E" w:rsidRDefault="000A0998">
            <w:pPr>
              <w:pStyle w:val="P68B1DB1-Normal12"/>
              <w:spacing w:after="0" w:line="240" w:lineRule="auto"/>
              <w:jc w:val="center"/>
              <w:rPr>
                <w:rFonts w:eastAsia="Symbol" w:cs="Times New Roman"/>
                <w:noProof/>
              </w:rPr>
            </w:pPr>
            <w:r>
              <w:rPr>
                <w:noProof/>
              </w:rPr>
              <w:t>105</w:t>
            </w:r>
          </w:p>
        </w:tc>
        <w:tc>
          <w:tcPr>
            <w:tcW w:w="851" w:type="dxa"/>
            <w:shd w:val="clear" w:color="auto" w:fill="C6EFCE"/>
            <w:noWrap/>
          </w:tcPr>
          <w:p w14:paraId="17E4B06D" w14:textId="77777777" w:rsidR="0065073E" w:rsidRDefault="000A0998">
            <w:pPr>
              <w:pStyle w:val="P68B1DB1-Normal12"/>
              <w:spacing w:after="0" w:line="240" w:lineRule="auto"/>
              <w:jc w:val="center"/>
              <w:rPr>
                <w:rFonts w:eastAsia="Symbol" w:cs="Times New Roman"/>
                <w:noProof/>
              </w:rPr>
            </w:pPr>
            <w:r>
              <w:rPr>
                <w:noProof/>
              </w:rPr>
              <w:t>C7.R1</w:t>
            </w:r>
          </w:p>
        </w:tc>
        <w:tc>
          <w:tcPr>
            <w:tcW w:w="850" w:type="dxa"/>
            <w:shd w:val="clear" w:color="auto" w:fill="C6EFCE"/>
            <w:noWrap/>
          </w:tcPr>
          <w:p w14:paraId="4381807A"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65BB656F" w14:textId="77777777" w:rsidR="0065073E" w:rsidRDefault="000A0998">
            <w:pPr>
              <w:pStyle w:val="P68B1DB1-Normal12"/>
              <w:spacing w:after="0" w:line="240" w:lineRule="auto"/>
              <w:rPr>
                <w:rFonts w:eastAsia="Symbol" w:cs="Times New Roman"/>
                <w:noProof/>
              </w:rPr>
            </w:pPr>
            <w:r>
              <w:rPr>
                <w:noProof/>
              </w:rPr>
              <w:t xml:space="preserve">Ilmastonmuutosta ja energiasiirtymää koskevan lain voimaantulo </w:t>
            </w:r>
          </w:p>
        </w:tc>
        <w:tc>
          <w:tcPr>
            <w:tcW w:w="1276" w:type="dxa"/>
            <w:shd w:val="clear" w:color="auto" w:fill="C6EFCE"/>
            <w:noWrap/>
          </w:tcPr>
          <w:p w14:paraId="342B54EB" w14:textId="77777777" w:rsidR="0065073E" w:rsidRDefault="000A0998">
            <w:pPr>
              <w:pStyle w:val="P68B1DB1-Normal12"/>
              <w:spacing w:after="0" w:line="240" w:lineRule="auto"/>
              <w:jc w:val="center"/>
              <w:rPr>
                <w:rFonts w:eastAsia="Symbol" w:cs="Times New Roman"/>
                <w:noProof/>
              </w:rPr>
            </w:pPr>
            <w:r>
              <w:rPr>
                <w:noProof/>
              </w:rPr>
              <w:t xml:space="preserve">Ilmastonmuutosta ja energiasiirtymää koskevan lain säännös voimaantulopäivänä </w:t>
            </w:r>
          </w:p>
        </w:tc>
        <w:tc>
          <w:tcPr>
            <w:tcW w:w="850" w:type="dxa"/>
            <w:shd w:val="clear" w:color="auto" w:fill="C6EFCE"/>
            <w:noWrap/>
          </w:tcPr>
          <w:p w14:paraId="40612A3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709" w:type="dxa"/>
            <w:shd w:val="clear" w:color="auto" w:fill="C6EFCE"/>
            <w:noWrap/>
          </w:tcPr>
          <w:p w14:paraId="7E728875"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737" w:type="dxa"/>
            <w:shd w:val="clear" w:color="auto" w:fill="C6EFCE"/>
            <w:noWrap/>
          </w:tcPr>
          <w:p w14:paraId="57E0496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19FB8615"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03E6644A" w14:textId="77777777" w:rsidR="0065073E" w:rsidRDefault="000A0998">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36E39784" w14:textId="77777777" w:rsidR="0065073E" w:rsidRDefault="000A0998">
            <w:pPr>
              <w:pStyle w:val="P68B1DB1-Normal12"/>
              <w:spacing w:after="0" w:line="240" w:lineRule="auto"/>
              <w:rPr>
                <w:rFonts w:eastAsia="Symbol" w:cs="Times New Roman"/>
                <w:noProof/>
              </w:rPr>
            </w:pPr>
            <w:r>
              <w:rPr>
                <w:noProof/>
              </w:rPr>
              <w:t>Ilmastonmuutosta ja energiasiirtymää koskevan lain on tarjottava vaihtoehtoisia sääntelyn vakautta uusiutuvien luonnonvarojen kehittämiselle, vähennettävä hallinnollisia esteitä ja asetettava vähimmäisvaatimuksia käyttöön otettavien julkisten latauspisteiden asentamisen osalta.</w:t>
            </w:r>
          </w:p>
        </w:tc>
      </w:tr>
      <w:tr w:rsidR="0065073E" w14:paraId="7F384457" w14:textId="77777777">
        <w:trPr>
          <w:trHeight w:val="309"/>
        </w:trPr>
        <w:tc>
          <w:tcPr>
            <w:tcW w:w="709" w:type="dxa"/>
            <w:shd w:val="clear" w:color="auto" w:fill="C6EFCE"/>
            <w:noWrap/>
          </w:tcPr>
          <w:p w14:paraId="30CBA9E8" w14:textId="77777777" w:rsidR="0065073E" w:rsidRDefault="000A0998">
            <w:pPr>
              <w:pStyle w:val="P68B1DB1-Normal12"/>
              <w:spacing w:after="0" w:line="240" w:lineRule="auto"/>
              <w:jc w:val="center"/>
              <w:rPr>
                <w:rFonts w:eastAsia="Symbol" w:cs="Times New Roman"/>
                <w:noProof/>
              </w:rPr>
            </w:pPr>
            <w:r>
              <w:rPr>
                <w:noProof/>
              </w:rPr>
              <w:t>106</w:t>
            </w:r>
          </w:p>
        </w:tc>
        <w:tc>
          <w:tcPr>
            <w:tcW w:w="851" w:type="dxa"/>
            <w:shd w:val="clear" w:color="auto" w:fill="C6EFCE"/>
            <w:noWrap/>
          </w:tcPr>
          <w:p w14:paraId="4A649FD6" w14:textId="77777777" w:rsidR="0065073E" w:rsidRDefault="000A0998">
            <w:pPr>
              <w:pStyle w:val="P68B1DB1-Normal12"/>
              <w:spacing w:after="0" w:line="240" w:lineRule="auto"/>
              <w:jc w:val="center"/>
              <w:rPr>
                <w:rFonts w:eastAsia="Symbol" w:cs="Times New Roman"/>
                <w:noProof/>
              </w:rPr>
            </w:pPr>
            <w:r>
              <w:rPr>
                <w:noProof/>
              </w:rPr>
              <w:t>C7.R1</w:t>
            </w:r>
          </w:p>
        </w:tc>
        <w:tc>
          <w:tcPr>
            <w:tcW w:w="850" w:type="dxa"/>
            <w:shd w:val="clear" w:color="auto" w:fill="C6EFCE"/>
            <w:noWrap/>
          </w:tcPr>
          <w:p w14:paraId="62FA7435" w14:textId="77777777" w:rsidR="0065073E" w:rsidRDefault="000A0998">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102B9A1A" w14:textId="77777777" w:rsidR="0065073E" w:rsidRDefault="000A0998">
            <w:pPr>
              <w:pStyle w:val="P68B1DB1-Normal12"/>
              <w:spacing w:after="0" w:line="240" w:lineRule="auto"/>
              <w:rPr>
                <w:rFonts w:eastAsia="Symbol" w:cs="Times New Roman"/>
                <w:noProof/>
              </w:rPr>
            </w:pPr>
            <w:r>
              <w:rPr>
                <w:noProof/>
              </w:rPr>
              <w:t xml:space="preserve">Uusiutuvan energian tuotantokapasiteetin lisääminen </w:t>
            </w:r>
          </w:p>
        </w:tc>
        <w:tc>
          <w:tcPr>
            <w:tcW w:w="1276" w:type="dxa"/>
            <w:shd w:val="clear" w:color="auto" w:fill="C6EFCE"/>
            <w:noWrap/>
          </w:tcPr>
          <w:p w14:paraId="09D9AC6E" w14:textId="77777777" w:rsidR="0065073E" w:rsidRDefault="000A0998">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3352E0E4" w14:textId="77777777" w:rsidR="0065073E" w:rsidRDefault="000A0998">
            <w:pPr>
              <w:pStyle w:val="P68B1DB1-Normal12"/>
              <w:spacing w:after="0" w:line="240" w:lineRule="auto"/>
              <w:jc w:val="center"/>
              <w:rPr>
                <w:rFonts w:eastAsia="Symbol" w:cs="Times New Roman"/>
                <w:noProof/>
              </w:rPr>
            </w:pPr>
            <w:r>
              <w:rPr>
                <w:noProof/>
              </w:rPr>
              <w:t>Lukumäärä (MW)</w:t>
            </w:r>
          </w:p>
        </w:tc>
        <w:tc>
          <w:tcPr>
            <w:tcW w:w="709" w:type="dxa"/>
            <w:shd w:val="clear" w:color="auto" w:fill="C6EFCE"/>
            <w:noWrap/>
          </w:tcPr>
          <w:p w14:paraId="486DD9CC" w14:textId="77777777" w:rsidR="0065073E" w:rsidRDefault="000A0998">
            <w:pPr>
              <w:pStyle w:val="P68B1DB1-Normal12"/>
              <w:spacing w:after="0" w:line="240" w:lineRule="auto"/>
              <w:jc w:val="center"/>
              <w:rPr>
                <w:rFonts w:eastAsia="Symbol" w:cs="Times New Roman"/>
                <w:noProof/>
              </w:rPr>
            </w:pPr>
            <w:r>
              <w:rPr>
                <w:noProof/>
              </w:rPr>
              <w:t>0</w:t>
            </w:r>
          </w:p>
        </w:tc>
        <w:tc>
          <w:tcPr>
            <w:tcW w:w="737" w:type="dxa"/>
            <w:shd w:val="clear" w:color="auto" w:fill="C6EFCE"/>
            <w:noWrap/>
          </w:tcPr>
          <w:p w14:paraId="7B685F59" w14:textId="7A81B208" w:rsidR="0065073E" w:rsidRDefault="000A0998">
            <w:pPr>
              <w:pStyle w:val="P68B1DB1-Normal12"/>
              <w:spacing w:after="0" w:line="240" w:lineRule="auto"/>
              <w:jc w:val="center"/>
              <w:rPr>
                <w:rFonts w:eastAsia="Symbol" w:cs="Times New Roman"/>
                <w:noProof/>
              </w:rPr>
            </w:pPr>
            <w:r>
              <w:rPr>
                <w:noProof/>
              </w:rPr>
              <w:t xml:space="preserve">6 000            </w:t>
            </w:r>
          </w:p>
        </w:tc>
        <w:tc>
          <w:tcPr>
            <w:tcW w:w="567" w:type="dxa"/>
            <w:shd w:val="clear" w:color="auto" w:fill="C6EFCE"/>
            <w:noWrap/>
          </w:tcPr>
          <w:p w14:paraId="5F4F02C7"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6C9F1CE5"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6524BBCC" w14:textId="3D5BF628" w:rsidR="0065073E" w:rsidRDefault="000A0998">
            <w:pPr>
              <w:pStyle w:val="P68B1DB1-Normal12"/>
              <w:spacing w:after="0" w:line="240" w:lineRule="auto"/>
              <w:rPr>
                <w:rFonts w:eastAsia="Symbol" w:cs="Times New Roman"/>
                <w:noProof/>
              </w:rPr>
            </w:pPr>
            <w:r>
              <w:rPr>
                <w:noProof/>
              </w:rPr>
              <w:t xml:space="preserve">Uudistukseen C7.R1 sisältyvässä uudessa mahdollistavassa lainsäädäntökehyksessä tuettu uusiutuvan energian kumulatiivinen lisätuotantokapasiteetti (mukaan lukien asetuksella 960/2020 perustettu huutokauppamekanismi, uusi asetus pääsystä ja liitäntäluvista sekä hybridisoinnista): vähintään 6000 megawattia </w:t>
            </w:r>
          </w:p>
        </w:tc>
      </w:tr>
      <w:tr w:rsidR="0065073E" w14:paraId="36A95F07" w14:textId="77777777">
        <w:trPr>
          <w:trHeight w:val="309"/>
        </w:trPr>
        <w:tc>
          <w:tcPr>
            <w:tcW w:w="709" w:type="dxa"/>
            <w:shd w:val="clear" w:color="auto" w:fill="C6EFCE"/>
            <w:noWrap/>
          </w:tcPr>
          <w:p w14:paraId="4C3C3ED4" w14:textId="77777777" w:rsidR="0065073E" w:rsidRDefault="000A0998">
            <w:pPr>
              <w:pStyle w:val="P68B1DB1-Normal12"/>
              <w:spacing w:after="0" w:line="240" w:lineRule="auto"/>
              <w:jc w:val="center"/>
              <w:rPr>
                <w:rFonts w:eastAsia="Symbol" w:cs="Times New Roman"/>
                <w:noProof/>
              </w:rPr>
            </w:pPr>
            <w:r>
              <w:rPr>
                <w:noProof/>
              </w:rPr>
              <w:t>107</w:t>
            </w:r>
          </w:p>
        </w:tc>
        <w:tc>
          <w:tcPr>
            <w:tcW w:w="851" w:type="dxa"/>
            <w:shd w:val="clear" w:color="auto" w:fill="C6EFCE"/>
            <w:noWrap/>
          </w:tcPr>
          <w:p w14:paraId="78AAB5D7" w14:textId="77777777" w:rsidR="0065073E" w:rsidRDefault="000A0998">
            <w:pPr>
              <w:pStyle w:val="P68B1DB1-Normal12"/>
              <w:spacing w:after="0" w:line="240" w:lineRule="auto"/>
              <w:jc w:val="center"/>
              <w:rPr>
                <w:rFonts w:eastAsia="Symbol" w:cs="Times New Roman"/>
                <w:noProof/>
              </w:rPr>
            </w:pPr>
            <w:r>
              <w:rPr>
                <w:noProof/>
              </w:rPr>
              <w:t>C7.R1</w:t>
            </w:r>
          </w:p>
        </w:tc>
        <w:tc>
          <w:tcPr>
            <w:tcW w:w="850" w:type="dxa"/>
            <w:shd w:val="clear" w:color="auto" w:fill="C6EFCE"/>
            <w:noWrap/>
          </w:tcPr>
          <w:p w14:paraId="6FCEBF26" w14:textId="77777777" w:rsidR="0065073E" w:rsidRDefault="000A0998">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49689A7A" w14:textId="77777777" w:rsidR="0065073E" w:rsidRDefault="000A0998">
            <w:pPr>
              <w:pStyle w:val="P68B1DB1-Normal12"/>
              <w:spacing w:after="0" w:line="240" w:lineRule="auto"/>
              <w:rPr>
                <w:rFonts w:eastAsia="Symbol" w:cs="Times New Roman"/>
                <w:noProof/>
              </w:rPr>
            </w:pPr>
            <w:r>
              <w:rPr>
                <w:noProof/>
              </w:rPr>
              <w:t xml:space="preserve">Espanjassa asennettu uusiutuvan energian kumulatiivinen lisäkapasiteetti </w:t>
            </w:r>
          </w:p>
        </w:tc>
        <w:tc>
          <w:tcPr>
            <w:tcW w:w="1276" w:type="dxa"/>
            <w:shd w:val="clear" w:color="auto" w:fill="C6EFCE"/>
            <w:noWrap/>
          </w:tcPr>
          <w:p w14:paraId="2A9CB6E2" w14:textId="77777777" w:rsidR="0065073E" w:rsidRDefault="000A0998">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766B1FE6" w14:textId="77777777" w:rsidR="0065073E" w:rsidRDefault="000A0998">
            <w:pPr>
              <w:pStyle w:val="P68B1DB1-Normal12"/>
              <w:spacing w:after="0" w:line="240" w:lineRule="auto"/>
              <w:jc w:val="center"/>
              <w:rPr>
                <w:rFonts w:eastAsia="Symbol" w:cs="Times New Roman"/>
                <w:noProof/>
              </w:rPr>
            </w:pPr>
            <w:r>
              <w:rPr>
                <w:noProof/>
              </w:rPr>
              <w:t>Lukumäärä (MW)</w:t>
            </w:r>
          </w:p>
        </w:tc>
        <w:tc>
          <w:tcPr>
            <w:tcW w:w="709" w:type="dxa"/>
            <w:shd w:val="clear" w:color="auto" w:fill="C6EFCE"/>
            <w:noWrap/>
          </w:tcPr>
          <w:p w14:paraId="7DCFEC48" w14:textId="77777777" w:rsidR="0065073E" w:rsidRDefault="000A0998">
            <w:pPr>
              <w:pStyle w:val="P68B1DB1-Normal12"/>
              <w:spacing w:after="0" w:line="240" w:lineRule="auto"/>
              <w:jc w:val="center"/>
              <w:rPr>
                <w:rFonts w:eastAsia="Symbol" w:cs="Times New Roman"/>
                <w:noProof/>
              </w:rPr>
            </w:pPr>
            <w:r>
              <w:rPr>
                <w:noProof/>
              </w:rPr>
              <w:t>0</w:t>
            </w:r>
          </w:p>
        </w:tc>
        <w:tc>
          <w:tcPr>
            <w:tcW w:w="737" w:type="dxa"/>
            <w:shd w:val="clear" w:color="auto" w:fill="C6EFCE"/>
            <w:noWrap/>
          </w:tcPr>
          <w:p w14:paraId="60C44B81" w14:textId="5543954F" w:rsidR="0065073E" w:rsidRDefault="000A0998">
            <w:pPr>
              <w:pStyle w:val="P68B1DB1-Normal12"/>
              <w:spacing w:after="0" w:line="240" w:lineRule="auto"/>
              <w:jc w:val="center"/>
              <w:rPr>
                <w:rFonts w:eastAsia="Symbol" w:cs="Times New Roman"/>
                <w:noProof/>
              </w:rPr>
            </w:pPr>
            <w:r>
              <w:rPr>
                <w:noProof/>
              </w:rPr>
              <w:t>6 000</w:t>
            </w:r>
          </w:p>
        </w:tc>
        <w:tc>
          <w:tcPr>
            <w:tcW w:w="567" w:type="dxa"/>
            <w:shd w:val="clear" w:color="auto" w:fill="C6EFCE"/>
            <w:noWrap/>
          </w:tcPr>
          <w:p w14:paraId="2871EA41"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6CB78806"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4F128F40" w14:textId="05D44932" w:rsidR="0065073E" w:rsidRDefault="000A0998">
            <w:pPr>
              <w:pStyle w:val="P68B1DB1-Normal12"/>
              <w:spacing w:after="0" w:line="240" w:lineRule="auto"/>
              <w:rPr>
                <w:rFonts w:eastAsia="Symbol" w:cs="Times New Roman"/>
                <w:noProof/>
              </w:rPr>
            </w:pPr>
            <w:r>
              <w:rPr>
                <w:noProof/>
              </w:rPr>
              <w:t>Espanjassa vuoden 2020 ensimmäisen neljänneksen ja vuoden 42023 neljänneksen välisenä aikana asennettu uusiutuvan energian kumulatiivinen lisäkapasiteetti uudistukseen C7.R1 sisältyvän uuden mahdollistavan lainsäädäntökehyksen mukaisesti (mukaan lukien asetuksella RD 960/2020 perustettu huutokauppamekanismi, uusi asetus pääsystä ja liitäntäluvista sekä hybridisoinnista): vähintään 6 000 MW rakennettu</w:t>
            </w:r>
          </w:p>
        </w:tc>
      </w:tr>
      <w:tr w:rsidR="0065073E" w14:paraId="64EFED29" w14:textId="77777777">
        <w:trPr>
          <w:trHeight w:val="309"/>
        </w:trPr>
        <w:tc>
          <w:tcPr>
            <w:tcW w:w="709" w:type="dxa"/>
            <w:shd w:val="clear" w:color="auto" w:fill="C6EFCE"/>
            <w:noWrap/>
          </w:tcPr>
          <w:p w14:paraId="352E6F29" w14:textId="77777777" w:rsidR="0065073E" w:rsidRDefault="000A0998">
            <w:pPr>
              <w:pStyle w:val="P68B1DB1-Normal12"/>
              <w:spacing w:after="0" w:line="240" w:lineRule="auto"/>
              <w:jc w:val="center"/>
              <w:rPr>
                <w:rFonts w:eastAsia="Symbol" w:cs="Times New Roman"/>
                <w:noProof/>
              </w:rPr>
            </w:pPr>
            <w:r>
              <w:rPr>
                <w:noProof/>
              </w:rPr>
              <w:t>108</w:t>
            </w:r>
          </w:p>
        </w:tc>
        <w:tc>
          <w:tcPr>
            <w:tcW w:w="851" w:type="dxa"/>
            <w:shd w:val="clear" w:color="auto" w:fill="C6EFCE"/>
            <w:noWrap/>
          </w:tcPr>
          <w:p w14:paraId="1C68794A" w14:textId="77777777" w:rsidR="0065073E" w:rsidRDefault="000A0998">
            <w:pPr>
              <w:pStyle w:val="P68B1DB1-Normal12"/>
              <w:spacing w:after="0" w:line="240" w:lineRule="auto"/>
              <w:jc w:val="center"/>
              <w:rPr>
                <w:rFonts w:eastAsia="Symbol" w:cs="Times New Roman"/>
                <w:noProof/>
              </w:rPr>
            </w:pPr>
            <w:r>
              <w:rPr>
                <w:noProof/>
              </w:rPr>
              <w:t>C7.R2</w:t>
            </w:r>
          </w:p>
        </w:tc>
        <w:tc>
          <w:tcPr>
            <w:tcW w:w="850" w:type="dxa"/>
            <w:shd w:val="clear" w:color="auto" w:fill="C6EFCE"/>
            <w:noWrap/>
          </w:tcPr>
          <w:p w14:paraId="15EB8CE3"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7D78FE3" w14:textId="77777777" w:rsidR="0065073E" w:rsidRDefault="000A0998">
            <w:pPr>
              <w:pStyle w:val="P68B1DB1-Normal12"/>
              <w:spacing w:after="0" w:line="240" w:lineRule="auto"/>
              <w:rPr>
                <w:rFonts w:eastAsia="Symbol" w:cs="Times New Roman"/>
                <w:noProof/>
              </w:rPr>
            </w:pPr>
            <w:r>
              <w:rPr>
                <w:noProof/>
              </w:rPr>
              <w:t>Kansallinen omaa kulutusta koskeva strategia</w:t>
            </w:r>
          </w:p>
        </w:tc>
        <w:tc>
          <w:tcPr>
            <w:tcW w:w="1276" w:type="dxa"/>
            <w:shd w:val="clear" w:color="auto" w:fill="C6EFCE"/>
            <w:noWrap/>
          </w:tcPr>
          <w:p w14:paraId="1D51184E" w14:textId="77777777" w:rsidR="0065073E" w:rsidRDefault="000A0998">
            <w:pPr>
              <w:pStyle w:val="P68B1DB1-Normal12"/>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2181972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51756CA6"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6AB54743"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934BEC0"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79BB372B" w14:textId="77777777" w:rsidR="0065073E" w:rsidRDefault="000A0998">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183C65A8" w14:textId="77777777" w:rsidR="0065073E" w:rsidRDefault="000A0998">
            <w:pPr>
              <w:pStyle w:val="P68B1DB1-Normal12"/>
              <w:spacing w:after="0" w:line="240" w:lineRule="auto"/>
              <w:rPr>
                <w:rFonts w:eastAsia="Symbol" w:cs="Times New Roman"/>
                <w:noProof/>
              </w:rPr>
            </w:pPr>
            <w:r>
              <w:rPr>
                <w:noProof/>
              </w:rPr>
              <w:t>Ministerineuvosto hyväksyy itse tuotetun energian kulutusta koskevan kansallisen strategian ja julkaisee hallituksen verkkosivustolla oman kulutuksen hallinnollisten esteiden vähentämiseksi.</w:t>
            </w:r>
          </w:p>
        </w:tc>
      </w:tr>
      <w:tr w:rsidR="0065073E" w14:paraId="07695FFA" w14:textId="77777777">
        <w:trPr>
          <w:trHeight w:val="309"/>
        </w:trPr>
        <w:tc>
          <w:tcPr>
            <w:tcW w:w="709" w:type="dxa"/>
            <w:shd w:val="clear" w:color="auto" w:fill="C6EFCE"/>
            <w:noWrap/>
          </w:tcPr>
          <w:p w14:paraId="15A025E3" w14:textId="77777777" w:rsidR="0065073E" w:rsidRDefault="000A0998">
            <w:pPr>
              <w:pStyle w:val="P68B1DB1-Normal12"/>
              <w:spacing w:after="0" w:line="240" w:lineRule="auto"/>
              <w:jc w:val="center"/>
              <w:rPr>
                <w:rFonts w:eastAsia="Symbol" w:cs="Times New Roman"/>
                <w:noProof/>
              </w:rPr>
            </w:pPr>
            <w:r>
              <w:rPr>
                <w:noProof/>
              </w:rPr>
              <w:t>109</w:t>
            </w:r>
          </w:p>
        </w:tc>
        <w:tc>
          <w:tcPr>
            <w:tcW w:w="851" w:type="dxa"/>
            <w:shd w:val="clear" w:color="auto" w:fill="C6EFCE"/>
            <w:noWrap/>
          </w:tcPr>
          <w:p w14:paraId="3309A0AA" w14:textId="77777777" w:rsidR="0065073E" w:rsidRDefault="000A0998">
            <w:pPr>
              <w:pStyle w:val="P68B1DB1-Normal12"/>
              <w:spacing w:after="0" w:line="240" w:lineRule="auto"/>
              <w:jc w:val="center"/>
              <w:rPr>
                <w:rFonts w:eastAsia="Symbol" w:cs="Times New Roman"/>
                <w:noProof/>
              </w:rPr>
            </w:pPr>
            <w:r>
              <w:rPr>
                <w:noProof/>
              </w:rPr>
              <w:t>C7.R2</w:t>
            </w:r>
          </w:p>
        </w:tc>
        <w:tc>
          <w:tcPr>
            <w:tcW w:w="850" w:type="dxa"/>
            <w:shd w:val="clear" w:color="auto" w:fill="C6EFCE"/>
            <w:noWrap/>
          </w:tcPr>
          <w:p w14:paraId="72A29E6B"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763347A0" w14:textId="77777777" w:rsidR="0065073E" w:rsidRDefault="000A0998">
            <w:pPr>
              <w:pStyle w:val="P68B1DB1-Normal12"/>
              <w:spacing w:after="0" w:line="240" w:lineRule="auto"/>
              <w:rPr>
                <w:rFonts w:eastAsia="Symbol" w:cs="Times New Roman"/>
                <w:noProof/>
              </w:rPr>
            </w:pPr>
            <w:r>
              <w:rPr>
                <w:noProof/>
              </w:rPr>
              <w:t>Omaan kulutukseen tähtäävän kansallisen strategian mukaisten toimenpiteiden loppuun saattaminen</w:t>
            </w:r>
          </w:p>
        </w:tc>
        <w:tc>
          <w:tcPr>
            <w:tcW w:w="1276" w:type="dxa"/>
            <w:shd w:val="clear" w:color="auto" w:fill="C6EFCE"/>
            <w:noWrap/>
          </w:tcPr>
          <w:p w14:paraId="5816E567" w14:textId="77777777" w:rsidR="0065073E" w:rsidRDefault="000A0998">
            <w:pPr>
              <w:pStyle w:val="P68B1DB1-Normal12"/>
              <w:spacing w:after="0" w:line="240" w:lineRule="auto"/>
              <w:jc w:val="center"/>
              <w:rPr>
                <w:rFonts w:eastAsia="Symbol" w:cs="Times New Roman"/>
                <w:noProof/>
              </w:rPr>
            </w:pPr>
            <w:r>
              <w:rPr>
                <w:noProof/>
              </w:rPr>
              <w:t>Tulosten julkaiseminen verkkosivustolla</w:t>
            </w:r>
          </w:p>
        </w:tc>
        <w:tc>
          <w:tcPr>
            <w:tcW w:w="850" w:type="dxa"/>
            <w:shd w:val="clear" w:color="auto" w:fill="C6EFCE"/>
            <w:noWrap/>
          </w:tcPr>
          <w:p w14:paraId="3B89598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1D9BD9BE"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4B690AF8"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DE06FBE"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0D860353"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62B486A3" w14:textId="77777777" w:rsidR="0065073E" w:rsidRDefault="000A0998">
            <w:pPr>
              <w:pStyle w:val="P68B1DB1-Normal12"/>
              <w:spacing w:after="0" w:line="240" w:lineRule="auto"/>
              <w:rPr>
                <w:rFonts w:eastAsia="Symbol" w:cs="Times New Roman"/>
                <w:noProof/>
              </w:rPr>
            </w:pPr>
            <w:r>
              <w:rPr>
                <w:noProof/>
              </w:rPr>
              <w:t>Kansalliseen omaa kulutusta koskevaan strategiaan kuuluvien keskeisten toimenpiteiden loppuun saattaminen, mukaan lukien seuraavat: ekologisesta siirtymästä vastaavan ministeriön verkkosivustolla julkaistiin teknisiä ohjeita ja ohjeita kunnille siitä, miten voidaan edistää itse tuotetun energian kulutusta, sekä sellaisten koulutusten loppuun saattaminen, joita on tehty uusiutuvien energialähteiden oman kulutuksen edellyttämien teknisten taitojen parantamiseksi vähintään 500 ammattilaiselle.</w:t>
            </w:r>
          </w:p>
        </w:tc>
      </w:tr>
      <w:tr w:rsidR="0065073E" w14:paraId="0F86EE98" w14:textId="77777777">
        <w:trPr>
          <w:trHeight w:val="309"/>
        </w:trPr>
        <w:tc>
          <w:tcPr>
            <w:tcW w:w="709" w:type="dxa"/>
            <w:shd w:val="clear" w:color="auto" w:fill="C6EFCE"/>
            <w:noWrap/>
          </w:tcPr>
          <w:p w14:paraId="1C213BED" w14:textId="77777777" w:rsidR="0065073E" w:rsidRDefault="000A0998">
            <w:pPr>
              <w:pStyle w:val="P68B1DB1-Normal12"/>
              <w:spacing w:after="0" w:line="240" w:lineRule="auto"/>
              <w:jc w:val="center"/>
              <w:rPr>
                <w:rFonts w:eastAsia="Symbol" w:cs="Times New Roman"/>
                <w:noProof/>
              </w:rPr>
            </w:pPr>
            <w:r>
              <w:rPr>
                <w:noProof/>
              </w:rPr>
              <w:t>110</w:t>
            </w:r>
          </w:p>
        </w:tc>
        <w:tc>
          <w:tcPr>
            <w:tcW w:w="851" w:type="dxa"/>
            <w:shd w:val="clear" w:color="auto" w:fill="C6EFCE"/>
            <w:noWrap/>
          </w:tcPr>
          <w:p w14:paraId="637C99B4" w14:textId="77777777" w:rsidR="0065073E" w:rsidRDefault="000A0998">
            <w:pPr>
              <w:pStyle w:val="P68B1DB1-Normal12"/>
              <w:spacing w:after="0" w:line="240" w:lineRule="auto"/>
              <w:jc w:val="center"/>
              <w:rPr>
                <w:rFonts w:eastAsia="Symbol" w:cs="Times New Roman"/>
                <w:noProof/>
              </w:rPr>
            </w:pPr>
            <w:r>
              <w:rPr>
                <w:noProof/>
              </w:rPr>
              <w:t>C7.R3</w:t>
            </w:r>
          </w:p>
        </w:tc>
        <w:tc>
          <w:tcPr>
            <w:tcW w:w="850" w:type="dxa"/>
            <w:shd w:val="clear" w:color="auto" w:fill="C6EFCE"/>
            <w:noWrap/>
          </w:tcPr>
          <w:p w14:paraId="627E5AD6"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8BAB183" w14:textId="77777777" w:rsidR="0065073E" w:rsidRDefault="000A0998">
            <w:pPr>
              <w:pStyle w:val="P68B1DB1-Normal12"/>
              <w:spacing w:after="0" w:line="240" w:lineRule="auto"/>
              <w:rPr>
                <w:rFonts w:eastAsia="Symbol" w:cs="Times New Roman"/>
                <w:noProof/>
              </w:rPr>
            </w:pPr>
            <w:r>
              <w:rPr>
                <w:noProof/>
              </w:rPr>
              <w:t xml:space="preserve">Energiayhteisöjä koskeva pilottihanke </w:t>
            </w:r>
          </w:p>
        </w:tc>
        <w:tc>
          <w:tcPr>
            <w:tcW w:w="1276" w:type="dxa"/>
            <w:shd w:val="clear" w:color="auto" w:fill="C6EFCE"/>
            <w:noWrap/>
          </w:tcPr>
          <w:p w14:paraId="4FB2D6F1" w14:textId="77777777" w:rsidR="0065073E" w:rsidRDefault="000A0998">
            <w:pPr>
              <w:pStyle w:val="P68B1DB1-Normal12"/>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5D2FFEE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142A0355"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7069FD48"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5D15D15B"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0BA06E4D" w14:textId="77777777" w:rsidR="0065073E" w:rsidRDefault="000A0998">
            <w:pPr>
              <w:pStyle w:val="P68B1DB1-Normal12"/>
              <w:spacing w:after="0" w:line="240" w:lineRule="auto"/>
              <w:jc w:val="center"/>
              <w:rPr>
                <w:rFonts w:eastAsia="Symbol" w:cs="Times New Roman"/>
                <w:noProof/>
              </w:rPr>
            </w:pPr>
            <w:r>
              <w:rPr>
                <w:noProof/>
              </w:rPr>
              <w:t>2022</w:t>
            </w:r>
          </w:p>
        </w:tc>
        <w:tc>
          <w:tcPr>
            <w:tcW w:w="5217" w:type="dxa"/>
            <w:shd w:val="clear" w:color="auto" w:fill="C6EFCE"/>
            <w:noWrap/>
          </w:tcPr>
          <w:p w14:paraId="70A37D06" w14:textId="77777777" w:rsidR="0065073E" w:rsidRDefault="000A0998">
            <w:pPr>
              <w:pStyle w:val="P68B1DB1-Normal12"/>
              <w:spacing w:after="0" w:line="240" w:lineRule="auto"/>
              <w:rPr>
                <w:rFonts w:eastAsia="Symbol" w:cs="Times New Roman"/>
                <w:noProof/>
              </w:rPr>
            </w:pPr>
            <w:r>
              <w:rPr>
                <w:noProof/>
              </w:rPr>
              <w:t xml:space="preserve">Energiayhteisöjä koskevan ensimmäisen pilottihankkeen myöntäminen tarjouspyyntöjen perusteella tämän mallin elinkelpoisuuden osoittamiseksi. </w:t>
            </w:r>
          </w:p>
        </w:tc>
      </w:tr>
      <w:tr w:rsidR="0065073E" w14:paraId="7DCEBF7A" w14:textId="77777777">
        <w:trPr>
          <w:trHeight w:val="309"/>
        </w:trPr>
        <w:tc>
          <w:tcPr>
            <w:tcW w:w="709" w:type="dxa"/>
            <w:shd w:val="clear" w:color="auto" w:fill="C6EFCE"/>
            <w:noWrap/>
          </w:tcPr>
          <w:p w14:paraId="4F5DFF28" w14:textId="77777777" w:rsidR="0065073E" w:rsidRDefault="000A0998">
            <w:pPr>
              <w:pStyle w:val="P68B1DB1-Normal12"/>
              <w:spacing w:after="0" w:line="240" w:lineRule="auto"/>
              <w:jc w:val="center"/>
              <w:rPr>
                <w:rFonts w:eastAsia="Symbol" w:cs="Times New Roman"/>
                <w:noProof/>
              </w:rPr>
            </w:pPr>
            <w:r>
              <w:rPr>
                <w:noProof/>
              </w:rPr>
              <w:t>111</w:t>
            </w:r>
          </w:p>
        </w:tc>
        <w:tc>
          <w:tcPr>
            <w:tcW w:w="851" w:type="dxa"/>
            <w:shd w:val="clear" w:color="auto" w:fill="C6EFCE"/>
            <w:noWrap/>
          </w:tcPr>
          <w:p w14:paraId="02552346" w14:textId="77777777" w:rsidR="0065073E" w:rsidRDefault="000A0998">
            <w:pPr>
              <w:pStyle w:val="P68B1DB1-Normal12"/>
              <w:spacing w:after="0" w:line="240" w:lineRule="auto"/>
              <w:jc w:val="center"/>
              <w:rPr>
                <w:rFonts w:eastAsia="Symbol" w:cs="Times New Roman"/>
                <w:noProof/>
              </w:rPr>
            </w:pPr>
            <w:r>
              <w:rPr>
                <w:noProof/>
              </w:rPr>
              <w:t>C7.R3</w:t>
            </w:r>
          </w:p>
        </w:tc>
        <w:tc>
          <w:tcPr>
            <w:tcW w:w="850" w:type="dxa"/>
            <w:shd w:val="clear" w:color="auto" w:fill="C6EFCE"/>
            <w:noWrap/>
          </w:tcPr>
          <w:p w14:paraId="2941F8A8" w14:textId="77777777" w:rsidR="0065073E" w:rsidRDefault="000A0998">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6B4E7492" w14:textId="77777777" w:rsidR="0065073E" w:rsidRDefault="000A0998">
            <w:pPr>
              <w:pStyle w:val="P68B1DB1-Normal12"/>
              <w:spacing w:after="0" w:line="240" w:lineRule="auto"/>
              <w:rPr>
                <w:rFonts w:eastAsia="Symbol" w:cs="Times New Roman"/>
                <w:noProof/>
              </w:rPr>
            </w:pPr>
            <w:r>
              <w:rPr>
                <w:noProof/>
              </w:rPr>
              <w:t>Energiaan liittyvien pilottihankkeiden loppuun saattaminen paikallisyhteisöissä</w:t>
            </w:r>
          </w:p>
        </w:tc>
        <w:tc>
          <w:tcPr>
            <w:tcW w:w="1276" w:type="dxa"/>
            <w:shd w:val="clear" w:color="auto" w:fill="C6EFCE"/>
            <w:noWrap/>
          </w:tcPr>
          <w:p w14:paraId="0A5B7069" w14:textId="77777777" w:rsidR="0065073E" w:rsidRDefault="000A0998">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4D4AEED7" w14:textId="77777777" w:rsidR="0065073E" w:rsidRDefault="000A0998">
            <w:pPr>
              <w:pStyle w:val="P68B1DB1-Normal12"/>
              <w:spacing w:after="0" w:line="240" w:lineRule="auto"/>
              <w:jc w:val="center"/>
              <w:rPr>
                <w:rFonts w:eastAsia="Symbol" w:cs="Times New Roman"/>
                <w:noProof/>
              </w:rPr>
            </w:pPr>
            <w:r>
              <w:rPr>
                <w:noProof/>
              </w:rPr>
              <w:t>Määrä</w:t>
            </w:r>
          </w:p>
        </w:tc>
        <w:tc>
          <w:tcPr>
            <w:tcW w:w="709" w:type="dxa"/>
            <w:shd w:val="clear" w:color="auto" w:fill="C6EFCE"/>
            <w:noWrap/>
          </w:tcPr>
          <w:p w14:paraId="1CAC2DF5" w14:textId="77777777" w:rsidR="0065073E" w:rsidRDefault="000A0998">
            <w:pPr>
              <w:pStyle w:val="P68B1DB1-Normal12"/>
              <w:spacing w:after="0" w:line="240" w:lineRule="auto"/>
              <w:jc w:val="center"/>
              <w:rPr>
                <w:rFonts w:eastAsia="Symbol" w:cs="Times New Roman"/>
                <w:noProof/>
              </w:rPr>
            </w:pPr>
            <w:r>
              <w:rPr>
                <w:noProof/>
              </w:rPr>
              <w:t> 0</w:t>
            </w:r>
          </w:p>
        </w:tc>
        <w:tc>
          <w:tcPr>
            <w:tcW w:w="737" w:type="dxa"/>
            <w:shd w:val="clear" w:color="auto" w:fill="C6EFCE"/>
            <w:noWrap/>
          </w:tcPr>
          <w:p w14:paraId="1F392030" w14:textId="77777777" w:rsidR="0065073E" w:rsidRDefault="000A0998">
            <w:pPr>
              <w:pStyle w:val="P68B1DB1-Normal12"/>
              <w:spacing w:after="0" w:line="240" w:lineRule="auto"/>
              <w:jc w:val="center"/>
              <w:rPr>
                <w:rFonts w:eastAsia="Symbol" w:cs="Times New Roman"/>
                <w:noProof/>
              </w:rPr>
            </w:pPr>
            <w:r>
              <w:rPr>
                <w:noProof/>
              </w:rPr>
              <w:t>37</w:t>
            </w:r>
          </w:p>
        </w:tc>
        <w:tc>
          <w:tcPr>
            <w:tcW w:w="567" w:type="dxa"/>
            <w:shd w:val="clear" w:color="auto" w:fill="C6EFCE"/>
            <w:noWrap/>
          </w:tcPr>
          <w:p w14:paraId="04C84B27"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475D344D" w14:textId="7C2136F4" w:rsidR="0065073E" w:rsidRDefault="000A0998">
            <w:pPr>
              <w:pStyle w:val="P68B1DB1-Normal12"/>
              <w:spacing w:after="0" w:line="240" w:lineRule="auto"/>
              <w:jc w:val="center"/>
              <w:rPr>
                <w:rFonts w:eastAsia="Symbol" w:cs="Times New Roman"/>
                <w:noProof/>
              </w:rPr>
            </w:pPr>
            <w:r>
              <w:rPr>
                <w:noProof/>
              </w:rPr>
              <w:t>2024</w:t>
            </w:r>
          </w:p>
        </w:tc>
        <w:tc>
          <w:tcPr>
            <w:tcW w:w="5217" w:type="dxa"/>
            <w:shd w:val="clear" w:color="auto" w:fill="C6EFCE"/>
            <w:noWrap/>
          </w:tcPr>
          <w:p w14:paraId="346E211B" w14:textId="77777777" w:rsidR="0065073E" w:rsidRDefault="000A0998">
            <w:pPr>
              <w:pStyle w:val="P68B1DB1-Normal12"/>
              <w:spacing w:after="0" w:line="240" w:lineRule="auto"/>
              <w:rPr>
                <w:rFonts w:eastAsia="Symbol" w:cs="Times New Roman"/>
                <w:noProof/>
              </w:rPr>
            </w:pPr>
            <w:r>
              <w:rPr>
                <w:noProof/>
              </w:rPr>
              <w:t>Saatetaan päätökseen vähintään 37 energiaan liittyvää pilottihanketta, joihin paikallisyhteisö osallistuu ja jotka perustuvat etenemissuunnitelmaan, jossa esitetään toteutetut toimet ja jatkotoimet. Näihin pilottihankkeisiin voi sisältyä osallistavia prosesseja, paikallisten energiayhteisöjen perustamisen tukemista tai itse uusiutuvaa energiaa koskevien hankkeiden käyttöönottoa.</w:t>
            </w:r>
          </w:p>
        </w:tc>
      </w:tr>
      <w:tr w:rsidR="0065073E" w14:paraId="293E68CC" w14:textId="77777777">
        <w:trPr>
          <w:trHeight w:val="309"/>
        </w:trPr>
        <w:tc>
          <w:tcPr>
            <w:tcW w:w="709" w:type="dxa"/>
            <w:shd w:val="clear" w:color="auto" w:fill="C6EFCE"/>
            <w:noWrap/>
          </w:tcPr>
          <w:p w14:paraId="5F0CA593" w14:textId="77777777" w:rsidR="0065073E" w:rsidRDefault="000A0998">
            <w:pPr>
              <w:pStyle w:val="P68B1DB1-Normal12"/>
              <w:spacing w:after="0" w:line="240" w:lineRule="auto"/>
              <w:jc w:val="center"/>
              <w:rPr>
                <w:rFonts w:eastAsia="Symbol" w:cs="Times New Roman"/>
                <w:noProof/>
              </w:rPr>
            </w:pPr>
            <w:r>
              <w:rPr>
                <w:noProof/>
              </w:rPr>
              <w:t>112</w:t>
            </w:r>
          </w:p>
        </w:tc>
        <w:tc>
          <w:tcPr>
            <w:tcW w:w="851" w:type="dxa"/>
            <w:shd w:val="clear" w:color="auto" w:fill="C6EFCE"/>
            <w:noWrap/>
          </w:tcPr>
          <w:p w14:paraId="20AE2DF1" w14:textId="77777777" w:rsidR="0065073E" w:rsidRDefault="000A0998">
            <w:pPr>
              <w:pStyle w:val="P68B1DB1-Normal12"/>
              <w:spacing w:after="0" w:line="240" w:lineRule="auto"/>
              <w:jc w:val="center"/>
              <w:rPr>
                <w:rFonts w:eastAsia="Symbol" w:cs="Times New Roman"/>
                <w:noProof/>
              </w:rPr>
            </w:pPr>
            <w:r>
              <w:rPr>
                <w:noProof/>
              </w:rPr>
              <w:t>C7.R4</w:t>
            </w:r>
          </w:p>
        </w:tc>
        <w:tc>
          <w:tcPr>
            <w:tcW w:w="850" w:type="dxa"/>
            <w:shd w:val="clear" w:color="auto" w:fill="C6EFCE"/>
            <w:noWrap/>
          </w:tcPr>
          <w:p w14:paraId="61A57A1C"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1A09D8EB" w14:textId="77777777" w:rsidR="0065073E" w:rsidRDefault="000A0998">
            <w:pPr>
              <w:pStyle w:val="P68B1DB1-Normal12"/>
              <w:spacing w:after="0" w:line="240" w:lineRule="auto"/>
              <w:rPr>
                <w:rFonts w:eastAsia="Symbol" w:cs="Times New Roman"/>
                <w:noProof/>
              </w:rPr>
            </w:pPr>
            <w:r>
              <w:rPr>
                <w:noProof/>
              </w:rPr>
              <w:t>Merituulivoimaa ja muuta merienergiaa koskeva etenemissuunnitelma</w:t>
            </w:r>
          </w:p>
        </w:tc>
        <w:tc>
          <w:tcPr>
            <w:tcW w:w="1276" w:type="dxa"/>
            <w:shd w:val="clear" w:color="auto" w:fill="C6EFCE"/>
            <w:noWrap/>
          </w:tcPr>
          <w:p w14:paraId="7149803A" w14:textId="77777777" w:rsidR="0065073E" w:rsidRDefault="000A0998">
            <w:pPr>
              <w:pStyle w:val="P68B1DB1-Normal12"/>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4FA58E2B"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705B4414"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17B578C6"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4DDB2106"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116D4EA9" w14:textId="77777777" w:rsidR="0065073E" w:rsidRDefault="000A0998">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77EDC287" w14:textId="77777777" w:rsidR="0065073E" w:rsidRDefault="000A0998">
            <w:pPr>
              <w:pStyle w:val="P68B1DB1-Normal12"/>
              <w:spacing w:after="0" w:line="240" w:lineRule="auto"/>
              <w:rPr>
                <w:rFonts w:eastAsia="Symbol" w:cs="Times New Roman"/>
                <w:noProof/>
              </w:rPr>
            </w:pPr>
            <w:r>
              <w:rPr>
                <w:noProof/>
              </w:rPr>
              <w:t>Merituulivoimaa ja muuta merienergiaa koskevan etenemissuunnitelman julkaiseminen tämän uusiutuvan energian lähteen kehittämisen hallinnollisten esteiden vähentämiseksi</w:t>
            </w:r>
          </w:p>
        </w:tc>
      </w:tr>
      <w:tr w:rsidR="0065073E" w14:paraId="78B4477D" w14:textId="77777777">
        <w:trPr>
          <w:trHeight w:val="309"/>
        </w:trPr>
        <w:tc>
          <w:tcPr>
            <w:tcW w:w="709" w:type="dxa"/>
            <w:shd w:val="clear" w:color="auto" w:fill="C6EFCE"/>
            <w:noWrap/>
          </w:tcPr>
          <w:p w14:paraId="63F14F84" w14:textId="77777777" w:rsidR="0065073E" w:rsidRDefault="000A0998">
            <w:pPr>
              <w:pStyle w:val="P68B1DB1-Normal12"/>
              <w:spacing w:after="0" w:line="240" w:lineRule="auto"/>
              <w:jc w:val="center"/>
              <w:rPr>
                <w:rFonts w:eastAsia="Symbol" w:cs="Times New Roman"/>
                <w:noProof/>
              </w:rPr>
            </w:pPr>
            <w:r>
              <w:rPr>
                <w:noProof/>
              </w:rPr>
              <w:t>113</w:t>
            </w:r>
          </w:p>
        </w:tc>
        <w:tc>
          <w:tcPr>
            <w:tcW w:w="851" w:type="dxa"/>
            <w:shd w:val="clear" w:color="auto" w:fill="C6EFCE"/>
            <w:noWrap/>
          </w:tcPr>
          <w:p w14:paraId="29C2D4C9" w14:textId="77777777" w:rsidR="0065073E" w:rsidRDefault="000A0998">
            <w:pPr>
              <w:pStyle w:val="P68B1DB1-Normal12"/>
              <w:spacing w:after="0" w:line="240" w:lineRule="auto"/>
              <w:jc w:val="center"/>
              <w:rPr>
                <w:rFonts w:eastAsia="Symbol" w:cs="Times New Roman"/>
                <w:noProof/>
              </w:rPr>
            </w:pPr>
            <w:r>
              <w:rPr>
                <w:noProof/>
              </w:rPr>
              <w:t>C7.R4</w:t>
            </w:r>
          </w:p>
        </w:tc>
        <w:tc>
          <w:tcPr>
            <w:tcW w:w="850" w:type="dxa"/>
            <w:shd w:val="clear" w:color="auto" w:fill="C6EFCE"/>
            <w:noWrap/>
          </w:tcPr>
          <w:p w14:paraId="524630E2"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03200769" w14:textId="77777777" w:rsidR="0065073E" w:rsidRDefault="000A0998">
            <w:pPr>
              <w:pStyle w:val="P68B1DB1-Normal12"/>
              <w:spacing w:after="0" w:line="240" w:lineRule="auto"/>
              <w:rPr>
                <w:rFonts w:eastAsia="Symbol" w:cs="Times New Roman"/>
                <w:noProof/>
              </w:rPr>
            </w:pPr>
            <w:r>
              <w:rPr>
                <w:noProof/>
              </w:rPr>
              <w:t>Merituulivoimaa ja muuta merienergiaa koskevassa kartassa yksilöityjen sääntelytoimenpiteiden voimaantulo</w:t>
            </w:r>
          </w:p>
        </w:tc>
        <w:tc>
          <w:tcPr>
            <w:tcW w:w="1276" w:type="dxa"/>
            <w:shd w:val="clear" w:color="auto" w:fill="C6EFCE"/>
            <w:noWrap/>
          </w:tcPr>
          <w:p w14:paraId="517C0551" w14:textId="77777777" w:rsidR="0065073E" w:rsidRDefault="000A0998">
            <w:pPr>
              <w:pStyle w:val="P68B1DB1-Normal12"/>
              <w:spacing w:after="0" w:line="240" w:lineRule="auto"/>
              <w:jc w:val="center"/>
              <w:rPr>
                <w:rFonts w:eastAsia="Symbol" w:cs="Times New Roman"/>
                <w:noProof/>
              </w:rPr>
            </w:pPr>
            <w:r>
              <w:rPr>
                <w:noProof/>
              </w:rPr>
              <w:t>Säännösten voimaantuloon liittyvät säännökset</w:t>
            </w:r>
          </w:p>
        </w:tc>
        <w:tc>
          <w:tcPr>
            <w:tcW w:w="850" w:type="dxa"/>
            <w:shd w:val="clear" w:color="auto" w:fill="C6EFCE"/>
            <w:noWrap/>
          </w:tcPr>
          <w:p w14:paraId="1FA429CE"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4E64FEAB"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0F5B8C8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1D8520B8"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3E931638"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76BAAB49" w14:textId="77777777" w:rsidR="0065073E" w:rsidRDefault="000A0998">
            <w:pPr>
              <w:pStyle w:val="P68B1DB1-Normal12"/>
              <w:spacing w:after="0" w:line="240" w:lineRule="auto"/>
              <w:rPr>
                <w:rFonts w:eastAsia="Symbol" w:cs="Times New Roman"/>
                <w:noProof/>
              </w:rPr>
            </w:pPr>
            <w:r>
              <w:rPr>
                <w:noProof/>
              </w:rPr>
              <w:t>Merituulivoimaa ja muuta merienergiaa koskevassa kartassa yksilöityjen keskeisten sääntelytoimenpiteiden voimaantulo tutkimuksen ja innovoinnin edistämiseksi sekä kelluvien teknologioiden käyttöönoton tukemiseksi. Näitä keskeisiä toimenpiteitä ovat muun muassa seuraavat: merten aluesuunnittelusuunnitelmien lopullinen hyväksyminen, verkkosuunnittelun ja offshore-strategian parempi koordinointi ja sääntelykehyksen päivittäminen.</w:t>
            </w:r>
          </w:p>
        </w:tc>
      </w:tr>
      <w:tr w:rsidR="0065073E" w14:paraId="4EE8FC0F" w14:textId="77777777">
        <w:trPr>
          <w:trHeight w:val="309"/>
        </w:trPr>
        <w:tc>
          <w:tcPr>
            <w:tcW w:w="709" w:type="dxa"/>
            <w:shd w:val="clear" w:color="auto" w:fill="C6EFCE"/>
            <w:noWrap/>
          </w:tcPr>
          <w:p w14:paraId="31A92431" w14:textId="77777777" w:rsidR="0065073E" w:rsidRDefault="000A0998">
            <w:pPr>
              <w:pStyle w:val="P68B1DB1-Normal12"/>
              <w:spacing w:after="0" w:line="240" w:lineRule="auto"/>
              <w:jc w:val="center"/>
              <w:rPr>
                <w:rFonts w:eastAsia="Symbol" w:cs="Times New Roman"/>
                <w:noProof/>
              </w:rPr>
            </w:pPr>
            <w:r>
              <w:rPr>
                <w:noProof/>
              </w:rPr>
              <w:t>114</w:t>
            </w:r>
          </w:p>
        </w:tc>
        <w:tc>
          <w:tcPr>
            <w:tcW w:w="851" w:type="dxa"/>
            <w:shd w:val="clear" w:color="auto" w:fill="C6EFCE"/>
            <w:noWrap/>
          </w:tcPr>
          <w:p w14:paraId="78568058" w14:textId="77777777" w:rsidR="0065073E" w:rsidRDefault="000A0998">
            <w:pPr>
              <w:pStyle w:val="P68B1DB1-Normal12"/>
              <w:spacing w:after="0" w:line="240" w:lineRule="auto"/>
              <w:jc w:val="center"/>
              <w:rPr>
                <w:rFonts w:eastAsia="Symbol" w:cs="Times New Roman"/>
                <w:noProof/>
              </w:rPr>
            </w:pPr>
            <w:r>
              <w:rPr>
                <w:noProof/>
              </w:rPr>
              <w:t>C7.R4</w:t>
            </w:r>
          </w:p>
        </w:tc>
        <w:tc>
          <w:tcPr>
            <w:tcW w:w="850" w:type="dxa"/>
            <w:shd w:val="clear" w:color="auto" w:fill="C6EFCE"/>
            <w:noWrap/>
          </w:tcPr>
          <w:p w14:paraId="36E3BA94"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66D801F0" w14:textId="77777777" w:rsidR="0065073E" w:rsidRDefault="000A0998">
            <w:pPr>
              <w:pStyle w:val="P68B1DB1-Normal12"/>
              <w:spacing w:after="0" w:line="240" w:lineRule="auto"/>
              <w:rPr>
                <w:rFonts w:eastAsia="Symbol" w:cs="Times New Roman"/>
                <w:noProof/>
              </w:rPr>
            </w:pPr>
            <w:r>
              <w:rPr>
                <w:noProof/>
              </w:rPr>
              <w:t>Biokaasua koskevassa etenemissuunnitelmassa yksilöityjen toimenpiteiden loppuun saattaminen</w:t>
            </w:r>
          </w:p>
        </w:tc>
        <w:tc>
          <w:tcPr>
            <w:tcW w:w="1276" w:type="dxa"/>
            <w:shd w:val="clear" w:color="auto" w:fill="C6EFCE"/>
            <w:noWrap/>
          </w:tcPr>
          <w:p w14:paraId="526D0C03" w14:textId="77777777" w:rsidR="0065073E" w:rsidRDefault="000A0998">
            <w:pPr>
              <w:pStyle w:val="P68B1DB1-Normal12"/>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248DBDE2"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452D7DC3"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3E835728"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2D4F3C3B" w14:textId="77777777" w:rsidR="0065073E" w:rsidRDefault="000A0998">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78EF15BC"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15988DBC" w14:textId="77777777" w:rsidR="0065073E" w:rsidRDefault="000A0998">
            <w:pPr>
              <w:pStyle w:val="P68B1DB1-Normal12"/>
              <w:spacing w:after="0" w:line="240" w:lineRule="auto"/>
              <w:rPr>
                <w:rFonts w:eastAsia="Symbol" w:cs="Times New Roman"/>
                <w:noProof/>
              </w:rPr>
            </w:pPr>
            <w:r>
              <w:rPr>
                <w:noProof/>
              </w:rPr>
              <w:t>Biokaasua koskevassa etenemissuunnitelmassa yksilöityjen keskeisten toimenpiteiden loppuun saattaminen, mukaan lukien uusiutuvien kaasujen alkuperätakuujärjestelmän perustaminen, biokaasun kilpailukyvyn parantamiseksi ja biokaasun tuotantoon tehtävien investointien edistämiseksi, millä varmistetaan nopeampi hiilestä irtautuminen esimerkiksi teollisuudessa ja liikenteessä.</w:t>
            </w:r>
          </w:p>
        </w:tc>
      </w:tr>
      <w:tr w:rsidR="0065073E" w14:paraId="63C384DE" w14:textId="77777777">
        <w:trPr>
          <w:trHeight w:val="309"/>
        </w:trPr>
        <w:tc>
          <w:tcPr>
            <w:tcW w:w="709" w:type="dxa"/>
            <w:shd w:val="clear" w:color="auto" w:fill="C6EFCE"/>
            <w:noWrap/>
          </w:tcPr>
          <w:p w14:paraId="7FBB681B" w14:textId="77777777" w:rsidR="0065073E" w:rsidRDefault="000A0998">
            <w:pPr>
              <w:pStyle w:val="P68B1DB1-Normal12"/>
              <w:spacing w:after="0" w:line="240" w:lineRule="auto"/>
              <w:jc w:val="center"/>
              <w:rPr>
                <w:rFonts w:eastAsia="Symbol" w:cs="Times New Roman"/>
                <w:noProof/>
              </w:rPr>
            </w:pPr>
            <w:r>
              <w:rPr>
                <w:noProof/>
              </w:rPr>
              <w:t>115</w:t>
            </w:r>
          </w:p>
        </w:tc>
        <w:tc>
          <w:tcPr>
            <w:tcW w:w="851" w:type="dxa"/>
            <w:shd w:val="clear" w:color="auto" w:fill="C6EFCE"/>
            <w:noWrap/>
          </w:tcPr>
          <w:p w14:paraId="362CDE17" w14:textId="77777777" w:rsidR="0065073E" w:rsidRDefault="000A0998">
            <w:pPr>
              <w:pStyle w:val="P68B1DB1-Normal12"/>
              <w:spacing w:after="0" w:line="240" w:lineRule="auto"/>
              <w:jc w:val="center"/>
              <w:rPr>
                <w:rFonts w:eastAsia="Symbol" w:cs="Times New Roman"/>
                <w:noProof/>
              </w:rPr>
            </w:pPr>
            <w:r>
              <w:rPr>
                <w:noProof/>
              </w:rPr>
              <w:t>C7.I1</w:t>
            </w:r>
          </w:p>
        </w:tc>
        <w:tc>
          <w:tcPr>
            <w:tcW w:w="850" w:type="dxa"/>
            <w:shd w:val="clear" w:color="auto" w:fill="C6EFCE"/>
            <w:noWrap/>
          </w:tcPr>
          <w:p w14:paraId="700066EE"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29661EF" w14:textId="77777777" w:rsidR="0065073E" w:rsidRDefault="000A0998">
            <w:pPr>
              <w:pStyle w:val="P68B1DB1-Normal12"/>
              <w:spacing w:after="0" w:line="240" w:lineRule="auto"/>
              <w:rPr>
                <w:rFonts w:eastAsia="Symbol" w:cs="Times New Roman"/>
                <w:noProof/>
              </w:rPr>
            </w:pPr>
            <w:r>
              <w:rPr>
                <w:noProof/>
              </w:rPr>
              <w:t>Innovatiivisen tai lisäarvoa tuottavan uusiutuvan kapasiteetin investointitukea koskeva tarjouskilpailu</w:t>
            </w:r>
          </w:p>
        </w:tc>
        <w:tc>
          <w:tcPr>
            <w:tcW w:w="1276" w:type="dxa"/>
            <w:shd w:val="clear" w:color="auto" w:fill="C6EFCE"/>
            <w:noWrap/>
          </w:tcPr>
          <w:p w14:paraId="40DBECFF" w14:textId="77777777" w:rsidR="0065073E" w:rsidRDefault="000A0998">
            <w:pPr>
              <w:pStyle w:val="P68B1DB1-Normal12"/>
              <w:spacing w:after="0" w:line="240" w:lineRule="auto"/>
              <w:jc w:val="center"/>
              <w:rPr>
                <w:rFonts w:eastAsia="Symbol" w:cs="Times New Roman"/>
                <w:noProof/>
              </w:rPr>
            </w:pPr>
            <w:r>
              <w:rPr>
                <w:noProof/>
              </w:rPr>
              <w:t>Julkaiseminen EUVL:ssä</w:t>
            </w:r>
          </w:p>
        </w:tc>
        <w:tc>
          <w:tcPr>
            <w:tcW w:w="850" w:type="dxa"/>
            <w:shd w:val="clear" w:color="auto" w:fill="C6EFCE"/>
            <w:noWrap/>
          </w:tcPr>
          <w:p w14:paraId="46FD6BF3"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0EEEC1A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19C7E312"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2BCC829"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4B1264B9" w14:textId="77777777" w:rsidR="0065073E" w:rsidRDefault="000A0998">
            <w:pPr>
              <w:pStyle w:val="P68B1DB1-Normal12"/>
              <w:spacing w:after="0" w:line="240" w:lineRule="auto"/>
              <w:jc w:val="center"/>
              <w:rPr>
                <w:rFonts w:eastAsia="Symbol" w:cs="Times New Roman"/>
                <w:noProof/>
              </w:rPr>
            </w:pPr>
            <w:r>
              <w:rPr>
                <w:noProof/>
              </w:rPr>
              <w:t>2022</w:t>
            </w:r>
          </w:p>
        </w:tc>
        <w:tc>
          <w:tcPr>
            <w:tcW w:w="5217" w:type="dxa"/>
            <w:shd w:val="clear" w:color="auto" w:fill="C6EFCE"/>
            <w:noWrap/>
          </w:tcPr>
          <w:p w14:paraId="558321B8" w14:textId="77777777" w:rsidR="0065073E" w:rsidRDefault="000A0998">
            <w:pPr>
              <w:pStyle w:val="P68B1DB1-Normal12"/>
              <w:spacing w:after="0" w:line="240" w:lineRule="auto"/>
              <w:rPr>
                <w:rFonts w:eastAsia="Symbol" w:cs="Times New Roman"/>
                <w:noProof/>
              </w:rPr>
            </w:pPr>
            <w:r>
              <w:rPr>
                <w:noProof/>
              </w:rPr>
              <w:t xml:space="preserve">Innovatiivisen tai lisäarvoa tuottavan uusiutuvan kapasiteetin investointitukea koskevan ensimmäisen tarjouskilpailun julkaiseminen EUVL:ssä </w:t>
            </w:r>
          </w:p>
        </w:tc>
      </w:tr>
      <w:tr w:rsidR="0065073E" w14:paraId="525CA3D7" w14:textId="77777777">
        <w:trPr>
          <w:trHeight w:val="309"/>
        </w:trPr>
        <w:tc>
          <w:tcPr>
            <w:tcW w:w="709" w:type="dxa"/>
            <w:shd w:val="clear" w:color="auto" w:fill="C6EFCE"/>
            <w:noWrap/>
          </w:tcPr>
          <w:p w14:paraId="0ED21733" w14:textId="77777777" w:rsidR="0065073E" w:rsidRDefault="000A0998">
            <w:pPr>
              <w:pStyle w:val="P68B1DB1-Normal12"/>
              <w:spacing w:after="0" w:line="240" w:lineRule="auto"/>
              <w:jc w:val="center"/>
              <w:rPr>
                <w:rFonts w:eastAsia="Symbol" w:cs="Times New Roman"/>
                <w:noProof/>
              </w:rPr>
            </w:pPr>
            <w:r>
              <w:rPr>
                <w:noProof/>
              </w:rPr>
              <w:t>116</w:t>
            </w:r>
          </w:p>
        </w:tc>
        <w:tc>
          <w:tcPr>
            <w:tcW w:w="851" w:type="dxa"/>
            <w:shd w:val="clear" w:color="auto" w:fill="C6EFCE"/>
            <w:noWrap/>
          </w:tcPr>
          <w:p w14:paraId="30D6F564" w14:textId="77777777" w:rsidR="0065073E" w:rsidRDefault="000A0998">
            <w:pPr>
              <w:pStyle w:val="P68B1DB1-Normal12"/>
              <w:spacing w:after="0" w:line="240" w:lineRule="auto"/>
              <w:jc w:val="center"/>
              <w:rPr>
                <w:rFonts w:eastAsia="Symbol" w:cs="Times New Roman"/>
                <w:noProof/>
              </w:rPr>
            </w:pPr>
            <w:r>
              <w:rPr>
                <w:noProof/>
              </w:rPr>
              <w:t>C7.I1</w:t>
            </w:r>
          </w:p>
        </w:tc>
        <w:tc>
          <w:tcPr>
            <w:tcW w:w="850" w:type="dxa"/>
            <w:shd w:val="clear" w:color="auto" w:fill="C6EFCE"/>
            <w:noWrap/>
          </w:tcPr>
          <w:p w14:paraId="36F1F5A9" w14:textId="77777777" w:rsidR="0065073E" w:rsidRDefault="000A0998">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55EFD344" w14:textId="77777777" w:rsidR="0065073E" w:rsidRDefault="000A0998">
            <w:pPr>
              <w:pStyle w:val="P68B1DB1-Normal12"/>
              <w:spacing w:after="0" w:line="240" w:lineRule="auto"/>
              <w:rPr>
                <w:rFonts w:eastAsia="Symbol" w:cs="Times New Roman"/>
                <w:noProof/>
              </w:rPr>
            </w:pPr>
            <w:r>
              <w:rPr>
                <w:noProof/>
              </w:rPr>
              <w:t>Merten uusiutuvan energian infrastruktuurin uudet hankkeet, teknologiat tai laitteistot</w:t>
            </w:r>
          </w:p>
        </w:tc>
        <w:tc>
          <w:tcPr>
            <w:tcW w:w="1276" w:type="dxa"/>
            <w:shd w:val="clear" w:color="auto" w:fill="C6EFCE"/>
            <w:noWrap/>
          </w:tcPr>
          <w:p w14:paraId="5F5B292E" w14:textId="77777777" w:rsidR="0065073E" w:rsidRDefault="000A0998">
            <w:pPr>
              <w:pStyle w:val="P68B1DB1-Normal12"/>
              <w:spacing w:after="0" w:line="240" w:lineRule="auto"/>
              <w:jc w:val="center"/>
              <w:rPr>
                <w:rFonts w:eastAsia="Symbol" w:cs="Times New Roman"/>
                <w:noProof/>
              </w:rPr>
            </w:pPr>
            <w:r>
              <w:rPr>
                <w:noProof/>
              </w:rPr>
              <w:t>Myöntämispäätös/investointiviranomaisen päätös</w:t>
            </w:r>
          </w:p>
        </w:tc>
        <w:tc>
          <w:tcPr>
            <w:tcW w:w="850" w:type="dxa"/>
            <w:shd w:val="clear" w:color="auto" w:fill="C6EFCE"/>
            <w:noWrap/>
          </w:tcPr>
          <w:p w14:paraId="3E85448D"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09" w:type="dxa"/>
            <w:shd w:val="clear" w:color="auto" w:fill="C6EFCE"/>
            <w:noWrap/>
          </w:tcPr>
          <w:p w14:paraId="70342F75"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737" w:type="dxa"/>
            <w:shd w:val="clear" w:color="auto" w:fill="C6EFCE"/>
            <w:noWrap/>
          </w:tcPr>
          <w:p w14:paraId="0E6A004A" w14:textId="77777777" w:rsidR="0065073E" w:rsidRDefault="000A0998">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2FEC388" w14:textId="77777777" w:rsidR="0065073E" w:rsidRDefault="000A0998">
            <w:pPr>
              <w:pStyle w:val="P68B1DB1-Normal12"/>
              <w:spacing w:after="0" w:line="240" w:lineRule="auto"/>
              <w:jc w:val="center"/>
              <w:rPr>
                <w:rFonts w:eastAsia="Symbol" w:cs="Times New Roman"/>
                <w:noProof/>
              </w:rPr>
            </w:pPr>
            <w:r>
              <w:rPr>
                <w:noProof/>
              </w:rPr>
              <w:t>Q3</w:t>
            </w:r>
          </w:p>
        </w:tc>
        <w:tc>
          <w:tcPr>
            <w:tcW w:w="567" w:type="dxa"/>
            <w:shd w:val="clear" w:color="auto" w:fill="C6EFCE"/>
            <w:noWrap/>
          </w:tcPr>
          <w:p w14:paraId="44F941C4" w14:textId="77777777" w:rsidR="0065073E" w:rsidRDefault="000A0998">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4DF240FF" w14:textId="77777777" w:rsidR="0065073E" w:rsidRDefault="000A0998">
            <w:pPr>
              <w:pStyle w:val="P68B1DB1-Normal12"/>
              <w:spacing w:after="0" w:line="240" w:lineRule="auto"/>
              <w:rPr>
                <w:rFonts w:eastAsia="Symbol" w:cs="Times New Roman"/>
                <w:noProof/>
              </w:rPr>
            </w:pPr>
            <w:r>
              <w:rPr>
                <w:noProof/>
              </w:rPr>
              <w:t xml:space="preserve">Vähintään 6 hanketta, joilla edistetään merten uusiutuvan energian infrastruktuurin uusia hankkeita, teknologioita tai laitteistoja. Näillä kuudella kehityksellä olisi edistettävä merten uusiutuvaa energiaa koskevien hankkeiden toteuttamista Espanjassa. Kehitystyöhön voi sisältyä merienergiaan liittyvää toimintaa harjoittavat pk-yritykset, jotka saavat avustuksia, lainoja tai pääomasijoituksia, osallistuvat esikaupallisiin julkisiin hankintoihin sekä suoraan uusiutuvaan merienergiaan liittyville hankkeille tai merten uusiutuvan energian uuden teknologian prototyypille myönnettävät avustukset. </w:t>
            </w:r>
          </w:p>
        </w:tc>
      </w:tr>
      <w:tr w:rsidR="0065073E" w14:paraId="3343B885" w14:textId="77777777">
        <w:trPr>
          <w:trHeight w:val="309"/>
        </w:trPr>
        <w:tc>
          <w:tcPr>
            <w:tcW w:w="709" w:type="dxa"/>
            <w:shd w:val="clear" w:color="auto" w:fill="C6EFCE"/>
            <w:noWrap/>
          </w:tcPr>
          <w:p w14:paraId="759D24EC" w14:textId="77777777" w:rsidR="0065073E" w:rsidRDefault="000A0998">
            <w:pPr>
              <w:pStyle w:val="P68B1DB1-Normal12"/>
              <w:spacing w:after="0" w:line="240" w:lineRule="auto"/>
              <w:jc w:val="center"/>
              <w:rPr>
                <w:rFonts w:eastAsia="Symbol" w:cs="Times New Roman"/>
                <w:noProof/>
              </w:rPr>
            </w:pPr>
            <w:r>
              <w:rPr>
                <w:noProof/>
              </w:rPr>
              <w:t>117</w:t>
            </w:r>
          </w:p>
        </w:tc>
        <w:tc>
          <w:tcPr>
            <w:tcW w:w="851" w:type="dxa"/>
            <w:shd w:val="clear" w:color="auto" w:fill="C6EFCE"/>
            <w:noWrap/>
          </w:tcPr>
          <w:p w14:paraId="1FCB6415" w14:textId="77777777" w:rsidR="0065073E" w:rsidRDefault="000A0998">
            <w:pPr>
              <w:pStyle w:val="P68B1DB1-Normal12"/>
              <w:spacing w:after="0" w:line="240" w:lineRule="auto"/>
              <w:jc w:val="center"/>
              <w:rPr>
                <w:rFonts w:eastAsia="Symbol" w:cs="Times New Roman"/>
                <w:noProof/>
              </w:rPr>
            </w:pPr>
            <w:r>
              <w:rPr>
                <w:noProof/>
              </w:rPr>
              <w:t>C7.I1</w:t>
            </w:r>
          </w:p>
        </w:tc>
        <w:tc>
          <w:tcPr>
            <w:tcW w:w="850" w:type="dxa"/>
            <w:shd w:val="clear" w:color="auto" w:fill="C6EFCE"/>
            <w:noWrap/>
          </w:tcPr>
          <w:p w14:paraId="6B6D6E84" w14:textId="77777777" w:rsidR="0065073E" w:rsidRDefault="000A0998">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296A9DA6" w14:textId="77777777" w:rsidR="0065073E" w:rsidRDefault="000A0998">
            <w:pPr>
              <w:pStyle w:val="P68B1DB1-Normal12"/>
              <w:spacing w:after="0" w:line="240" w:lineRule="auto"/>
              <w:rPr>
                <w:rFonts w:eastAsia="Symbol" w:cs="Times New Roman"/>
                <w:noProof/>
              </w:rPr>
            </w:pPr>
            <w:r>
              <w:rPr>
                <w:noProof/>
              </w:rPr>
              <w:t>Innovatiivisen tai lisäarvoa tuottavan uusiutuvan energian tuotantokapasiteetin lisääminen</w:t>
            </w:r>
          </w:p>
        </w:tc>
        <w:tc>
          <w:tcPr>
            <w:tcW w:w="1276" w:type="dxa"/>
            <w:shd w:val="clear" w:color="auto" w:fill="C6EFCE"/>
            <w:noWrap/>
          </w:tcPr>
          <w:p w14:paraId="6DF7B9A8" w14:textId="77777777" w:rsidR="0065073E" w:rsidRDefault="000A0998">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0ED551FE" w14:textId="77777777" w:rsidR="0065073E" w:rsidRDefault="000A0998">
            <w:pPr>
              <w:pStyle w:val="P68B1DB1-Normal12"/>
              <w:spacing w:after="0" w:line="240" w:lineRule="auto"/>
              <w:jc w:val="center"/>
              <w:rPr>
                <w:rFonts w:eastAsia="Symbol" w:cs="Times New Roman"/>
                <w:noProof/>
              </w:rPr>
            </w:pPr>
            <w:r>
              <w:rPr>
                <w:noProof/>
              </w:rPr>
              <w:t>Lukumäärä (MW)</w:t>
            </w:r>
          </w:p>
        </w:tc>
        <w:tc>
          <w:tcPr>
            <w:tcW w:w="709" w:type="dxa"/>
            <w:shd w:val="clear" w:color="auto" w:fill="C6EFCE"/>
            <w:noWrap/>
          </w:tcPr>
          <w:p w14:paraId="750AB381" w14:textId="77777777" w:rsidR="0065073E" w:rsidRDefault="000A0998">
            <w:pPr>
              <w:pStyle w:val="P68B1DB1-Normal12"/>
              <w:spacing w:after="0" w:line="240" w:lineRule="auto"/>
              <w:jc w:val="center"/>
              <w:rPr>
                <w:rFonts w:eastAsia="Symbol" w:cs="Times New Roman"/>
                <w:noProof/>
              </w:rPr>
            </w:pPr>
            <w:r>
              <w:rPr>
                <w:noProof/>
              </w:rPr>
              <w:t>0</w:t>
            </w:r>
          </w:p>
        </w:tc>
        <w:tc>
          <w:tcPr>
            <w:tcW w:w="737" w:type="dxa"/>
            <w:shd w:val="clear" w:color="auto" w:fill="C6EFCE"/>
            <w:noWrap/>
          </w:tcPr>
          <w:p w14:paraId="65516202" w14:textId="77777777" w:rsidR="0065073E" w:rsidRDefault="000A0998">
            <w:pPr>
              <w:pStyle w:val="P68B1DB1-Normal12"/>
              <w:spacing w:after="0" w:line="240" w:lineRule="auto"/>
              <w:jc w:val="center"/>
              <w:rPr>
                <w:rFonts w:eastAsia="Symbol" w:cs="Times New Roman"/>
                <w:noProof/>
              </w:rPr>
            </w:pPr>
            <w:r>
              <w:rPr>
                <w:noProof/>
              </w:rPr>
              <w:t>3 800</w:t>
            </w:r>
          </w:p>
        </w:tc>
        <w:tc>
          <w:tcPr>
            <w:tcW w:w="567" w:type="dxa"/>
            <w:shd w:val="clear" w:color="auto" w:fill="C6EFCE"/>
            <w:noWrap/>
          </w:tcPr>
          <w:p w14:paraId="72E55E20"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67" w:type="dxa"/>
            <w:shd w:val="clear" w:color="auto" w:fill="C6EFCE"/>
            <w:noWrap/>
          </w:tcPr>
          <w:p w14:paraId="1A3FCE25" w14:textId="77777777" w:rsidR="0065073E" w:rsidRDefault="000A0998">
            <w:pPr>
              <w:pStyle w:val="P68B1DB1-Normal12"/>
              <w:spacing w:after="0" w:line="240" w:lineRule="auto"/>
              <w:jc w:val="center"/>
              <w:rPr>
                <w:rFonts w:eastAsia="Symbol" w:cs="Times New Roman"/>
                <w:noProof/>
              </w:rPr>
            </w:pPr>
            <w:r>
              <w:rPr>
                <w:noProof/>
              </w:rPr>
              <w:t>2026</w:t>
            </w:r>
          </w:p>
        </w:tc>
        <w:tc>
          <w:tcPr>
            <w:tcW w:w="5217" w:type="dxa"/>
            <w:shd w:val="clear" w:color="auto" w:fill="C6EFCE"/>
            <w:noWrap/>
          </w:tcPr>
          <w:p w14:paraId="7A94C722" w14:textId="21462508" w:rsidR="0065073E" w:rsidRDefault="000A0998">
            <w:pPr>
              <w:pStyle w:val="P68B1DB1-Normal12"/>
              <w:spacing w:after="0" w:line="240" w:lineRule="auto"/>
              <w:rPr>
                <w:rFonts w:eastAsia="Symbol" w:cs="Times New Roman"/>
                <w:noProof/>
              </w:rPr>
            </w:pPr>
            <w:r>
              <w:rPr>
                <w:noProof/>
              </w:rPr>
              <w:t>Uusiutuvan energian kumulatiivinen lisätuotantokapasiteetti innovatiivisen tai lisäarvoa tuottavan uusiutuvan energian kapasiteetin osalta (asennettu vähintään 3 800 MW)</w:t>
            </w:r>
          </w:p>
        </w:tc>
      </w:tr>
      <w:tr w:rsidR="0065073E" w14:paraId="6D310B05" w14:textId="77777777">
        <w:trPr>
          <w:trHeight w:val="309"/>
        </w:trPr>
        <w:tc>
          <w:tcPr>
            <w:tcW w:w="709" w:type="dxa"/>
            <w:shd w:val="clear" w:color="auto" w:fill="C6EFCE"/>
            <w:noWrap/>
          </w:tcPr>
          <w:p w14:paraId="3D8C1C99" w14:textId="77777777" w:rsidR="0065073E" w:rsidRDefault="000A0998">
            <w:pPr>
              <w:pStyle w:val="P68B1DB1-Normal12"/>
              <w:spacing w:after="0" w:line="240" w:lineRule="auto"/>
              <w:jc w:val="center"/>
              <w:rPr>
                <w:rFonts w:cs="Times New Roman"/>
                <w:noProof/>
              </w:rPr>
            </w:pPr>
            <w:r>
              <w:rPr>
                <w:noProof/>
              </w:rPr>
              <w:t>118</w:t>
            </w:r>
          </w:p>
        </w:tc>
        <w:tc>
          <w:tcPr>
            <w:tcW w:w="851" w:type="dxa"/>
            <w:shd w:val="clear" w:color="auto" w:fill="C6EFCE"/>
            <w:noWrap/>
          </w:tcPr>
          <w:p w14:paraId="682041F3" w14:textId="77777777" w:rsidR="0065073E" w:rsidRDefault="000A0998">
            <w:pPr>
              <w:pStyle w:val="P68B1DB1-Normal12"/>
              <w:spacing w:after="0" w:line="240" w:lineRule="auto"/>
              <w:jc w:val="center"/>
              <w:rPr>
                <w:rFonts w:cs="Times New Roman"/>
                <w:noProof/>
              </w:rPr>
            </w:pPr>
            <w:r>
              <w:rPr>
                <w:noProof/>
              </w:rPr>
              <w:t>C7.I2</w:t>
            </w:r>
          </w:p>
        </w:tc>
        <w:tc>
          <w:tcPr>
            <w:tcW w:w="850" w:type="dxa"/>
            <w:shd w:val="clear" w:color="auto" w:fill="C6EFCE"/>
            <w:noWrap/>
          </w:tcPr>
          <w:p w14:paraId="52C87E1D" w14:textId="77777777" w:rsidR="0065073E" w:rsidRDefault="000A0998">
            <w:pPr>
              <w:pStyle w:val="P68B1DB1-Normal12"/>
              <w:spacing w:after="0" w:line="240" w:lineRule="auto"/>
              <w:jc w:val="center"/>
              <w:rPr>
                <w:rFonts w:cs="Times New Roman"/>
                <w:noProof/>
              </w:rPr>
            </w:pPr>
            <w:r>
              <w:rPr>
                <w:noProof/>
              </w:rPr>
              <w:t>M</w:t>
            </w:r>
          </w:p>
        </w:tc>
        <w:tc>
          <w:tcPr>
            <w:tcW w:w="2977" w:type="dxa"/>
            <w:shd w:val="clear" w:color="auto" w:fill="C6EFCE"/>
            <w:noWrap/>
          </w:tcPr>
          <w:p w14:paraId="02CC24B3" w14:textId="77777777" w:rsidR="0065073E" w:rsidRDefault="000A0998">
            <w:pPr>
              <w:pStyle w:val="P68B1DB1-Normal12"/>
              <w:spacing w:after="0" w:line="240" w:lineRule="auto"/>
              <w:rPr>
                <w:rFonts w:cs="Times New Roman"/>
                <w:noProof/>
              </w:rPr>
            </w:pPr>
            <w:r>
              <w:rPr>
                <w:noProof/>
              </w:rPr>
              <w:t xml:space="preserve">Puhdas energia ja älykkäät hankkeet saarille </w:t>
            </w:r>
          </w:p>
        </w:tc>
        <w:tc>
          <w:tcPr>
            <w:tcW w:w="1276" w:type="dxa"/>
            <w:shd w:val="clear" w:color="auto" w:fill="C6EFCE"/>
            <w:noWrap/>
          </w:tcPr>
          <w:p w14:paraId="34C0E3E8" w14:textId="77777777" w:rsidR="0065073E" w:rsidRDefault="000A0998">
            <w:pPr>
              <w:pStyle w:val="P68B1DB1-Normal12"/>
              <w:spacing w:after="0" w:line="240" w:lineRule="auto"/>
              <w:jc w:val="center"/>
              <w:rPr>
                <w:rFonts w:cs="Times New Roman"/>
                <w:noProof/>
              </w:rPr>
            </w:pPr>
            <w:r>
              <w:rPr>
                <w:noProof/>
              </w:rPr>
              <w:t>Julkaiseminen verkkosivustolla</w:t>
            </w:r>
          </w:p>
        </w:tc>
        <w:tc>
          <w:tcPr>
            <w:tcW w:w="850" w:type="dxa"/>
            <w:shd w:val="clear" w:color="auto" w:fill="C6EFCE"/>
            <w:noWrap/>
          </w:tcPr>
          <w:p w14:paraId="47F07C36" w14:textId="77777777" w:rsidR="0065073E" w:rsidRDefault="000A0998">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0F6115FE" w14:textId="77777777" w:rsidR="0065073E" w:rsidRDefault="000A0998">
            <w:pPr>
              <w:pStyle w:val="P68B1DB1-Normal12"/>
              <w:spacing w:after="0" w:line="240" w:lineRule="auto"/>
              <w:jc w:val="center"/>
              <w:rPr>
                <w:rFonts w:cs="Times New Roman"/>
                <w:noProof/>
              </w:rPr>
            </w:pPr>
            <w:r>
              <w:rPr>
                <w:noProof/>
              </w:rPr>
              <w:t xml:space="preserve"> </w:t>
            </w:r>
          </w:p>
        </w:tc>
        <w:tc>
          <w:tcPr>
            <w:tcW w:w="737" w:type="dxa"/>
            <w:shd w:val="clear" w:color="auto" w:fill="C6EFCE"/>
            <w:noWrap/>
          </w:tcPr>
          <w:p w14:paraId="4F32E632" w14:textId="77777777" w:rsidR="0065073E" w:rsidRDefault="000A0998">
            <w:pPr>
              <w:pStyle w:val="P68B1DB1-Normal12"/>
              <w:spacing w:after="0" w:line="240" w:lineRule="auto"/>
              <w:jc w:val="center"/>
              <w:rPr>
                <w:rFonts w:cs="Times New Roman"/>
                <w:noProof/>
              </w:rPr>
            </w:pPr>
            <w:r>
              <w:rPr>
                <w:noProof/>
              </w:rPr>
              <w:t xml:space="preserve"> </w:t>
            </w:r>
          </w:p>
        </w:tc>
        <w:tc>
          <w:tcPr>
            <w:tcW w:w="567" w:type="dxa"/>
            <w:shd w:val="clear" w:color="auto" w:fill="C6EFCE"/>
            <w:noWrap/>
          </w:tcPr>
          <w:p w14:paraId="51C7C0D8"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731A8916" w14:textId="77777777" w:rsidR="0065073E" w:rsidRDefault="000A0998">
            <w:pPr>
              <w:pStyle w:val="P68B1DB1-Normal12"/>
              <w:spacing w:after="0" w:line="240" w:lineRule="auto"/>
              <w:jc w:val="center"/>
              <w:rPr>
                <w:rFonts w:cs="Times New Roman"/>
                <w:noProof/>
              </w:rPr>
            </w:pPr>
            <w:r>
              <w:rPr>
                <w:noProof/>
              </w:rPr>
              <w:t>2023</w:t>
            </w:r>
          </w:p>
        </w:tc>
        <w:tc>
          <w:tcPr>
            <w:tcW w:w="5217" w:type="dxa"/>
            <w:shd w:val="clear" w:color="auto" w:fill="C6EFCE"/>
            <w:noWrap/>
          </w:tcPr>
          <w:p w14:paraId="68C8E727" w14:textId="1B075716" w:rsidR="0065073E" w:rsidRDefault="000A0998">
            <w:pPr>
              <w:pStyle w:val="P68B1DB1-Normal12"/>
              <w:spacing w:after="0" w:line="240" w:lineRule="auto"/>
              <w:rPr>
                <w:rFonts w:cs="Times New Roman"/>
                <w:noProof/>
              </w:rPr>
            </w:pPr>
            <w:r>
              <w:rPr>
                <w:noProof/>
              </w:rPr>
              <w:t>Perustetaan puhdasta energiaa ja älykkäitä hankkeita saarille koskeva toimisto, jonka tavoitteena on hallinnoida elpymis- ja palautumistukivälineen tukiohjelmia. Toimisto koordinoi saarten energiasiirtymän dynaamista ja kehittämistä.</w:t>
            </w:r>
          </w:p>
        </w:tc>
      </w:tr>
      <w:tr w:rsidR="0065073E" w14:paraId="25A1F8FC" w14:textId="77777777">
        <w:trPr>
          <w:trHeight w:val="309"/>
        </w:trPr>
        <w:tc>
          <w:tcPr>
            <w:tcW w:w="709" w:type="dxa"/>
            <w:shd w:val="clear" w:color="auto" w:fill="C6EFCE"/>
            <w:noWrap/>
          </w:tcPr>
          <w:p w14:paraId="2714F9DC" w14:textId="77777777" w:rsidR="0065073E" w:rsidRDefault="000A0998">
            <w:pPr>
              <w:pStyle w:val="P68B1DB1-Normal12"/>
              <w:spacing w:after="0" w:line="240" w:lineRule="auto"/>
              <w:jc w:val="center"/>
              <w:rPr>
                <w:rFonts w:cs="Times New Roman"/>
                <w:noProof/>
              </w:rPr>
            </w:pPr>
            <w:r>
              <w:rPr>
                <w:noProof/>
              </w:rPr>
              <w:t>119</w:t>
            </w:r>
          </w:p>
        </w:tc>
        <w:tc>
          <w:tcPr>
            <w:tcW w:w="851" w:type="dxa"/>
            <w:shd w:val="clear" w:color="auto" w:fill="C6EFCE"/>
            <w:noWrap/>
          </w:tcPr>
          <w:p w14:paraId="5014F004" w14:textId="77777777" w:rsidR="0065073E" w:rsidRDefault="000A0998">
            <w:pPr>
              <w:pStyle w:val="P68B1DB1-Normal12"/>
              <w:spacing w:after="0" w:line="240" w:lineRule="auto"/>
              <w:jc w:val="center"/>
              <w:rPr>
                <w:rFonts w:cs="Times New Roman"/>
                <w:noProof/>
              </w:rPr>
            </w:pPr>
            <w:r>
              <w:rPr>
                <w:noProof/>
              </w:rPr>
              <w:t>C7.I2</w:t>
            </w:r>
          </w:p>
        </w:tc>
        <w:tc>
          <w:tcPr>
            <w:tcW w:w="850" w:type="dxa"/>
            <w:shd w:val="clear" w:color="auto" w:fill="C6EFCE"/>
            <w:noWrap/>
          </w:tcPr>
          <w:p w14:paraId="1AB0E554"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679AE7D0" w14:textId="77777777" w:rsidR="0065073E" w:rsidRDefault="000A0998">
            <w:pPr>
              <w:pStyle w:val="P68B1DB1-Normal12"/>
              <w:spacing w:after="0" w:line="240" w:lineRule="auto"/>
              <w:rPr>
                <w:rFonts w:cs="Times New Roman"/>
                <w:noProof/>
              </w:rPr>
            </w:pPr>
            <w:r>
              <w:rPr>
                <w:noProof/>
              </w:rPr>
              <w:t>Saarten energiasiirtymää tukevien hankkeiden loppuun saattaminen</w:t>
            </w:r>
          </w:p>
        </w:tc>
        <w:tc>
          <w:tcPr>
            <w:tcW w:w="1276" w:type="dxa"/>
            <w:shd w:val="clear" w:color="auto" w:fill="C6EFCE"/>
            <w:noWrap/>
          </w:tcPr>
          <w:p w14:paraId="0E19070B" w14:textId="77777777" w:rsidR="0065073E" w:rsidRDefault="000A0998">
            <w:pPr>
              <w:pStyle w:val="P68B1DB1-Normal12"/>
              <w:spacing w:after="0" w:line="240" w:lineRule="auto"/>
              <w:jc w:val="center"/>
              <w:rPr>
                <w:rFonts w:cs="Times New Roman"/>
                <w:noProof/>
              </w:rPr>
            </w:pPr>
            <w:r>
              <w:rPr>
                <w:noProof/>
              </w:rPr>
              <w:t> —</w:t>
            </w:r>
          </w:p>
        </w:tc>
        <w:tc>
          <w:tcPr>
            <w:tcW w:w="850" w:type="dxa"/>
            <w:shd w:val="clear" w:color="auto" w:fill="C6EFCE"/>
            <w:noWrap/>
          </w:tcPr>
          <w:p w14:paraId="4B1E7BCA" w14:textId="77777777" w:rsidR="0065073E" w:rsidRDefault="000A0998">
            <w:pPr>
              <w:pStyle w:val="P68B1DB1-Normal12"/>
              <w:spacing w:after="0" w:line="240" w:lineRule="auto"/>
              <w:jc w:val="center"/>
              <w:rPr>
                <w:rFonts w:cs="Times New Roman"/>
                <w:noProof/>
              </w:rPr>
            </w:pPr>
            <w:r>
              <w:rPr>
                <w:noProof/>
              </w:rPr>
              <w:t>Määrä</w:t>
            </w:r>
          </w:p>
        </w:tc>
        <w:tc>
          <w:tcPr>
            <w:tcW w:w="709" w:type="dxa"/>
            <w:shd w:val="clear" w:color="auto" w:fill="C6EFCE"/>
            <w:noWrap/>
          </w:tcPr>
          <w:p w14:paraId="481DA1EE" w14:textId="77777777" w:rsidR="0065073E" w:rsidRDefault="000A0998">
            <w:pPr>
              <w:pStyle w:val="P68B1DB1-Normal12"/>
              <w:spacing w:after="0" w:line="240" w:lineRule="auto"/>
              <w:jc w:val="center"/>
              <w:rPr>
                <w:rFonts w:cs="Times New Roman"/>
                <w:noProof/>
              </w:rPr>
            </w:pPr>
            <w:r>
              <w:rPr>
                <w:noProof/>
              </w:rPr>
              <w:t>0</w:t>
            </w:r>
          </w:p>
        </w:tc>
        <w:tc>
          <w:tcPr>
            <w:tcW w:w="737" w:type="dxa"/>
            <w:shd w:val="clear" w:color="auto" w:fill="C6EFCE"/>
            <w:noWrap/>
          </w:tcPr>
          <w:p w14:paraId="5B060510" w14:textId="03A49CCB" w:rsidR="0065073E" w:rsidRDefault="000A0998">
            <w:pPr>
              <w:pStyle w:val="P68B1DB1-Normal12"/>
              <w:spacing w:after="0" w:line="240" w:lineRule="auto"/>
              <w:jc w:val="center"/>
              <w:rPr>
                <w:rFonts w:cs="Times New Roman"/>
                <w:noProof/>
              </w:rPr>
            </w:pPr>
            <w:r>
              <w:rPr>
                <w:noProof/>
              </w:rPr>
              <w:t>600</w:t>
            </w:r>
          </w:p>
        </w:tc>
        <w:tc>
          <w:tcPr>
            <w:tcW w:w="567" w:type="dxa"/>
            <w:shd w:val="clear" w:color="auto" w:fill="C6EFCE"/>
            <w:noWrap/>
          </w:tcPr>
          <w:p w14:paraId="2A729CC7" w14:textId="77777777"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154BFC85" w14:textId="5D1FDB41" w:rsidR="0065073E" w:rsidRDefault="000A0998">
            <w:pPr>
              <w:pStyle w:val="P68B1DB1-Normal12"/>
              <w:spacing w:after="0" w:line="240" w:lineRule="auto"/>
              <w:jc w:val="center"/>
              <w:rPr>
                <w:rFonts w:cs="Times New Roman"/>
                <w:noProof/>
              </w:rPr>
            </w:pPr>
            <w:r>
              <w:rPr>
                <w:noProof/>
              </w:rPr>
              <w:t>2025</w:t>
            </w:r>
          </w:p>
        </w:tc>
        <w:tc>
          <w:tcPr>
            <w:tcW w:w="5217" w:type="dxa"/>
            <w:shd w:val="clear" w:color="auto" w:fill="C6EFCE"/>
            <w:noWrap/>
          </w:tcPr>
          <w:p w14:paraId="183909CE" w14:textId="2A2B3FB4" w:rsidR="0065073E" w:rsidRDefault="000A0998">
            <w:pPr>
              <w:pStyle w:val="P68B1DB1-Normal12"/>
              <w:spacing w:after="0" w:line="240" w:lineRule="auto"/>
              <w:rPr>
                <w:rFonts w:cs="Times New Roman"/>
                <w:noProof/>
              </w:rPr>
            </w:pPr>
            <w:r>
              <w:rPr>
                <w:noProof/>
              </w:rPr>
              <w:t xml:space="preserve">Vähintään 600 tuettua tai toteutettua toimea, hanketta tai ohjelmaa, mukaan lukien dynamisointiohjelmat tai -toimistot, saarten etenemissuunnitelmat, investointi- tai tukihankkeet, jotka liittyvät puhtaaseen energiaan EU:n saarille tai älykkäitä saaria koskeville ohjelmille, uusiutuvaa energiaa tai kestävää varastointia koskeviin hankkeisiin. </w:t>
            </w:r>
          </w:p>
        </w:tc>
      </w:tr>
      <w:tr w:rsidR="0065073E" w14:paraId="5F6957CB" w14:textId="77777777">
        <w:trPr>
          <w:trHeight w:val="309"/>
        </w:trPr>
        <w:tc>
          <w:tcPr>
            <w:tcW w:w="709" w:type="dxa"/>
            <w:shd w:val="clear" w:color="auto" w:fill="C6EFCE"/>
            <w:noWrap/>
          </w:tcPr>
          <w:p w14:paraId="6CC8039C" w14:textId="77777777" w:rsidR="0065073E" w:rsidRDefault="000A0998">
            <w:pPr>
              <w:pStyle w:val="P68B1DB1-Normal12"/>
              <w:spacing w:after="0" w:line="240" w:lineRule="auto"/>
              <w:jc w:val="center"/>
              <w:rPr>
                <w:rFonts w:cs="Times New Roman"/>
                <w:noProof/>
              </w:rPr>
            </w:pPr>
            <w:r>
              <w:rPr>
                <w:noProof/>
              </w:rPr>
              <w:t>120</w:t>
            </w:r>
          </w:p>
        </w:tc>
        <w:tc>
          <w:tcPr>
            <w:tcW w:w="851" w:type="dxa"/>
            <w:shd w:val="clear" w:color="auto" w:fill="C6EFCE"/>
            <w:noWrap/>
          </w:tcPr>
          <w:p w14:paraId="223C782C" w14:textId="77777777" w:rsidR="0065073E" w:rsidRDefault="000A0998">
            <w:pPr>
              <w:pStyle w:val="P68B1DB1-Normal12"/>
              <w:spacing w:after="0" w:line="240" w:lineRule="auto"/>
              <w:jc w:val="center"/>
              <w:rPr>
                <w:rFonts w:cs="Times New Roman"/>
                <w:noProof/>
              </w:rPr>
            </w:pPr>
            <w:r>
              <w:rPr>
                <w:noProof/>
              </w:rPr>
              <w:t>C7.I2</w:t>
            </w:r>
          </w:p>
        </w:tc>
        <w:tc>
          <w:tcPr>
            <w:tcW w:w="850" w:type="dxa"/>
            <w:shd w:val="clear" w:color="auto" w:fill="C6EFCE"/>
            <w:noWrap/>
          </w:tcPr>
          <w:p w14:paraId="0C7EEB46" w14:textId="77777777" w:rsidR="0065073E" w:rsidRDefault="000A0998">
            <w:pPr>
              <w:pStyle w:val="P68B1DB1-Normal12"/>
              <w:spacing w:after="0" w:line="240" w:lineRule="auto"/>
              <w:jc w:val="center"/>
              <w:rPr>
                <w:rFonts w:cs="Times New Roman"/>
                <w:noProof/>
              </w:rPr>
            </w:pPr>
            <w:r>
              <w:rPr>
                <w:noProof/>
              </w:rPr>
              <w:t>T</w:t>
            </w:r>
          </w:p>
        </w:tc>
        <w:tc>
          <w:tcPr>
            <w:tcW w:w="2977" w:type="dxa"/>
            <w:shd w:val="clear" w:color="auto" w:fill="C6EFCE"/>
            <w:noWrap/>
          </w:tcPr>
          <w:p w14:paraId="3952DC11" w14:textId="77777777" w:rsidR="0065073E" w:rsidRDefault="000A0998">
            <w:pPr>
              <w:pStyle w:val="P68B1DB1-Normal12"/>
              <w:spacing w:after="0" w:line="240" w:lineRule="auto"/>
              <w:rPr>
                <w:rFonts w:cs="Times New Roman"/>
                <w:noProof/>
              </w:rPr>
            </w:pPr>
            <w:r>
              <w:rPr>
                <w:noProof/>
              </w:rPr>
              <w:t>Uusiutuvan energian tuotantokapasiteetin lisääminen saarilla</w:t>
            </w:r>
          </w:p>
        </w:tc>
        <w:tc>
          <w:tcPr>
            <w:tcW w:w="1276" w:type="dxa"/>
            <w:shd w:val="clear" w:color="auto" w:fill="C6EFCE"/>
            <w:noWrap/>
          </w:tcPr>
          <w:p w14:paraId="41ED30F3"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5B82470B" w14:textId="77777777" w:rsidR="0065073E" w:rsidRDefault="000A0998">
            <w:pPr>
              <w:pStyle w:val="P68B1DB1-Normal12"/>
              <w:spacing w:after="0" w:line="240" w:lineRule="auto"/>
              <w:jc w:val="center"/>
              <w:rPr>
                <w:rFonts w:cs="Times New Roman"/>
                <w:noProof/>
              </w:rPr>
            </w:pPr>
            <w:r>
              <w:rPr>
                <w:noProof/>
              </w:rPr>
              <w:t>Lukumäärä (MW)</w:t>
            </w:r>
          </w:p>
        </w:tc>
        <w:tc>
          <w:tcPr>
            <w:tcW w:w="709" w:type="dxa"/>
            <w:shd w:val="clear" w:color="auto" w:fill="C6EFCE"/>
            <w:noWrap/>
          </w:tcPr>
          <w:p w14:paraId="34349761" w14:textId="77777777" w:rsidR="0065073E" w:rsidRDefault="000A0998">
            <w:pPr>
              <w:pStyle w:val="P68B1DB1-Normal12"/>
              <w:spacing w:after="0" w:line="240" w:lineRule="auto"/>
              <w:jc w:val="center"/>
              <w:rPr>
                <w:rFonts w:cs="Times New Roman"/>
                <w:noProof/>
              </w:rPr>
            </w:pPr>
            <w:r>
              <w:rPr>
                <w:noProof/>
              </w:rPr>
              <w:t>0</w:t>
            </w:r>
          </w:p>
        </w:tc>
        <w:tc>
          <w:tcPr>
            <w:tcW w:w="737" w:type="dxa"/>
            <w:shd w:val="clear" w:color="auto" w:fill="C6EFCE"/>
            <w:noWrap/>
          </w:tcPr>
          <w:p w14:paraId="6F789D83" w14:textId="77777777" w:rsidR="0065073E" w:rsidRDefault="000A0998">
            <w:pPr>
              <w:pStyle w:val="P68B1DB1-Normal12"/>
              <w:spacing w:after="0" w:line="240" w:lineRule="auto"/>
              <w:jc w:val="center"/>
              <w:rPr>
                <w:rFonts w:cs="Times New Roman"/>
                <w:noProof/>
              </w:rPr>
            </w:pPr>
            <w:r>
              <w:rPr>
                <w:noProof/>
              </w:rPr>
              <w:t>180</w:t>
            </w:r>
          </w:p>
        </w:tc>
        <w:tc>
          <w:tcPr>
            <w:tcW w:w="567" w:type="dxa"/>
            <w:shd w:val="clear" w:color="auto" w:fill="C6EFCE"/>
            <w:noWrap/>
          </w:tcPr>
          <w:p w14:paraId="3D331C6C" w14:textId="77777777"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18AFB481" w14:textId="77777777" w:rsidR="0065073E" w:rsidRDefault="000A0998">
            <w:pPr>
              <w:pStyle w:val="P68B1DB1-Normal12"/>
              <w:spacing w:after="0" w:line="240" w:lineRule="auto"/>
              <w:jc w:val="center"/>
              <w:rPr>
                <w:rFonts w:cs="Times New Roman"/>
                <w:noProof/>
              </w:rPr>
            </w:pPr>
            <w:r>
              <w:rPr>
                <w:noProof/>
              </w:rPr>
              <w:t>2026</w:t>
            </w:r>
          </w:p>
        </w:tc>
        <w:tc>
          <w:tcPr>
            <w:tcW w:w="5217" w:type="dxa"/>
            <w:shd w:val="clear" w:color="auto" w:fill="C6EFCE"/>
            <w:noWrap/>
          </w:tcPr>
          <w:p w14:paraId="52E5D44E" w14:textId="77777777" w:rsidR="0065073E" w:rsidRDefault="000A0998">
            <w:pPr>
              <w:pStyle w:val="P68B1DB1-Normal12"/>
              <w:spacing w:after="0" w:line="240" w:lineRule="auto"/>
              <w:rPr>
                <w:rFonts w:cs="Times New Roman"/>
                <w:noProof/>
              </w:rPr>
            </w:pPr>
            <w:r>
              <w:rPr>
                <w:noProof/>
              </w:rPr>
              <w:t>Uusiutuvan energian kumulatiivinen lisätuotantokapasiteetti, joka on hankittu uusiutuvan energian kapasiteettia koskevilla tarjouskilpailuilla saarilla (asennettu vähintään 180 megawattia).</w:t>
            </w:r>
          </w:p>
        </w:tc>
      </w:tr>
    </w:tbl>
    <w:p w14:paraId="3041E394" w14:textId="77777777" w:rsidR="0065073E" w:rsidRDefault="0065073E">
      <w:pPr>
        <w:spacing w:before="120" w:after="120" w:line="240" w:lineRule="auto"/>
        <w:ind w:left="709"/>
        <w:jc w:val="both"/>
        <w:rPr>
          <w:rFonts w:ascii="Times New Roman" w:hAnsi="Times New Roman" w:cs="Times New Roman"/>
          <w:noProof/>
          <w:sz w:val="24"/>
        </w:rPr>
      </w:pPr>
    </w:p>
    <w:p w14:paraId="722B00AE"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60"/>
        </w:sectPr>
      </w:pPr>
    </w:p>
    <w:p w14:paraId="64C6AC05" w14:textId="3D0D717F" w:rsidR="0065073E" w:rsidRDefault="000A0998">
      <w:pPr>
        <w:pStyle w:val="P68B1DB1-Heading12"/>
        <w:rPr>
          <w:rFonts w:cs="Times New Roman"/>
          <w:noProof/>
        </w:rPr>
      </w:pPr>
      <w:r>
        <w:rPr>
          <w:noProof/>
        </w:rPr>
        <w:t xml:space="preserve">H. OSA 8: </w:t>
      </w:r>
      <w:bookmarkStart w:id="17" w:name="_Hlk145336475"/>
      <w:r>
        <w:rPr>
          <w:noProof/>
        </w:rPr>
        <w:t>Sähköinfrastruktuuri, älykkäät verkot sekä jouston ja varastoinnin käyttöönotto</w:t>
      </w:r>
      <w:bookmarkEnd w:id="17"/>
    </w:p>
    <w:p w14:paraId="4E865145" w14:textId="77777777" w:rsidR="0065073E" w:rsidRDefault="000A0998">
      <w:pPr>
        <w:pStyle w:val="P68B1DB1-Normal4"/>
        <w:keepNext/>
        <w:spacing w:before="120" w:after="120" w:line="240" w:lineRule="auto"/>
        <w:jc w:val="both"/>
        <w:rPr>
          <w:rFonts w:cs="Times New Roman"/>
          <w:noProof/>
        </w:rPr>
      </w:pPr>
      <w:r>
        <w:rPr>
          <w:noProof/>
        </w:rPr>
        <w:t>Espanjan kansallisen energia- ja ilmastosuunnitelman tavoitteena on, että uusiutuvan energian osuus energian loppukulutuksesta on 42 prosenttia vuoteen 2030 mennessä. Uusiutuvista energialähteistä tuotetun sähkön kasvava määrä (jonka ennustetaan kasvavan 74 prosenttiin kysynnästä vuoteen 2030 mennessä ja 100 prosenttiin vuoteen 2050 mennessä) edellyttää useita täydentäviä investointeja verkon digitalisointiin, varastointiin ja kysynnän hallintaan. Erityisesti uusiutuvan energian teknologioiden jaksottavuus ja osittainen ennustettavuus merkitsevät sitä, että energian varastoinnilla on tärkeä rooli järjestelmän joustavuuden lisäämisessä ja verkon vakauden varmistamisessa.</w:t>
      </w:r>
    </w:p>
    <w:p w14:paraId="653B21B3" w14:textId="77777777" w:rsidR="0065073E" w:rsidRDefault="000A0998">
      <w:pPr>
        <w:pStyle w:val="P68B1DB1-Normal4"/>
        <w:keepNext/>
        <w:spacing w:before="120" w:after="120" w:line="240" w:lineRule="auto"/>
        <w:jc w:val="both"/>
        <w:rPr>
          <w:rFonts w:cs="Times New Roman"/>
          <w:noProof/>
        </w:rPr>
      </w:pPr>
      <w:r>
        <w:rPr>
          <w:noProof/>
        </w:rPr>
        <w:t xml:space="preserve">Tässä yhteydessä Espanjan elpymis- ja palautumissuunnitelman tällä osa-alueella on seuraavat tavoitteet: </w:t>
      </w:r>
    </w:p>
    <w:p w14:paraId="10E22E4B" w14:textId="77777777" w:rsidR="0065073E" w:rsidRDefault="000A0998">
      <w:pPr>
        <w:pStyle w:val="P68B1DB1-Normal4"/>
        <w:keepNext/>
        <w:numPr>
          <w:ilvl w:val="0"/>
          <w:numId w:val="100"/>
        </w:numPr>
        <w:spacing w:before="120" w:after="120" w:line="240" w:lineRule="auto"/>
        <w:jc w:val="both"/>
        <w:rPr>
          <w:rFonts w:cs="Times New Roman"/>
          <w:noProof/>
        </w:rPr>
      </w:pPr>
      <w:r>
        <w:rPr>
          <w:noProof/>
        </w:rPr>
        <w:t>Sellaisen joustavamman, hajautetumman ja dynaamisemman energiajärjestelmän kehittäminen, jolla voidaan tehokkaasti ja turvallisesti ottaa vastaan enemmän uusiutuvan energian tuotantoa;</w:t>
      </w:r>
    </w:p>
    <w:p w14:paraId="26A47C0B" w14:textId="77777777" w:rsidR="0065073E" w:rsidRDefault="000A0998">
      <w:pPr>
        <w:pStyle w:val="P68B1DB1-Normal4"/>
        <w:keepNext/>
        <w:numPr>
          <w:ilvl w:val="0"/>
          <w:numId w:val="100"/>
        </w:numPr>
        <w:spacing w:before="120" w:after="120" w:line="240" w:lineRule="auto"/>
        <w:jc w:val="both"/>
        <w:rPr>
          <w:rFonts w:cs="Times New Roman"/>
          <w:noProof/>
        </w:rPr>
      </w:pPr>
      <w:r>
        <w:rPr>
          <w:noProof/>
        </w:rPr>
        <w:t xml:space="preserve">Uusien innovatiivisten liiketoimintamallien kehittäminen; ja </w:t>
      </w:r>
    </w:p>
    <w:p w14:paraId="7F015B40" w14:textId="77777777" w:rsidR="0065073E" w:rsidRDefault="000A0998">
      <w:pPr>
        <w:pStyle w:val="P68B1DB1-Normal4"/>
        <w:keepNext/>
        <w:numPr>
          <w:ilvl w:val="0"/>
          <w:numId w:val="100"/>
        </w:numPr>
        <w:spacing w:before="120" w:after="120" w:line="240" w:lineRule="auto"/>
        <w:jc w:val="both"/>
        <w:rPr>
          <w:rFonts w:cs="Times New Roman"/>
          <w:noProof/>
        </w:rPr>
      </w:pPr>
      <w:r>
        <w:rPr>
          <w:noProof/>
        </w:rPr>
        <w:t>Uusien toimijoiden (tuottajat, toimittajat ja kuluttajat sekä varastointilaitteistojen ja aggregaattoreiden lisäksi) osallistuminen sähköjärjestelmään ja joustavampi sääntelykehys, joka pystyy mukautumaan uusiin tarpeisiin sääntelyn testiympäristöjen avulla.</w:t>
      </w:r>
    </w:p>
    <w:p w14:paraId="7293DEB4" w14:textId="77777777" w:rsidR="0065073E" w:rsidRDefault="000A0998">
      <w:pPr>
        <w:pStyle w:val="P68B1DB1-Normal4"/>
        <w:spacing w:before="120" w:after="120" w:line="240" w:lineRule="auto"/>
        <w:jc w:val="both"/>
        <w:rPr>
          <w:rFonts w:cs="Times New Roman"/>
          <w:noProof/>
        </w:rPr>
      </w:pPr>
      <w:r>
        <w:rPr>
          <w:noProof/>
        </w:rPr>
        <w:t>Komponentilla edistetään investointeja innovointiin ja energiatehokkuuteen ja kannustetaan ottamaan käyttöön tehokkaita politiikkoja innovoinnin edistämiseksi (maakohtainen suositus 3 2019). Sillä edistetään myös julkisia ja yksityisiä investointeja ja vihreää siirtymää (maakohtainen suositus 3 2020).</w:t>
      </w:r>
    </w:p>
    <w:p w14:paraId="721469DA" w14:textId="77777777" w:rsidR="0065073E" w:rsidRDefault="000A0998">
      <w:pPr>
        <w:pStyle w:val="P68B1DB1-Normal4"/>
        <w:spacing w:before="120" w:after="120" w:line="240" w:lineRule="auto"/>
        <w:jc w:val="both"/>
        <w:rPr>
          <w:rFonts w:cs="Times New Roman"/>
          <w:i/>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2EAC6488"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H.1 </w:t>
      </w:r>
      <w:r>
        <w:rPr>
          <w:noProof/>
        </w:rPr>
        <w:t xml:space="preserve"> </w:t>
      </w:r>
      <w:r>
        <w:rPr>
          <w:rFonts w:ascii="Times New Roman" w:hAnsi="Times New Roman"/>
          <w:b/>
          <w:noProof/>
          <w:sz w:val="24"/>
          <w:u w:val="single"/>
        </w:rPr>
        <w:t>Kuvaus uudistuksista ja investoinneista, joita rahoitetaan rahoitustuella, jota ei makseta takaisin</w:t>
      </w:r>
    </w:p>
    <w:p w14:paraId="39594D0D" w14:textId="77777777" w:rsidR="0065073E" w:rsidRDefault="000A0998">
      <w:pPr>
        <w:pStyle w:val="P68B1DB1-Normal5"/>
        <w:spacing w:before="120" w:after="120" w:line="240" w:lineRule="auto"/>
        <w:jc w:val="both"/>
        <w:rPr>
          <w:rFonts w:cs="Times New Roman"/>
          <w:noProof/>
        </w:rPr>
      </w:pPr>
      <w:r>
        <w:rPr>
          <w:noProof/>
        </w:rPr>
        <w:t>Uudistus 1 (C8.R1) – Mahdolliset puitteet uusiutuvien energialähteiden sisällyttämiselle energiajärjestelmään: verkot, varastointi ja infrastruktuuri</w:t>
      </w:r>
    </w:p>
    <w:p w14:paraId="104493A7"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mahdollistaa avoin ja vakaa sääntelykehys, joka luo varmuutta ja mahdollistaa uusiutuvien energialähteiden laajemman integroinnin energiajärjestelmään verkkoihin, varastointiin ja infrastruktuuriin tehtävien investointien avulla. </w:t>
      </w:r>
    </w:p>
    <w:p w14:paraId="428D3EE8" w14:textId="77777777" w:rsidR="0065073E" w:rsidRDefault="000A0998">
      <w:pPr>
        <w:pStyle w:val="P68B1DB1-Normal4"/>
        <w:spacing w:before="120" w:after="120" w:line="240" w:lineRule="auto"/>
        <w:jc w:val="both"/>
        <w:rPr>
          <w:rFonts w:cs="Times New Roman"/>
          <w:noProof/>
        </w:rPr>
      </w:pPr>
      <w:r>
        <w:rPr>
          <w:noProof/>
        </w:rPr>
        <w:t xml:space="preserve">Uudistukseen on sisällyttävä hiilestä irtautumista koskeva pitkän aikavälin strategia vuoteen 2050 mennessä. Strategian tavoitteena on luoda perusta strategiselle ja sääntelykehykselle, jonka avulla uusiutuvat energialähteet voidaan integroida tehokkaasti joustavaan ja älykkääseen energiajärjestelmään. ELP 2050:n tavoitteita ovat muun muassa seuraavat: a) kasvihuonekaasupäästöjen vähentäminen 90 prosentilla vuoden 1990 tasosta (ilmastoneutraalius); b) uusiutuvien energialähteiden osuuden nostaminen 97 prosenttiin energian loppukulutuksesta; ja c) 100-prosenttisesti uusiutuvista energialähteistä tuotettu sähköjärjestelmä. </w:t>
      </w:r>
    </w:p>
    <w:p w14:paraId="13ACBC4F"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maaliskuuta 2021 mennessä. </w:t>
      </w:r>
    </w:p>
    <w:p w14:paraId="5028F761" w14:textId="77777777" w:rsidR="0065073E" w:rsidRDefault="000A0998">
      <w:pPr>
        <w:pStyle w:val="P68B1DB1-Normal5"/>
        <w:spacing w:before="120" w:after="120" w:line="240" w:lineRule="auto"/>
        <w:jc w:val="both"/>
        <w:rPr>
          <w:rFonts w:cs="Times New Roman"/>
          <w:noProof/>
        </w:rPr>
      </w:pPr>
      <w:r>
        <w:rPr>
          <w:noProof/>
        </w:rPr>
        <w:t>Uudistus 2 (C8.R2) – Energian varastointistrategia ja energian varastoinnin käyttöönottoa koskevan sääntelykehyksen mukauttaminen</w:t>
      </w:r>
    </w:p>
    <w:p w14:paraId="67A4C692" w14:textId="77777777" w:rsidR="0065073E" w:rsidRDefault="000A0998">
      <w:pPr>
        <w:pStyle w:val="P68B1DB1-Normal4"/>
        <w:spacing w:before="120" w:after="120" w:line="240" w:lineRule="auto"/>
        <w:jc w:val="both"/>
        <w:rPr>
          <w:rFonts w:cs="Times New Roman"/>
          <w:noProof/>
        </w:rPr>
      </w:pPr>
      <w:r>
        <w:rPr>
          <w:noProof/>
        </w:rPr>
        <w:t xml:space="preserve">Tämän toimenpiteen tarkoituksena on kehittää, hyväksyä ja ottaa käyttöön sääntely- ja strategiakehys energian varastoinnin edistämiseksi. Uudistuksella luodaan tarvittava kehys C8.I1 ja C8.I3 kohdassa suunnitelluille investoinneille, jotka liittyvät energian varastoinnin käyttöönottoon, ja uusille liiketoimintamalleille energiasiirtymässä. </w:t>
      </w:r>
    </w:p>
    <w:p w14:paraId="7FBE421A" w14:textId="77777777" w:rsidR="0065073E" w:rsidRDefault="000A0998">
      <w:pPr>
        <w:pStyle w:val="P68B1DB1-Normal4"/>
        <w:spacing w:before="120" w:after="120" w:line="240" w:lineRule="auto"/>
        <w:jc w:val="both"/>
        <w:rPr>
          <w:rFonts w:cs="Times New Roman"/>
          <w:noProof/>
        </w:rPr>
      </w:pPr>
      <w:r>
        <w:rPr>
          <w:noProof/>
        </w:rPr>
        <w:t xml:space="preserve">Uudistukseen sisältyy Espanjan hallituksen hyväksyntä energian varastointistrategialle. Strategian tavoitteena on, että energiavarastoja on 20 gigawattia vuonna 2030 ja 30 GW vuonna 2050. </w:t>
      </w:r>
    </w:p>
    <w:p w14:paraId="2D43E383" w14:textId="77777777" w:rsidR="0065073E" w:rsidRDefault="000A0998">
      <w:pPr>
        <w:pStyle w:val="P68B1DB1-Normal4"/>
        <w:spacing w:before="120" w:after="120" w:line="240" w:lineRule="auto"/>
        <w:jc w:val="both"/>
        <w:rPr>
          <w:rFonts w:cs="Times New Roman"/>
          <w:noProof/>
        </w:rPr>
      </w:pPr>
      <w:r>
        <w:rPr>
          <w:noProof/>
        </w:rPr>
        <w:t xml:space="preserve">Uudistus sisältää kolme säädöstä ja säädöstä: I) Kuninkaallinen asetus 1183/2020 varastojen verkkoon pääsyn sääntelemisestä; II) </w:t>
      </w:r>
      <w:r>
        <w:rPr>
          <w:i/>
          <w:noProof/>
        </w:rPr>
        <w:t>Comisión Nacional de los Mercados y la Competencian</w:t>
      </w:r>
      <w:r>
        <w:rPr>
          <w:noProof/>
        </w:rPr>
        <w:t xml:space="preserve"> kiertokirje 1/2021, jossa vahvistetaan sähköntuotantolaitosten siirto- ja jakeluverkkoihin pääsyä ja niihin liittämistä koskevat menetelmät ja edellytykset; III) energiavarastojen osallistumisesta lisäpalvelujen tarjoamiseen 10 päivänä joulukuuta 2020 annettu </w:t>
      </w:r>
      <w:r>
        <w:rPr>
          <w:i/>
          <w:noProof/>
        </w:rPr>
        <w:t>Comisión Nacional de los Mercados y la Competencian</w:t>
      </w:r>
      <w:r>
        <w:rPr>
          <w:noProof/>
        </w:rPr>
        <w:t xml:space="preserve"> päätöslauselma. </w:t>
      </w:r>
    </w:p>
    <w:p w14:paraId="76A0F24E"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30 päivään kesäkuuta 2022 mennessä.</w:t>
      </w:r>
    </w:p>
    <w:p w14:paraId="53FF3DAC" w14:textId="77777777" w:rsidR="0065073E" w:rsidRDefault="000A0998">
      <w:pPr>
        <w:pStyle w:val="P68B1DB1-Normal5"/>
        <w:spacing w:before="120" w:after="120" w:line="240" w:lineRule="auto"/>
        <w:jc w:val="both"/>
        <w:rPr>
          <w:rFonts w:cs="Times New Roman"/>
          <w:noProof/>
        </w:rPr>
      </w:pPr>
      <w:r>
        <w:rPr>
          <w:noProof/>
        </w:rPr>
        <w:t>Uudistus 3 (C8.R3) – Yhdistämis-, kysynnänhallinta- ja joustopalveluja koskevan sääntelykehyksen kehittäminen</w:t>
      </w:r>
    </w:p>
    <w:p w14:paraId="45CDEA6D" w14:textId="77777777" w:rsidR="0065073E" w:rsidRDefault="000A0998">
      <w:pPr>
        <w:pStyle w:val="P68B1DB1-Normal4"/>
        <w:spacing w:before="120" w:after="120" w:line="240" w:lineRule="auto"/>
        <w:jc w:val="both"/>
        <w:rPr>
          <w:rFonts w:cs="Times New Roman"/>
          <w:noProof/>
        </w:rPr>
      </w:pPr>
      <w:r>
        <w:rPr>
          <w:noProof/>
        </w:rPr>
        <w:t>Tämän toimenpiteen tavoitteena on kehittää sääntelykehys, joka on tarpeen älykkään ja dynaamisen energiajärjestelmän kehittämiseksi, mukaan lukien I) kysynnänhallinta- ja joustopalvelujen sääntely kansallisessa sääntelyjärjestelmässä, ii) sääntelykehyksen kehittäminen erilaisten joustopalvelujen kattamiseksi ja iii) sellaisen kehyksen kehittäminen, jolla varmistetaan, että kuluttajat saavat käyttöönsä energiankulutustietojaan.</w:t>
      </w:r>
    </w:p>
    <w:p w14:paraId="1353EC9D" w14:textId="77777777" w:rsidR="0065073E" w:rsidRDefault="000A0998">
      <w:pPr>
        <w:pStyle w:val="P68B1DB1-Normal4"/>
        <w:spacing w:before="120" w:after="120" w:line="240" w:lineRule="auto"/>
        <w:jc w:val="both"/>
        <w:rPr>
          <w:rFonts w:cs="Times New Roman"/>
          <w:noProof/>
        </w:rPr>
      </w:pPr>
      <w:r>
        <w:rPr>
          <w:noProof/>
        </w:rPr>
        <w:t xml:space="preserve">Uudistuksen on oltava linjassa kansallisen energia- ja ilmastosuunnitelman kanssa, jossa tunnustetaan nimenomaisesti tarve määrittää tekniset vaatimukset, jotka koskevat uusiutuvista lähteistä peräisin olevaa energiaa tarjoavien toimijoiden, energiavarastojen haltijoiden ja kysyntäjoustopalveluja tarjoavien toimijoiden osallistumista nykyisille ja kehittyville markkinoille. </w:t>
      </w:r>
    </w:p>
    <w:p w14:paraId="5BF89605" w14:textId="77777777" w:rsidR="0065073E" w:rsidRDefault="000A0998">
      <w:pPr>
        <w:pStyle w:val="P68B1DB1-Normal4"/>
        <w:spacing w:before="120" w:after="120" w:line="240" w:lineRule="auto"/>
        <w:jc w:val="both"/>
        <w:rPr>
          <w:rFonts w:cs="Times New Roman"/>
          <w:noProof/>
        </w:rPr>
      </w:pPr>
      <w:r>
        <w:rPr>
          <w:noProof/>
        </w:rPr>
        <w:t xml:space="preserve">Kansallisessa energia- ja ilmastosuunnitelmassa korostetaan myös tarvetta kehittää yhteenliittymien, erityisesti riippumattomien yhteenliittymien, asemaa, jotta voidaan helpottaa niiden osallistumista markkinoille. Tätä varten uudistuksessa suunnitellaan riippumattoman kysynnän yhteenliittymän aseman luomista kuninkaan asetuksella 23/2020, jotta vähittäismarkkinoille voidaan päästä uusia toimijoita. </w:t>
      </w:r>
    </w:p>
    <w:p w14:paraId="01ECDE59" w14:textId="77777777" w:rsidR="0065073E" w:rsidRDefault="000A0998">
      <w:pPr>
        <w:pStyle w:val="P68B1DB1-Normal4"/>
        <w:spacing w:before="120" w:after="120" w:line="240" w:lineRule="auto"/>
        <w:jc w:val="both"/>
        <w:rPr>
          <w:rFonts w:cs="Times New Roman"/>
          <w:noProof/>
        </w:rPr>
      </w:pPr>
      <w:r>
        <w:rPr>
          <w:noProof/>
        </w:rPr>
        <w:t>Sen lisäksi, että uudistuksella tuetaan kansallista energia- ja ilmastosuunnitelmaa, sillä on saatettava osaksi kansallista lainsäädäntöä sähkön sisämarkkinoita koskevista yhteisistä säännöistä 5 päivänä kesäkuuta 2019 annettu Euroopan parlamentin ja neuvoston direktiivi (EU) 2019/944, jossa säädetään velvollisuudesta varmistaa kuluttajien osallistuminen markkinoille, myös kulutusjouston avulla, edistää kuluttajien osallistumista yksilöllisesti tai kootusti tai riippumattomien yhteenliittymien kautta ja sallia joustavuuden käyttö jakeluverkoissa.</w:t>
      </w:r>
    </w:p>
    <w:p w14:paraId="353C40D9"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650094B5" w14:textId="77777777" w:rsidR="0065073E" w:rsidRDefault="000A0998">
      <w:pPr>
        <w:pStyle w:val="P68B1DB1-Normal4"/>
        <w:spacing w:before="120" w:after="120" w:line="240" w:lineRule="auto"/>
        <w:jc w:val="both"/>
        <w:rPr>
          <w:rFonts w:eastAsia="Symbol" w:cs="Times New Roman"/>
          <w:noProof/>
          <w:u w:val="single"/>
        </w:rPr>
      </w:pPr>
      <w:r>
        <w:rPr>
          <w:noProof/>
          <w:u w:val="single"/>
        </w:rPr>
        <w:t>Uudistus 4 (C8.R4) – Sääntelyn testiympäristöt tai testialustat</w:t>
      </w:r>
      <w:r>
        <w:rPr>
          <w:noProof/>
        </w:rPr>
        <w:t xml:space="preserve"> </w:t>
      </w:r>
    </w:p>
    <w:p w14:paraId="712416A3" w14:textId="77777777" w:rsidR="0065073E" w:rsidRDefault="000A0998">
      <w:pPr>
        <w:pStyle w:val="P68B1DB1-Normal4"/>
        <w:spacing w:before="120" w:after="120" w:line="240" w:lineRule="auto"/>
        <w:jc w:val="both"/>
        <w:rPr>
          <w:rFonts w:cs="Times New Roman"/>
          <w:noProof/>
        </w:rPr>
      </w:pPr>
      <w:r>
        <w:rPr>
          <w:noProof/>
        </w:rPr>
        <w:t>Tämän toimenpiteen tarkoituksena on kehittää kansalliseen sääntelykehykseen lakisääteisiä testausympäristöjä, jotka mahdollistavat uusien tuotteiden tai teknologisten ratkaisujen, poikkeusten tai sääntelytakeiden käyttöönoton energia-alan tutkimuksen ja innovoinnin helpottamiseksi. Uudistus liittyy suoraan uudistukseen C8.R3 ja investointiin C8.I3.</w:t>
      </w:r>
    </w:p>
    <w:p w14:paraId="06ED5FA6" w14:textId="77777777" w:rsidR="0065073E" w:rsidRDefault="000A0998">
      <w:pPr>
        <w:pStyle w:val="P68B1DB1-Normal4"/>
        <w:spacing w:before="120" w:after="120" w:line="240" w:lineRule="auto"/>
        <w:jc w:val="both"/>
        <w:rPr>
          <w:rFonts w:cs="Times New Roman"/>
          <w:noProof/>
        </w:rPr>
      </w:pPr>
      <w:r>
        <w:rPr>
          <w:noProof/>
        </w:rPr>
        <w:t>Sääntelyn testiympäristöjen on mahdollistettava se, että teollisuus voi testata joustavuuteen, kulutusjoustoon ja energian varastointiin liittyviä uusia teknologioita, järjestelmiä ja palveluja turvallisessa ympäristössä, jossa asianomaiset osapuolet voivat kokea innovatiivisia ratkaisuja ilman, että niihin sovelletaan sääntelyvaatimuksia. Lisäksi testiympäristöjen on mahdollistettava hallinnon ja sääntelyviranomaisen välinen kaksisuuntainen sääntelyä koskeva vuoropuhelu, jolla nopeutetaan ja helpotetaan voimassa olevien säännösten tarkistamista ja mukautetaan niitä uusien toimijoiden markkinoille tulon huomioon ottamiseksi. Tämän odotetaan helpottavan teknologisten startup-yritysten perustamista antamalla niille mahdollisuuden testata liiketoimintamallejaan.</w:t>
      </w:r>
    </w:p>
    <w:p w14:paraId="0526FDD2" w14:textId="77777777" w:rsidR="0065073E" w:rsidRDefault="000A0998">
      <w:pPr>
        <w:pStyle w:val="P68B1DB1-Normal4"/>
        <w:spacing w:before="120" w:after="120" w:line="240" w:lineRule="auto"/>
        <w:jc w:val="both"/>
        <w:rPr>
          <w:rFonts w:cs="Times New Roman"/>
          <w:noProof/>
        </w:rPr>
      </w:pPr>
      <w:r>
        <w:rPr>
          <w:noProof/>
        </w:rPr>
        <w:t>Uudistukseen sisältyy sääntelyn testiympäristöjen kehittämistä koskevan kuninkaallisen asetuksen antaminen, jotta voidaan kehittää uusia pilottihankkeita, joiden tavoitteena on edistää tutkimusta ja innovointia sähköalalla.</w:t>
      </w:r>
    </w:p>
    <w:p w14:paraId="16B67689"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30 päivään kesäkuuta 2023 mennessä. </w:t>
      </w:r>
    </w:p>
    <w:p w14:paraId="39E4FD33" w14:textId="77777777" w:rsidR="0065073E" w:rsidRDefault="000A0998">
      <w:pPr>
        <w:pStyle w:val="P68B1DB1-Normal5"/>
        <w:spacing w:before="120" w:after="120" w:line="240" w:lineRule="auto"/>
        <w:jc w:val="both"/>
        <w:rPr>
          <w:rFonts w:eastAsia="Symbol" w:cs="Times New Roman"/>
          <w:noProof/>
        </w:rPr>
      </w:pPr>
      <w:r>
        <w:rPr>
          <w:noProof/>
        </w:rPr>
        <w:t xml:space="preserve">Investointi 1 (C8.I1) – Energian varastoinnin </w:t>
      </w:r>
      <w:bookmarkStart w:id="18" w:name="_Hlk145336439"/>
      <w:r>
        <w:rPr>
          <w:noProof/>
        </w:rPr>
        <w:t>käyttöönotto</w:t>
      </w:r>
      <w:bookmarkEnd w:id="18"/>
    </w:p>
    <w:p w14:paraId="1A040E87" w14:textId="230A0032" w:rsidR="0065073E" w:rsidRDefault="000A0998">
      <w:pPr>
        <w:pStyle w:val="P68B1DB1-Normal4"/>
        <w:spacing w:before="120" w:after="120" w:line="240" w:lineRule="auto"/>
        <w:jc w:val="both"/>
        <w:rPr>
          <w:rFonts w:eastAsia="Symbol" w:cs="Times New Roman"/>
          <w:noProof/>
        </w:rPr>
      </w:pPr>
      <w:r>
        <w:rPr>
          <w:noProof/>
        </w:rPr>
        <w:t>Tämän toimenpiteen tavoitteena on ottaa käyttöön energian varastointi käynnistämällä tuki- ja investointialoitteita kahdella keskeisellä alalla:</w:t>
      </w:r>
    </w:p>
    <w:p w14:paraId="3E2CB41E" w14:textId="092067C9" w:rsidR="0065073E" w:rsidRDefault="000A0998">
      <w:pPr>
        <w:pStyle w:val="P68B1DB1-Normal4"/>
        <w:numPr>
          <w:ilvl w:val="0"/>
          <w:numId w:val="102"/>
        </w:numPr>
        <w:spacing w:before="120" w:after="160" w:line="259" w:lineRule="auto"/>
        <w:ind w:left="426" w:hanging="426"/>
        <w:contextualSpacing/>
        <w:jc w:val="both"/>
        <w:rPr>
          <w:rFonts w:eastAsia="Symbol" w:cs="Times New Roman"/>
          <w:noProof/>
        </w:rPr>
      </w:pPr>
      <w:r>
        <w:rPr>
          <w:noProof/>
        </w:rPr>
        <w:t>Laajamittaisen varastoinnin kehittäminen. Laajamittainen varastointi on tarpeen, jotta voidaan integroida enemmän uusiutuvan energian tuotantoa ja tarjota järjestelmään palveluja taajuuden sääntelystä, asematasotuesta (jousto) tai mustasta käynnistyksestä; ja</w:t>
      </w:r>
    </w:p>
    <w:p w14:paraId="633A868D" w14:textId="51B64F63" w:rsidR="0065073E" w:rsidRDefault="000A0998">
      <w:pPr>
        <w:pStyle w:val="P68B1DB1-Normal4"/>
        <w:numPr>
          <w:ilvl w:val="0"/>
          <w:numId w:val="102"/>
        </w:numPr>
        <w:spacing w:before="120" w:after="160" w:line="259" w:lineRule="auto"/>
        <w:ind w:left="426" w:hanging="426"/>
        <w:contextualSpacing/>
        <w:jc w:val="both"/>
        <w:rPr>
          <w:rFonts w:eastAsia="Symbol" w:cs="Times New Roman"/>
          <w:noProof/>
        </w:rPr>
      </w:pPr>
      <w:r>
        <w:rPr>
          <w:noProof/>
        </w:rPr>
        <w:t xml:space="preserve">Edistetään mittarin taakse tapahtuvaa varastointia, joka on integroitu alakohtaisesti. Mittarin takana olevaan teknologiaan voi sisältyä omia kulutuslaitoksia, litiumakkuja ja lämmön varastointijärjestelmiä. </w:t>
      </w:r>
    </w:p>
    <w:p w14:paraId="26F518F8" w14:textId="77777777" w:rsidR="0065073E" w:rsidRDefault="000A0998">
      <w:pPr>
        <w:pStyle w:val="P68B1DB1-Normal4"/>
        <w:spacing w:before="120" w:after="120" w:line="240" w:lineRule="auto"/>
        <w:jc w:val="both"/>
        <w:rPr>
          <w:rFonts w:eastAsia="Symbol" w:cs="Times New Roman"/>
          <w:noProof/>
        </w:rPr>
      </w:pPr>
      <w:r>
        <w:rPr>
          <w:noProof/>
        </w:rPr>
        <w:t>Ehdotettua investointia on tuettava tämän komponentin uudistuksissa määritellyissä puitteissa, erityisesti uudistuksissa C8.R1 ja C8.R2, jotka muodostavat oikeudellisen ja strategisen perustan energian varastoinnin tehokkaalle käyttöönotolle.</w:t>
      </w:r>
    </w:p>
    <w:p w14:paraId="36426B1B" w14:textId="58213032" w:rsidR="0065073E" w:rsidRDefault="000A0998">
      <w:pPr>
        <w:pStyle w:val="P68B1DB1-Normal4"/>
        <w:spacing w:before="120" w:after="120" w:line="240" w:lineRule="auto"/>
        <w:jc w:val="both"/>
        <w:rPr>
          <w:rFonts w:eastAsia="Symbol" w:cs="Times New Roman"/>
          <w:noProof/>
        </w:rPr>
      </w:pPr>
      <w:r>
        <w:rPr>
          <w:noProof/>
        </w:rPr>
        <w:t>Toimenpide on toteutettava innovatiivisilla varastointihankkeilla, jotka edistävät energiasiirtymää, erityisesti uuden joustavuuden tarjoamiseksi energia-alalle, mukaan lukien uusiutuvien energialähteiden integrointi. Toiminnassa on oltava vähintään viisi innovatiivista varastointihanketta tai asennettu kokonaiskapasiteetti vähintään 660 MW (tai vastaava kokonaisenergialähde (MWh).</w:t>
      </w:r>
    </w:p>
    <w:p w14:paraId="65A5BF43" w14:textId="77777777" w:rsidR="0065073E" w:rsidRDefault="000A0998">
      <w:pPr>
        <w:pStyle w:val="P68B1DB1-Normal4"/>
        <w:spacing w:before="120" w:after="120" w:line="240" w:lineRule="auto"/>
        <w:jc w:val="both"/>
        <w:rPr>
          <w:rFonts w:eastAsia="Symbol" w:cs="Times New Roman"/>
          <w:noProof/>
        </w:rPr>
      </w:pPr>
      <w:r>
        <w:rPr>
          <w:noProof/>
        </w:rPr>
        <w:t xml:space="preserve">Investoinnin toteutus saatetaan päätökseen viimeistään 30. kesäkuuta 2026.   </w:t>
      </w:r>
    </w:p>
    <w:p w14:paraId="16F7D81D" w14:textId="77777777" w:rsidR="0065073E" w:rsidRDefault="000A0998">
      <w:pPr>
        <w:pStyle w:val="P68B1DB1-Normal5"/>
        <w:spacing w:before="120" w:after="120" w:line="240" w:lineRule="auto"/>
        <w:jc w:val="both"/>
        <w:rPr>
          <w:rFonts w:eastAsia="Symbol" w:cs="Times New Roman"/>
          <w:noProof/>
        </w:rPr>
      </w:pPr>
      <w:r>
        <w:rPr>
          <w:noProof/>
        </w:rPr>
        <w:t>Investointi 2 (C8.I2) – verkkojen digitalisointi</w:t>
      </w:r>
    </w:p>
    <w:p w14:paraId="49080D56" w14:textId="77777777" w:rsidR="0065073E" w:rsidRDefault="000A0998">
      <w:pPr>
        <w:pStyle w:val="P68B1DB1-Normal4"/>
        <w:spacing w:before="120" w:after="120" w:line="240" w:lineRule="auto"/>
        <w:jc w:val="both"/>
        <w:rPr>
          <w:rFonts w:eastAsiaTheme="minorEastAsia" w:cs="Times New Roman"/>
          <w:noProof/>
        </w:rPr>
      </w:pPr>
      <w:r>
        <w:rPr>
          <w:noProof/>
        </w:rPr>
        <w:t xml:space="preserve">Tällä toimenpiteellä tuetaan jakeluverkkojen digitalisointiin liittyviä investointeja, joilla pyritään saattamaan ne energiasiirtymän toteuttamiseksi tarvittavien vaatimusten mukaisiksi. Sähköverkkojen digitalisoinnin tarve on osa sähkön sisämarkkinoita koskevista yhteisistä säännöistä 5 päivänä kesäkuuta 2019 annettua Euroopan parlamentin ja neuvoston direktiiviä (EU) 2019/944, jossa todetaan, että jäsenvaltioiden olisi edistettävä verkkojen nykyaikaistamista esimerkiksi ottamalla käyttöön älykkäitä verkkoja. Verkkojen digitalisointi on tarpeen, jotta voidaan edistää energiajärjestelmän muutosta lisäämällä uusiutuvien energialähteiden käyttöä, jotta sähköjärjestelmä olisi turvallinen ja häiriönsietokykyinen. Se on erityisen tärkeää muilla kuin saarialueilla, joille on ominaista suurempi haavoittuvuus ja energiariippuvuus. </w:t>
      </w:r>
    </w:p>
    <w:p w14:paraId="72358A2A" w14:textId="77777777" w:rsidR="0065073E" w:rsidRDefault="000A0998">
      <w:pPr>
        <w:pStyle w:val="P68B1DB1-Normal4"/>
        <w:spacing w:before="120" w:after="120" w:line="240" w:lineRule="auto"/>
        <w:jc w:val="both"/>
        <w:rPr>
          <w:rFonts w:eastAsiaTheme="minorEastAsia" w:cs="Times New Roman"/>
          <w:noProof/>
        </w:rPr>
      </w:pPr>
      <w:r>
        <w:rPr>
          <w:noProof/>
        </w:rPr>
        <w:t>Toimenpiteen yleisenä tavoitteena on parantaa sähkön kilpailukykyä ja nopeuttaa talouden sähköistämistä. Tätä varten toimenpiteessä on säädettävä alustavasta tukimekanismista, jolla maksimoidaan verkkojen digitalisoinnin tarjoamat mahdollisuudet I) uusiutuvan energian tuotannon hävikkien ja vuotojen vähentäminen, ii) kysynnän edistäminen sähköjärjestelmän hallinnassa ja iii) verkon konfiguraation optimointi.</w:t>
      </w:r>
    </w:p>
    <w:p w14:paraId="2CC15D25" w14:textId="77777777" w:rsidR="0065073E" w:rsidRDefault="000A0998">
      <w:pPr>
        <w:pStyle w:val="P68B1DB1-Normal4"/>
        <w:spacing w:before="120" w:after="120" w:line="240" w:lineRule="auto"/>
        <w:jc w:val="both"/>
        <w:rPr>
          <w:rFonts w:eastAsiaTheme="minorEastAsia" w:cs="Times New Roman"/>
          <w:noProof/>
        </w:rPr>
      </w:pPr>
      <w:r>
        <w:rPr>
          <w:noProof/>
        </w:rPr>
        <w:t>Toimenpiteeseen on sisällyttävä vähintään 35 innovatiivisen digitointihankkeen (älykäs sähkönjakelu) myöntäminen jakeluyrityksille.</w:t>
      </w:r>
    </w:p>
    <w:p w14:paraId="6BC816DA" w14:textId="77777777" w:rsidR="0065073E" w:rsidRDefault="000A0998">
      <w:pPr>
        <w:pStyle w:val="P68B1DB1-Normal4"/>
        <w:spacing w:before="120" w:after="120" w:line="240" w:lineRule="auto"/>
        <w:jc w:val="both"/>
        <w:rPr>
          <w:rFonts w:eastAsiaTheme="minorEastAsia" w:cs="Times New Roman"/>
          <w:noProof/>
        </w:rPr>
      </w:pPr>
      <w:r>
        <w:rPr>
          <w:noProof/>
        </w:rPr>
        <w:t xml:space="preserve">Investoinnin toteutus on saatettava päätökseen 31 päivään joulukuuta 2023 mennessä.  </w:t>
      </w:r>
    </w:p>
    <w:p w14:paraId="2ACDB3D4" w14:textId="77777777" w:rsidR="0065073E" w:rsidRDefault="000A0998">
      <w:pPr>
        <w:pStyle w:val="P68B1DB1-Normal5"/>
        <w:keepNext/>
        <w:spacing w:before="120" w:after="120" w:line="240" w:lineRule="auto"/>
        <w:jc w:val="both"/>
        <w:rPr>
          <w:rFonts w:eastAsia="Symbol" w:cs="Times New Roman"/>
          <w:noProof/>
        </w:rPr>
      </w:pPr>
      <w:r>
        <w:rPr>
          <w:noProof/>
        </w:rPr>
        <w:t>Investointi 3 (C8.I3) – Energiasiirtymän uudet liiketoimintamallit</w:t>
      </w:r>
    </w:p>
    <w:p w14:paraId="6D6F38D9" w14:textId="77777777" w:rsidR="0065073E" w:rsidRDefault="000A0998">
      <w:pPr>
        <w:pStyle w:val="P68B1DB1-Normal4"/>
        <w:keepNext/>
        <w:spacing w:before="120" w:after="120" w:line="240" w:lineRule="auto"/>
        <w:jc w:val="both"/>
        <w:rPr>
          <w:rFonts w:eastAsia="Symbol" w:cs="Times New Roman"/>
          <w:noProof/>
        </w:rPr>
      </w:pPr>
      <w:r>
        <w:rPr>
          <w:noProof/>
        </w:rPr>
        <w:t xml:space="preserve">Tähän toimenpiteeseen on sisällyttävä investointeja ja tukimekanismeja, joilla pyritään edistämään uusia liiketoimintamalleja, jotka liittyvät energian varastoinnin käyttöönottoon sekä sen uusintakertaiseen hallintaan ja kierrätykseen, kysynnän hallintaan, aggregaattoreihin, joustopalveluihin, datan saatavuuteen ja testiympäristöihin. Toimenpiteeseen on sisällyttävä erityisesti: </w:t>
      </w:r>
    </w:p>
    <w:p w14:paraId="5C89B677" w14:textId="77777777" w:rsidR="0065073E" w:rsidRDefault="000A0998">
      <w:pPr>
        <w:pStyle w:val="P68B1DB1-Normal4"/>
        <w:numPr>
          <w:ilvl w:val="0"/>
          <w:numId w:val="101"/>
        </w:numPr>
        <w:spacing w:before="120" w:after="160" w:line="259" w:lineRule="auto"/>
        <w:ind w:left="426" w:hanging="426"/>
        <w:contextualSpacing/>
        <w:jc w:val="both"/>
        <w:rPr>
          <w:rFonts w:eastAsia="Symbol" w:cs="Times New Roman"/>
          <w:noProof/>
        </w:rPr>
      </w:pPr>
      <w:r>
        <w:rPr>
          <w:noProof/>
        </w:rPr>
        <w:t>Aggregaattoreiden käyttöönoton tukeminen kansallisilla sähkömarkkinoilla keskittyen erityisesti riippumattomiin yhteenliittymiin asentamalla reaaliaikaisia mittauslaitteita (alamittauksia) ja valvonta- ja viestintäkeskuksia sekä edistämällä aggregointialustoja;</w:t>
      </w:r>
    </w:p>
    <w:p w14:paraId="73FE182B" w14:textId="77777777" w:rsidR="0065073E" w:rsidRDefault="000A0998">
      <w:pPr>
        <w:pStyle w:val="P68B1DB1-Normal4"/>
        <w:numPr>
          <w:ilvl w:val="0"/>
          <w:numId w:val="101"/>
        </w:numPr>
        <w:spacing w:before="120" w:after="160" w:line="259" w:lineRule="auto"/>
        <w:ind w:left="426" w:hanging="426"/>
        <w:contextualSpacing/>
        <w:jc w:val="both"/>
        <w:rPr>
          <w:rFonts w:eastAsia="Symbol" w:cs="Times New Roman"/>
          <w:noProof/>
        </w:rPr>
      </w:pPr>
      <w:r>
        <w:rPr>
          <w:noProof/>
        </w:rPr>
        <w:t>Varastoinnin käyttöönotto koko arvoketjussa;</w:t>
      </w:r>
    </w:p>
    <w:p w14:paraId="7A574EA9" w14:textId="77777777" w:rsidR="0065073E" w:rsidRDefault="000A0998">
      <w:pPr>
        <w:pStyle w:val="P68B1DB1-Normal4"/>
        <w:numPr>
          <w:ilvl w:val="0"/>
          <w:numId w:val="101"/>
        </w:numPr>
        <w:spacing w:before="120" w:after="160" w:line="259" w:lineRule="auto"/>
        <w:ind w:left="426" w:hanging="426"/>
        <w:contextualSpacing/>
        <w:jc w:val="both"/>
        <w:rPr>
          <w:rFonts w:eastAsia="Symbol" w:cs="Times New Roman"/>
          <w:noProof/>
        </w:rPr>
      </w:pPr>
      <w:r>
        <w:rPr>
          <w:noProof/>
        </w:rPr>
        <w:t>Tuki kysynnänhallintahankkeille, joilla on erilaisia kuluttajaprofiileja (suurteollisuus, pk-yritykset, uusiutuvan energian yhteisöt, kansalaisten energiayhteisöt, yhteenliittymät jne.)</w:t>
      </w:r>
    </w:p>
    <w:p w14:paraId="0616224B" w14:textId="77777777" w:rsidR="0065073E" w:rsidRDefault="000A0998">
      <w:pPr>
        <w:pStyle w:val="P68B1DB1-Normal4"/>
        <w:numPr>
          <w:ilvl w:val="0"/>
          <w:numId w:val="101"/>
        </w:numPr>
        <w:spacing w:before="120" w:after="160" w:line="259" w:lineRule="auto"/>
        <w:ind w:left="426" w:hanging="426"/>
        <w:contextualSpacing/>
        <w:jc w:val="both"/>
        <w:rPr>
          <w:rFonts w:eastAsia="Symbol" w:cs="Times New Roman"/>
          <w:noProof/>
        </w:rPr>
      </w:pPr>
      <w:r>
        <w:rPr>
          <w:noProof/>
        </w:rPr>
        <w:t>Kehottaa tekemään hakemuksia, jotka koskevat lakisääteisten testialustojen toteuttamista suorana, kilpailuun perustuvana tukena tai yhteistyösopimuksina; ja</w:t>
      </w:r>
    </w:p>
    <w:p w14:paraId="07056859" w14:textId="77777777" w:rsidR="0065073E" w:rsidRDefault="000A0998">
      <w:pPr>
        <w:pStyle w:val="P68B1DB1-Normal4"/>
        <w:numPr>
          <w:ilvl w:val="0"/>
          <w:numId w:val="101"/>
        </w:numPr>
        <w:spacing w:before="120" w:after="120" w:line="259" w:lineRule="auto"/>
        <w:ind w:left="425" w:hanging="425"/>
        <w:jc w:val="both"/>
        <w:rPr>
          <w:rFonts w:eastAsia="Symbol" w:cs="Times New Roman"/>
          <w:noProof/>
        </w:rPr>
      </w:pPr>
      <w:r>
        <w:rPr>
          <w:noProof/>
        </w:rPr>
        <w:t>Tuki aloitteleville yrityksille tai innovatiivisille energia-alan aloitteille.</w:t>
      </w:r>
    </w:p>
    <w:p w14:paraId="01C11A95" w14:textId="77777777" w:rsidR="0065073E" w:rsidRDefault="000A0998">
      <w:pPr>
        <w:pStyle w:val="P68B1DB1-Normal4"/>
        <w:spacing w:before="120" w:after="120" w:line="240" w:lineRule="auto"/>
        <w:jc w:val="both"/>
        <w:rPr>
          <w:rFonts w:eastAsia="Symbol" w:cs="Times New Roman"/>
          <w:noProof/>
        </w:rPr>
      </w:pPr>
      <w:r>
        <w:rPr>
          <w:noProof/>
        </w:rPr>
        <w:t>Investointi liittyy läheisesti uudistukseen C8.R4, jolla pyritään kehittämään sääntelyn testiympäristöjä innovatiivisille hankkeille. Se perustuu myös muissa uudistuksissa, erityisesti uudistuksessa C8.R3 määriteltyyn strategiseen ja sääntelykehykseen.</w:t>
      </w:r>
    </w:p>
    <w:p w14:paraId="7C132290" w14:textId="702B13DB" w:rsidR="0065073E" w:rsidRDefault="000A0998">
      <w:pPr>
        <w:pStyle w:val="P68B1DB1-Normal4"/>
        <w:spacing w:before="120" w:after="120" w:line="240" w:lineRule="auto"/>
        <w:jc w:val="both"/>
        <w:rPr>
          <w:rFonts w:eastAsia="Symbol" w:cs="Times New Roman"/>
          <w:noProof/>
        </w:rPr>
      </w:pPr>
      <w:r>
        <w:rPr>
          <w:noProof/>
        </w:rPr>
        <w:t>On odotettavissa, että vähintään 18 hankkeelle myönnetään tukea energiakäänteen uusien liiketoimintamallien edistämiseen, mukaan lukien älykäs mittaus, varastointi, kysyntäjousto, joustopalvelut ja data.</w:t>
      </w:r>
    </w:p>
    <w:p w14:paraId="7AFBC81D" w14:textId="77777777" w:rsidR="0065073E" w:rsidRDefault="000A0998">
      <w:pPr>
        <w:pStyle w:val="P68B1DB1-Normal4"/>
        <w:spacing w:before="120" w:after="120" w:line="240" w:lineRule="auto"/>
        <w:jc w:val="both"/>
        <w:rPr>
          <w:rFonts w:eastAsia="Symbol" w:cs="Times New Roman"/>
          <w:noProof/>
        </w:rPr>
      </w:pPr>
      <w:r>
        <w:rPr>
          <w:noProof/>
        </w:rPr>
        <w:t>Investoinnin toteutus on saatettava päätökseen 31 päivään joulukuuta 2023 mennessä.</w:t>
      </w:r>
    </w:p>
    <w:p w14:paraId="0C18562F"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H.2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9C00E4A" w14:textId="77777777" w:rsidR="0065073E" w:rsidRDefault="000A0998">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42C6D796" w14:textId="77777777" w:rsidR="0065073E" w:rsidRDefault="0065073E">
      <w:pPr>
        <w:spacing w:before="120" w:after="120" w:line="240" w:lineRule="auto"/>
        <w:jc w:val="both"/>
        <w:rPr>
          <w:rFonts w:ascii="Times New Roman" w:hAnsi="Times New Roman" w:cs="Times New Roman"/>
          <w:i/>
          <w:noProof/>
          <w:sz w:val="24"/>
        </w:rPr>
      </w:pPr>
    </w:p>
    <w:p w14:paraId="6E1831B3"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829"/>
        <w:gridCol w:w="828"/>
        <w:gridCol w:w="2343"/>
        <w:gridCol w:w="1104"/>
        <w:gridCol w:w="829"/>
        <w:gridCol w:w="966"/>
        <w:gridCol w:w="553"/>
        <w:gridCol w:w="553"/>
        <w:gridCol w:w="553"/>
        <w:gridCol w:w="6061"/>
      </w:tblGrid>
      <w:tr w:rsidR="0065073E" w14:paraId="06A4CBE2" w14:textId="77777777">
        <w:trPr>
          <w:trHeight w:val="309"/>
          <w:tblHeader/>
        </w:trPr>
        <w:tc>
          <w:tcPr>
            <w:tcW w:w="833" w:type="dxa"/>
            <w:tcBorders>
              <w:bottom w:val="nil"/>
            </w:tcBorders>
            <w:shd w:val="clear" w:color="auto" w:fill="C6D9F1" w:themeFill="text2" w:themeFillTint="33"/>
            <w:noWrap/>
            <w:vAlign w:val="center"/>
          </w:tcPr>
          <w:p w14:paraId="27A0EC95"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683D1FD8"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00006DBC"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343" w:type="dxa"/>
            <w:tcBorders>
              <w:bottom w:val="nil"/>
            </w:tcBorders>
            <w:shd w:val="clear" w:color="auto" w:fill="C6D9F1" w:themeFill="text2" w:themeFillTint="33"/>
            <w:noWrap/>
            <w:vAlign w:val="center"/>
          </w:tcPr>
          <w:p w14:paraId="0399D578" w14:textId="77777777" w:rsidR="0065073E" w:rsidRDefault="000A0998">
            <w:pPr>
              <w:pStyle w:val="P68B1DB1-Normal8"/>
              <w:spacing w:after="0" w:line="240" w:lineRule="auto"/>
              <w:jc w:val="center"/>
              <w:rPr>
                <w:rFonts w:cs="Times New Roman"/>
                <w:noProof/>
              </w:rPr>
            </w:pPr>
            <w:r>
              <w:rPr>
                <w:noProof/>
              </w:rPr>
              <w:t>Nimi</w:t>
            </w:r>
          </w:p>
        </w:tc>
        <w:tc>
          <w:tcPr>
            <w:tcW w:w="1104" w:type="dxa"/>
            <w:tcBorders>
              <w:bottom w:val="nil"/>
            </w:tcBorders>
            <w:shd w:val="clear" w:color="auto" w:fill="C6D9F1" w:themeFill="text2" w:themeFillTint="33"/>
            <w:noWrap/>
            <w:vAlign w:val="center"/>
          </w:tcPr>
          <w:p w14:paraId="6956393C"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48" w:type="dxa"/>
            <w:gridSpan w:val="3"/>
            <w:shd w:val="clear" w:color="auto" w:fill="C6D9F1" w:themeFill="text2" w:themeFillTint="33"/>
            <w:noWrap/>
            <w:vAlign w:val="center"/>
          </w:tcPr>
          <w:p w14:paraId="2AF17811"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06" w:type="dxa"/>
            <w:gridSpan w:val="2"/>
            <w:shd w:val="clear" w:color="auto" w:fill="C6D9F1" w:themeFill="text2" w:themeFillTint="33"/>
            <w:noWrap/>
            <w:vAlign w:val="center"/>
          </w:tcPr>
          <w:p w14:paraId="581508C5" w14:textId="77777777" w:rsidR="0065073E" w:rsidRDefault="000A0998">
            <w:pPr>
              <w:pStyle w:val="P68B1DB1-Normal8"/>
              <w:spacing w:after="0" w:line="240" w:lineRule="auto"/>
              <w:jc w:val="center"/>
              <w:rPr>
                <w:rFonts w:cs="Times New Roman"/>
                <w:noProof/>
              </w:rPr>
            </w:pPr>
            <w:r>
              <w:rPr>
                <w:noProof/>
              </w:rPr>
              <w:t>Aika</w:t>
            </w:r>
          </w:p>
        </w:tc>
        <w:tc>
          <w:tcPr>
            <w:tcW w:w="6061" w:type="dxa"/>
            <w:tcBorders>
              <w:bottom w:val="nil"/>
            </w:tcBorders>
            <w:shd w:val="clear" w:color="auto" w:fill="C6D9F1" w:themeFill="text2" w:themeFillTint="33"/>
            <w:noWrap/>
            <w:vAlign w:val="center"/>
          </w:tcPr>
          <w:p w14:paraId="16810C53"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0E43F52B" w14:textId="77777777">
        <w:trPr>
          <w:trHeight w:val="309"/>
          <w:tblHeader/>
        </w:trPr>
        <w:tc>
          <w:tcPr>
            <w:tcW w:w="833" w:type="dxa"/>
            <w:tcBorders>
              <w:top w:val="nil"/>
            </w:tcBorders>
            <w:shd w:val="clear" w:color="auto" w:fill="C6D9F1" w:themeFill="text2" w:themeFillTint="33"/>
            <w:noWrap/>
          </w:tcPr>
          <w:p w14:paraId="54E11D2A"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31126E5D"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2DE403A5" w14:textId="77777777" w:rsidR="0065073E" w:rsidRDefault="0065073E">
            <w:pPr>
              <w:spacing w:after="0" w:line="240" w:lineRule="auto"/>
              <w:jc w:val="center"/>
              <w:rPr>
                <w:rFonts w:ascii="Times New Roman" w:hAnsi="Times New Roman" w:cs="Times New Roman"/>
                <w:b/>
                <w:noProof/>
                <w:sz w:val="18"/>
              </w:rPr>
            </w:pPr>
          </w:p>
        </w:tc>
        <w:tc>
          <w:tcPr>
            <w:tcW w:w="2343" w:type="dxa"/>
            <w:tcBorders>
              <w:top w:val="nil"/>
            </w:tcBorders>
            <w:shd w:val="clear" w:color="auto" w:fill="C6D9F1" w:themeFill="text2" w:themeFillTint="33"/>
            <w:noWrap/>
          </w:tcPr>
          <w:p w14:paraId="62431CDC" w14:textId="77777777" w:rsidR="0065073E" w:rsidRDefault="0065073E">
            <w:pPr>
              <w:spacing w:after="0" w:line="240" w:lineRule="auto"/>
              <w:rPr>
                <w:rFonts w:ascii="Times New Roman" w:hAnsi="Times New Roman" w:cs="Times New Roman"/>
                <w:b/>
                <w:noProof/>
                <w:sz w:val="18"/>
              </w:rPr>
            </w:pPr>
          </w:p>
        </w:tc>
        <w:tc>
          <w:tcPr>
            <w:tcW w:w="1104" w:type="dxa"/>
            <w:tcBorders>
              <w:top w:val="nil"/>
            </w:tcBorders>
            <w:shd w:val="clear" w:color="auto" w:fill="C6D9F1" w:themeFill="text2" w:themeFillTint="33"/>
            <w:noWrap/>
          </w:tcPr>
          <w:p w14:paraId="49E398E2"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4ABBA8A3"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vAlign w:val="center"/>
          </w:tcPr>
          <w:p w14:paraId="394E72C3" w14:textId="38E42F3B" w:rsidR="0065073E" w:rsidRDefault="000A0998">
            <w:pPr>
              <w:pStyle w:val="P68B1DB1-Normal8"/>
              <w:spacing w:after="0" w:line="240" w:lineRule="auto"/>
              <w:jc w:val="center"/>
              <w:rPr>
                <w:rFonts w:cs="Times New Roman"/>
                <w:noProof/>
              </w:rPr>
            </w:pPr>
            <w:r>
              <w:rPr>
                <w:noProof/>
              </w:rPr>
              <w:t>Lähtötaso</w:t>
            </w:r>
          </w:p>
        </w:tc>
        <w:tc>
          <w:tcPr>
            <w:tcW w:w="553" w:type="dxa"/>
            <w:shd w:val="clear" w:color="auto" w:fill="C6D9F1" w:themeFill="text2" w:themeFillTint="33"/>
            <w:noWrap/>
            <w:vAlign w:val="center"/>
          </w:tcPr>
          <w:p w14:paraId="2E8B2227" w14:textId="77777777" w:rsidR="0065073E" w:rsidRDefault="000A0998">
            <w:pPr>
              <w:pStyle w:val="P68B1DB1-Normal8"/>
              <w:spacing w:after="0" w:line="240" w:lineRule="auto"/>
              <w:jc w:val="center"/>
              <w:rPr>
                <w:rFonts w:cs="Times New Roman"/>
                <w:noProof/>
              </w:rPr>
            </w:pPr>
            <w:r>
              <w:rPr>
                <w:noProof/>
              </w:rPr>
              <w:t>Päämäärä</w:t>
            </w:r>
          </w:p>
        </w:tc>
        <w:tc>
          <w:tcPr>
            <w:tcW w:w="553" w:type="dxa"/>
            <w:shd w:val="clear" w:color="auto" w:fill="C6D9F1" w:themeFill="text2" w:themeFillTint="33"/>
            <w:noWrap/>
            <w:vAlign w:val="center"/>
          </w:tcPr>
          <w:p w14:paraId="1B0FDDEC"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34F5C5B" w14:textId="77777777" w:rsidR="0065073E" w:rsidRDefault="000A0998">
            <w:pPr>
              <w:pStyle w:val="P68B1DB1-Normal8"/>
              <w:spacing w:after="0" w:line="240" w:lineRule="auto"/>
              <w:jc w:val="center"/>
              <w:rPr>
                <w:rFonts w:cs="Times New Roman"/>
                <w:noProof/>
              </w:rPr>
            </w:pPr>
            <w:r>
              <w:rPr>
                <w:noProof/>
              </w:rPr>
              <w:t>Vuosi</w:t>
            </w:r>
          </w:p>
        </w:tc>
        <w:tc>
          <w:tcPr>
            <w:tcW w:w="6061" w:type="dxa"/>
            <w:tcBorders>
              <w:top w:val="nil"/>
            </w:tcBorders>
            <w:shd w:val="clear" w:color="auto" w:fill="C6D9F1" w:themeFill="text2" w:themeFillTint="33"/>
            <w:noWrap/>
          </w:tcPr>
          <w:p w14:paraId="16287F21" w14:textId="77777777" w:rsidR="0065073E" w:rsidRDefault="0065073E">
            <w:pPr>
              <w:spacing w:after="0" w:line="240" w:lineRule="auto"/>
              <w:rPr>
                <w:rFonts w:ascii="Times New Roman" w:hAnsi="Times New Roman" w:cs="Times New Roman"/>
                <w:b/>
                <w:noProof/>
                <w:sz w:val="18"/>
              </w:rPr>
            </w:pPr>
          </w:p>
        </w:tc>
      </w:tr>
      <w:tr w:rsidR="0065073E" w14:paraId="1D80BCA7" w14:textId="77777777">
        <w:trPr>
          <w:trHeight w:val="309"/>
        </w:trPr>
        <w:tc>
          <w:tcPr>
            <w:tcW w:w="833" w:type="dxa"/>
            <w:shd w:val="clear" w:color="auto" w:fill="C6EFCE"/>
            <w:noWrap/>
          </w:tcPr>
          <w:p w14:paraId="52DEB7E5" w14:textId="77777777" w:rsidR="0065073E" w:rsidRDefault="000A0998">
            <w:pPr>
              <w:pStyle w:val="P68B1DB1-Normal12"/>
              <w:spacing w:after="0" w:line="240" w:lineRule="auto"/>
              <w:jc w:val="center"/>
              <w:rPr>
                <w:rFonts w:eastAsia="Symbol" w:cs="Times New Roman"/>
                <w:noProof/>
              </w:rPr>
            </w:pPr>
            <w:r>
              <w:rPr>
                <w:noProof/>
              </w:rPr>
              <w:t>121</w:t>
            </w:r>
          </w:p>
        </w:tc>
        <w:tc>
          <w:tcPr>
            <w:tcW w:w="829" w:type="dxa"/>
            <w:shd w:val="clear" w:color="auto" w:fill="C6EFCE"/>
            <w:noWrap/>
          </w:tcPr>
          <w:p w14:paraId="33FAD8A2" w14:textId="77777777" w:rsidR="0065073E" w:rsidRDefault="000A0998">
            <w:pPr>
              <w:pStyle w:val="P68B1DB1-Normal12"/>
              <w:spacing w:after="0" w:line="240" w:lineRule="auto"/>
              <w:jc w:val="center"/>
              <w:rPr>
                <w:rFonts w:eastAsia="Symbol" w:cs="Times New Roman"/>
                <w:noProof/>
              </w:rPr>
            </w:pPr>
            <w:r>
              <w:rPr>
                <w:noProof/>
              </w:rPr>
              <w:t>C8.R1</w:t>
            </w:r>
          </w:p>
        </w:tc>
        <w:tc>
          <w:tcPr>
            <w:tcW w:w="828" w:type="dxa"/>
            <w:shd w:val="clear" w:color="auto" w:fill="C6EFCE"/>
            <w:noWrap/>
          </w:tcPr>
          <w:p w14:paraId="06BB0C0F" w14:textId="77777777" w:rsidR="0065073E" w:rsidRDefault="000A0998">
            <w:pPr>
              <w:pStyle w:val="P68B1DB1-Normal12"/>
              <w:spacing w:after="0" w:line="240" w:lineRule="auto"/>
              <w:jc w:val="center"/>
              <w:rPr>
                <w:rFonts w:eastAsia="Symbol" w:cs="Times New Roman"/>
                <w:noProof/>
              </w:rPr>
            </w:pPr>
            <w:r>
              <w:rPr>
                <w:noProof/>
              </w:rPr>
              <w:t>M</w:t>
            </w:r>
          </w:p>
        </w:tc>
        <w:tc>
          <w:tcPr>
            <w:tcW w:w="2343" w:type="dxa"/>
            <w:shd w:val="clear" w:color="auto" w:fill="C6EFCE"/>
            <w:noWrap/>
          </w:tcPr>
          <w:p w14:paraId="5562B7B2" w14:textId="77777777" w:rsidR="0065073E" w:rsidRDefault="000A0998">
            <w:pPr>
              <w:pStyle w:val="P68B1DB1-Normal12"/>
              <w:spacing w:after="0" w:line="240" w:lineRule="auto"/>
              <w:rPr>
                <w:rFonts w:eastAsia="Symbol" w:cs="Times New Roman"/>
                <w:noProof/>
              </w:rPr>
            </w:pPr>
            <w:r>
              <w:rPr>
                <w:noProof/>
              </w:rPr>
              <w:t>Hiilestä irtautumista koskevan pitkän aikavälin strategian (ELP2050) hyväksyminen.</w:t>
            </w:r>
          </w:p>
        </w:tc>
        <w:tc>
          <w:tcPr>
            <w:tcW w:w="1104" w:type="dxa"/>
            <w:shd w:val="clear" w:color="auto" w:fill="C6EFCE"/>
            <w:noWrap/>
          </w:tcPr>
          <w:p w14:paraId="082FD219" w14:textId="77777777" w:rsidR="0065073E" w:rsidRDefault="000A0998">
            <w:pPr>
              <w:pStyle w:val="P68B1DB1-Normal12"/>
              <w:spacing w:after="0" w:line="240" w:lineRule="auto"/>
              <w:jc w:val="center"/>
              <w:rPr>
                <w:rFonts w:eastAsia="Symbol" w:cs="Times New Roman"/>
                <w:noProof/>
              </w:rPr>
            </w:pPr>
            <w:r>
              <w:rPr>
                <w:noProof/>
              </w:rPr>
              <w:t>Ministerineuvoston hyväksyntä:</w:t>
            </w:r>
          </w:p>
        </w:tc>
        <w:tc>
          <w:tcPr>
            <w:tcW w:w="829" w:type="dxa"/>
            <w:shd w:val="clear" w:color="auto" w:fill="C6EFCE"/>
            <w:noWrap/>
          </w:tcPr>
          <w:p w14:paraId="4D23D007"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07256260"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29B840A6"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2F103B77" w14:textId="77777777" w:rsidR="0065073E" w:rsidRDefault="000A0998">
            <w:pPr>
              <w:pStyle w:val="P68B1DB1-Normal12"/>
              <w:spacing w:after="0" w:line="240" w:lineRule="auto"/>
              <w:jc w:val="center"/>
              <w:rPr>
                <w:rFonts w:eastAsia="Symbol" w:cs="Times New Roman"/>
                <w:noProof/>
              </w:rPr>
            </w:pPr>
            <w:r>
              <w:rPr>
                <w:noProof/>
              </w:rPr>
              <w:t>ENSIMMÄINEN VUOSINELJÄNNES</w:t>
            </w:r>
          </w:p>
        </w:tc>
        <w:tc>
          <w:tcPr>
            <w:tcW w:w="553" w:type="dxa"/>
            <w:shd w:val="clear" w:color="auto" w:fill="C6EFCE"/>
            <w:noWrap/>
          </w:tcPr>
          <w:p w14:paraId="7351E708" w14:textId="77777777" w:rsidR="0065073E" w:rsidRDefault="000A0998">
            <w:pPr>
              <w:pStyle w:val="P68B1DB1-Normal12"/>
              <w:spacing w:after="0" w:line="240" w:lineRule="auto"/>
              <w:jc w:val="center"/>
              <w:rPr>
                <w:rFonts w:eastAsia="Symbol" w:cs="Times New Roman"/>
                <w:noProof/>
              </w:rPr>
            </w:pPr>
            <w:r>
              <w:rPr>
                <w:noProof/>
              </w:rPr>
              <w:t>2021</w:t>
            </w:r>
          </w:p>
        </w:tc>
        <w:tc>
          <w:tcPr>
            <w:tcW w:w="6061" w:type="dxa"/>
            <w:shd w:val="clear" w:color="auto" w:fill="C6EFCE"/>
            <w:noWrap/>
          </w:tcPr>
          <w:p w14:paraId="21034D0B" w14:textId="77777777" w:rsidR="0065073E" w:rsidRDefault="000A0998">
            <w:pPr>
              <w:pStyle w:val="P68B1DB1-Normal12"/>
              <w:spacing w:after="0" w:line="240" w:lineRule="auto"/>
              <w:rPr>
                <w:rFonts w:eastAsia="Symbol" w:cs="Times New Roman"/>
                <w:noProof/>
              </w:rPr>
            </w:pPr>
            <w:r>
              <w:rPr>
                <w:noProof/>
              </w:rPr>
              <w:t>Hiilestä irtautumista koskevan pitkän aikavälin strategian (ELP2050) hyväksyminen. ELP50-ohjelma muodostaa perustan uusiutuvan energian tehokasta integrointia joustavaan ja älykkääseen energiajärjestelmään koskevan strategisen ja sääntelykehyksen määrittelylle, jota on tarkasteltava kansallisessa energia- ja ilmastosuunnitelmassa esitetyn laajemman lähestymistavan yhteydessä.</w:t>
            </w:r>
          </w:p>
        </w:tc>
      </w:tr>
      <w:tr w:rsidR="0065073E" w14:paraId="76CF18B4" w14:textId="77777777">
        <w:trPr>
          <w:trHeight w:val="309"/>
        </w:trPr>
        <w:tc>
          <w:tcPr>
            <w:tcW w:w="833" w:type="dxa"/>
            <w:shd w:val="clear" w:color="auto" w:fill="C6EFCE"/>
            <w:noWrap/>
          </w:tcPr>
          <w:p w14:paraId="18EE793C" w14:textId="77777777" w:rsidR="0065073E" w:rsidRDefault="000A0998">
            <w:pPr>
              <w:pStyle w:val="P68B1DB1-Normal12"/>
              <w:spacing w:after="0" w:line="240" w:lineRule="auto"/>
              <w:jc w:val="center"/>
              <w:rPr>
                <w:rFonts w:eastAsia="Symbol" w:cs="Times New Roman"/>
                <w:noProof/>
              </w:rPr>
            </w:pPr>
            <w:r>
              <w:rPr>
                <w:noProof/>
              </w:rPr>
              <w:t>122</w:t>
            </w:r>
          </w:p>
        </w:tc>
        <w:tc>
          <w:tcPr>
            <w:tcW w:w="829" w:type="dxa"/>
            <w:shd w:val="clear" w:color="auto" w:fill="C6EFCE"/>
            <w:noWrap/>
          </w:tcPr>
          <w:p w14:paraId="5D63AFB9" w14:textId="77777777" w:rsidR="0065073E" w:rsidRDefault="000A0998">
            <w:pPr>
              <w:pStyle w:val="P68B1DB1-Normal12"/>
              <w:spacing w:after="0" w:line="240" w:lineRule="auto"/>
              <w:jc w:val="center"/>
              <w:rPr>
                <w:rFonts w:eastAsia="Symbol" w:cs="Times New Roman"/>
                <w:noProof/>
              </w:rPr>
            </w:pPr>
            <w:r>
              <w:rPr>
                <w:noProof/>
              </w:rPr>
              <w:t>C8.R2</w:t>
            </w:r>
          </w:p>
        </w:tc>
        <w:tc>
          <w:tcPr>
            <w:tcW w:w="828" w:type="dxa"/>
            <w:shd w:val="clear" w:color="auto" w:fill="C6EFCE"/>
            <w:noWrap/>
          </w:tcPr>
          <w:p w14:paraId="28C76C2F" w14:textId="77777777" w:rsidR="0065073E" w:rsidRDefault="000A0998">
            <w:pPr>
              <w:pStyle w:val="P68B1DB1-Normal12"/>
              <w:spacing w:after="0" w:line="240" w:lineRule="auto"/>
              <w:jc w:val="center"/>
              <w:rPr>
                <w:rFonts w:eastAsia="Symbol" w:cs="Times New Roman"/>
                <w:noProof/>
              </w:rPr>
            </w:pPr>
            <w:r>
              <w:rPr>
                <w:noProof/>
              </w:rPr>
              <w:t>M</w:t>
            </w:r>
          </w:p>
        </w:tc>
        <w:tc>
          <w:tcPr>
            <w:tcW w:w="2343" w:type="dxa"/>
            <w:shd w:val="clear" w:color="auto" w:fill="C6EFCE"/>
            <w:noWrap/>
          </w:tcPr>
          <w:p w14:paraId="5DC07101" w14:textId="77777777" w:rsidR="0065073E" w:rsidRDefault="000A0998">
            <w:pPr>
              <w:pStyle w:val="P68B1DB1-Normal12"/>
              <w:spacing w:after="0" w:line="240" w:lineRule="auto"/>
              <w:rPr>
                <w:rFonts w:eastAsia="Symbol" w:cs="Times New Roman"/>
                <w:noProof/>
              </w:rPr>
            </w:pPr>
            <w:r>
              <w:rPr>
                <w:noProof/>
              </w:rPr>
              <w:t>Suunnittelu-, lainsäädäntö- ja sääntelyuudistusten voimaantulo energian varastointiratkaisun kehittämisen edistämiseksi.</w:t>
            </w:r>
          </w:p>
        </w:tc>
        <w:tc>
          <w:tcPr>
            <w:tcW w:w="1104" w:type="dxa"/>
            <w:shd w:val="clear" w:color="auto" w:fill="C6EFCE"/>
            <w:noWrap/>
          </w:tcPr>
          <w:p w14:paraId="5DE3B16A" w14:textId="77777777" w:rsidR="0065073E" w:rsidRDefault="000A0998">
            <w:pPr>
              <w:pStyle w:val="P68B1DB1-Normal12"/>
              <w:spacing w:after="0" w:line="240" w:lineRule="auto"/>
              <w:jc w:val="center"/>
              <w:rPr>
                <w:rFonts w:eastAsia="Symbol" w:cs="Times New Roman"/>
                <w:noProof/>
              </w:rPr>
            </w:pPr>
            <w:r>
              <w:rPr>
                <w:noProof/>
              </w:rPr>
              <w:t xml:space="preserve">Voimaantuloa koskevien lakien ja asetusten säännökset </w:t>
            </w:r>
          </w:p>
        </w:tc>
        <w:tc>
          <w:tcPr>
            <w:tcW w:w="829" w:type="dxa"/>
            <w:shd w:val="clear" w:color="auto" w:fill="C6EFCE"/>
            <w:noWrap/>
          </w:tcPr>
          <w:p w14:paraId="0DD171FB"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1CFE44F5"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19ADC6D0"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6A517C7D"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0054E802" w14:textId="77777777" w:rsidR="0065073E" w:rsidRDefault="000A0998">
            <w:pPr>
              <w:pStyle w:val="P68B1DB1-Normal12"/>
              <w:spacing w:after="0" w:line="240" w:lineRule="auto"/>
              <w:jc w:val="center"/>
              <w:rPr>
                <w:rFonts w:eastAsia="Symbol" w:cs="Times New Roman"/>
                <w:noProof/>
              </w:rPr>
            </w:pPr>
            <w:r>
              <w:rPr>
                <w:noProof/>
              </w:rPr>
              <w:t>2021</w:t>
            </w:r>
          </w:p>
        </w:tc>
        <w:tc>
          <w:tcPr>
            <w:tcW w:w="6061" w:type="dxa"/>
            <w:shd w:val="clear" w:color="auto" w:fill="C6EFCE"/>
            <w:noWrap/>
          </w:tcPr>
          <w:p w14:paraId="5D8ADA9C" w14:textId="77777777" w:rsidR="0065073E" w:rsidRDefault="000A0998">
            <w:pPr>
              <w:spacing w:after="0" w:line="240" w:lineRule="auto"/>
              <w:rPr>
                <w:rFonts w:ascii="Times New Roman" w:eastAsia="Symbol" w:hAnsi="Times New Roman" w:cs="Times New Roman"/>
                <w:noProof/>
                <w:sz w:val="18"/>
              </w:rPr>
            </w:pPr>
            <w:r>
              <w:rPr>
                <w:rFonts w:ascii="Times New Roman" w:hAnsi="Times New Roman"/>
                <w:noProof/>
                <w:sz w:val="18"/>
              </w:rPr>
              <w:t>Seuraavien suunnittelu-, lainsäädäntö- ja sääntelyuudistusten hyväksyminen ja voimaantulo energian varastointiratkaisujen kehittämisen edistämiseksi:</w:t>
            </w:r>
            <w:r>
              <w:rPr>
                <w:noProof/>
              </w:rPr>
              <w:t xml:space="preserve"> </w:t>
            </w:r>
            <w:r>
              <w:rPr>
                <w:noProof/>
              </w:rPr>
              <w:br/>
            </w:r>
            <w:r>
              <w:rPr>
                <w:rFonts w:ascii="Times New Roman" w:hAnsi="Times New Roman"/>
                <w:noProof/>
                <w:sz w:val="18"/>
              </w:rPr>
              <w:t xml:space="preserve">energiavarastoa koskevan strategian hyväksyminen ministerineuvostossa siten, että tavoitteena on edistää energian varastoinnin käyttöönottoa 66:lla erityistoimenpiteellä, jotka on ryhmitelty strategiaan sisältyviin kymmeneen toimintalinjaan. Tavoitteena on, että vuonna 2030 käytettävissä on 20 gigawattia ja vuoteen 2050 mennessä 30 gigawattia. </w:t>
            </w:r>
            <w:r>
              <w:rPr>
                <w:noProof/>
              </w:rPr>
              <w:t xml:space="preserve"> </w:t>
            </w:r>
            <w:r>
              <w:rPr>
                <w:noProof/>
              </w:rPr>
              <w:br/>
            </w:r>
            <w:r>
              <w:rPr>
                <w:rFonts w:ascii="Times New Roman" w:hAnsi="Times New Roman"/>
                <w:noProof/>
                <w:sz w:val="18"/>
              </w:rPr>
              <w:t>b) Kuninkaallisen asetuksen 1183/2020 julkaiseminen EUVL:ssä varastojen verkkoon pääsyn sääntelemiseksi.</w:t>
            </w:r>
            <w:r>
              <w:rPr>
                <w:noProof/>
              </w:rPr>
              <w:t xml:space="preserve"> </w:t>
            </w:r>
            <w:r>
              <w:rPr>
                <w:noProof/>
              </w:rPr>
              <w:br/>
            </w:r>
            <w:r>
              <w:rPr>
                <w:rFonts w:ascii="Times New Roman" w:hAnsi="Times New Roman"/>
                <w:noProof/>
                <w:sz w:val="18"/>
              </w:rPr>
              <w:t xml:space="preserve">C) </w:t>
            </w:r>
            <w:r>
              <w:rPr>
                <w:rFonts w:ascii="Times New Roman" w:hAnsi="Times New Roman"/>
                <w:i/>
                <w:noProof/>
                <w:sz w:val="18"/>
              </w:rPr>
              <w:t>Comisión Nacional de los Mercados y la Competencian</w:t>
            </w:r>
            <w:r>
              <w:rPr>
                <w:rFonts w:ascii="Times New Roman" w:hAnsi="Times New Roman"/>
                <w:noProof/>
                <w:sz w:val="18"/>
              </w:rPr>
              <w:t xml:space="preserve"> julkaisema kiertokirje 1/2021, jossa vahvistetaan sähköntuotantolaitosten siirto- ja jakeluverkkoihin pääsyä ja niihin liittämistä koskevat menetelmät ja edellytykset. </w:t>
            </w:r>
            <w:r>
              <w:rPr>
                <w:noProof/>
              </w:rPr>
              <w:t xml:space="preserve"> </w:t>
            </w:r>
            <w:r>
              <w:rPr>
                <w:noProof/>
              </w:rPr>
              <w:br/>
            </w:r>
            <w:r>
              <w:rPr>
                <w:rFonts w:ascii="Times New Roman" w:hAnsi="Times New Roman"/>
                <w:noProof/>
                <w:sz w:val="18"/>
              </w:rPr>
              <w:t>d) Energiavarastojen osallistumisesta lisäpalvelujen tarjoamiseen 10 päivänä joulukuuta 2020 annetun päätöslauselman julkaiseminen EUVL:ssä</w:t>
            </w:r>
          </w:p>
        </w:tc>
      </w:tr>
      <w:tr w:rsidR="0065073E" w14:paraId="758CECA4" w14:textId="77777777">
        <w:trPr>
          <w:trHeight w:val="309"/>
        </w:trPr>
        <w:tc>
          <w:tcPr>
            <w:tcW w:w="833" w:type="dxa"/>
            <w:shd w:val="clear" w:color="auto" w:fill="C6EFCE"/>
            <w:noWrap/>
          </w:tcPr>
          <w:p w14:paraId="19FCCF4E" w14:textId="77777777" w:rsidR="0065073E" w:rsidRDefault="000A0998">
            <w:pPr>
              <w:pStyle w:val="P68B1DB1-Normal12"/>
              <w:spacing w:after="0" w:line="240" w:lineRule="auto"/>
              <w:jc w:val="center"/>
              <w:rPr>
                <w:rFonts w:eastAsia="Symbol" w:cs="Times New Roman"/>
                <w:noProof/>
              </w:rPr>
            </w:pPr>
            <w:r>
              <w:rPr>
                <w:noProof/>
              </w:rPr>
              <w:t>123</w:t>
            </w:r>
          </w:p>
        </w:tc>
        <w:tc>
          <w:tcPr>
            <w:tcW w:w="829" w:type="dxa"/>
            <w:shd w:val="clear" w:color="auto" w:fill="C6EFCE"/>
            <w:noWrap/>
          </w:tcPr>
          <w:p w14:paraId="2142BC9D" w14:textId="77777777" w:rsidR="0065073E" w:rsidRDefault="000A0998">
            <w:pPr>
              <w:pStyle w:val="P68B1DB1-Normal12"/>
              <w:spacing w:after="0" w:line="240" w:lineRule="auto"/>
              <w:jc w:val="center"/>
              <w:rPr>
                <w:rFonts w:eastAsia="Symbol" w:cs="Times New Roman"/>
                <w:noProof/>
              </w:rPr>
            </w:pPr>
            <w:r>
              <w:rPr>
                <w:noProof/>
              </w:rPr>
              <w:t>C8.R3</w:t>
            </w:r>
          </w:p>
        </w:tc>
        <w:tc>
          <w:tcPr>
            <w:tcW w:w="828" w:type="dxa"/>
            <w:shd w:val="clear" w:color="auto" w:fill="C6EFCE"/>
            <w:noWrap/>
          </w:tcPr>
          <w:p w14:paraId="25E36A0E" w14:textId="77777777" w:rsidR="0065073E" w:rsidRDefault="000A0998">
            <w:pPr>
              <w:pStyle w:val="P68B1DB1-Normal12"/>
              <w:spacing w:after="0" w:line="240" w:lineRule="auto"/>
              <w:jc w:val="center"/>
              <w:rPr>
                <w:rFonts w:eastAsia="Symbol" w:cs="Times New Roman"/>
                <w:noProof/>
              </w:rPr>
            </w:pPr>
            <w:r>
              <w:rPr>
                <w:noProof/>
              </w:rPr>
              <w:t>M</w:t>
            </w:r>
          </w:p>
        </w:tc>
        <w:tc>
          <w:tcPr>
            <w:tcW w:w="2343" w:type="dxa"/>
            <w:shd w:val="clear" w:color="auto" w:fill="C6EFCE"/>
            <w:noWrap/>
          </w:tcPr>
          <w:p w14:paraId="6E675971" w14:textId="77777777" w:rsidR="0065073E" w:rsidRDefault="000A0998">
            <w:pPr>
              <w:pStyle w:val="P68B1DB1-Normal12"/>
              <w:spacing w:after="0" w:line="240" w:lineRule="auto"/>
              <w:rPr>
                <w:rFonts w:eastAsia="Symbol" w:cs="Times New Roman"/>
                <w:noProof/>
              </w:rPr>
            </w:pPr>
            <w:r>
              <w:rPr>
                <w:noProof/>
              </w:rPr>
              <w:t>Jouston ja kysyntäjouston integrointia koskevien sääntelytoimenpiteiden voimaantulo.</w:t>
            </w:r>
          </w:p>
        </w:tc>
        <w:tc>
          <w:tcPr>
            <w:tcW w:w="1104" w:type="dxa"/>
            <w:shd w:val="clear" w:color="auto" w:fill="C6EFCE"/>
            <w:noWrap/>
          </w:tcPr>
          <w:p w14:paraId="0020148A" w14:textId="77777777" w:rsidR="0065073E" w:rsidRDefault="000A0998">
            <w:pPr>
              <w:pStyle w:val="P68B1DB1-Normal12"/>
              <w:spacing w:after="0" w:line="240" w:lineRule="auto"/>
              <w:jc w:val="center"/>
              <w:rPr>
                <w:rFonts w:eastAsia="Symbol" w:cs="Times New Roman"/>
                <w:noProof/>
              </w:rPr>
            </w:pPr>
            <w:r>
              <w:rPr>
                <w:noProof/>
              </w:rPr>
              <w:t>Voimaantuloa koskevien lakien ja asetusten säännökset</w:t>
            </w:r>
          </w:p>
        </w:tc>
        <w:tc>
          <w:tcPr>
            <w:tcW w:w="829" w:type="dxa"/>
            <w:shd w:val="clear" w:color="auto" w:fill="C6EFCE"/>
            <w:noWrap/>
          </w:tcPr>
          <w:p w14:paraId="74B8AB3B"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75DBCBFA"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0E165042"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39C43906"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4A7F294E" w14:textId="77777777" w:rsidR="0065073E" w:rsidRDefault="000A0998">
            <w:pPr>
              <w:pStyle w:val="P68B1DB1-Normal12"/>
              <w:spacing w:after="0" w:line="240" w:lineRule="auto"/>
              <w:jc w:val="center"/>
              <w:rPr>
                <w:rFonts w:eastAsia="Symbol" w:cs="Times New Roman"/>
                <w:noProof/>
              </w:rPr>
            </w:pPr>
            <w:r>
              <w:rPr>
                <w:noProof/>
              </w:rPr>
              <w:t>2023</w:t>
            </w:r>
          </w:p>
        </w:tc>
        <w:tc>
          <w:tcPr>
            <w:tcW w:w="6061" w:type="dxa"/>
            <w:shd w:val="clear" w:color="auto" w:fill="C6EFCE"/>
            <w:noWrap/>
          </w:tcPr>
          <w:p w14:paraId="54B6299E" w14:textId="77777777" w:rsidR="0065073E" w:rsidRDefault="000A0998">
            <w:pPr>
              <w:spacing w:after="0" w:line="240" w:lineRule="auto"/>
              <w:rPr>
                <w:rFonts w:ascii="Times New Roman" w:eastAsia="Symbol" w:hAnsi="Times New Roman" w:cs="Times New Roman"/>
                <w:noProof/>
                <w:sz w:val="18"/>
              </w:rPr>
            </w:pPr>
            <w:r>
              <w:rPr>
                <w:rFonts w:ascii="Times New Roman" w:hAnsi="Times New Roman"/>
                <w:noProof/>
                <w:sz w:val="18"/>
              </w:rPr>
              <w:t>Sääntelykehyksen kehittäminen joustavuuden ja kysyntäjouston integroimiseksi seuraavin toimin:</w:t>
            </w:r>
            <w:r>
              <w:rPr>
                <w:noProof/>
              </w:rPr>
              <w:t xml:space="preserve"> </w:t>
            </w:r>
            <w:r>
              <w:rPr>
                <w:noProof/>
              </w:rPr>
              <w:br/>
            </w:r>
            <w:r>
              <w:rPr>
                <w:rFonts w:ascii="Times New Roman" w:hAnsi="Times New Roman"/>
                <w:noProof/>
                <w:sz w:val="18"/>
              </w:rPr>
              <w:t xml:space="preserve">a) </w:t>
            </w:r>
            <w:r>
              <w:rPr>
                <w:rFonts w:ascii="Times New Roman" w:hAnsi="Times New Roman"/>
                <w:i/>
                <w:noProof/>
                <w:sz w:val="18"/>
              </w:rPr>
              <w:t>Comisión Nacional de los Mercados y la Competencian</w:t>
            </w:r>
            <w:r>
              <w:rPr>
                <w:rFonts w:ascii="Times New Roman" w:hAnsi="Times New Roman"/>
                <w:noProof/>
                <w:sz w:val="18"/>
              </w:rPr>
              <w:t xml:space="preserve"> 10. joulukuuta 2020 antama päätöslauselma tiettyjen toimintamenettelyjen mukauttamisesta tasepalveluihin osallistumista varten.</w:t>
            </w:r>
            <w:r>
              <w:rPr>
                <w:noProof/>
              </w:rPr>
              <w:t xml:space="preserve"> </w:t>
            </w:r>
            <w:r>
              <w:rPr>
                <w:noProof/>
              </w:rPr>
              <w:br/>
            </w:r>
            <w:r>
              <w:rPr>
                <w:rFonts w:ascii="Times New Roman" w:hAnsi="Times New Roman"/>
                <w:noProof/>
                <w:sz w:val="18"/>
              </w:rPr>
              <w:t xml:space="preserve">b) Lainsäädäntö, jolla direktiivi 2019/944 saatetaan kokonaisuudessaan osaksi kansallista lainsäädäntöä </w:t>
            </w:r>
            <w:r>
              <w:rPr>
                <w:noProof/>
              </w:rPr>
              <w:t xml:space="preserve"> </w:t>
            </w:r>
            <w:r>
              <w:rPr>
                <w:noProof/>
              </w:rPr>
              <w:br/>
              <w:t xml:space="preserve"> </w:t>
            </w:r>
            <w:r>
              <w:rPr>
                <w:rFonts w:ascii="Times New Roman" w:hAnsi="Times New Roman"/>
                <w:noProof/>
                <w:sz w:val="18"/>
              </w:rPr>
              <w:t>C) RDL23/2020:n hyväksyminen riippumattoman yhteenliittymän aseman luomiseksi</w:t>
            </w:r>
          </w:p>
        </w:tc>
      </w:tr>
      <w:tr w:rsidR="0065073E" w14:paraId="7A1B5EE6" w14:textId="77777777">
        <w:trPr>
          <w:trHeight w:val="309"/>
        </w:trPr>
        <w:tc>
          <w:tcPr>
            <w:tcW w:w="833" w:type="dxa"/>
            <w:shd w:val="clear" w:color="auto" w:fill="C6EFCE"/>
            <w:noWrap/>
          </w:tcPr>
          <w:p w14:paraId="307C2F63" w14:textId="77777777" w:rsidR="0065073E" w:rsidRDefault="000A0998">
            <w:pPr>
              <w:pStyle w:val="P68B1DB1-Normal12"/>
              <w:spacing w:after="0" w:line="240" w:lineRule="auto"/>
              <w:jc w:val="center"/>
              <w:rPr>
                <w:rFonts w:eastAsia="Symbol" w:cs="Times New Roman"/>
                <w:noProof/>
              </w:rPr>
            </w:pPr>
            <w:r>
              <w:rPr>
                <w:noProof/>
              </w:rPr>
              <w:t>124</w:t>
            </w:r>
          </w:p>
        </w:tc>
        <w:tc>
          <w:tcPr>
            <w:tcW w:w="829" w:type="dxa"/>
            <w:shd w:val="clear" w:color="auto" w:fill="C6EFCE"/>
            <w:noWrap/>
          </w:tcPr>
          <w:p w14:paraId="529615EE" w14:textId="77777777" w:rsidR="0065073E" w:rsidRDefault="000A0998">
            <w:pPr>
              <w:pStyle w:val="P68B1DB1-Normal12"/>
              <w:spacing w:after="0" w:line="240" w:lineRule="auto"/>
              <w:jc w:val="center"/>
              <w:rPr>
                <w:rFonts w:eastAsia="Symbol" w:cs="Times New Roman"/>
                <w:noProof/>
              </w:rPr>
            </w:pPr>
            <w:r>
              <w:rPr>
                <w:noProof/>
              </w:rPr>
              <w:t>C8.R4</w:t>
            </w:r>
          </w:p>
        </w:tc>
        <w:tc>
          <w:tcPr>
            <w:tcW w:w="828" w:type="dxa"/>
            <w:shd w:val="clear" w:color="auto" w:fill="C6EFCE"/>
            <w:noWrap/>
          </w:tcPr>
          <w:p w14:paraId="668F19A2" w14:textId="77777777" w:rsidR="0065073E" w:rsidRDefault="000A0998">
            <w:pPr>
              <w:pStyle w:val="P68B1DB1-Normal12"/>
              <w:spacing w:after="0" w:line="240" w:lineRule="auto"/>
              <w:jc w:val="center"/>
              <w:rPr>
                <w:rFonts w:eastAsia="Symbol" w:cs="Times New Roman"/>
                <w:noProof/>
              </w:rPr>
            </w:pPr>
            <w:r>
              <w:rPr>
                <w:noProof/>
              </w:rPr>
              <w:t>M</w:t>
            </w:r>
          </w:p>
        </w:tc>
        <w:tc>
          <w:tcPr>
            <w:tcW w:w="2343" w:type="dxa"/>
            <w:shd w:val="clear" w:color="auto" w:fill="C6EFCE"/>
            <w:noWrap/>
          </w:tcPr>
          <w:p w14:paraId="4F417C56" w14:textId="77777777" w:rsidR="0065073E" w:rsidRDefault="000A0998">
            <w:pPr>
              <w:pStyle w:val="P68B1DB1-Normal12"/>
              <w:spacing w:after="0" w:line="240" w:lineRule="auto"/>
              <w:rPr>
                <w:rFonts w:eastAsia="Symbol" w:cs="Times New Roman"/>
                <w:noProof/>
              </w:rPr>
            </w:pPr>
            <w:r>
              <w:rPr>
                <w:noProof/>
              </w:rPr>
              <w:t>Sellaisten toimenpiteiden voimaantulo, joilla edistetään sääntelyn testiympäristöjä sähköalan tutkimuksen ja innovoinnin edistämiseksi.</w:t>
            </w:r>
          </w:p>
        </w:tc>
        <w:tc>
          <w:tcPr>
            <w:tcW w:w="1104" w:type="dxa"/>
            <w:shd w:val="clear" w:color="auto" w:fill="C6EFCE"/>
            <w:noWrap/>
          </w:tcPr>
          <w:p w14:paraId="1B051689" w14:textId="77777777" w:rsidR="0065073E" w:rsidRDefault="000A0998">
            <w:pPr>
              <w:pStyle w:val="P68B1DB1-Normal12"/>
              <w:spacing w:after="0" w:line="240" w:lineRule="auto"/>
              <w:jc w:val="center"/>
              <w:rPr>
                <w:rFonts w:eastAsia="Symbol" w:cs="Times New Roman"/>
                <w:noProof/>
              </w:rPr>
            </w:pPr>
            <w:r>
              <w:rPr>
                <w:noProof/>
              </w:rPr>
              <w:t>Kuninkaan asetuksen voimaantuloa koskevat säännökset</w:t>
            </w:r>
          </w:p>
        </w:tc>
        <w:tc>
          <w:tcPr>
            <w:tcW w:w="829" w:type="dxa"/>
            <w:shd w:val="clear" w:color="auto" w:fill="C6EFCE"/>
            <w:noWrap/>
          </w:tcPr>
          <w:p w14:paraId="4FC280CF"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34F22BBF"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523978C1"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0A241AD9"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28553E30" w14:textId="77777777" w:rsidR="0065073E" w:rsidRDefault="000A0998">
            <w:pPr>
              <w:pStyle w:val="P68B1DB1-Normal12"/>
              <w:spacing w:after="0" w:line="240" w:lineRule="auto"/>
              <w:jc w:val="center"/>
              <w:rPr>
                <w:rFonts w:eastAsia="Symbol" w:cs="Times New Roman"/>
                <w:noProof/>
              </w:rPr>
            </w:pPr>
            <w:r>
              <w:rPr>
                <w:noProof/>
              </w:rPr>
              <w:t>2022</w:t>
            </w:r>
          </w:p>
        </w:tc>
        <w:tc>
          <w:tcPr>
            <w:tcW w:w="6061" w:type="dxa"/>
            <w:shd w:val="clear" w:color="auto" w:fill="C6EFCE"/>
            <w:noWrap/>
          </w:tcPr>
          <w:p w14:paraId="27BED47E" w14:textId="77777777" w:rsidR="0065073E" w:rsidRDefault="000A0998">
            <w:pPr>
              <w:spacing w:after="0" w:line="240" w:lineRule="auto"/>
              <w:rPr>
                <w:rFonts w:ascii="Times New Roman" w:eastAsia="Symbol" w:hAnsi="Times New Roman" w:cs="Times New Roman"/>
                <w:noProof/>
                <w:sz w:val="18"/>
              </w:rPr>
            </w:pPr>
            <w:r>
              <w:rPr>
                <w:rFonts w:ascii="Times New Roman" w:hAnsi="Times New Roman"/>
                <w:noProof/>
                <w:sz w:val="18"/>
              </w:rPr>
              <w:t>Sääntelyn testiympäristöjen kehittämisestä annetun kuninkaallisen asetuksen julkaiseminen ja voimaantulo, jotta voidaan kehittää uusia pilottihankkeita, joiden tavoitteena on edistää tutkimusta ja innovointia sähköalalla.</w:t>
            </w:r>
            <w:r>
              <w:rPr>
                <w:noProof/>
              </w:rPr>
              <w:t xml:space="preserve"> </w:t>
            </w:r>
            <w:r>
              <w:rPr>
                <w:noProof/>
              </w:rPr>
              <w:br/>
            </w:r>
            <w:r>
              <w:rPr>
                <w:rFonts w:ascii="Times New Roman" w:hAnsi="Times New Roman"/>
                <w:noProof/>
                <w:sz w:val="18"/>
              </w:rPr>
              <w:t>Lainsäädännön on mahdollistettava se, että teollisuus voi testata joustavuuteen, kulutusjoustoon ja energian varastointiin liittyviä uusia teknologioita, järjestelmiä ja palveluja turvallisessa ja suotuisassa tilassa, jossa asianomaiset osapuolet voivat kokea innovatiivisia ratkaisuja ilman, että niihin sovelletaan voimassa olevia sääntelyvaatimuksia. Lisäksi tämä tarjoaa hallinnon ja sääntelyviranomaisen välille kaksisuuntaisen sääntelyä koskevan vuoropuhelun, jolla nopeutetaan ja helpotetaan voimassa olevien säännösten uudelleentarkastelua ja varmistetaan, että uudet toimijat pääsevät markkinoille, mikä edistää uusien teknologisten yritysten perustamista antamalla niille mahdollisuuden testata liiketoimintamallejaan.</w:t>
            </w:r>
          </w:p>
        </w:tc>
      </w:tr>
      <w:tr w:rsidR="0065073E" w14:paraId="04519AEA" w14:textId="77777777">
        <w:trPr>
          <w:trHeight w:val="309"/>
        </w:trPr>
        <w:tc>
          <w:tcPr>
            <w:tcW w:w="833" w:type="dxa"/>
            <w:shd w:val="clear" w:color="auto" w:fill="C6EFCE"/>
            <w:noWrap/>
          </w:tcPr>
          <w:p w14:paraId="6F5FA94C" w14:textId="77777777" w:rsidR="0065073E" w:rsidRDefault="000A0998">
            <w:pPr>
              <w:pStyle w:val="P68B1DB1-Normal12"/>
              <w:spacing w:after="0" w:line="240" w:lineRule="auto"/>
              <w:jc w:val="center"/>
              <w:rPr>
                <w:rFonts w:eastAsia="Symbol" w:cs="Times New Roman"/>
                <w:noProof/>
              </w:rPr>
            </w:pPr>
            <w:r>
              <w:rPr>
                <w:noProof/>
              </w:rPr>
              <w:t>125</w:t>
            </w:r>
          </w:p>
        </w:tc>
        <w:tc>
          <w:tcPr>
            <w:tcW w:w="829" w:type="dxa"/>
            <w:shd w:val="clear" w:color="auto" w:fill="C6EFCE"/>
            <w:noWrap/>
          </w:tcPr>
          <w:p w14:paraId="06D58454" w14:textId="77777777" w:rsidR="0065073E" w:rsidRDefault="000A0998">
            <w:pPr>
              <w:pStyle w:val="P68B1DB1-Normal12"/>
              <w:spacing w:after="0" w:line="240" w:lineRule="auto"/>
              <w:jc w:val="center"/>
              <w:rPr>
                <w:rFonts w:eastAsia="Symbol" w:cs="Times New Roman"/>
                <w:noProof/>
              </w:rPr>
            </w:pPr>
            <w:r>
              <w:rPr>
                <w:noProof/>
              </w:rPr>
              <w:t>C8.I1</w:t>
            </w:r>
          </w:p>
        </w:tc>
        <w:tc>
          <w:tcPr>
            <w:tcW w:w="828" w:type="dxa"/>
            <w:shd w:val="clear" w:color="auto" w:fill="C6EFCE"/>
            <w:noWrap/>
          </w:tcPr>
          <w:p w14:paraId="5AB88429" w14:textId="77777777" w:rsidR="0065073E" w:rsidRDefault="000A0998">
            <w:pPr>
              <w:pStyle w:val="P68B1DB1-Normal12"/>
              <w:spacing w:after="0" w:line="240" w:lineRule="auto"/>
              <w:jc w:val="center"/>
              <w:rPr>
                <w:rFonts w:eastAsia="Symbol" w:cs="Times New Roman"/>
                <w:noProof/>
              </w:rPr>
            </w:pPr>
            <w:r>
              <w:rPr>
                <w:noProof/>
              </w:rPr>
              <w:t>T</w:t>
            </w:r>
          </w:p>
        </w:tc>
        <w:tc>
          <w:tcPr>
            <w:tcW w:w="2343" w:type="dxa"/>
            <w:shd w:val="clear" w:color="auto" w:fill="C6EFCE"/>
            <w:noWrap/>
          </w:tcPr>
          <w:p w14:paraId="5F91E240" w14:textId="77777777" w:rsidR="0065073E" w:rsidRDefault="000A0998">
            <w:pPr>
              <w:pStyle w:val="P68B1DB1-Normal12"/>
              <w:spacing w:after="0" w:line="240" w:lineRule="auto"/>
              <w:rPr>
                <w:rFonts w:eastAsia="Symbol" w:cs="Times New Roman"/>
                <w:noProof/>
              </w:rPr>
            </w:pPr>
            <w:r>
              <w:rPr>
                <w:noProof/>
              </w:rPr>
              <w:t>Innovatiiviset varastointihankkeet, joille on myönnetty tukea</w:t>
            </w:r>
          </w:p>
        </w:tc>
        <w:tc>
          <w:tcPr>
            <w:tcW w:w="1104" w:type="dxa"/>
            <w:shd w:val="clear" w:color="auto" w:fill="C6EFCE"/>
            <w:noWrap/>
          </w:tcPr>
          <w:p w14:paraId="798B00B3" w14:textId="77777777" w:rsidR="0065073E" w:rsidRDefault="000A0998">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17063D6C" w14:textId="77777777" w:rsidR="0065073E" w:rsidRDefault="000A0998">
            <w:pPr>
              <w:pStyle w:val="P68B1DB1-Normal12"/>
              <w:spacing w:after="0" w:line="240" w:lineRule="auto"/>
              <w:rPr>
                <w:rFonts w:eastAsia="Symbol" w:cs="Times New Roman"/>
                <w:noProof/>
              </w:rPr>
            </w:pPr>
            <w:r>
              <w:rPr>
                <w:noProof/>
              </w:rPr>
              <w:t>Määrä</w:t>
            </w:r>
          </w:p>
        </w:tc>
        <w:tc>
          <w:tcPr>
            <w:tcW w:w="966" w:type="dxa"/>
            <w:shd w:val="clear" w:color="auto" w:fill="C6EFCE"/>
            <w:noWrap/>
          </w:tcPr>
          <w:p w14:paraId="69740B58" w14:textId="77777777" w:rsidR="0065073E" w:rsidRDefault="000A0998">
            <w:pPr>
              <w:pStyle w:val="P68B1DB1-Normal12"/>
              <w:spacing w:after="0" w:line="240" w:lineRule="auto"/>
              <w:rPr>
                <w:rFonts w:eastAsia="Symbol" w:cs="Times New Roman"/>
                <w:noProof/>
              </w:rPr>
            </w:pPr>
            <w:r>
              <w:rPr>
                <w:noProof/>
              </w:rPr>
              <w:t>0</w:t>
            </w:r>
          </w:p>
        </w:tc>
        <w:tc>
          <w:tcPr>
            <w:tcW w:w="553" w:type="dxa"/>
            <w:shd w:val="clear" w:color="auto" w:fill="C6EFCE"/>
            <w:noWrap/>
          </w:tcPr>
          <w:p w14:paraId="76DB90EB" w14:textId="77777777" w:rsidR="0065073E" w:rsidRDefault="000A0998">
            <w:pPr>
              <w:pStyle w:val="P68B1DB1-Normal12"/>
              <w:spacing w:after="0" w:line="240" w:lineRule="auto"/>
              <w:rPr>
                <w:rFonts w:eastAsia="Symbol" w:cs="Times New Roman"/>
                <w:noProof/>
              </w:rPr>
            </w:pPr>
            <w:r>
              <w:rPr>
                <w:noProof/>
              </w:rPr>
              <w:t>5</w:t>
            </w:r>
          </w:p>
        </w:tc>
        <w:tc>
          <w:tcPr>
            <w:tcW w:w="553" w:type="dxa"/>
            <w:shd w:val="clear" w:color="auto" w:fill="C6EFCE"/>
            <w:noWrap/>
          </w:tcPr>
          <w:p w14:paraId="7F6BA4A9" w14:textId="77777777" w:rsidR="0065073E" w:rsidRDefault="000A0998">
            <w:pPr>
              <w:pStyle w:val="P68B1DB1-Normal12"/>
              <w:spacing w:after="0" w:line="240" w:lineRule="auto"/>
              <w:rPr>
                <w:rFonts w:eastAsia="Symbol" w:cs="Times New Roman"/>
                <w:noProof/>
              </w:rPr>
            </w:pPr>
            <w:r>
              <w:rPr>
                <w:noProof/>
              </w:rPr>
              <w:t>Q4</w:t>
            </w:r>
          </w:p>
        </w:tc>
        <w:tc>
          <w:tcPr>
            <w:tcW w:w="553" w:type="dxa"/>
            <w:shd w:val="clear" w:color="auto" w:fill="C6EFCE"/>
            <w:noWrap/>
          </w:tcPr>
          <w:p w14:paraId="49683A13" w14:textId="77777777" w:rsidR="0065073E" w:rsidRDefault="000A0998">
            <w:pPr>
              <w:pStyle w:val="P68B1DB1-Normal12"/>
              <w:spacing w:after="0" w:line="240" w:lineRule="auto"/>
              <w:rPr>
                <w:rFonts w:eastAsia="Symbol" w:cs="Times New Roman"/>
                <w:noProof/>
              </w:rPr>
            </w:pPr>
            <w:r>
              <w:rPr>
                <w:noProof/>
              </w:rPr>
              <w:t>2023</w:t>
            </w:r>
          </w:p>
        </w:tc>
        <w:tc>
          <w:tcPr>
            <w:tcW w:w="6061" w:type="dxa"/>
            <w:shd w:val="clear" w:color="auto" w:fill="C6EFCE"/>
            <w:noWrap/>
          </w:tcPr>
          <w:p w14:paraId="1AEA4272" w14:textId="0C42E2D5" w:rsidR="0065073E" w:rsidRDefault="000A0998">
            <w:pPr>
              <w:pStyle w:val="P68B1DB1-Normal12"/>
              <w:spacing w:after="0" w:line="240" w:lineRule="auto"/>
              <w:rPr>
                <w:rFonts w:eastAsia="Symbol" w:cs="Times New Roman"/>
                <w:noProof/>
              </w:rPr>
            </w:pPr>
            <w:r>
              <w:rPr>
                <w:noProof/>
              </w:rPr>
              <w:t>Vähintään viisi innovatiivista varastointihanketta, jotka vastaavat vähintään 660 MW:n yhteenlaskettua asennettua kapasiteettia tai vastaavaa kokonaisenergiahuoltoa (MWh).</w:t>
            </w:r>
          </w:p>
        </w:tc>
      </w:tr>
      <w:tr w:rsidR="0065073E" w14:paraId="45A4480E" w14:textId="77777777">
        <w:trPr>
          <w:trHeight w:val="309"/>
        </w:trPr>
        <w:tc>
          <w:tcPr>
            <w:tcW w:w="833" w:type="dxa"/>
            <w:shd w:val="clear" w:color="auto" w:fill="C6EFCE"/>
            <w:noWrap/>
          </w:tcPr>
          <w:p w14:paraId="29CB5CC8" w14:textId="77777777" w:rsidR="0065073E" w:rsidRDefault="000A0998">
            <w:pPr>
              <w:pStyle w:val="P68B1DB1-Normal12"/>
              <w:spacing w:after="0" w:line="240" w:lineRule="auto"/>
              <w:jc w:val="center"/>
              <w:rPr>
                <w:rFonts w:eastAsia="Symbol" w:cs="Times New Roman"/>
                <w:noProof/>
              </w:rPr>
            </w:pPr>
            <w:r>
              <w:rPr>
                <w:noProof/>
              </w:rPr>
              <w:t>126</w:t>
            </w:r>
          </w:p>
        </w:tc>
        <w:tc>
          <w:tcPr>
            <w:tcW w:w="829" w:type="dxa"/>
            <w:shd w:val="clear" w:color="auto" w:fill="C6EFCE"/>
            <w:noWrap/>
          </w:tcPr>
          <w:p w14:paraId="3FC33339" w14:textId="77777777" w:rsidR="0065073E" w:rsidRDefault="000A0998">
            <w:pPr>
              <w:pStyle w:val="P68B1DB1-Normal12"/>
              <w:spacing w:after="0" w:line="240" w:lineRule="auto"/>
              <w:jc w:val="center"/>
              <w:rPr>
                <w:rFonts w:eastAsia="Symbol" w:cs="Times New Roman"/>
                <w:noProof/>
              </w:rPr>
            </w:pPr>
            <w:r>
              <w:rPr>
                <w:noProof/>
              </w:rPr>
              <w:t>C8.I1</w:t>
            </w:r>
          </w:p>
        </w:tc>
        <w:tc>
          <w:tcPr>
            <w:tcW w:w="828" w:type="dxa"/>
            <w:shd w:val="clear" w:color="auto" w:fill="C6EFCE"/>
            <w:noWrap/>
          </w:tcPr>
          <w:p w14:paraId="18E03913" w14:textId="77777777" w:rsidR="0065073E" w:rsidRDefault="000A0998">
            <w:pPr>
              <w:pStyle w:val="P68B1DB1-Normal12"/>
              <w:spacing w:after="0" w:line="240" w:lineRule="auto"/>
              <w:jc w:val="center"/>
              <w:rPr>
                <w:rFonts w:eastAsia="Symbol" w:cs="Times New Roman"/>
                <w:noProof/>
              </w:rPr>
            </w:pPr>
            <w:r>
              <w:rPr>
                <w:noProof/>
              </w:rPr>
              <w:t>T</w:t>
            </w:r>
          </w:p>
        </w:tc>
        <w:tc>
          <w:tcPr>
            <w:tcW w:w="2343" w:type="dxa"/>
            <w:shd w:val="clear" w:color="auto" w:fill="C6EFCE"/>
            <w:noWrap/>
          </w:tcPr>
          <w:p w14:paraId="27F78DE3" w14:textId="77777777" w:rsidR="0065073E" w:rsidRDefault="000A0998">
            <w:pPr>
              <w:pStyle w:val="P68B1DB1-Normal12"/>
              <w:spacing w:after="0" w:line="240" w:lineRule="auto"/>
              <w:rPr>
                <w:rFonts w:eastAsia="Symbol" w:cs="Times New Roman"/>
                <w:noProof/>
              </w:rPr>
            </w:pPr>
            <w:r>
              <w:rPr>
                <w:noProof/>
              </w:rPr>
              <w:t xml:space="preserve">Innovatiiviset varastointihankkeet toiminnassa </w:t>
            </w:r>
          </w:p>
        </w:tc>
        <w:tc>
          <w:tcPr>
            <w:tcW w:w="1104" w:type="dxa"/>
            <w:shd w:val="clear" w:color="auto" w:fill="C6EFCE"/>
            <w:noWrap/>
          </w:tcPr>
          <w:p w14:paraId="781E6FF2" w14:textId="77777777" w:rsidR="0065073E" w:rsidRDefault="000A0998">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5FDC705A" w14:textId="77777777" w:rsidR="0065073E" w:rsidRDefault="000A0998">
            <w:pPr>
              <w:pStyle w:val="P68B1DB1-Normal12"/>
              <w:spacing w:after="0" w:line="240" w:lineRule="auto"/>
              <w:rPr>
                <w:rFonts w:eastAsia="Symbol" w:cs="Times New Roman"/>
                <w:noProof/>
              </w:rPr>
            </w:pPr>
            <w:r>
              <w:rPr>
                <w:noProof/>
              </w:rPr>
              <w:t>Määrä</w:t>
            </w:r>
          </w:p>
        </w:tc>
        <w:tc>
          <w:tcPr>
            <w:tcW w:w="966" w:type="dxa"/>
            <w:shd w:val="clear" w:color="auto" w:fill="C6EFCE"/>
            <w:noWrap/>
          </w:tcPr>
          <w:p w14:paraId="22BA10F0" w14:textId="77777777" w:rsidR="0065073E" w:rsidRDefault="000A0998">
            <w:pPr>
              <w:pStyle w:val="P68B1DB1-Normal12"/>
              <w:spacing w:after="0" w:line="240" w:lineRule="auto"/>
              <w:rPr>
                <w:rFonts w:eastAsia="Symbol" w:cs="Times New Roman"/>
                <w:noProof/>
              </w:rPr>
            </w:pPr>
            <w:r>
              <w:rPr>
                <w:noProof/>
              </w:rPr>
              <w:t>0</w:t>
            </w:r>
          </w:p>
        </w:tc>
        <w:tc>
          <w:tcPr>
            <w:tcW w:w="553" w:type="dxa"/>
            <w:shd w:val="clear" w:color="auto" w:fill="C6EFCE"/>
            <w:noWrap/>
          </w:tcPr>
          <w:p w14:paraId="729DE7E4" w14:textId="77777777" w:rsidR="0065073E" w:rsidRDefault="000A0998">
            <w:pPr>
              <w:pStyle w:val="P68B1DB1-Normal12"/>
              <w:spacing w:after="0" w:line="240" w:lineRule="auto"/>
              <w:rPr>
                <w:rFonts w:eastAsia="Symbol" w:cs="Times New Roman"/>
                <w:noProof/>
              </w:rPr>
            </w:pPr>
            <w:r>
              <w:rPr>
                <w:noProof/>
              </w:rPr>
              <w:t>5</w:t>
            </w:r>
          </w:p>
        </w:tc>
        <w:tc>
          <w:tcPr>
            <w:tcW w:w="553" w:type="dxa"/>
            <w:shd w:val="clear" w:color="auto" w:fill="C6EFCE"/>
            <w:noWrap/>
          </w:tcPr>
          <w:p w14:paraId="7E7AE58A" w14:textId="77777777" w:rsidR="0065073E" w:rsidRDefault="000A0998">
            <w:pPr>
              <w:pStyle w:val="P68B1DB1-Normal12"/>
              <w:spacing w:after="0" w:line="240" w:lineRule="auto"/>
              <w:rPr>
                <w:rFonts w:eastAsia="Symbol" w:cs="Times New Roman"/>
                <w:noProof/>
              </w:rPr>
            </w:pPr>
            <w:r>
              <w:rPr>
                <w:noProof/>
              </w:rPr>
              <w:t>TOINEN VUOSINELJÄNNES</w:t>
            </w:r>
          </w:p>
        </w:tc>
        <w:tc>
          <w:tcPr>
            <w:tcW w:w="553" w:type="dxa"/>
            <w:shd w:val="clear" w:color="auto" w:fill="C6EFCE"/>
            <w:noWrap/>
          </w:tcPr>
          <w:p w14:paraId="591965C3" w14:textId="77777777" w:rsidR="0065073E" w:rsidRDefault="000A0998">
            <w:pPr>
              <w:pStyle w:val="P68B1DB1-Normal12"/>
              <w:spacing w:after="0" w:line="240" w:lineRule="auto"/>
              <w:rPr>
                <w:rFonts w:eastAsia="Symbol" w:cs="Times New Roman"/>
                <w:noProof/>
              </w:rPr>
            </w:pPr>
            <w:r>
              <w:rPr>
                <w:noProof/>
              </w:rPr>
              <w:t>2026</w:t>
            </w:r>
          </w:p>
        </w:tc>
        <w:tc>
          <w:tcPr>
            <w:tcW w:w="6061" w:type="dxa"/>
            <w:shd w:val="clear" w:color="auto" w:fill="C6EFCE"/>
            <w:noWrap/>
          </w:tcPr>
          <w:p w14:paraId="1A697520" w14:textId="7D04B1BC" w:rsidR="0065073E" w:rsidRDefault="000A0998">
            <w:pPr>
              <w:pStyle w:val="P68B1DB1-Normal12"/>
              <w:spacing w:after="0" w:line="240" w:lineRule="auto"/>
              <w:rPr>
                <w:rFonts w:eastAsia="Symbol" w:cs="Times New Roman"/>
                <w:noProof/>
              </w:rPr>
            </w:pPr>
            <w:r>
              <w:rPr>
                <w:noProof/>
              </w:rPr>
              <w:t>Toiminnassa on vähintään viisi innovatiivista varastointihanketta, jotka vastaavat vähintään 660 MW:n yhteenlaskettua asennettua kapasiteettia tai vastaavaa kokonaisenergiahuoltoa (MWh).</w:t>
            </w:r>
          </w:p>
        </w:tc>
      </w:tr>
      <w:tr w:rsidR="0065073E" w14:paraId="5B483695" w14:textId="77777777">
        <w:trPr>
          <w:trHeight w:val="309"/>
        </w:trPr>
        <w:tc>
          <w:tcPr>
            <w:tcW w:w="833" w:type="dxa"/>
            <w:shd w:val="clear" w:color="auto" w:fill="C6EFCE"/>
            <w:noWrap/>
          </w:tcPr>
          <w:p w14:paraId="1D66412A" w14:textId="77777777" w:rsidR="0065073E" w:rsidRDefault="000A0998">
            <w:pPr>
              <w:pStyle w:val="P68B1DB1-Normal12"/>
              <w:spacing w:after="0" w:line="240" w:lineRule="auto"/>
              <w:jc w:val="center"/>
              <w:rPr>
                <w:rFonts w:eastAsia="Symbol" w:cs="Times New Roman"/>
                <w:noProof/>
              </w:rPr>
            </w:pPr>
            <w:r>
              <w:rPr>
                <w:noProof/>
              </w:rPr>
              <w:t>127</w:t>
            </w:r>
          </w:p>
        </w:tc>
        <w:tc>
          <w:tcPr>
            <w:tcW w:w="829" w:type="dxa"/>
            <w:shd w:val="clear" w:color="auto" w:fill="C6EFCE"/>
            <w:noWrap/>
          </w:tcPr>
          <w:p w14:paraId="7CB14AB8" w14:textId="77777777" w:rsidR="0065073E" w:rsidRDefault="000A0998">
            <w:pPr>
              <w:pStyle w:val="P68B1DB1-Normal12"/>
              <w:spacing w:after="0" w:line="240" w:lineRule="auto"/>
              <w:jc w:val="center"/>
              <w:rPr>
                <w:rFonts w:eastAsia="Symbol" w:cs="Times New Roman"/>
                <w:noProof/>
              </w:rPr>
            </w:pPr>
            <w:r>
              <w:rPr>
                <w:noProof/>
              </w:rPr>
              <w:t>C8.I2</w:t>
            </w:r>
          </w:p>
        </w:tc>
        <w:tc>
          <w:tcPr>
            <w:tcW w:w="828" w:type="dxa"/>
            <w:shd w:val="clear" w:color="auto" w:fill="C6EFCE"/>
            <w:noWrap/>
          </w:tcPr>
          <w:p w14:paraId="39FE3A95" w14:textId="77777777" w:rsidR="0065073E" w:rsidRDefault="000A0998">
            <w:pPr>
              <w:pStyle w:val="P68B1DB1-Normal12"/>
              <w:spacing w:after="0" w:line="240" w:lineRule="auto"/>
              <w:jc w:val="center"/>
              <w:rPr>
                <w:rFonts w:eastAsia="Symbol" w:cs="Times New Roman"/>
                <w:noProof/>
              </w:rPr>
            </w:pPr>
            <w:r>
              <w:rPr>
                <w:noProof/>
              </w:rPr>
              <w:t>T</w:t>
            </w:r>
          </w:p>
        </w:tc>
        <w:tc>
          <w:tcPr>
            <w:tcW w:w="2343" w:type="dxa"/>
            <w:shd w:val="clear" w:color="auto" w:fill="C6EFCE"/>
            <w:noWrap/>
          </w:tcPr>
          <w:p w14:paraId="131AF0C6" w14:textId="77777777" w:rsidR="0065073E" w:rsidRDefault="000A0998">
            <w:pPr>
              <w:pStyle w:val="P68B1DB1-Normal12"/>
              <w:spacing w:after="0" w:line="240" w:lineRule="auto"/>
              <w:rPr>
                <w:rFonts w:eastAsia="Symbol" w:cs="Times New Roman"/>
                <w:noProof/>
              </w:rPr>
            </w:pPr>
            <w:r>
              <w:rPr>
                <w:noProof/>
              </w:rPr>
              <w:t>Innovatiiviset digitalisointihankkeet sähkönjakelussa</w:t>
            </w:r>
          </w:p>
        </w:tc>
        <w:tc>
          <w:tcPr>
            <w:tcW w:w="1104" w:type="dxa"/>
            <w:shd w:val="clear" w:color="auto" w:fill="C6EFCE"/>
            <w:noWrap/>
          </w:tcPr>
          <w:p w14:paraId="6A595F49" w14:textId="77777777" w:rsidR="0065073E" w:rsidRDefault="000A0998">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5BE55C08" w14:textId="77777777" w:rsidR="0065073E" w:rsidRDefault="000A0998">
            <w:pPr>
              <w:pStyle w:val="P68B1DB1-Normal12"/>
              <w:spacing w:after="0" w:line="240" w:lineRule="auto"/>
              <w:rPr>
                <w:rFonts w:eastAsia="Symbol" w:cs="Times New Roman"/>
                <w:noProof/>
              </w:rPr>
            </w:pPr>
            <w:r>
              <w:rPr>
                <w:noProof/>
              </w:rPr>
              <w:t>Määrä</w:t>
            </w:r>
          </w:p>
        </w:tc>
        <w:tc>
          <w:tcPr>
            <w:tcW w:w="966" w:type="dxa"/>
            <w:shd w:val="clear" w:color="auto" w:fill="C6EFCE"/>
            <w:noWrap/>
          </w:tcPr>
          <w:p w14:paraId="55C3BA76" w14:textId="77777777" w:rsidR="0065073E" w:rsidRDefault="000A0998">
            <w:pPr>
              <w:pStyle w:val="P68B1DB1-Normal12"/>
              <w:spacing w:after="0" w:line="240" w:lineRule="auto"/>
              <w:rPr>
                <w:rFonts w:eastAsia="Symbol" w:cs="Times New Roman"/>
                <w:noProof/>
              </w:rPr>
            </w:pPr>
            <w:r>
              <w:rPr>
                <w:noProof/>
              </w:rPr>
              <w:t>0</w:t>
            </w:r>
          </w:p>
        </w:tc>
        <w:tc>
          <w:tcPr>
            <w:tcW w:w="553" w:type="dxa"/>
            <w:shd w:val="clear" w:color="auto" w:fill="C6EFCE"/>
            <w:noWrap/>
          </w:tcPr>
          <w:p w14:paraId="491C6846" w14:textId="77777777" w:rsidR="0065073E" w:rsidRDefault="000A0998">
            <w:pPr>
              <w:pStyle w:val="P68B1DB1-Normal12"/>
              <w:spacing w:after="0" w:line="240" w:lineRule="auto"/>
              <w:rPr>
                <w:rFonts w:eastAsia="Symbol" w:cs="Times New Roman"/>
                <w:noProof/>
              </w:rPr>
            </w:pPr>
            <w:r>
              <w:rPr>
                <w:noProof/>
              </w:rPr>
              <w:t>35</w:t>
            </w:r>
          </w:p>
        </w:tc>
        <w:tc>
          <w:tcPr>
            <w:tcW w:w="553" w:type="dxa"/>
            <w:shd w:val="clear" w:color="auto" w:fill="C6EFCE"/>
            <w:noWrap/>
          </w:tcPr>
          <w:p w14:paraId="238BEE81" w14:textId="77777777" w:rsidR="0065073E" w:rsidRDefault="000A0998">
            <w:pPr>
              <w:pStyle w:val="P68B1DB1-Normal12"/>
              <w:spacing w:after="0" w:line="240" w:lineRule="auto"/>
              <w:rPr>
                <w:rFonts w:eastAsia="Symbol" w:cs="Times New Roman"/>
                <w:noProof/>
              </w:rPr>
            </w:pPr>
            <w:r>
              <w:rPr>
                <w:noProof/>
              </w:rPr>
              <w:t>Q4</w:t>
            </w:r>
          </w:p>
        </w:tc>
        <w:tc>
          <w:tcPr>
            <w:tcW w:w="553" w:type="dxa"/>
            <w:shd w:val="clear" w:color="auto" w:fill="C6EFCE"/>
            <w:noWrap/>
          </w:tcPr>
          <w:p w14:paraId="14D07E19" w14:textId="77777777" w:rsidR="0065073E" w:rsidRDefault="000A0998">
            <w:pPr>
              <w:pStyle w:val="P68B1DB1-Normal12"/>
              <w:spacing w:after="0" w:line="240" w:lineRule="auto"/>
              <w:rPr>
                <w:rFonts w:eastAsia="Symbol" w:cs="Times New Roman"/>
                <w:noProof/>
              </w:rPr>
            </w:pPr>
            <w:r>
              <w:rPr>
                <w:noProof/>
              </w:rPr>
              <w:t>2023</w:t>
            </w:r>
          </w:p>
        </w:tc>
        <w:tc>
          <w:tcPr>
            <w:tcW w:w="6061" w:type="dxa"/>
            <w:shd w:val="clear" w:color="auto" w:fill="C6EFCE"/>
            <w:noWrap/>
          </w:tcPr>
          <w:p w14:paraId="553A4548" w14:textId="77777777" w:rsidR="0065073E" w:rsidRDefault="000A0998">
            <w:pPr>
              <w:pStyle w:val="P68B1DB1-Normal12"/>
              <w:spacing w:after="0" w:line="240" w:lineRule="auto"/>
              <w:rPr>
                <w:rFonts w:eastAsia="Symbol" w:cs="Times New Roman"/>
                <w:noProof/>
              </w:rPr>
            </w:pPr>
            <w:r>
              <w:rPr>
                <w:noProof/>
              </w:rPr>
              <w:t xml:space="preserve">Vähintään 35 innovatiivista digitalisointihanketta (mukaan lukien verkon automatisointi), jotka myönnetään jakeluyrityksille </w:t>
            </w:r>
            <w:r>
              <w:rPr>
                <w:i/>
                <w:noProof/>
              </w:rPr>
              <w:t xml:space="preserve">Comisión Nacional de los Mercados y la Competencian kiertokirjeessä 6/2019 esitettyjen ominaisuuksien ja määritelmien mukaisesti. </w:t>
            </w:r>
          </w:p>
        </w:tc>
      </w:tr>
      <w:tr w:rsidR="0065073E" w14:paraId="059216D8" w14:textId="77777777">
        <w:trPr>
          <w:trHeight w:val="309"/>
        </w:trPr>
        <w:tc>
          <w:tcPr>
            <w:tcW w:w="833" w:type="dxa"/>
            <w:shd w:val="clear" w:color="auto" w:fill="C6EFCE"/>
            <w:noWrap/>
          </w:tcPr>
          <w:p w14:paraId="2D965B08" w14:textId="77777777" w:rsidR="0065073E" w:rsidRDefault="000A0998">
            <w:pPr>
              <w:pStyle w:val="P68B1DB1-Normal12"/>
              <w:spacing w:after="0" w:line="240" w:lineRule="auto"/>
              <w:jc w:val="center"/>
              <w:rPr>
                <w:rFonts w:eastAsia="Symbol" w:cs="Times New Roman"/>
                <w:noProof/>
              </w:rPr>
            </w:pPr>
            <w:r>
              <w:rPr>
                <w:noProof/>
              </w:rPr>
              <w:t>128</w:t>
            </w:r>
          </w:p>
        </w:tc>
        <w:tc>
          <w:tcPr>
            <w:tcW w:w="829" w:type="dxa"/>
            <w:shd w:val="clear" w:color="auto" w:fill="C6EFCE"/>
            <w:noWrap/>
          </w:tcPr>
          <w:p w14:paraId="028AA18D" w14:textId="77777777" w:rsidR="0065073E" w:rsidRDefault="000A0998">
            <w:pPr>
              <w:pStyle w:val="P68B1DB1-Normal12"/>
              <w:spacing w:after="0" w:line="240" w:lineRule="auto"/>
              <w:jc w:val="center"/>
              <w:rPr>
                <w:rFonts w:eastAsia="Symbol" w:cs="Times New Roman"/>
                <w:noProof/>
              </w:rPr>
            </w:pPr>
            <w:r>
              <w:rPr>
                <w:noProof/>
              </w:rPr>
              <w:t>C8.I3</w:t>
            </w:r>
          </w:p>
        </w:tc>
        <w:tc>
          <w:tcPr>
            <w:tcW w:w="828" w:type="dxa"/>
            <w:shd w:val="clear" w:color="auto" w:fill="C6EFCE"/>
            <w:noWrap/>
          </w:tcPr>
          <w:p w14:paraId="2691E9AB" w14:textId="77777777" w:rsidR="0065073E" w:rsidRDefault="000A0998">
            <w:pPr>
              <w:pStyle w:val="P68B1DB1-Normal12"/>
              <w:spacing w:after="0" w:line="240" w:lineRule="auto"/>
              <w:jc w:val="center"/>
              <w:rPr>
                <w:rFonts w:eastAsia="Symbol" w:cs="Times New Roman"/>
                <w:noProof/>
              </w:rPr>
            </w:pPr>
            <w:r>
              <w:rPr>
                <w:noProof/>
              </w:rPr>
              <w:t>T</w:t>
            </w:r>
          </w:p>
        </w:tc>
        <w:tc>
          <w:tcPr>
            <w:tcW w:w="2343" w:type="dxa"/>
            <w:shd w:val="clear" w:color="auto" w:fill="C6EFCE"/>
            <w:noWrap/>
          </w:tcPr>
          <w:p w14:paraId="35733FA2" w14:textId="77777777" w:rsidR="0065073E" w:rsidRDefault="000A0998">
            <w:pPr>
              <w:pStyle w:val="P68B1DB1-Normal12"/>
              <w:spacing w:after="0" w:line="240" w:lineRule="auto"/>
              <w:rPr>
                <w:rFonts w:eastAsia="Symbol" w:cs="Times New Roman"/>
                <w:noProof/>
              </w:rPr>
            </w:pPr>
            <w:r>
              <w:rPr>
                <w:noProof/>
              </w:rPr>
              <w:t>Hankkeet, joilla edistetään energiakäänteen uusia liiketoimintamalleja</w:t>
            </w:r>
          </w:p>
        </w:tc>
        <w:tc>
          <w:tcPr>
            <w:tcW w:w="1104" w:type="dxa"/>
            <w:shd w:val="clear" w:color="auto" w:fill="C6EFCE"/>
            <w:noWrap/>
          </w:tcPr>
          <w:p w14:paraId="541EC805" w14:textId="77777777" w:rsidR="0065073E" w:rsidRDefault="000A0998">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06746E3A" w14:textId="77777777" w:rsidR="0065073E" w:rsidRDefault="000A0998">
            <w:pPr>
              <w:pStyle w:val="P68B1DB1-Normal12"/>
              <w:spacing w:after="0" w:line="240" w:lineRule="auto"/>
              <w:rPr>
                <w:rFonts w:eastAsia="Symbol" w:cs="Times New Roman"/>
                <w:noProof/>
              </w:rPr>
            </w:pPr>
            <w:r>
              <w:rPr>
                <w:noProof/>
              </w:rPr>
              <w:t>Määrä</w:t>
            </w:r>
          </w:p>
        </w:tc>
        <w:tc>
          <w:tcPr>
            <w:tcW w:w="966" w:type="dxa"/>
            <w:shd w:val="clear" w:color="auto" w:fill="C6EFCE"/>
            <w:noWrap/>
          </w:tcPr>
          <w:p w14:paraId="50BD7287" w14:textId="77777777" w:rsidR="0065073E" w:rsidRDefault="000A0998">
            <w:pPr>
              <w:pStyle w:val="P68B1DB1-Normal12"/>
              <w:spacing w:after="0" w:line="240" w:lineRule="auto"/>
              <w:rPr>
                <w:rFonts w:eastAsia="Symbol" w:cs="Times New Roman"/>
                <w:noProof/>
              </w:rPr>
            </w:pPr>
            <w:r>
              <w:rPr>
                <w:noProof/>
              </w:rPr>
              <w:t>0</w:t>
            </w:r>
          </w:p>
        </w:tc>
        <w:tc>
          <w:tcPr>
            <w:tcW w:w="553" w:type="dxa"/>
            <w:shd w:val="clear" w:color="auto" w:fill="C6EFCE"/>
            <w:noWrap/>
          </w:tcPr>
          <w:p w14:paraId="4818E51F" w14:textId="77777777" w:rsidR="0065073E" w:rsidRDefault="000A0998">
            <w:pPr>
              <w:pStyle w:val="P68B1DB1-Normal12"/>
              <w:spacing w:after="0" w:line="240" w:lineRule="auto"/>
              <w:rPr>
                <w:rFonts w:eastAsia="Symbol" w:cs="Times New Roman"/>
                <w:noProof/>
              </w:rPr>
            </w:pPr>
            <w:r>
              <w:rPr>
                <w:noProof/>
              </w:rPr>
              <w:t>18</w:t>
            </w:r>
          </w:p>
        </w:tc>
        <w:tc>
          <w:tcPr>
            <w:tcW w:w="553" w:type="dxa"/>
            <w:shd w:val="clear" w:color="auto" w:fill="C6EFCE"/>
            <w:noWrap/>
          </w:tcPr>
          <w:p w14:paraId="486814C6" w14:textId="77777777" w:rsidR="0065073E" w:rsidRDefault="000A0998">
            <w:pPr>
              <w:pStyle w:val="P68B1DB1-Normal12"/>
              <w:spacing w:after="0" w:line="240" w:lineRule="auto"/>
              <w:rPr>
                <w:rFonts w:eastAsia="Symbol" w:cs="Times New Roman"/>
                <w:noProof/>
              </w:rPr>
            </w:pPr>
            <w:r>
              <w:rPr>
                <w:noProof/>
              </w:rPr>
              <w:t>Q4</w:t>
            </w:r>
          </w:p>
        </w:tc>
        <w:tc>
          <w:tcPr>
            <w:tcW w:w="553" w:type="dxa"/>
            <w:shd w:val="clear" w:color="auto" w:fill="C6EFCE"/>
            <w:noWrap/>
          </w:tcPr>
          <w:p w14:paraId="45709DDA" w14:textId="77777777" w:rsidR="0065073E" w:rsidRDefault="000A0998">
            <w:pPr>
              <w:pStyle w:val="P68B1DB1-Normal12"/>
              <w:spacing w:after="0" w:line="240" w:lineRule="auto"/>
              <w:rPr>
                <w:rFonts w:eastAsia="Symbol" w:cs="Times New Roman"/>
                <w:noProof/>
              </w:rPr>
            </w:pPr>
            <w:r>
              <w:rPr>
                <w:noProof/>
              </w:rPr>
              <w:t>2023</w:t>
            </w:r>
          </w:p>
        </w:tc>
        <w:tc>
          <w:tcPr>
            <w:tcW w:w="6061" w:type="dxa"/>
            <w:shd w:val="clear" w:color="auto" w:fill="C6EFCE"/>
            <w:noWrap/>
          </w:tcPr>
          <w:p w14:paraId="53F8B662" w14:textId="77777777" w:rsidR="0065073E" w:rsidRDefault="000A0998">
            <w:pPr>
              <w:pStyle w:val="P68B1DB1-Normal12"/>
              <w:spacing w:after="0" w:line="240" w:lineRule="auto"/>
              <w:rPr>
                <w:rFonts w:eastAsia="Symbol" w:cs="Times New Roman"/>
                <w:noProof/>
              </w:rPr>
            </w:pPr>
            <w:r>
              <w:rPr>
                <w:noProof/>
              </w:rPr>
              <w:t>Vähintään 18 hanketta, joilla edistetään energiakäänteen uusia liiketoimintamalleja, kuten älykästä mittausta, varastointia, kysyntäjoustoa, joustopalveluja ja dataa.</w:t>
            </w:r>
          </w:p>
        </w:tc>
      </w:tr>
    </w:tbl>
    <w:p w14:paraId="5BE93A62"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60"/>
        </w:sectPr>
      </w:pPr>
    </w:p>
    <w:p w14:paraId="26735E13" w14:textId="61E0CF78" w:rsidR="0065073E" w:rsidRDefault="000A0998">
      <w:pPr>
        <w:pStyle w:val="P68B1DB1-Heading12"/>
        <w:rPr>
          <w:rFonts w:cs="Times New Roman"/>
          <w:noProof/>
        </w:rPr>
      </w:pPr>
      <w:r>
        <w:rPr>
          <w:noProof/>
        </w:rPr>
        <w:t>I. OSA 9: Uusiutuva vety</w:t>
      </w:r>
    </w:p>
    <w:p w14:paraId="288656AE" w14:textId="77777777" w:rsidR="0065073E" w:rsidRDefault="000A0998">
      <w:pPr>
        <w:pStyle w:val="P68B1DB1-Normal4"/>
        <w:spacing w:before="100" w:beforeAutospacing="1" w:after="120" w:line="240" w:lineRule="auto"/>
        <w:jc w:val="both"/>
        <w:rPr>
          <w:rFonts w:eastAsia="Symbol" w:cs="Times New Roman"/>
          <w:noProof/>
        </w:rPr>
      </w:pPr>
      <w:r>
        <w:rPr>
          <w:noProof/>
        </w:rPr>
        <w:t>Espanjan kansallisessa energia- ja ilmastosuunnitelmassa vuosiksi 2021–2030 pyritään vähentämään kasvihuonekaasupäästöjä 23 prosenttia vuoden 1990 tasosta. Tässä yhteydessä Espanjan elpymis- ja palautumissuunnitelman komponentin 9 päätavoitteena on kehittää uusiutuvan energian vetyteknologioita:</w:t>
      </w:r>
    </w:p>
    <w:p w14:paraId="0D1E20E6" w14:textId="77777777" w:rsidR="0065073E" w:rsidRDefault="000A0998">
      <w:pPr>
        <w:pStyle w:val="P68B1DB1-Normal4"/>
        <w:numPr>
          <w:ilvl w:val="0"/>
          <w:numId w:val="103"/>
        </w:numPr>
        <w:spacing w:before="120" w:after="100" w:afterAutospacing="1" w:line="240" w:lineRule="auto"/>
        <w:ind w:left="714" w:hanging="357"/>
        <w:jc w:val="both"/>
        <w:rPr>
          <w:rFonts w:eastAsia="Symbol" w:cs="Times New Roman"/>
          <w:noProof/>
        </w:rPr>
      </w:pPr>
      <w:r>
        <w:rPr>
          <w:noProof/>
        </w:rPr>
        <w:t>Keinona varastoida energiaa sähkön tarjonnan ja kysynnän erojen hallitsemiseksi ja joustavoittaa sähköjärjestelmää.</w:t>
      </w:r>
    </w:p>
    <w:p w14:paraId="3D47ADF2" w14:textId="77777777" w:rsidR="0065073E" w:rsidRDefault="000A0998">
      <w:pPr>
        <w:pStyle w:val="P68B1DB1-Normal4"/>
        <w:numPr>
          <w:ilvl w:val="0"/>
          <w:numId w:val="103"/>
        </w:numPr>
        <w:spacing w:before="100" w:beforeAutospacing="1" w:after="100" w:afterAutospacing="1" w:line="240" w:lineRule="auto"/>
        <w:jc w:val="both"/>
        <w:rPr>
          <w:rFonts w:eastAsia="Symbol" w:cs="Times New Roman"/>
          <w:noProof/>
        </w:rPr>
      </w:pPr>
      <w:r>
        <w:rPr>
          <w:noProof/>
        </w:rPr>
        <w:t>Edistämällä niiden kehittämistä ja vakiinnuttamista teollisessa arvoketjussa, koska nämä teknologiat eivät tällä hetkellä ole valmiita toimimaan markkinaehdoin;</w:t>
      </w:r>
    </w:p>
    <w:p w14:paraId="42B5638D" w14:textId="77777777" w:rsidR="0065073E" w:rsidRDefault="000A0998">
      <w:pPr>
        <w:pStyle w:val="P68B1DB1-Normal4"/>
        <w:numPr>
          <w:ilvl w:val="0"/>
          <w:numId w:val="103"/>
        </w:numPr>
        <w:spacing w:before="100" w:beforeAutospacing="1" w:after="100" w:afterAutospacing="1" w:line="240" w:lineRule="auto"/>
        <w:jc w:val="both"/>
        <w:rPr>
          <w:rFonts w:eastAsia="Symbol" w:cs="Times New Roman"/>
          <w:noProof/>
        </w:rPr>
      </w:pPr>
      <w:r>
        <w:rPr>
          <w:noProof/>
        </w:rPr>
        <w:t>Tukemalla niiden integrointia loppukäyttöihin, mukaan lukien fossiilipohjaisen vedyn korvaaminen teollisuudessa; ja</w:t>
      </w:r>
    </w:p>
    <w:p w14:paraId="7330754E" w14:textId="77777777" w:rsidR="0065073E" w:rsidRDefault="000A0998">
      <w:pPr>
        <w:pStyle w:val="P68B1DB1-Normal4"/>
        <w:numPr>
          <w:ilvl w:val="0"/>
          <w:numId w:val="103"/>
        </w:numPr>
        <w:spacing w:before="100" w:beforeAutospacing="1" w:after="100" w:afterAutospacing="1" w:line="240" w:lineRule="auto"/>
        <w:jc w:val="both"/>
        <w:rPr>
          <w:rFonts w:eastAsia="Symbol" w:cs="Times New Roman"/>
          <w:noProof/>
        </w:rPr>
      </w:pPr>
      <w:r>
        <w:rPr>
          <w:noProof/>
        </w:rPr>
        <w:t>Kehittämällä vihreitä taitoja.</w:t>
      </w:r>
    </w:p>
    <w:p w14:paraId="4BF6AF04" w14:textId="77777777" w:rsidR="0065073E" w:rsidRDefault="000A0998">
      <w:pPr>
        <w:pStyle w:val="P68B1DB1-Normal4"/>
        <w:spacing w:before="120" w:after="120" w:line="240" w:lineRule="auto"/>
        <w:jc w:val="both"/>
        <w:rPr>
          <w:rFonts w:eastAsia="Symbol" w:cs="Times New Roman"/>
          <w:noProof/>
        </w:rPr>
      </w:pPr>
      <w:r>
        <w:rPr>
          <w:noProof/>
        </w:rPr>
        <w:t>Tässä Espanjan elpymis- ja palautumissuunnitelman osassa otetaan huomioon maakohtaiset suositukset innovointiin ja energiatehokkuuteen tehtävien investointien edistämiseksi (maakohtainen suositus 3 2019) ja vihreän siirtymän edistämiseksi (maakohtainen suositus 3 2020).</w:t>
      </w:r>
    </w:p>
    <w:p w14:paraId="2842BC08" w14:textId="77777777" w:rsidR="0065073E" w:rsidRDefault="000A0998">
      <w:pPr>
        <w:pStyle w:val="P68B1DB1-Normal4"/>
        <w:spacing w:before="120" w:after="120" w:line="240" w:lineRule="auto"/>
        <w:jc w:val="both"/>
        <w:rPr>
          <w:rFonts w:eastAsia="Symbol" w:cs="Times New Roman"/>
          <w:noProof/>
        </w:rPr>
      </w:pPr>
      <w:r>
        <w:rPr>
          <w:noProof/>
        </w:rPr>
        <w:t>Komponentti on osa Espanjan elpymis- ja palautumissuunnitelman komponenttia 1 ja komponenttia 6 (vedyn käyttö liikkumis- ja liikennetarkoituksiin), komponenttia 7 (uusiutuvan energian tuotanto) ja komponenttia 8 (varastointi ja älykkäät verkot).</w:t>
      </w:r>
    </w:p>
    <w:p w14:paraId="78BACA75" w14:textId="77777777" w:rsidR="0065073E" w:rsidRDefault="000A0998">
      <w:pPr>
        <w:pStyle w:val="P68B1DB1-Normal4"/>
        <w:spacing w:before="120" w:after="120" w:line="240" w:lineRule="auto"/>
        <w:jc w:val="both"/>
        <w:rPr>
          <w:rFonts w:eastAsia="Symbol"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FF66529"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I.1 </w:t>
      </w:r>
      <w:r>
        <w:rPr>
          <w:noProof/>
        </w:rPr>
        <w:t xml:space="preserve"> </w:t>
      </w:r>
      <w:r>
        <w:rPr>
          <w:rFonts w:ascii="Times New Roman" w:hAnsi="Times New Roman"/>
          <w:b/>
          <w:noProof/>
          <w:sz w:val="24"/>
          <w:u w:val="single"/>
        </w:rPr>
        <w:t>Kuvaus uudistuksista ja investoinneista, joita rahoitetaan rahoitustuella, jota ei makseta takaisin</w:t>
      </w:r>
    </w:p>
    <w:p w14:paraId="17D959E5" w14:textId="77777777" w:rsidR="0065073E" w:rsidRDefault="000A0998">
      <w:pPr>
        <w:pStyle w:val="P68B1DB1-Normal5"/>
        <w:spacing w:before="120" w:after="120" w:line="240" w:lineRule="auto"/>
        <w:jc w:val="both"/>
        <w:rPr>
          <w:rFonts w:cs="Times New Roman"/>
          <w:noProof/>
        </w:rPr>
      </w:pPr>
      <w:r>
        <w:rPr>
          <w:noProof/>
        </w:rPr>
        <w:t>Uudistus 1 (C9.R1) – Vetyä koskeva etenemissuunnitelma</w:t>
      </w:r>
    </w:p>
    <w:p w14:paraId="5C4CCA21" w14:textId="77777777" w:rsidR="0065073E" w:rsidRDefault="000A0998">
      <w:pPr>
        <w:pStyle w:val="P68B1DB1-Normal4"/>
        <w:spacing w:before="120" w:after="120" w:line="240" w:lineRule="auto"/>
        <w:jc w:val="both"/>
        <w:rPr>
          <w:rFonts w:cs="Times New Roman"/>
          <w:noProof/>
        </w:rPr>
      </w:pPr>
      <w:r>
        <w:rPr>
          <w:noProof/>
        </w:rPr>
        <w:t>Tällä toimenpiteellä luodaan puitteet uusiutuvan vedyn kehittämiselle Espanjassa, jäljempänä ’vetyä koskeva etenemissuunnitelma’. Tätä varten siinä yksilöidään tavoitteet, jotka on saavutettava vuoteen 2030 mennessä asennetun kapasiteetin osalta aloittain (teollisuus ja liikenne). Ministerineuvosto hyväksyi vetyä koskevan etenemissuunnitelman lokakuussa 2020. Toimenpiteellä luodaan myös konkreettinen keino tukea etenemissuunnitelman täytäntöönpanoa varmistamalla, että vetyelektrolyysilaitteille toimitetaan uusiutuvaa energiaa. Asiaan liittyviin sääntelytoimiin on kuuluttava i) sellaisen sääntelyvälineen perustaminen, johon sisältyy uusiutuvien kaasujen, myös uusiutuvan vedyn, alkuperätakuita myöntävien kansallisten elinten nimeäminen ja hallinnointi; ja ii) sääntelymekanismi, jossa vahvistetaan, miten vedyn uusiutuva alkuperä todennetaan.</w:t>
      </w:r>
    </w:p>
    <w:p w14:paraId="25D44E01" w14:textId="77777777" w:rsidR="0065073E" w:rsidRDefault="000A0998">
      <w:pPr>
        <w:pStyle w:val="P68B1DB1-Normal4"/>
        <w:spacing w:before="120" w:after="120" w:line="240" w:lineRule="auto"/>
        <w:jc w:val="both"/>
        <w:rPr>
          <w:rFonts w:cs="Times New Roman"/>
          <w:noProof/>
        </w:rPr>
      </w:pPr>
      <w:r>
        <w:rPr>
          <w:noProof/>
        </w:rPr>
        <w:t>Uudistus on saatettava päätökseen 30 päivään kesäkuuta 2022 mennessä.</w:t>
      </w:r>
    </w:p>
    <w:p w14:paraId="73F949A4"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39B5F0A4" w14:textId="77777777" w:rsidR="0065073E" w:rsidRDefault="000A0998">
      <w:pPr>
        <w:pStyle w:val="P68B1DB1-Normal5"/>
        <w:spacing w:before="120" w:after="120" w:line="240" w:lineRule="auto"/>
        <w:jc w:val="both"/>
        <w:rPr>
          <w:rFonts w:cs="Times New Roman"/>
          <w:noProof/>
        </w:rPr>
      </w:pPr>
      <w:r>
        <w:rPr>
          <w:noProof/>
        </w:rPr>
        <w:t>Investointi 1 (C9.I1) – Uusiutuva vety, maahanke</w:t>
      </w:r>
    </w:p>
    <w:p w14:paraId="3F4F92E4" w14:textId="77777777" w:rsidR="0065073E" w:rsidRDefault="000A0998">
      <w:pPr>
        <w:pStyle w:val="P68B1DB1-Normal4"/>
        <w:spacing w:before="120" w:after="120" w:line="240" w:lineRule="auto"/>
        <w:jc w:val="both"/>
        <w:rPr>
          <w:rFonts w:cs="Times New Roman"/>
          <w:noProof/>
        </w:rPr>
      </w:pPr>
      <w:r>
        <w:rPr>
          <w:noProof/>
        </w:rPr>
        <w:t xml:space="preserve">Tämän toimenpiteen tarkoituksena on edistää vetyä koskevan etenemissuunnitelman täytäntöönpanoa neljän toimintalinjan mukaisesti. </w:t>
      </w:r>
    </w:p>
    <w:p w14:paraId="1FFCBA85" w14:textId="77777777" w:rsidR="0065073E" w:rsidRDefault="000A0998">
      <w:pPr>
        <w:pStyle w:val="P68B1DB1-Normal4"/>
        <w:spacing w:before="120" w:after="120" w:line="240" w:lineRule="auto"/>
        <w:jc w:val="both"/>
        <w:rPr>
          <w:rFonts w:cs="Times New Roman"/>
          <w:noProof/>
        </w:rPr>
      </w:pPr>
      <w:r>
        <w:rPr>
          <w:noProof/>
        </w:rPr>
        <w:t>Ensimmäinen on edistää Espanjan tietämystä ja innovatiivista arvoketjua erityisesti pk-yritysten osalta. Tämän teknologian varhaisen teknologisen valmiuden tason vuoksi tällä toimenpiteellä pyritään tukemaan vähintään kymmentä pk-yritystä Espanjan nykyisen arvoketjun vahvistamiseksi ja vahvistamiseksi tehostamalla yhtä tai useampaa seuraavista toimista: tuotantovalmiudet, osaaminen, kilpailukyky, tietämyksen ja teknologian siirto ja/tai kansainvälinen ulottuvuus. Toimenpide kohdistuu myös viiteen teknologiseen kehitykseen tai prototyyppiin (kuten elektrolyysilaitteet, kompressorit, varastointiastiat, polttokennot ja vetypohjaiset kuljetusjärjestelmät), mukaan lukien ”ensimmäiset tyypit”, joilla tuetaan vedyn tuotantoon, jakeluun tai kulutukseen liittyvien uusien laajennettujen mallien tai prototyyppien validointia. Lisäksi toimenpiteeseen on sisällyttävä vähintään kymmenen toimenpidettä, joilla pyritään parantamaan testauslaitoksia tai ottamaan käyttöön uusia keskeisten mahdollistavien teknologioiden tai järjestelmien, kuten elektrolyysilaitteiden tai polttokennojen, valmistuslinjoja vedyn toimitusketjussa. Niiden on joko I) parantaa T &amp; K &amp; I-testauslaitoksia tai laboratorioita ja/tai niihin liittyviä laitteita; tai ii) parantaa tiloja ja/tai uusien laitteiden (kuten työstökoneiden) hankintaa vetyyn ja polttokennoihin liittyvien järjestelmien, laitteiden tai komponenttien valmistamiseksi.</w:t>
      </w:r>
    </w:p>
    <w:p w14:paraId="43DBC220" w14:textId="1F89262B" w:rsidR="0065073E" w:rsidRDefault="000A0998">
      <w:pPr>
        <w:pStyle w:val="P68B1DB1-Normal4"/>
        <w:spacing w:before="120" w:after="120" w:line="240" w:lineRule="auto"/>
        <w:jc w:val="both"/>
        <w:rPr>
          <w:rFonts w:cs="Times New Roman"/>
          <w:noProof/>
        </w:rPr>
      </w:pPr>
      <w:r>
        <w:rPr>
          <w:noProof/>
        </w:rPr>
        <w:t xml:space="preserve">Toisen toimintalinjan tavoitteena on perustaa kaksi uusiutuvan vedyn klusteria, joissa yhdistyvät laajamittainen tuotanto, jalostus ja kulutus. Vähintään yhden näistä klustereista tavoitteena on integroida suuritehoinen uusiutuvan vedyn elektrolyysilaite, joka toimittaa vetyä suoraan paikallisille teollisuusasiakkaille. Elektrolyysilaite on hankittava uusiutuvista energialähteistä tuotetulla sähköllä. Tuloksena oleva tuotettu vety on integroitava teollisiin prosesseihin ja yritysten toimitusketjuihin (mukaan lukien liiketoimintamallien mukauttaminen ja siirtäminen pois fossiilipohjaisesta vedyn kulutuksesta), jotta voidaan korvata vähintään 5 prosenttia niiden vuotuisesta fossiilipohjaisen vedyn kulutuksesta. </w:t>
      </w:r>
    </w:p>
    <w:p w14:paraId="444CDF05" w14:textId="77777777" w:rsidR="0065073E" w:rsidRDefault="000A0998">
      <w:pPr>
        <w:pStyle w:val="P68B1DB1-Normal4"/>
        <w:spacing w:before="120" w:after="120" w:line="240" w:lineRule="auto"/>
        <w:jc w:val="both"/>
        <w:rPr>
          <w:rFonts w:cs="Times New Roman"/>
          <w:noProof/>
        </w:rPr>
      </w:pPr>
      <w:r>
        <w:rPr>
          <w:noProof/>
        </w:rPr>
        <w:t>Kolmannella toimintalinjalla on tarkoitus tukea vedyn käyttöönottoa useissa (vähintään kymmenessä) muissa uraauurtavissa hankkeissa, jotka ovat kooltaan pienempiä kuin klusteri. Niissä on otettava käyttöön uusiutuvaa vetyä yhden teollisuuskeskittymän lisäksi eristyksissä oleviin energiajärjestelmiin, jotka mahdollistavat uusiutuvan vedyn liittämisen liikennealan kaltaisille aloille. Näiden toimenpiteiden odotetaan kattavan uusiutuvan vedyn tuotannon, jakelun ja kulutuksen, mikä edistää kattavuutta eri aloilla ja osissa Espanjan aluetta.</w:t>
      </w:r>
    </w:p>
    <w:p w14:paraId="19FE883E" w14:textId="2AA8A10B" w:rsidR="0065073E" w:rsidRDefault="000A0998">
      <w:pPr>
        <w:pStyle w:val="P68B1DB1-Normal4"/>
        <w:spacing w:before="120" w:after="120" w:line="240" w:lineRule="auto"/>
        <w:jc w:val="both"/>
        <w:rPr>
          <w:rFonts w:cs="Times New Roman"/>
          <w:noProof/>
        </w:rPr>
      </w:pPr>
      <w:r>
        <w:rPr>
          <w:noProof/>
        </w:rPr>
        <w:t xml:space="preserve">Toimenpiteellä pyritään myös edistämään vetyä osana laajempaa EU:n strategiaa unionin arvoketjun kehittämiseksi. Tämän seurauksena joistakin toimenpiteestä tuetuista yrityksistä voi tulla osa suunniteltua yhteistä vetyä koskevaa yhteistä etua koskevaa hanketta yhdessä muiden jäsenvaltioiden yritysten kanssa käyttäen asianmukaisia puitteita tehdäkseen yhteistyötä unionissa kansallisten arvoketjujen integroimiseksi kilpailukyvyn parantamiseksi. </w:t>
      </w:r>
    </w:p>
    <w:p w14:paraId="2236E336" w14:textId="47E24862" w:rsidR="0065073E" w:rsidRDefault="000A0998">
      <w:pPr>
        <w:pStyle w:val="P68B1DB1-Normal4"/>
        <w:spacing w:before="120" w:after="120" w:line="240" w:lineRule="auto"/>
        <w:jc w:val="both"/>
        <w:rPr>
          <w:rFonts w:cs="Times New Roman"/>
          <w:noProof/>
        </w:rPr>
      </w:pPr>
      <w:r>
        <w:rPr>
          <w:noProof/>
        </w:rPr>
        <w:t>Kaikkien elektrolyysilaitteiden sallitun kokonaistuotantokapasiteetin, joka saadaan yhdistämällä kaikki neljä C9.I1 kohdan mukaista toimintalinjaa, on oltava vähintään 700 MW.</w:t>
      </w:r>
    </w:p>
    <w:p w14:paraId="54D9525F" w14:textId="77777777" w:rsidR="0065073E" w:rsidRDefault="000A0998">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Uusiutuvan vedyn integroinnilla edistetään erityisesti teollisuusprosessien sähköistämistä.</w:t>
      </w:r>
    </w:p>
    <w:p w14:paraId="7DA19D38" w14:textId="77777777" w:rsidR="0065073E" w:rsidRDefault="000A0998">
      <w:pPr>
        <w:pStyle w:val="P68B1DB1-Normal4"/>
        <w:spacing w:before="120" w:after="120" w:line="240" w:lineRule="auto"/>
        <w:jc w:val="both"/>
        <w:rPr>
          <w:rFonts w:cs="Times New Roman"/>
          <w:noProof/>
        </w:rPr>
      </w:pPr>
      <w:r>
        <w:rPr>
          <w:noProof/>
        </w:rPr>
        <w:t>Tämän investoinnin mukaiset toimet on saatettava päätökseen 30 päivään kesäkuuta 2026 mennessä.</w:t>
      </w:r>
    </w:p>
    <w:p w14:paraId="3D8AFE55" w14:textId="77777777" w:rsidR="0065073E" w:rsidRDefault="0065073E">
      <w:pPr>
        <w:spacing w:before="120" w:after="120" w:line="240" w:lineRule="auto"/>
        <w:ind w:left="709"/>
        <w:jc w:val="both"/>
        <w:rPr>
          <w:rFonts w:ascii="Times New Roman" w:hAnsi="Times New Roman"/>
          <w:b/>
          <w:noProof/>
          <w:sz w:val="24"/>
          <w:u w:val="single"/>
        </w:rPr>
        <w:sectPr w:rsidR="0065073E" w:rsidSect="00B511EF">
          <w:headerReference w:type="even" r:id="rId216"/>
          <w:headerReference w:type="default" r:id="rId217"/>
          <w:footerReference w:type="even" r:id="rId218"/>
          <w:footerReference w:type="default" r:id="rId219"/>
          <w:headerReference w:type="first" r:id="rId220"/>
          <w:footerReference w:type="first" r:id="rId221"/>
          <w:pgSz w:w="11907" w:h="16839"/>
          <w:pgMar w:top="1134" w:right="1134" w:bottom="1134" w:left="1134" w:header="567" w:footer="567" w:gutter="0"/>
          <w:cols w:space="720"/>
          <w:docGrid w:linePitch="360"/>
        </w:sectPr>
      </w:pPr>
    </w:p>
    <w:p w14:paraId="43708E19"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I.2.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411B07C8"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384BA73E"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829"/>
        <w:gridCol w:w="828"/>
        <w:gridCol w:w="1518"/>
        <w:gridCol w:w="1241"/>
        <w:gridCol w:w="829"/>
        <w:gridCol w:w="966"/>
        <w:gridCol w:w="553"/>
        <w:gridCol w:w="415"/>
        <w:gridCol w:w="553"/>
        <w:gridCol w:w="6888"/>
      </w:tblGrid>
      <w:tr w:rsidR="0065073E" w14:paraId="70B5729A" w14:textId="77777777">
        <w:trPr>
          <w:trHeight w:val="309"/>
          <w:tblHeader/>
        </w:trPr>
        <w:tc>
          <w:tcPr>
            <w:tcW w:w="832" w:type="dxa"/>
            <w:tcBorders>
              <w:bottom w:val="nil"/>
            </w:tcBorders>
            <w:shd w:val="clear" w:color="auto" w:fill="C6D9F1" w:themeFill="text2" w:themeFillTint="33"/>
            <w:noWrap/>
            <w:vAlign w:val="center"/>
          </w:tcPr>
          <w:p w14:paraId="7A0548FF"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4C4718D6"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395E9546"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518" w:type="dxa"/>
            <w:tcBorders>
              <w:bottom w:val="nil"/>
            </w:tcBorders>
            <w:shd w:val="clear" w:color="auto" w:fill="C6D9F1" w:themeFill="text2" w:themeFillTint="33"/>
            <w:noWrap/>
            <w:vAlign w:val="center"/>
          </w:tcPr>
          <w:p w14:paraId="03B9116E" w14:textId="77777777" w:rsidR="0065073E" w:rsidRDefault="000A0998">
            <w:pPr>
              <w:pStyle w:val="P68B1DB1-Normal8"/>
              <w:spacing w:after="0" w:line="240" w:lineRule="auto"/>
              <w:jc w:val="center"/>
              <w:rPr>
                <w:rFonts w:cs="Times New Roman"/>
                <w:noProof/>
              </w:rPr>
            </w:pPr>
            <w:r>
              <w:rPr>
                <w:noProof/>
              </w:rPr>
              <w:t>Nimi</w:t>
            </w:r>
          </w:p>
        </w:tc>
        <w:tc>
          <w:tcPr>
            <w:tcW w:w="1241" w:type="dxa"/>
            <w:tcBorders>
              <w:bottom w:val="nil"/>
            </w:tcBorders>
            <w:shd w:val="clear" w:color="auto" w:fill="C6D9F1" w:themeFill="text2" w:themeFillTint="33"/>
            <w:noWrap/>
            <w:vAlign w:val="center"/>
          </w:tcPr>
          <w:p w14:paraId="7AB38A7F"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48" w:type="dxa"/>
            <w:gridSpan w:val="3"/>
            <w:shd w:val="clear" w:color="auto" w:fill="C6D9F1" w:themeFill="text2" w:themeFillTint="33"/>
            <w:noWrap/>
            <w:vAlign w:val="center"/>
          </w:tcPr>
          <w:p w14:paraId="714AE6A0"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vAlign w:val="center"/>
          </w:tcPr>
          <w:p w14:paraId="56FD496D" w14:textId="77777777" w:rsidR="0065073E" w:rsidRDefault="000A0998">
            <w:pPr>
              <w:pStyle w:val="P68B1DB1-Normal8"/>
              <w:spacing w:after="0" w:line="240" w:lineRule="auto"/>
              <w:jc w:val="center"/>
              <w:rPr>
                <w:rFonts w:cs="Times New Roman"/>
                <w:noProof/>
              </w:rPr>
            </w:pPr>
            <w:r>
              <w:rPr>
                <w:noProof/>
              </w:rPr>
              <w:t>Aika</w:t>
            </w:r>
          </w:p>
        </w:tc>
        <w:tc>
          <w:tcPr>
            <w:tcW w:w="6888" w:type="dxa"/>
            <w:tcBorders>
              <w:bottom w:val="nil"/>
            </w:tcBorders>
            <w:shd w:val="clear" w:color="auto" w:fill="C6D9F1" w:themeFill="text2" w:themeFillTint="33"/>
            <w:noWrap/>
            <w:vAlign w:val="center"/>
          </w:tcPr>
          <w:p w14:paraId="45F81A50"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7B560C90" w14:textId="77777777">
        <w:trPr>
          <w:trHeight w:val="309"/>
          <w:tblHeader/>
        </w:trPr>
        <w:tc>
          <w:tcPr>
            <w:tcW w:w="832" w:type="dxa"/>
            <w:tcBorders>
              <w:top w:val="nil"/>
            </w:tcBorders>
            <w:shd w:val="clear" w:color="auto" w:fill="C6D9F1" w:themeFill="text2" w:themeFillTint="33"/>
            <w:noWrap/>
          </w:tcPr>
          <w:p w14:paraId="34B3F2EB"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7D34F5C7"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0B4020A7" w14:textId="77777777" w:rsidR="0065073E" w:rsidRDefault="0065073E">
            <w:pPr>
              <w:spacing w:after="0" w:line="240" w:lineRule="auto"/>
              <w:jc w:val="center"/>
              <w:rPr>
                <w:rFonts w:ascii="Times New Roman" w:hAnsi="Times New Roman" w:cs="Times New Roman"/>
                <w:b/>
                <w:noProof/>
                <w:sz w:val="18"/>
              </w:rPr>
            </w:pPr>
          </w:p>
        </w:tc>
        <w:tc>
          <w:tcPr>
            <w:tcW w:w="1518" w:type="dxa"/>
            <w:tcBorders>
              <w:top w:val="nil"/>
            </w:tcBorders>
            <w:shd w:val="clear" w:color="auto" w:fill="C6D9F1" w:themeFill="text2" w:themeFillTint="33"/>
            <w:noWrap/>
          </w:tcPr>
          <w:p w14:paraId="1D7B270A" w14:textId="77777777" w:rsidR="0065073E" w:rsidRDefault="0065073E">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4F904CB7"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295A2B3D"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vAlign w:val="center"/>
          </w:tcPr>
          <w:p w14:paraId="64354F4C" w14:textId="184BD022" w:rsidR="0065073E" w:rsidRDefault="000A0998">
            <w:pPr>
              <w:pStyle w:val="P68B1DB1-Normal8"/>
              <w:spacing w:after="0" w:line="240" w:lineRule="auto"/>
              <w:jc w:val="center"/>
              <w:rPr>
                <w:rFonts w:cs="Times New Roman"/>
                <w:noProof/>
              </w:rPr>
            </w:pPr>
            <w:r>
              <w:rPr>
                <w:noProof/>
              </w:rPr>
              <w:t>Lähtötaso</w:t>
            </w:r>
          </w:p>
        </w:tc>
        <w:tc>
          <w:tcPr>
            <w:tcW w:w="553" w:type="dxa"/>
            <w:shd w:val="clear" w:color="auto" w:fill="C6D9F1" w:themeFill="text2" w:themeFillTint="33"/>
            <w:noWrap/>
            <w:vAlign w:val="center"/>
          </w:tcPr>
          <w:p w14:paraId="0CB8A499"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vAlign w:val="center"/>
          </w:tcPr>
          <w:p w14:paraId="11B3A307"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6831318" w14:textId="77777777" w:rsidR="0065073E" w:rsidRDefault="000A0998">
            <w:pPr>
              <w:pStyle w:val="P68B1DB1-Normal8"/>
              <w:spacing w:after="0" w:line="240" w:lineRule="auto"/>
              <w:jc w:val="center"/>
              <w:rPr>
                <w:rFonts w:cs="Times New Roman"/>
                <w:noProof/>
              </w:rPr>
            </w:pPr>
            <w:r>
              <w:rPr>
                <w:noProof/>
              </w:rPr>
              <w:t>Vuosi</w:t>
            </w:r>
          </w:p>
        </w:tc>
        <w:tc>
          <w:tcPr>
            <w:tcW w:w="6888" w:type="dxa"/>
            <w:tcBorders>
              <w:top w:val="nil"/>
            </w:tcBorders>
            <w:shd w:val="clear" w:color="auto" w:fill="C6D9F1" w:themeFill="text2" w:themeFillTint="33"/>
            <w:noWrap/>
          </w:tcPr>
          <w:p w14:paraId="06971CD3" w14:textId="77777777" w:rsidR="0065073E" w:rsidRDefault="0065073E">
            <w:pPr>
              <w:spacing w:after="0" w:line="240" w:lineRule="auto"/>
              <w:rPr>
                <w:rFonts w:ascii="Times New Roman" w:hAnsi="Times New Roman" w:cs="Times New Roman"/>
                <w:b/>
                <w:noProof/>
                <w:sz w:val="18"/>
              </w:rPr>
            </w:pPr>
          </w:p>
        </w:tc>
      </w:tr>
      <w:tr w:rsidR="0065073E" w14:paraId="48827676" w14:textId="77777777">
        <w:trPr>
          <w:trHeight w:val="309"/>
        </w:trPr>
        <w:tc>
          <w:tcPr>
            <w:tcW w:w="832" w:type="dxa"/>
            <w:shd w:val="clear" w:color="auto" w:fill="C6EFCE"/>
            <w:noWrap/>
          </w:tcPr>
          <w:p w14:paraId="6D3A19EC" w14:textId="77777777" w:rsidR="0065073E" w:rsidRDefault="000A0998">
            <w:pPr>
              <w:pStyle w:val="P68B1DB1-Normal12"/>
              <w:spacing w:after="0" w:line="240" w:lineRule="auto"/>
              <w:jc w:val="center"/>
              <w:rPr>
                <w:rFonts w:eastAsia="Symbol" w:cs="Times New Roman"/>
                <w:noProof/>
              </w:rPr>
            </w:pPr>
            <w:r>
              <w:rPr>
                <w:noProof/>
              </w:rPr>
              <w:t>129</w:t>
            </w:r>
          </w:p>
        </w:tc>
        <w:tc>
          <w:tcPr>
            <w:tcW w:w="829" w:type="dxa"/>
            <w:shd w:val="clear" w:color="auto" w:fill="C6EFCE"/>
            <w:noWrap/>
          </w:tcPr>
          <w:p w14:paraId="1E1A9AF7" w14:textId="77777777" w:rsidR="0065073E" w:rsidRDefault="000A0998">
            <w:pPr>
              <w:pStyle w:val="P68B1DB1-Normal12"/>
              <w:spacing w:after="0" w:line="240" w:lineRule="auto"/>
              <w:jc w:val="center"/>
              <w:rPr>
                <w:rFonts w:eastAsia="Symbol" w:cs="Times New Roman"/>
                <w:noProof/>
              </w:rPr>
            </w:pPr>
            <w:r>
              <w:rPr>
                <w:noProof/>
              </w:rPr>
              <w:t>C9.R1</w:t>
            </w:r>
          </w:p>
        </w:tc>
        <w:tc>
          <w:tcPr>
            <w:tcW w:w="828" w:type="dxa"/>
            <w:shd w:val="clear" w:color="auto" w:fill="C6EFCE"/>
            <w:noWrap/>
          </w:tcPr>
          <w:p w14:paraId="027A594E" w14:textId="77777777" w:rsidR="0065073E" w:rsidRDefault="000A0998">
            <w:pPr>
              <w:pStyle w:val="P68B1DB1-Normal12"/>
              <w:spacing w:after="0" w:line="240" w:lineRule="auto"/>
              <w:jc w:val="center"/>
              <w:rPr>
                <w:rFonts w:eastAsia="Symbol" w:cs="Times New Roman"/>
                <w:noProof/>
              </w:rPr>
            </w:pPr>
            <w:r>
              <w:rPr>
                <w:noProof/>
              </w:rPr>
              <w:t>M</w:t>
            </w:r>
          </w:p>
        </w:tc>
        <w:tc>
          <w:tcPr>
            <w:tcW w:w="1518" w:type="dxa"/>
            <w:shd w:val="clear" w:color="auto" w:fill="C6EFCE"/>
            <w:noWrap/>
          </w:tcPr>
          <w:p w14:paraId="69497764" w14:textId="77777777" w:rsidR="0065073E" w:rsidRDefault="000A0998">
            <w:pPr>
              <w:pStyle w:val="P68B1DB1-Normal12"/>
              <w:spacing w:after="0" w:line="240" w:lineRule="auto"/>
              <w:rPr>
                <w:rFonts w:eastAsia="Symbol" w:cs="Times New Roman"/>
                <w:noProof/>
              </w:rPr>
            </w:pPr>
            <w:r>
              <w:rPr>
                <w:noProof/>
              </w:rPr>
              <w:t xml:space="preserve">Vetyä koskeva etenemissuunnitelma </w:t>
            </w:r>
          </w:p>
        </w:tc>
        <w:tc>
          <w:tcPr>
            <w:tcW w:w="1241" w:type="dxa"/>
            <w:shd w:val="clear" w:color="auto" w:fill="C6EFCE"/>
            <w:noWrap/>
          </w:tcPr>
          <w:p w14:paraId="59EECAAA" w14:textId="77777777" w:rsidR="0065073E" w:rsidRDefault="000A0998">
            <w:pPr>
              <w:pStyle w:val="P68B1DB1-Normal12"/>
              <w:spacing w:after="0" w:line="240" w:lineRule="auto"/>
              <w:jc w:val="center"/>
              <w:rPr>
                <w:rFonts w:eastAsia="Symbol" w:cs="Times New Roman"/>
                <w:noProof/>
              </w:rPr>
            </w:pPr>
            <w:r>
              <w:rPr>
                <w:noProof/>
              </w:rPr>
              <w:t>Ministerineuvoston hyväksyntä:</w:t>
            </w:r>
          </w:p>
        </w:tc>
        <w:tc>
          <w:tcPr>
            <w:tcW w:w="829" w:type="dxa"/>
            <w:shd w:val="clear" w:color="auto" w:fill="C6EFCE"/>
            <w:noWrap/>
          </w:tcPr>
          <w:p w14:paraId="7BF3D9A5"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0A711F4A"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3BFE8F37"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1F72B8DF"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74519F6D" w14:textId="77777777" w:rsidR="0065073E" w:rsidRDefault="000A0998">
            <w:pPr>
              <w:pStyle w:val="P68B1DB1-Normal12"/>
              <w:spacing w:after="0" w:line="240" w:lineRule="auto"/>
              <w:jc w:val="center"/>
              <w:rPr>
                <w:rFonts w:eastAsia="Symbol" w:cs="Times New Roman"/>
                <w:noProof/>
              </w:rPr>
            </w:pPr>
            <w:r>
              <w:rPr>
                <w:noProof/>
              </w:rPr>
              <w:t>2020</w:t>
            </w:r>
          </w:p>
        </w:tc>
        <w:tc>
          <w:tcPr>
            <w:tcW w:w="6888" w:type="dxa"/>
            <w:shd w:val="clear" w:color="auto" w:fill="C6EFCE"/>
            <w:noWrap/>
          </w:tcPr>
          <w:p w14:paraId="48591468" w14:textId="77777777" w:rsidR="0065073E" w:rsidRDefault="000A0998">
            <w:pPr>
              <w:pStyle w:val="P68B1DB1-Normal12"/>
              <w:spacing w:after="0" w:line="240" w:lineRule="auto"/>
              <w:jc w:val="both"/>
              <w:rPr>
                <w:rFonts w:eastAsia="Symbol" w:cs="Times New Roman"/>
                <w:noProof/>
              </w:rPr>
            </w:pPr>
            <w:r>
              <w:rPr>
                <w:noProof/>
              </w:rPr>
              <w:t>Ministerineuvosto hyväksyy vetyä koskevan etenemissuunnitelman. Vetyä koskevassa etenemissuunnitelmassa vahvistetaan suuntaviivat, jotka Espanja on määritellyt uusiutuvan vedyn alan kehittämiseksi. Tätä varten siinä yksilöidään tavoitteet, jotka on saavutettava vuoteen 2030 mennessä asennetun kapasiteetin, teollisuuden ja liikkuvuuden osalta.</w:t>
            </w:r>
          </w:p>
        </w:tc>
      </w:tr>
      <w:tr w:rsidR="0065073E" w14:paraId="643D8A21" w14:textId="77777777">
        <w:trPr>
          <w:trHeight w:val="309"/>
        </w:trPr>
        <w:tc>
          <w:tcPr>
            <w:tcW w:w="832" w:type="dxa"/>
            <w:shd w:val="clear" w:color="auto" w:fill="C6EFCE"/>
            <w:noWrap/>
          </w:tcPr>
          <w:p w14:paraId="72CF255B" w14:textId="77777777" w:rsidR="0065073E" w:rsidRDefault="000A0998">
            <w:pPr>
              <w:pStyle w:val="P68B1DB1-Normal12"/>
              <w:spacing w:after="0" w:line="240" w:lineRule="auto"/>
              <w:jc w:val="center"/>
              <w:rPr>
                <w:rFonts w:eastAsia="Symbol" w:cs="Times New Roman"/>
                <w:noProof/>
              </w:rPr>
            </w:pPr>
            <w:r>
              <w:rPr>
                <w:noProof/>
              </w:rPr>
              <w:t>130</w:t>
            </w:r>
          </w:p>
        </w:tc>
        <w:tc>
          <w:tcPr>
            <w:tcW w:w="829" w:type="dxa"/>
            <w:shd w:val="clear" w:color="auto" w:fill="C6EFCE"/>
            <w:noWrap/>
          </w:tcPr>
          <w:p w14:paraId="1086F5AC" w14:textId="77777777" w:rsidR="0065073E" w:rsidRDefault="000A0998">
            <w:pPr>
              <w:pStyle w:val="P68B1DB1-Normal12"/>
              <w:spacing w:after="0" w:line="240" w:lineRule="auto"/>
              <w:jc w:val="center"/>
              <w:rPr>
                <w:rFonts w:eastAsia="Symbol" w:cs="Times New Roman"/>
                <w:noProof/>
              </w:rPr>
            </w:pPr>
            <w:r>
              <w:rPr>
                <w:noProof/>
              </w:rPr>
              <w:t>C9.R1</w:t>
            </w:r>
          </w:p>
        </w:tc>
        <w:tc>
          <w:tcPr>
            <w:tcW w:w="828" w:type="dxa"/>
            <w:shd w:val="clear" w:color="auto" w:fill="C6EFCE"/>
            <w:noWrap/>
          </w:tcPr>
          <w:p w14:paraId="5AB23280" w14:textId="77777777" w:rsidR="0065073E" w:rsidRDefault="000A0998">
            <w:pPr>
              <w:pStyle w:val="P68B1DB1-Normal12"/>
              <w:spacing w:after="0" w:line="240" w:lineRule="auto"/>
              <w:jc w:val="center"/>
              <w:rPr>
                <w:rFonts w:eastAsia="Symbol" w:cs="Times New Roman"/>
                <w:noProof/>
              </w:rPr>
            </w:pPr>
            <w:r>
              <w:rPr>
                <w:noProof/>
              </w:rPr>
              <w:t>M</w:t>
            </w:r>
          </w:p>
        </w:tc>
        <w:tc>
          <w:tcPr>
            <w:tcW w:w="1518" w:type="dxa"/>
            <w:shd w:val="clear" w:color="auto" w:fill="C6EFCE"/>
            <w:noWrap/>
          </w:tcPr>
          <w:p w14:paraId="0E77B031" w14:textId="77777777" w:rsidR="0065073E" w:rsidRDefault="000A0998">
            <w:pPr>
              <w:pStyle w:val="P68B1DB1-Normal12"/>
              <w:spacing w:after="0" w:line="240" w:lineRule="auto"/>
              <w:rPr>
                <w:rFonts w:eastAsia="Symbol" w:cs="Times New Roman"/>
                <w:noProof/>
              </w:rPr>
            </w:pPr>
            <w:r>
              <w:rPr>
                <w:noProof/>
              </w:rPr>
              <w:t>Uusiutuvien kaasujen alkuperätakuita koskevan asetuksen voimaantulo</w:t>
            </w:r>
          </w:p>
        </w:tc>
        <w:tc>
          <w:tcPr>
            <w:tcW w:w="1241" w:type="dxa"/>
            <w:shd w:val="clear" w:color="auto" w:fill="C6EFCE"/>
            <w:noWrap/>
          </w:tcPr>
          <w:p w14:paraId="42C94EF3" w14:textId="77777777" w:rsidR="0065073E" w:rsidRDefault="000A0998">
            <w:pPr>
              <w:pStyle w:val="P68B1DB1-Normal12"/>
              <w:spacing w:after="0" w:line="240" w:lineRule="auto"/>
              <w:jc w:val="center"/>
              <w:rPr>
                <w:rFonts w:eastAsia="Symbol" w:cs="Times New Roman"/>
                <w:noProof/>
              </w:rPr>
            </w:pPr>
            <w:r>
              <w:rPr>
                <w:noProof/>
              </w:rPr>
              <w:t>Asetuksen säännös, josta käy ilmi asetuksen voimaantulo</w:t>
            </w:r>
          </w:p>
        </w:tc>
        <w:tc>
          <w:tcPr>
            <w:tcW w:w="829" w:type="dxa"/>
            <w:shd w:val="clear" w:color="auto" w:fill="C6EFCE"/>
            <w:noWrap/>
          </w:tcPr>
          <w:p w14:paraId="7AA3CD39"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63ABC34F"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78492FB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7C1816B5"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444B82BA" w14:textId="77777777" w:rsidR="0065073E" w:rsidRDefault="000A0998">
            <w:pPr>
              <w:pStyle w:val="P68B1DB1-Normal12"/>
              <w:spacing w:after="0" w:line="240" w:lineRule="auto"/>
              <w:jc w:val="center"/>
              <w:rPr>
                <w:rFonts w:eastAsia="Symbol" w:cs="Times New Roman"/>
                <w:noProof/>
              </w:rPr>
            </w:pPr>
            <w:r>
              <w:rPr>
                <w:noProof/>
              </w:rPr>
              <w:t>2022</w:t>
            </w:r>
          </w:p>
        </w:tc>
        <w:tc>
          <w:tcPr>
            <w:tcW w:w="6888" w:type="dxa"/>
            <w:shd w:val="clear" w:color="auto" w:fill="C6EFCE"/>
            <w:noWrap/>
          </w:tcPr>
          <w:p w14:paraId="0A48B93F" w14:textId="77777777" w:rsidR="0065073E" w:rsidRDefault="000A0998">
            <w:pPr>
              <w:pStyle w:val="P68B1DB1-Normal12"/>
              <w:spacing w:after="0" w:line="240" w:lineRule="auto"/>
              <w:jc w:val="both"/>
              <w:rPr>
                <w:rFonts w:eastAsia="Symbol" w:cs="Times New Roman"/>
                <w:noProof/>
              </w:rPr>
            </w:pPr>
            <w:r>
              <w:rPr>
                <w:noProof/>
              </w:rPr>
              <w:t>Uusiutuvien kaasujen, myös uusiutuvan vedyn, kansallisen alkuperätakuujärjestelmän perustamisesta annetun asetuksen voimaantulo siten, että varmistetaan, että uusiutuvan energian osuus on 100 prosenttia. Sääntelyvälineellä perustettavaan järjestelmään kuuluu kansallisten todistuksia myöntävien elinten nimeäminen ja niiden hallinnon hyväksyminen; ja sääntelymekanismi, jossa vahvistetaan, miten vedyn uusiutuva alkuperä todennetaan.</w:t>
            </w:r>
          </w:p>
        </w:tc>
      </w:tr>
      <w:tr w:rsidR="0065073E" w14:paraId="1F499200" w14:textId="77777777">
        <w:trPr>
          <w:trHeight w:val="309"/>
        </w:trPr>
        <w:tc>
          <w:tcPr>
            <w:tcW w:w="832" w:type="dxa"/>
            <w:shd w:val="clear" w:color="auto" w:fill="C6EFCE"/>
            <w:noWrap/>
          </w:tcPr>
          <w:p w14:paraId="0F7B3593" w14:textId="77777777" w:rsidR="0065073E" w:rsidRDefault="000A0998">
            <w:pPr>
              <w:pStyle w:val="P68B1DB1-Normal12"/>
              <w:spacing w:after="0" w:line="240" w:lineRule="auto"/>
              <w:jc w:val="center"/>
              <w:rPr>
                <w:rFonts w:eastAsia="Symbol" w:cs="Times New Roman"/>
                <w:noProof/>
              </w:rPr>
            </w:pPr>
            <w:r>
              <w:rPr>
                <w:noProof/>
              </w:rPr>
              <w:t>131</w:t>
            </w:r>
          </w:p>
        </w:tc>
        <w:tc>
          <w:tcPr>
            <w:tcW w:w="829" w:type="dxa"/>
            <w:shd w:val="clear" w:color="auto" w:fill="C6EFCE"/>
            <w:noWrap/>
          </w:tcPr>
          <w:p w14:paraId="5A32E065" w14:textId="77777777" w:rsidR="0065073E" w:rsidRDefault="000A0998">
            <w:pPr>
              <w:pStyle w:val="P68B1DB1-Normal12"/>
              <w:spacing w:after="0" w:line="240" w:lineRule="auto"/>
              <w:jc w:val="center"/>
              <w:rPr>
                <w:rFonts w:eastAsia="Symbol" w:cs="Times New Roman"/>
                <w:noProof/>
              </w:rPr>
            </w:pPr>
            <w:r>
              <w:rPr>
                <w:noProof/>
              </w:rPr>
              <w:t>C9.I1</w:t>
            </w:r>
          </w:p>
        </w:tc>
        <w:tc>
          <w:tcPr>
            <w:tcW w:w="828" w:type="dxa"/>
            <w:shd w:val="clear" w:color="auto" w:fill="C6EFCE"/>
            <w:noWrap/>
          </w:tcPr>
          <w:p w14:paraId="13D228FA" w14:textId="77777777" w:rsidR="0065073E" w:rsidRDefault="000A0998">
            <w:pPr>
              <w:pStyle w:val="P68B1DB1-Normal12"/>
              <w:spacing w:after="0" w:line="240" w:lineRule="auto"/>
              <w:jc w:val="center"/>
              <w:rPr>
                <w:rFonts w:eastAsia="Symbol" w:cs="Times New Roman"/>
                <w:noProof/>
              </w:rPr>
            </w:pPr>
            <w:r>
              <w:rPr>
                <w:noProof/>
              </w:rPr>
              <w:t>T</w:t>
            </w:r>
          </w:p>
        </w:tc>
        <w:tc>
          <w:tcPr>
            <w:tcW w:w="1518" w:type="dxa"/>
            <w:shd w:val="clear" w:color="auto" w:fill="C6EFCE"/>
            <w:noWrap/>
          </w:tcPr>
          <w:p w14:paraId="40537FCA" w14:textId="77777777" w:rsidR="0065073E" w:rsidRDefault="000A0998">
            <w:pPr>
              <w:pStyle w:val="P68B1DB1-Normal12"/>
              <w:spacing w:after="0" w:line="240" w:lineRule="auto"/>
              <w:rPr>
                <w:rFonts w:eastAsia="Symbol" w:cs="Times New Roman"/>
                <w:noProof/>
              </w:rPr>
            </w:pPr>
            <w:r>
              <w:rPr>
                <w:noProof/>
              </w:rPr>
              <w:t>Pk-yritysten rahoittaminen vedyn arvoketjun vahvistamiseksi</w:t>
            </w:r>
          </w:p>
        </w:tc>
        <w:tc>
          <w:tcPr>
            <w:tcW w:w="1241" w:type="dxa"/>
            <w:shd w:val="clear" w:color="auto" w:fill="C6EFCE"/>
            <w:noWrap/>
          </w:tcPr>
          <w:p w14:paraId="2A1F701D" w14:textId="77777777" w:rsidR="0065073E" w:rsidRDefault="0065073E">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092A1C54" w14:textId="77777777" w:rsidR="0065073E" w:rsidRDefault="000A0998">
            <w:pPr>
              <w:pStyle w:val="P68B1DB1-Normal12"/>
              <w:spacing w:after="0" w:line="240" w:lineRule="auto"/>
              <w:jc w:val="center"/>
              <w:rPr>
                <w:rFonts w:eastAsia="Symbol" w:cs="Times New Roman"/>
                <w:noProof/>
              </w:rPr>
            </w:pPr>
            <w:r>
              <w:rPr>
                <w:noProof/>
              </w:rPr>
              <w:t>Määrä</w:t>
            </w:r>
          </w:p>
        </w:tc>
        <w:tc>
          <w:tcPr>
            <w:tcW w:w="966" w:type="dxa"/>
            <w:shd w:val="clear" w:color="auto" w:fill="C6EFCE"/>
            <w:noWrap/>
          </w:tcPr>
          <w:p w14:paraId="52ECD0D9" w14:textId="77777777" w:rsidR="0065073E" w:rsidRDefault="000A0998">
            <w:pPr>
              <w:pStyle w:val="P68B1DB1-Normal12"/>
              <w:spacing w:after="0" w:line="240" w:lineRule="auto"/>
              <w:jc w:val="center"/>
              <w:rPr>
                <w:rFonts w:eastAsia="Symbol" w:cs="Times New Roman"/>
                <w:noProof/>
              </w:rPr>
            </w:pPr>
            <w:r>
              <w:rPr>
                <w:noProof/>
              </w:rPr>
              <w:t>0</w:t>
            </w:r>
          </w:p>
        </w:tc>
        <w:tc>
          <w:tcPr>
            <w:tcW w:w="553" w:type="dxa"/>
            <w:shd w:val="clear" w:color="auto" w:fill="C6EFCE"/>
            <w:noWrap/>
          </w:tcPr>
          <w:p w14:paraId="446DE71A" w14:textId="77777777" w:rsidR="0065073E" w:rsidRDefault="000A0998">
            <w:pPr>
              <w:pStyle w:val="P68B1DB1-Normal12"/>
              <w:spacing w:after="0" w:line="240" w:lineRule="auto"/>
              <w:jc w:val="center"/>
              <w:rPr>
                <w:rFonts w:eastAsia="Symbol" w:cs="Times New Roman"/>
                <w:noProof/>
              </w:rPr>
            </w:pPr>
            <w:r>
              <w:rPr>
                <w:noProof/>
              </w:rPr>
              <w:t>10</w:t>
            </w:r>
          </w:p>
        </w:tc>
        <w:tc>
          <w:tcPr>
            <w:tcW w:w="415" w:type="dxa"/>
            <w:shd w:val="clear" w:color="auto" w:fill="C6EFCE"/>
            <w:noWrap/>
          </w:tcPr>
          <w:p w14:paraId="3AC58826"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064CBC82" w14:textId="77777777" w:rsidR="0065073E" w:rsidRDefault="000A0998">
            <w:pPr>
              <w:pStyle w:val="P68B1DB1-Normal12"/>
              <w:spacing w:after="0" w:line="240" w:lineRule="auto"/>
              <w:jc w:val="center"/>
              <w:rPr>
                <w:rFonts w:eastAsia="Symbol" w:cs="Times New Roman"/>
                <w:noProof/>
              </w:rPr>
            </w:pPr>
            <w:r>
              <w:rPr>
                <w:noProof/>
              </w:rPr>
              <w:t>2023</w:t>
            </w:r>
          </w:p>
        </w:tc>
        <w:tc>
          <w:tcPr>
            <w:tcW w:w="6888" w:type="dxa"/>
            <w:shd w:val="clear" w:color="auto" w:fill="C6EFCE"/>
            <w:noWrap/>
          </w:tcPr>
          <w:p w14:paraId="56B43BD0" w14:textId="77777777" w:rsidR="0065073E" w:rsidRDefault="000A0998">
            <w:pPr>
              <w:pStyle w:val="P68B1DB1-Normal12"/>
              <w:spacing w:after="0" w:line="240" w:lineRule="auto"/>
              <w:jc w:val="both"/>
              <w:rPr>
                <w:rFonts w:eastAsia="Symbol" w:cs="Times New Roman"/>
                <w:noProof/>
              </w:rPr>
            </w:pPr>
            <w:r>
              <w:rPr>
                <w:noProof/>
              </w:rPr>
              <w:t>Vähintään kymmenen pk-yritystä rahoitettiin Espanjan nykyisen vedyn arvoketjun vahvistamiseksi ja vahvistamiseksi parantamalla yhtä tai useampaa seuraavista ominaisuuksista: tuotantovalmiudet, osaaminen, kilpailukyky, tietämyksen ja teknologian siirto, kansainvälinen ulottuvuus.</w:t>
            </w:r>
          </w:p>
        </w:tc>
      </w:tr>
      <w:tr w:rsidR="0065073E" w14:paraId="1C5EFDF2" w14:textId="77777777">
        <w:trPr>
          <w:trHeight w:val="309"/>
        </w:trPr>
        <w:tc>
          <w:tcPr>
            <w:tcW w:w="832" w:type="dxa"/>
            <w:shd w:val="clear" w:color="auto" w:fill="C6EFCE"/>
            <w:noWrap/>
          </w:tcPr>
          <w:p w14:paraId="4B9E354E" w14:textId="77777777" w:rsidR="0065073E" w:rsidRDefault="000A0998">
            <w:pPr>
              <w:pStyle w:val="P68B1DB1-Normal12"/>
              <w:spacing w:after="0" w:line="240" w:lineRule="auto"/>
              <w:jc w:val="center"/>
              <w:rPr>
                <w:rFonts w:eastAsia="Symbol" w:cs="Times New Roman"/>
                <w:noProof/>
              </w:rPr>
            </w:pPr>
            <w:r>
              <w:rPr>
                <w:noProof/>
              </w:rPr>
              <w:t>132</w:t>
            </w:r>
          </w:p>
        </w:tc>
        <w:tc>
          <w:tcPr>
            <w:tcW w:w="829" w:type="dxa"/>
            <w:shd w:val="clear" w:color="auto" w:fill="C6EFCE"/>
            <w:noWrap/>
          </w:tcPr>
          <w:p w14:paraId="2535655F" w14:textId="77777777" w:rsidR="0065073E" w:rsidRDefault="000A0998">
            <w:pPr>
              <w:pStyle w:val="P68B1DB1-Normal12"/>
              <w:spacing w:after="0" w:line="240" w:lineRule="auto"/>
              <w:jc w:val="center"/>
              <w:rPr>
                <w:rFonts w:eastAsia="Symbol" w:cs="Times New Roman"/>
                <w:noProof/>
              </w:rPr>
            </w:pPr>
            <w:r>
              <w:rPr>
                <w:noProof/>
              </w:rPr>
              <w:t>C9.I1</w:t>
            </w:r>
          </w:p>
        </w:tc>
        <w:tc>
          <w:tcPr>
            <w:tcW w:w="828" w:type="dxa"/>
            <w:shd w:val="clear" w:color="auto" w:fill="C6EFCE"/>
            <w:noWrap/>
          </w:tcPr>
          <w:p w14:paraId="5E71A530" w14:textId="77777777" w:rsidR="0065073E" w:rsidRDefault="000A0998">
            <w:pPr>
              <w:pStyle w:val="P68B1DB1-Normal12"/>
              <w:spacing w:after="0" w:line="240" w:lineRule="auto"/>
              <w:jc w:val="center"/>
              <w:rPr>
                <w:rFonts w:eastAsia="Symbol" w:cs="Times New Roman"/>
                <w:noProof/>
              </w:rPr>
            </w:pPr>
            <w:r>
              <w:rPr>
                <w:noProof/>
              </w:rPr>
              <w:t>T</w:t>
            </w:r>
          </w:p>
        </w:tc>
        <w:tc>
          <w:tcPr>
            <w:tcW w:w="1518" w:type="dxa"/>
            <w:shd w:val="clear" w:color="auto" w:fill="C6EFCE"/>
            <w:noWrap/>
          </w:tcPr>
          <w:p w14:paraId="281138A0" w14:textId="77777777" w:rsidR="0065073E" w:rsidRDefault="000A0998">
            <w:pPr>
              <w:pStyle w:val="P68B1DB1-Normal12"/>
              <w:spacing w:after="0" w:line="240" w:lineRule="auto"/>
              <w:rPr>
                <w:rFonts w:eastAsia="Symbol" w:cs="Times New Roman"/>
                <w:noProof/>
              </w:rPr>
            </w:pPr>
            <w:r>
              <w:rPr>
                <w:noProof/>
              </w:rPr>
              <w:t xml:space="preserve">Teknologian kehitys uusiutuvan vedyn arvoketjussa </w:t>
            </w:r>
          </w:p>
        </w:tc>
        <w:tc>
          <w:tcPr>
            <w:tcW w:w="1241" w:type="dxa"/>
            <w:shd w:val="clear" w:color="auto" w:fill="C6EFCE"/>
            <w:noWrap/>
          </w:tcPr>
          <w:p w14:paraId="03EFCA41" w14:textId="77777777" w:rsidR="0065073E" w:rsidRDefault="0065073E">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4FA49C9E" w14:textId="77777777" w:rsidR="0065073E" w:rsidRDefault="000A0998">
            <w:pPr>
              <w:pStyle w:val="P68B1DB1-Normal12"/>
              <w:spacing w:after="0" w:line="240" w:lineRule="auto"/>
              <w:jc w:val="center"/>
              <w:rPr>
                <w:rFonts w:eastAsia="Symbol" w:cs="Times New Roman"/>
                <w:noProof/>
              </w:rPr>
            </w:pPr>
            <w:r>
              <w:rPr>
                <w:noProof/>
              </w:rPr>
              <w:t>Määrä</w:t>
            </w:r>
          </w:p>
        </w:tc>
        <w:tc>
          <w:tcPr>
            <w:tcW w:w="966" w:type="dxa"/>
            <w:shd w:val="clear" w:color="auto" w:fill="C6EFCE"/>
            <w:noWrap/>
          </w:tcPr>
          <w:p w14:paraId="1FAB9ECC" w14:textId="77777777" w:rsidR="0065073E" w:rsidRDefault="000A0998">
            <w:pPr>
              <w:pStyle w:val="P68B1DB1-Normal12"/>
              <w:spacing w:after="0" w:line="240" w:lineRule="auto"/>
              <w:jc w:val="center"/>
              <w:rPr>
                <w:rFonts w:eastAsia="Symbol" w:cs="Times New Roman"/>
                <w:noProof/>
              </w:rPr>
            </w:pPr>
            <w:r>
              <w:rPr>
                <w:noProof/>
              </w:rPr>
              <w:t>0</w:t>
            </w:r>
          </w:p>
        </w:tc>
        <w:tc>
          <w:tcPr>
            <w:tcW w:w="553" w:type="dxa"/>
            <w:shd w:val="clear" w:color="auto" w:fill="C6EFCE"/>
            <w:noWrap/>
          </w:tcPr>
          <w:p w14:paraId="1D0ADF7A" w14:textId="77777777" w:rsidR="0065073E" w:rsidRDefault="000A0998">
            <w:pPr>
              <w:pStyle w:val="P68B1DB1-Normal12"/>
              <w:spacing w:after="0" w:line="240" w:lineRule="auto"/>
              <w:jc w:val="center"/>
              <w:rPr>
                <w:rFonts w:eastAsia="Symbol" w:cs="Times New Roman"/>
                <w:noProof/>
              </w:rPr>
            </w:pPr>
            <w:r>
              <w:rPr>
                <w:noProof/>
              </w:rPr>
              <w:t>5</w:t>
            </w:r>
          </w:p>
        </w:tc>
        <w:tc>
          <w:tcPr>
            <w:tcW w:w="415" w:type="dxa"/>
            <w:shd w:val="clear" w:color="auto" w:fill="C6EFCE"/>
            <w:noWrap/>
          </w:tcPr>
          <w:p w14:paraId="12684B35"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0E6A961E" w14:textId="77777777" w:rsidR="0065073E" w:rsidRDefault="000A0998">
            <w:pPr>
              <w:pStyle w:val="P68B1DB1-Normal12"/>
              <w:spacing w:after="0" w:line="240" w:lineRule="auto"/>
              <w:jc w:val="center"/>
              <w:rPr>
                <w:rFonts w:eastAsia="Symbol" w:cs="Times New Roman"/>
                <w:noProof/>
              </w:rPr>
            </w:pPr>
            <w:r>
              <w:rPr>
                <w:noProof/>
              </w:rPr>
              <w:t>2023</w:t>
            </w:r>
          </w:p>
        </w:tc>
        <w:tc>
          <w:tcPr>
            <w:tcW w:w="6888" w:type="dxa"/>
            <w:shd w:val="clear" w:color="auto" w:fill="C6EFCE"/>
            <w:noWrap/>
          </w:tcPr>
          <w:p w14:paraId="58CA16E2" w14:textId="77777777" w:rsidR="0065073E" w:rsidRDefault="000A0998">
            <w:pPr>
              <w:pStyle w:val="P68B1DB1-Normal12"/>
              <w:spacing w:after="0" w:line="240" w:lineRule="auto"/>
              <w:jc w:val="both"/>
              <w:rPr>
                <w:rFonts w:eastAsia="Symbol" w:cs="Times New Roman"/>
                <w:noProof/>
              </w:rPr>
            </w:pPr>
            <w:r>
              <w:rPr>
                <w:noProof/>
              </w:rPr>
              <w:t>Vähintään viisi teknologista kehitystä tai prototyyppiä koko uusiutuvan vedyn arvoketjussa. Nämä (kuten elektrolyysilaitteet, kompressorit, varastointiastiat, polttokennot ja vetypohjaiset kuljetusjärjestelmät) voivat sisältää ”ensimmäisiä” kehityshankkeita, jotka mahdollistavat tuotantoon, logistiikkaan ja vedyn kulutukseen liittyvän uuden laajennetun suunnittelun tai prototyypin validoinnin.</w:t>
            </w:r>
          </w:p>
        </w:tc>
      </w:tr>
      <w:tr w:rsidR="0065073E" w14:paraId="13C14E05" w14:textId="77777777">
        <w:trPr>
          <w:trHeight w:val="309"/>
        </w:trPr>
        <w:tc>
          <w:tcPr>
            <w:tcW w:w="832" w:type="dxa"/>
            <w:shd w:val="clear" w:color="auto" w:fill="C6EFCE"/>
            <w:noWrap/>
          </w:tcPr>
          <w:p w14:paraId="4F1384E9" w14:textId="77777777" w:rsidR="0065073E" w:rsidRDefault="000A0998">
            <w:pPr>
              <w:pStyle w:val="P68B1DB1-Normal12"/>
              <w:spacing w:after="0" w:line="240" w:lineRule="auto"/>
              <w:jc w:val="center"/>
              <w:rPr>
                <w:rFonts w:cs="Times New Roman"/>
                <w:noProof/>
              </w:rPr>
            </w:pPr>
            <w:r>
              <w:rPr>
                <w:noProof/>
              </w:rPr>
              <w:t>133</w:t>
            </w:r>
          </w:p>
        </w:tc>
        <w:tc>
          <w:tcPr>
            <w:tcW w:w="829" w:type="dxa"/>
            <w:shd w:val="clear" w:color="auto" w:fill="C6EFCE"/>
            <w:noWrap/>
          </w:tcPr>
          <w:p w14:paraId="3A6C49DB" w14:textId="77777777" w:rsidR="0065073E" w:rsidRDefault="000A0998">
            <w:pPr>
              <w:pStyle w:val="P68B1DB1-Normal12"/>
              <w:spacing w:after="0" w:line="240" w:lineRule="auto"/>
              <w:jc w:val="center"/>
              <w:rPr>
                <w:rFonts w:cs="Times New Roman"/>
                <w:noProof/>
              </w:rPr>
            </w:pPr>
            <w:r>
              <w:rPr>
                <w:noProof/>
              </w:rPr>
              <w:t>C9.I1</w:t>
            </w:r>
          </w:p>
        </w:tc>
        <w:tc>
          <w:tcPr>
            <w:tcW w:w="828" w:type="dxa"/>
            <w:shd w:val="clear" w:color="auto" w:fill="C6EFCE"/>
            <w:noWrap/>
          </w:tcPr>
          <w:p w14:paraId="1F655EAE" w14:textId="77777777" w:rsidR="0065073E" w:rsidRDefault="000A0998">
            <w:pPr>
              <w:pStyle w:val="P68B1DB1-Normal12"/>
              <w:spacing w:after="0" w:line="240" w:lineRule="auto"/>
              <w:jc w:val="center"/>
              <w:rPr>
                <w:rFonts w:cs="Times New Roman"/>
                <w:noProof/>
              </w:rPr>
            </w:pPr>
            <w:r>
              <w:rPr>
                <w:noProof/>
              </w:rPr>
              <w:t>T</w:t>
            </w:r>
          </w:p>
        </w:tc>
        <w:tc>
          <w:tcPr>
            <w:tcW w:w="1518" w:type="dxa"/>
            <w:shd w:val="clear" w:color="auto" w:fill="C6EFCE"/>
            <w:noWrap/>
          </w:tcPr>
          <w:p w14:paraId="6C0D95C0" w14:textId="77777777" w:rsidR="0065073E" w:rsidRDefault="000A0998">
            <w:pPr>
              <w:pStyle w:val="P68B1DB1-Normal12"/>
              <w:spacing w:after="0" w:line="240" w:lineRule="auto"/>
              <w:rPr>
                <w:rFonts w:cs="Times New Roman"/>
                <w:noProof/>
              </w:rPr>
            </w:pPr>
            <w:r>
              <w:rPr>
                <w:noProof/>
              </w:rPr>
              <w:t xml:space="preserve">Uusiutuvan vedyn klusterit (tai laaksot)  </w:t>
            </w:r>
          </w:p>
        </w:tc>
        <w:tc>
          <w:tcPr>
            <w:tcW w:w="1241" w:type="dxa"/>
            <w:shd w:val="clear" w:color="auto" w:fill="C6EFCE"/>
            <w:noWrap/>
          </w:tcPr>
          <w:p w14:paraId="5F96A722"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0EE310A7" w14:textId="77777777" w:rsidR="0065073E" w:rsidRDefault="000A0998">
            <w:pPr>
              <w:pStyle w:val="P68B1DB1-Normal12"/>
              <w:spacing w:after="0" w:line="240" w:lineRule="auto"/>
              <w:jc w:val="center"/>
              <w:rPr>
                <w:rFonts w:cs="Times New Roman"/>
                <w:noProof/>
              </w:rPr>
            </w:pPr>
            <w:r>
              <w:rPr>
                <w:noProof/>
              </w:rPr>
              <w:t>Määrä</w:t>
            </w:r>
          </w:p>
        </w:tc>
        <w:tc>
          <w:tcPr>
            <w:tcW w:w="966" w:type="dxa"/>
            <w:shd w:val="clear" w:color="auto" w:fill="C6EFCE"/>
            <w:noWrap/>
          </w:tcPr>
          <w:p w14:paraId="35306EB0" w14:textId="77777777" w:rsidR="0065073E" w:rsidRDefault="000A0998">
            <w:pPr>
              <w:pStyle w:val="P68B1DB1-Normal12"/>
              <w:spacing w:after="0" w:line="240" w:lineRule="auto"/>
              <w:jc w:val="center"/>
              <w:rPr>
                <w:rFonts w:cs="Times New Roman"/>
                <w:noProof/>
              </w:rPr>
            </w:pPr>
            <w:r>
              <w:rPr>
                <w:noProof/>
              </w:rPr>
              <w:t>0</w:t>
            </w:r>
          </w:p>
        </w:tc>
        <w:tc>
          <w:tcPr>
            <w:tcW w:w="553" w:type="dxa"/>
            <w:shd w:val="clear" w:color="auto" w:fill="C6EFCE"/>
            <w:noWrap/>
          </w:tcPr>
          <w:p w14:paraId="78E884CA" w14:textId="77777777" w:rsidR="0065073E" w:rsidRDefault="000A0998">
            <w:pPr>
              <w:pStyle w:val="P68B1DB1-Normal12"/>
              <w:spacing w:after="0" w:line="240" w:lineRule="auto"/>
              <w:jc w:val="center"/>
              <w:rPr>
                <w:rFonts w:cs="Times New Roman"/>
                <w:noProof/>
              </w:rPr>
            </w:pPr>
            <w:r>
              <w:rPr>
                <w:noProof/>
              </w:rPr>
              <w:t>2</w:t>
            </w:r>
          </w:p>
        </w:tc>
        <w:tc>
          <w:tcPr>
            <w:tcW w:w="415" w:type="dxa"/>
            <w:shd w:val="clear" w:color="auto" w:fill="C6EFCE"/>
            <w:noWrap/>
          </w:tcPr>
          <w:p w14:paraId="755C47E4" w14:textId="77777777"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57AA7494" w14:textId="77777777" w:rsidR="0065073E" w:rsidRDefault="000A0998">
            <w:pPr>
              <w:pStyle w:val="P68B1DB1-Normal12"/>
              <w:spacing w:after="0" w:line="240" w:lineRule="auto"/>
              <w:jc w:val="center"/>
              <w:rPr>
                <w:rFonts w:cs="Times New Roman"/>
                <w:noProof/>
              </w:rPr>
            </w:pPr>
            <w:r>
              <w:rPr>
                <w:noProof/>
              </w:rPr>
              <w:t>2023</w:t>
            </w:r>
          </w:p>
        </w:tc>
        <w:tc>
          <w:tcPr>
            <w:tcW w:w="6888" w:type="dxa"/>
            <w:shd w:val="clear" w:color="auto" w:fill="C6EFCE"/>
            <w:noWrap/>
          </w:tcPr>
          <w:p w14:paraId="4ECB08D3" w14:textId="77777777" w:rsidR="0065073E" w:rsidRDefault="000A0998">
            <w:pPr>
              <w:pStyle w:val="P68B1DB1-Normal12"/>
              <w:spacing w:after="0" w:line="240" w:lineRule="auto"/>
              <w:jc w:val="both"/>
              <w:rPr>
                <w:rFonts w:cs="Times New Roman"/>
                <w:noProof/>
              </w:rPr>
            </w:pPr>
            <w:r>
              <w:rPr>
                <w:noProof/>
              </w:rPr>
              <w:t>Vähintään kaksi uusiutuvaa vetyklusteria (tai laaksoja) alakohtaista integrointia varten. Klusterit tai suuret vetylaaksot keskittyvät ja integroivat paikallisesti uusiutuvan vedyn tarjonnan, jakelun (logistiikan) ja kysynnän tietyissä paikoissa harmaan vedyn ja fossiilisten polttoaineiden syrjäyttämiseksi.</w:t>
            </w:r>
          </w:p>
        </w:tc>
      </w:tr>
      <w:tr w:rsidR="0065073E" w14:paraId="694ABF21" w14:textId="77777777">
        <w:trPr>
          <w:trHeight w:val="309"/>
        </w:trPr>
        <w:tc>
          <w:tcPr>
            <w:tcW w:w="832" w:type="dxa"/>
            <w:shd w:val="clear" w:color="auto" w:fill="C6EFCE"/>
            <w:noWrap/>
          </w:tcPr>
          <w:p w14:paraId="5E7BE1F9" w14:textId="77777777" w:rsidR="0065073E" w:rsidRDefault="000A0998">
            <w:pPr>
              <w:pStyle w:val="P68B1DB1-Normal12"/>
              <w:spacing w:after="0" w:line="240" w:lineRule="auto"/>
              <w:jc w:val="center"/>
              <w:rPr>
                <w:rFonts w:cs="Times New Roman"/>
                <w:noProof/>
              </w:rPr>
            </w:pPr>
            <w:r>
              <w:rPr>
                <w:noProof/>
              </w:rPr>
              <w:t>134</w:t>
            </w:r>
          </w:p>
        </w:tc>
        <w:tc>
          <w:tcPr>
            <w:tcW w:w="829" w:type="dxa"/>
            <w:shd w:val="clear" w:color="auto" w:fill="C6EFCE"/>
            <w:noWrap/>
          </w:tcPr>
          <w:p w14:paraId="6E05B520" w14:textId="77777777" w:rsidR="0065073E" w:rsidRDefault="000A0998">
            <w:pPr>
              <w:pStyle w:val="P68B1DB1-Normal12"/>
              <w:spacing w:after="0" w:line="240" w:lineRule="auto"/>
              <w:jc w:val="center"/>
              <w:rPr>
                <w:rFonts w:cs="Times New Roman"/>
                <w:noProof/>
              </w:rPr>
            </w:pPr>
            <w:r>
              <w:rPr>
                <w:noProof/>
              </w:rPr>
              <w:t>C9.I1</w:t>
            </w:r>
          </w:p>
        </w:tc>
        <w:tc>
          <w:tcPr>
            <w:tcW w:w="828" w:type="dxa"/>
            <w:shd w:val="clear" w:color="auto" w:fill="C6EFCE"/>
            <w:noWrap/>
          </w:tcPr>
          <w:p w14:paraId="3557F291" w14:textId="77777777" w:rsidR="0065073E" w:rsidRDefault="000A0998">
            <w:pPr>
              <w:pStyle w:val="P68B1DB1-Normal12"/>
              <w:spacing w:after="0" w:line="240" w:lineRule="auto"/>
              <w:jc w:val="center"/>
              <w:rPr>
                <w:rFonts w:cs="Times New Roman"/>
                <w:noProof/>
              </w:rPr>
            </w:pPr>
            <w:r>
              <w:rPr>
                <w:noProof/>
              </w:rPr>
              <w:t>T</w:t>
            </w:r>
          </w:p>
        </w:tc>
        <w:tc>
          <w:tcPr>
            <w:tcW w:w="1518" w:type="dxa"/>
            <w:shd w:val="clear" w:color="auto" w:fill="C6EFCE"/>
            <w:noWrap/>
          </w:tcPr>
          <w:p w14:paraId="5ED82443" w14:textId="77777777" w:rsidR="0065073E" w:rsidRDefault="000A0998">
            <w:pPr>
              <w:pStyle w:val="P68B1DB1-Normal12"/>
              <w:spacing w:after="0" w:line="240" w:lineRule="auto"/>
              <w:jc w:val="both"/>
              <w:rPr>
                <w:rFonts w:cs="Times New Roman"/>
                <w:noProof/>
              </w:rPr>
            </w:pPr>
            <w:r>
              <w:rPr>
                <w:noProof/>
              </w:rPr>
              <w:t xml:space="preserve">Vedyn edelläkävijähankkeet  </w:t>
            </w:r>
          </w:p>
        </w:tc>
        <w:tc>
          <w:tcPr>
            <w:tcW w:w="1241" w:type="dxa"/>
            <w:shd w:val="clear" w:color="auto" w:fill="C6EFCE"/>
            <w:noWrap/>
          </w:tcPr>
          <w:p w14:paraId="5B95CD12"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3BC66541" w14:textId="77777777" w:rsidR="0065073E" w:rsidRDefault="000A0998">
            <w:pPr>
              <w:pStyle w:val="P68B1DB1-Normal12"/>
              <w:spacing w:after="0" w:line="240" w:lineRule="auto"/>
              <w:jc w:val="center"/>
              <w:rPr>
                <w:rFonts w:cs="Times New Roman"/>
                <w:noProof/>
              </w:rPr>
            </w:pPr>
            <w:r>
              <w:rPr>
                <w:noProof/>
              </w:rPr>
              <w:t>Määrä</w:t>
            </w:r>
          </w:p>
        </w:tc>
        <w:tc>
          <w:tcPr>
            <w:tcW w:w="966" w:type="dxa"/>
            <w:shd w:val="clear" w:color="auto" w:fill="C6EFCE"/>
            <w:noWrap/>
          </w:tcPr>
          <w:p w14:paraId="2EAC5A90" w14:textId="77777777" w:rsidR="0065073E" w:rsidRDefault="000A0998">
            <w:pPr>
              <w:pStyle w:val="P68B1DB1-Normal12"/>
              <w:spacing w:after="0" w:line="240" w:lineRule="auto"/>
              <w:jc w:val="center"/>
              <w:rPr>
                <w:rFonts w:cs="Times New Roman"/>
                <w:noProof/>
              </w:rPr>
            </w:pPr>
            <w:r>
              <w:rPr>
                <w:noProof/>
              </w:rPr>
              <w:t>0</w:t>
            </w:r>
          </w:p>
        </w:tc>
        <w:tc>
          <w:tcPr>
            <w:tcW w:w="553" w:type="dxa"/>
            <w:shd w:val="clear" w:color="auto" w:fill="C6EFCE"/>
            <w:noWrap/>
          </w:tcPr>
          <w:p w14:paraId="3E1FE5D4" w14:textId="77777777" w:rsidR="0065073E" w:rsidRDefault="000A0998">
            <w:pPr>
              <w:pStyle w:val="P68B1DB1-Normal12"/>
              <w:spacing w:after="0" w:line="240" w:lineRule="auto"/>
              <w:jc w:val="center"/>
              <w:rPr>
                <w:rFonts w:cs="Times New Roman"/>
                <w:noProof/>
              </w:rPr>
            </w:pPr>
            <w:r>
              <w:rPr>
                <w:noProof/>
              </w:rPr>
              <w:t>10</w:t>
            </w:r>
          </w:p>
        </w:tc>
        <w:tc>
          <w:tcPr>
            <w:tcW w:w="415" w:type="dxa"/>
            <w:shd w:val="clear" w:color="auto" w:fill="C6EFCE"/>
            <w:noWrap/>
          </w:tcPr>
          <w:p w14:paraId="1B37B511" w14:textId="77777777"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5D5D93FA" w14:textId="77777777" w:rsidR="0065073E" w:rsidRDefault="000A0998">
            <w:pPr>
              <w:pStyle w:val="P68B1DB1-Normal12"/>
              <w:spacing w:after="0" w:line="240" w:lineRule="auto"/>
              <w:jc w:val="center"/>
              <w:rPr>
                <w:rFonts w:cs="Times New Roman"/>
                <w:noProof/>
              </w:rPr>
            </w:pPr>
            <w:r>
              <w:rPr>
                <w:noProof/>
              </w:rPr>
              <w:t>2023</w:t>
            </w:r>
          </w:p>
        </w:tc>
        <w:tc>
          <w:tcPr>
            <w:tcW w:w="6888" w:type="dxa"/>
            <w:shd w:val="clear" w:color="auto" w:fill="C6EFCE"/>
            <w:noWrap/>
          </w:tcPr>
          <w:p w14:paraId="15C23AD9" w14:textId="77777777" w:rsidR="0065073E" w:rsidRDefault="000A0998">
            <w:pPr>
              <w:pStyle w:val="P68B1DB1-Normal12"/>
              <w:spacing w:after="0" w:line="240" w:lineRule="auto"/>
              <w:jc w:val="both"/>
              <w:rPr>
                <w:rFonts w:cs="Times New Roman"/>
                <w:noProof/>
              </w:rPr>
            </w:pPr>
            <w:r>
              <w:rPr>
                <w:noProof/>
              </w:rPr>
              <w:t>Vähintään kymmenen yksittäistä pioneerihanketta rahoitettiin. Näihin kuuluvat integroidut hankkeet, jotka kattavat uusiutuvan vedyn tuotannon, jakelun ja kulutuksen eri paikoissa kuin klustereissa. Hankkeisiin voi sisältyä muiden tarvittavien toimien, kuten tietoon perustuvan tutkimuksen ja valmiuksien kehittämisen, integrointi.</w:t>
            </w:r>
          </w:p>
        </w:tc>
      </w:tr>
      <w:tr w:rsidR="0065073E" w14:paraId="1FCD4E4E" w14:textId="77777777">
        <w:trPr>
          <w:trHeight w:val="309"/>
        </w:trPr>
        <w:tc>
          <w:tcPr>
            <w:tcW w:w="832" w:type="dxa"/>
            <w:shd w:val="clear" w:color="auto" w:fill="C6EFCE"/>
            <w:noWrap/>
          </w:tcPr>
          <w:p w14:paraId="5B7F6EDA" w14:textId="77777777" w:rsidR="0065073E" w:rsidRDefault="000A0998">
            <w:pPr>
              <w:pStyle w:val="P68B1DB1-Normal12"/>
              <w:spacing w:after="0" w:line="240" w:lineRule="auto"/>
              <w:jc w:val="center"/>
              <w:rPr>
                <w:rFonts w:cs="Times New Roman"/>
                <w:noProof/>
              </w:rPr>
            </w:pPr>
            <w:r>
              <w:rPr>
                <w:noProof/>
              </w:rPr>
              <w:t>135</w:t>
            </w:r>
          </w:p>
        </w:tc>
        <w:tc>
          <w:tcPr>
            <w:tcW w:w="829" w:type="dxa"/>
            <w:shd w:val="clear" w:color="auto" w:fill="C6EFCE"/>
            <w:noWrap/>
          </w:tcPr>
          <w:p w14:paraId="662347B1" w14:textId="77777777" w:rsidR="0065073E" w:rsidRDefault="000A0998">
            <w:pPr>
              <w:pStyle w:val="P68B1DB1-Normal12"/>
              <w:spacing w:after="0" w:line="240" w:lineRule="auto"/>
              <w:jc w:val="center"/>
              <w:rPr>
                <w:rFonts w:cs="Times New Roman"/>
                <w:noProof/>
              </w:rPr>
            </w:pPr>
            <w:r>
              <w:rPr>
                <w:noProof/>
              </w:rPr>
              <w:t>C9.I1</w:t>
            </w:r>
          </w:p>
        </w:tc>
        <w:tc>
          <w:tcPr>
            <w:tcW w:w="828" w:type="dxa"/>
            <w:shd w:val="clear" w:color="auto" w:fill="C6EFCE"/>
            <w:noWrap/>
          </w:tcPr>
          <w:p w14:paraId="3330C96E" w14:textId="77777777" w:rsidR="0065073E" w:rsidRDefault="000A0998">
            <w:pPr>
              <w:pStyle w:val="P68B1DB1-Normal12"/>
              <w:spacing w:after="0" w:line="240" w:lineRule="auto"/>
              <w:jc w:val="center"/>
              <w:rPr>
                <w:rFonts w:cs="Times New Roman"/>
                <w:noProof/>
              </w:rPr>
            </w:pPr>
            <w:r>
              <w:rPr>
                <w:noProof/>
              </w:rPr>
              <w:t>T</w:t>
            </w:r>
          </w:p>
        </w:tc>
        <w:tc>
          <w:tcPr>
            <w:tcW w:w="1518" w:type="dxa"/>
            <w:shd w:val="clear" w:color="auto" w:fill="C6EFCE"/>
            <w:noWrap/>
          </w:tcPr>
          <w:p w14:paraId="447F5240" w14:textId="77777777" w:rsidR="0065073E" w:rsidRDefault="000A0998">
            <w:pPr>
              <w:pStyle w:val="P68B1DB1-Normal12"/>
              <w:spacing w:after="0" w:line="240" w:lineRule="auto"/>
              <w:jc w:val="both"/>
              <w:rPr>
                <w:rFonts w:cs="Times New Roman"/>
                <w:noProof/>
              </w:rPr>
            </w:pPr>
            <w:r>
              <w:rPr>
                <w:noProof/>
              </w:rPr>
              <w:t>Testauslaitokset tai uudet valmistuslinjat.</w:t>
            </w:r>
          </w:p>
        </w:tc>
        <w:tc>
          <w:tcPr>
            <w:tcW w:w="1241" w:type="dxa"/>
            <w:shd w:val="clear" w:color="auto" w:fill="C6EFCE"/>
            <w:noWrap/>
          </w:tcPr>
          <w:p w14:paraId="5220BBB2"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0AFFA88C" w14:textId="77777777" w:rsidR="0065073E" w:rsidRDefault="000A0998">
            <w:pPr>
              <w:pStyle w:val="P68B1DB1-Normal12"/>
              <w:spacing w:after="0" w:line="240" w:lineRule="auto"/>
              <w:jc w:val="center"/>
              <w:rPr>
                <w:rFonts w:cs="Times New Roman"/>
                <w:noProof/>
              </w:rPr>
            </w:pPr>
            <w:r>
              <w:rPr>
                <w:noProof/>
              </w:rPr>
              <w:t>Määrä</w:t>
            </w:r>
          </w:p>
        </w:tc>
        <w:tc>
          <w:tcPr>
            <w:tcW w:w="966" w:type="dxa"/>
            <w:shd w:val="clear" w:color="auto" w:fill="C6EFCE"/>
            <w:noWrap/>
          </w:tcPr>
          <w:p w14:paraId="26EE7DBF" w14:textId="77777777" w:rsidR="0065073E" w:rsidRDefault="000A0998">
            <w:pPr>
              <w:pStyle w:val="P68B1DB1-Normal12"/>
              <w:spacing w:after="0" w:line="240" w:lineRule="auto"/>
              <w:jc w:val="center"/>
              <w:rPr>
                <w:rFonts w:cs="Times New Roman"/>
                <w:noProof/>
              </w:rPr>
            </w:pPr>
            <w:r>
              <w:rPr>
                <w:noProof/>
              </w:rPr>
              <w:t>0</w:t>
            </w:r>
          </w:p>
        </w:tc>
        <w:tc>
          <w:tcPr>
            <w:tcW w:w="553" w:type="dxa"/>
            <w:shd w:val="clear" w:color="auto" w:fill="C6EFCE"/>
            <w:noWrap/>
          </w:tcPr>
          <w:p w14:paraId="31830EAB" w14:textId="77777777" w:rsidR="0065073E" w:rsidRDefault="000A0998">
            <w:pPr>
              <w:pStyle w:val="P68B1DB1-Normal12"/>
              <w:spacing w:after="0" w:line="240" w:lineRule="auto"/>
              <w:jc w:val="center"/>
              <w:rPr>
                <w:rFonts w:cs="Times New Roman"/>
                <w:noProof/>
              </w:rPr>
            </w:pPr>
            <w:r>
              <w:rPr>
                <w:noProof/>
              </w:rPr>
              <w:t>10</w:t>
            </w:r>
          </w:p>
        </w:tc>
        <w:tc>
          <w:tcPr>
            <w:tcW w:w="415" w:type="dxa"/>
            <w:shd w:val="clear" w:color="auto" w:fill="C6EFCE"/>
            <w:noWrap/>
          </w:tcPr>
          <w:p w14:paraId="2B258E0F" w14:textId="77777777"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53ECD6F9" w14:textId="77777777" w:rsidR="0065073E" w:rsidRDefault="000A0998">
            <w:pPr>
              <w:pStyle w:val="P68B1DB1-Normal12"/>
              <w:spacing w:after="0" w:line="240" w:lineRule="auto"/>
              <w:jc w:val="center"/>
              <w:rPr>
                <w:rFonts w:cs="Times New Roman"/>
                <w:noProof/>
              </w:rPr>
            </w:pPr>
            <w:r>
              <w:rPr>
                <w:noProof/>
              </w:rPr>
              <w:t>2023</w:t>
            </w:r>
          </w:p>
        </w:tc>
        <w:tc>
          <w:tcPr>
            <w:tcW w:w="6888" w:type="dxa"/>
            <w:shd w:val="clear" w:color="auto" w:fill="C6EFCE"/>
            <w:noWrap/>
          </w:tcPr>
          <w:p w14:paraId="56CF1166" w14:textId="77777777" w:rsidR="0065073E" w:rsidRDefault="000A0998">
            <w:pPr>
              <w:pStyle w:val="P68B1DB1-Normal12"/>
              <w:spacing w:after="0" w:line="240" w:lineRule="auto"/>
              <w:jc w:val="both"/>
              <w:rPr>
                <w:rFonts w:cs="Times New Roman"/>
                <w:noProof/>
              </w:rPr>
            </w:pPr>
            <w:r>
              <w:rPr>
                <w:noProof/>
              </w:rPr>
              <w:t>Vähintään kymmenestä toimenpiteestä rahoitettiin testauslaitosten parantamista tai uusien tuotantolinjojen käyttöönottoa. Tukitoimien on joko  1) parantaa T &amp; K &amp; I-toimintaan liittyviä testauslaitoksia tai laboratorioita ja/tai niihin liittyviä laitteita; tai 2) parantaa tiloja ja/tai uusien laitteiden (kuten työstökoneiden) hankintaa tai tekniikoita vetyyn ja polttokennoihin liittyvien järjestelmien, laitteiden tai komponenttien valmistamiseksi.</w:t>
            </w:r>
          </w:p>
        </w:tc>
      </w:tr>
      <w:tr w:rsidR="0065073E" w14:paraId="6FC9F33E" w14:textId="77777777">
        <w:trPr>
          <w:trHeight w:val="309"/>
        </w:trPr>
        <w:tc>
          <w:tcPr>
            <w:tcW w:w="832" w:type="dxa"/>
            <w:shd w:val="clear" w:color="auto" w:fill="C6EFCE"/>
            <w:noWrap/>
          </w:tcPr>
          <w:p w14:paraId="01BB90B5" w14:textId="77777777" w:rsidR="0065073E" w:rsidRDefault="000A0998">
            <w:pPr>
              <w:pStyle w:val="P68B1DB1-Normal12"/>
              <w:spacing w:after="0" w:line="240" w:lineRule="auto"/>
              <w:jc w:val="center"/>
              <w:rPr>
                <w:rFonts w:cs="Times New Roman"/>
                <w:noProof/>
              </w:rPr>
            </w:pPr>
            <w:r>
              <w:rPr>
                <w:noProof/>
              </w:rPr>
              <w:t>136</w:t>
            </w:r>
          </w:p>
        </w:tc>
        <w:tc>
          <w:tcPr>
            <w:tcW w:w="829" w:type="dxa"/>
            <w:shd w:val="clear" w:color="auto" w:fill="C6EFCE"/>
            <w:noWrap/>
          </w:tcPr>
          <w:p w14:paraId="69297731" w14:textId="77777777" w:rsidR="0065073E" w:rsidRDefault="000A0998">
            <w:pPr>
              <w:pStyle w:val="P68B1DB1-Normal12"/>
              <w:spacing w:after="0" w:line="240" w:lineRule="auto"/>
              <w:jc w:val="center"/>
              <w:rPr>
                <w:rFonts w:cs="Times New Roman"/>
                <w:noProof/>
              </w:rPr>
            </w:pPr>
            <w:r>
              <w:rPr>
                <w:noProof/>
              </w:rPr>
              <w:t>C9.I1</w:t>
            </w:r>
          </w:p>
        </w:tc>
        <w:tc>
          <w:tcPr>
            <w:tcW w:w="828" w:type="dxa"/>
            <w:shd w:val="clear" w:color="auto" w:fill="C6EFCE"/>
            <w:noWrap/>
          </w:tcPr>
          <w:p w14:paraId="49FACFB9" w14:textId="77777777" w:rsidR="0065073E" w:rsidRDefault="000A0998">
            <w:pPr>
              <w:pStyle w:val="P68B1DB1-Normal12"/>
              <w:spacing w:after="0" w:line="240" w:lineRule="auto"/>
              <w:jc w:val="center"/>
              <w:rPr>
                <w:rFonts w:cs="Times New Roman"/>
                <w:noProof/>
              </w:rPr>
            </w:pPr>
            <w:r>
              <w:rPr>
                <w:noProof/>
              </w:rPr>
              <w:t>T</w:t>
            </w:r>
          </w:p>
        </w:tc>
        <w:tc>
          <w:tcPr>
            <w:tcW w:w="1518" w:type="dxa"/>
            <w:shd w:val="clear" w:color="auto" w:fill="C6EFCE"/>
            <w:noWrap/>
          </w:tcPr>
          <w:p w14:paraId="3E33FC8F" w14:textId="77777777" w:rsidR="0065073E" w:rsidRDefault="000A0998">
            <w:pPr>
              <w:pStyle w:val="P68B1DB1-Normal12"/>
              <w:spacing w:after="0" w:line="240" w:lineRule="auto"/>
              <w:jc w:val="both"/>
              <w:rPr>
                <w:rFonts w:cs="Times New Roman"/>
                <w:noProof/>
              </w:rPr>
            </w:pPr>
            <w:r>
              <w:rPr>
                <w:noProof/>
              </w:rPr>
              <w:t>Sallittu elektrolyysilaitteiston kapasiteetti</w:t>
            </w:r>
          </w:p>
        </w:tc>
        <w:tc>
          <w:tcPr>
            <w:tcW w:w="1241" w:type="dxa"/>
            <w:shd w:val="clear" w:color="auto" w:fill="C6EFCE"/>
            <w:noWrap/>
          </w:tcPr>
          <w:p w14:paraId="13CB595B"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541F1B07" w14:textId="77777777" w:rsidR="0065073E" w:rsidRDefault="000A0998">
            <w:pPr>
              <w:pStyle w:val="P68B1DB1-Normal12"/>
              <w:spacing w:after="0" w:line="240" w:lineRule="auto"/>
              <w:jc w:val="center"/>
              <w:rPr>
                <w:rFonts w:cs="Times New Roman"/>
                <w:noProof/>
              </w:rPr>
            </w:pPr>
            <w:r>
              <w:rPr>
                <w:noProof/>
              </w:rPr>
              <w:t>Määrä</w:t>
            </w:r>
          </w:p>
          <w:p w14:paraId="5F8575A9" w14:textId="77777777" w:rsidR="0065073E" w:rsidRDefault="000A0998">
            <w:pPr>
              <w:pStyle w:val="P68B1DB1-Normal12"/>
              <w:spacing w:after="0" w:line="240" w:lineRule="auto"/>
              <w:jc w:val="center"/>
              <w:rPr>
                <w:rFonts w:cs="Times New Roman"/>
                <w:noProof/>
              </w:rPr>
            </w:pPr>
            <w:r>
              <w:rPr>
                <w:noProof/>
              </w:rPr>
              <w:t>(MW)</w:t>
            </w:r>
          </w:p>
        </w:tc>
        <w:tc>
          <w:tcPr>
            <w:tcW w:w="966" w:type="dxa"/>
            <w:shd w:val="clear" w:color="auto" w:fill="C6EFCE"/>
            <w:noWrap/>
          </w:tcPr>
          <w:p w14:paraId="5C0A68D0" w14:textId="77777777" w:rsidR="0065073E" w:rsidRDefault="000A0998">
            <w:pPr>
              <w:pStyle w:val="P68B1DB1-Normal12"/>
              <w:spacing w:after="0" w:line="240" w:lineRule="auto"/>
              <w:jc w:val="center"/>
              <w:rPr>
                <w:rFonts w:cs="Times New Roman"/>
                <w:noProof/>
              </w:rPr>
            </w:pPr>
            <w:r>
              <w:rPr>
                <w:noProof/>
              </w:rPr>
              <w:t>0</w:t>
            </w:r>
          </w:p>
        </w:tc>
        <w:tc>
          <w:tcPr>
            <w:tcW w:w="553" w:type="dxa"/>
            <w:shd w:val="clear" w:color="auto" w:fill="C6EFCE"/>
            <w:noWrap/>
          </w:tcPr>
          <w:p w14:paraId="11BB722B" w14:textId="41471449" w:rsidR="0065073E" w:rsidRDefault="000A0998">
            <w:pPr>
              <w:pStyle w:val="P68B1DB1-Normal12"/>
              <w:spacing w:after="0" w:line="240" w:lineRule="auto"/>
              <w:jc w:val="center"/>
              <w:rPr>
                <w:rFonts w:cs="Times New Roman"/>
                <w:noProof/>
              </w:rPr>
            </w:pPr>
            <w:r>
              <w:rPr>
                <w:noProof/>
              </w:rPr>
              <w:t>700</w:t>
            </w:r>
          </w:p>
        </w:tc>
        <w:tc>
          <w:tcPr>
            <w:tcW w:w="415" w:type="dxa"/>
            <w:shd w:val="clear" w:color="auto" w:fill="C6EFCE"/>
            <w:noWrap/>
          </w:tcPr>
          <w:p w14:paraId="7EBA18D0" w14:textId="77777777"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2EF6E9DD" w14:textId="77777777" w:rsidR="0065073E" w:rsidRDefault="000A0998">
            <w:pPr>
              <w:pStyle w:val="P68B1DB1-Normal12"/>
              <w:spacing w:after="0" w:line="240" w:lineRule="auto"/>
              <w:jc w:val="center"/>
              <w:rPr>
                <w:rFonts w:cs="Times New Roman"/>
                <w:noProof/>
              </w:rPr>
            </w:pPr>
            <w:r>
              <w:rPr>
                <w:noProof/>
              </w:rPr>
              <w:t>2026</w:t>
            </w:r>
          </w:p>
        </w:tc>
        <w:tc>
          <w:tcPr>
            <w:tcW w:w="6888" w:type="dxa"/>
            <w:shd w:val="clear" w:color="auto" w:fill="C6EFCE"/>
            <w:noWrap/>
          </w:tcPr>
          <w:p w14:paraId="1AE03AEF" w14:textId="5EE20C7C" w:rsidR="0065073E" w:rsidRDefault="000A0998">
            <w:pPr>
              <w:pStyle w:val="P68B1DB1-Normal12"/>
              <w:spacing w:after="0" w:line="240" w:lineRule="auto"/>
              <w:jc w:val="both"/>
              <w:rPr>
                <w:rFonts w:cs="Times New Roman"/>
                <w:noProof/>
              </w:rPr>
            </w:pPr>
            <w:r>
              <w:rPr>
                <w:noProof/>
              </w:rPr>
              <w:t>Luvan saaneesta elektrolyysilaitteen kokonaiskapasiteetista vähintään 700 MW, mukaan lukien täydentävä infrastruktuuri. Akkreditointi jollakin seuraavista tavoista: uusiutuvien kaasujen alkuperätakuita koskevan kansallisen järjestelmän kirjaaminen rekisteriin tai toimivaltaisen elimen antama laitoksen hallinnollinen lupa tai tuensaajan antama lopullinen investointipäätös.</w:t>
            </w:r>
          </w:p>
        </w:tc>
      </w:tr>
    </w:tbl>
    <w:p w14:paraId="675E05EE"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60"/>
        </w:sectPr>
      </w:pPr>
    </w:p>
    <w:p w14:paraId="5B1C3E22" w14:textId="5F2EDB9B" w:rsidR="0065073E" w:rsidRDefault="000A0998">
      <w:pPr>
        <w:pStyle w:val="P68B1DB1-Heading12"/>
        <w:rPr>
          <w:rFonts w:cs="Times New Roman"/>
          <w:noProof/>
        </w:rPr>
      </w:pPr>
      <w:r>
        <w:rPr>
          <w:noProof/>
        </w:rPr>
        <w:t>J. OSA 10: Oikeudenmukainen siirtymä</w:t>
      </w:r>
    </w:p>
    <w:p w14:paraId="5BB6F28A" w14:textId="77777777" w:rsidR="0065073E" w:rsidRDefault="000A0998">
      <w:pPr>
        <w:pStyle w:val="P68B1DB1-Normal21"/>
        <w:spacing w:before="120" w:after="120" w:line="240" w:lineRule="auto"/>
        <w:jc w:val="both"/>
        <w:rPr>
          <w:rFonts w:cs="Times New Roman"/>
          <w:noProof/>
        </w:rPr>
      </w:pPr>
      <w:r>
        <w:rPr>
          <w:noProof/>
        </w:rPr>
        <w:t>Tällä Espanjan elpymis- ja palautumissuunnitelman osa-alueella käsitellään taloudellisia ja sosiaalisia vaikutuksia maantieteellisillä alueilla, joihin sulkevat hiilikaivokset ja hiili-/ydinvoimalaitokset vaikuttavat ja joita covid-19-pandemian ja lämpövoimalaitosten sulkemisen vaikutukset ovat pahentaneet entisestään. Lisätavoitteena on muuttaa tuotantomallia ja edistää muutosta alueiden kestävämmän taloudellisen ja sosiaalisen mallin tukemiseksi tulevaisuutta varten. Strategia on laadittu rinnakkain oikeudenmukaisen siirtymän rahaston (JTF) Espanjan alueellisen suunnitelman kanssa. Rahastolla on tarkoitus olla laajempi soveltamisala, pidempi kesto ja strategisempi keskittyminen liiketoiminnan kehittämiseen ja tukemiseen.</w:t>
      </w:r>
    </w:p>
    <w:p w14:paraId="6C066958" w14:textId="77777777" w:rsidR="0065073E" w:rsidRDefault="000A0998">
      <w:pPr>
        <w:pStyle w:val="P68B1DB1-Normal4"/>
        <w:spacing w:before="120" w:after="120" w:line="240" w:lineRule="auto"/>
        <w:jc w:val="both"/>
        <w:rPr>
          <w:rFonts w:cs="Times New Roman"/>
          <w:noProof/>
        </w:rPr>
      </w:pPr>
      <w:r>
        <w:rPr>
          <w:noProof/>
        </w:rPr>
        <w:t>Komponentilla edistetään työllisyyttä tukevien maakohtaisten suositusten noudattamista toteuttamalla toimenpiteitä työpaikkojen säilyttämiseksi, tehokkaita kannustimia rekrytointiin ja osaamisen kehittämiseen (maakohtainen suositus 2 2020); edistetään vihreää siirtymää edistäviä julkisia ja yksityisiä investointeja (maakohtainen suositus 3 2020); ja vahvistaa yhteistyötä hallinnon eri tasoilla (maakohtainen suositus 4 2019).</w:t>
      </w:r>
    </w:p>
    <w:p w14:paraId="4A870DE6" w14:textId="77777777" w:rsidR="0065073E" w:rsidRDefault="000A0998">
      <w:pPr>
        <w:pStyle w:val="P68B1DB1-Normal4"/>
        <w:spacing w:before="120" w:after="120" w:line="240" w:lineRule="auto"/>
        <w:jc w:val="both"/>
        <w:rPr>
          <w:rFonts w:cs="Times New Roman"/>
          <w:noProof/>
          <w:shd w:val="clear" w:color="auto" w:fill="FFFFF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2759D05"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J.1 </w:t>
      </w:r>
      <w:r>
        <w:rPr>
          <w:noProof/>
        </w:rPr>
        <w:t xml:space="preserve"> </w:t>
      </w:r>
      <w:r>
        <w:rPr>
          <w:rFonts w:ascii="Times New Roman" w:hAnsi="Times New Roman"/>
          <w:b/>
          <w:noProof/>
          <w:sz w:val="24"/>
          <w:u w:val="single"/>
        </w:rPr>
        <w:t>Kuvaus uudistuksista ja investoinneista, joita rahoitetaan rahoitustuella, jota ei makseta takaisin</w:t>
      </w:r>
    </w:p>
    <w:p w14:paraId="7BF9F8E3" w14:textId="77777777" w:rsidR="0065073E" w:rsidRDefault="000A0998">
      <w:pPr>
        <w:pStyle w:val="P68B1DB1-Normal22"/>
        <w:spacing w:before="120" w:after="120" w:line="240" w:lineRule="auto"/>
        <w:jc w:val="both"/>
        <w:rPr>
          <w:rFonts w:cs="Times New Roman"/>
          <w:noProof/>
        </w:rPr>
      </w:pPr>
      <w:r>
        <w:rPr>
          <w:noProof/>
        </w:rPr>
        <w:t>Uudistus 1 (C10.R1) – Oikeudenmukaisen siirtymän pöytäkirjat</w:t>
      </w:r>
    </w:p>
    <w:p w14:paraId="71CB9634" w14:textId="77777777" w:rsidR="0065073E" w:rsidRDefault="000A0998">
      <w:pPr>
        <w:pStyle w:val="P68B1DB1-Normal21"/>
        <w:spacing w:before="120" w:after="120" w:line="240" w:lineRule="auto"/>
        <w:jc w:val="both"/>
        <w:rPr>
          <w:rFonts w:cs="Times New Roman"/>
          <w:noProof/>
        </w:rPr>
      </w:pPr>
      <w:r>
        <w:rPr>
          <w:noProof/>
        </w:rPr>
        <w:t xml:space="preserve">Hallitus hyväksyi helmikuussa 2020 oikeudenmukaisen siirtymän strategian sellaisena kuin se on esitetty kansallisessa energia- ja ilmastosuunnitelmassa. Tässä uudistuksessa vahvistetaan tämän strategian ja Espanjan elpymis- ja palautumissuunnitelman yhteydessä 12 oikeudenmukaisen siirtymän pöytäkirjaa, jotka kattavat kaikki alueet, joihin hiilikaivosten ja hiilivoimaloiden sulkeminen vaikuttaa. Kunkin oikeudenmukaisen siirtymän rahaston pöytäkirjan on katettava vähintään alue, johon hiilivoimalan sulkeminen vaikuttaa. Pöytäkirjoissa on esitettävä kattavat ja yksityiskohtaiset alueelliset toimintasuunnitelmat asianomaisten alueiden ekologisen, taloudellisen ja sosiaalisen kestävyyden välineinä. Painopisteenä on </w:t>
      </w:r>
      <w:r>
        <w:rPr>
          <w:i/>
          <w:noProof/>
        </w:rPr>
        <w:t>muun muassa</w:t>
      </w:r>
      <w:r>
        <w:rPr>
          <w:noProof/>
        </w:rPr>
        <w:t xml:space="preserve"> työpaikkojen säilyttäminen ja luominen, monipuolistamisen ja erikoistumisen edistäminen, alueiden houkuttelevuuden lisääminen väestökadon torjumiseksi ja maan ympäristön ennallistaminen. Näihin pöytäkirjoihin on sisällyttävä asiaankuuluvien paikallisten toimijoiden (julkiset ja yksityiset toimijat, mukaan lukien yritykset, työmarkkinaosapuolet, koulutusala, kansalaisjärjestöt jne.) yhteistyö. </w:t>
      </w:r>
    </w:p>
    <w:p w14:paraId="4B3369C9" w14:textId="77777777" w:rsidR="0065073E" w:rsidRDefault="000A0998">
      <w:pPr>
        <w:pStyle w:val="P68B1DB1-Normal21"/>
        <w:spacing w:before="120" w:after="120" w:line="240" w:lineRule="auto"/>
        <w:jc w:val="both"/>
        <w:rPr>
          <w:rFonts w:cs="Times New Roman"/>
          <w:noProof/>
        </w:rPr>
      </w:pPr>
      <w:r>
        <w:rPr>
          <w:noProof/>
        </w:rPr>
        <w:t xml:space="preserve">Uudistukseen sisältyy myös oikeudenmukaisen siirtymän instituutin perustaminen. Instituutin tavoitteena on tunnistaa ja hyväksyä toimia, joilla taataan sellaisten työntekijöiden ja alueiden tasapuolinen kohtelu, joihin siirtyminen vähähiiliseen talouteen vaikuttaa, minimoidaan näiden alueiden työllisyyteen ja väestöön kohdistuvat kielteiset vaikutukset ja optimoidaan muutosprosessin mahdollisuudet. Instituutin päätehtävänä on edistää teollisuuspolitiikan suunnittelua, tutkimusta ja kehittämistä, taloudellisen toiminnan edistämistä, työllisyyttä ja ammatillista koulutusta. </w:t>
      </w:r>
    </w:p>
    <w:p w14:paraId="12C249A7" w14:textId="77777777" w:rsidR="0065073E" w:rsidRDefault="000A0998">
      <w:pPr>
        <w:pStyle w:val="P68B1DB1-Normal21"/>
        <w:spacing w:before="120" w:after="120" w:line="240" w:lineRule="auto"/>
        <w:jc w:val="both"/>
        <w:rPr>
          <w:rFonts w:cs="Times New Roman"/>
          <w:noProof/>
        </w:rPr>
      </w:pPr>
      <w:r>
        <w:rPr>
          <w:noProof/>
        </w:rPr>
        <w:t xml:space="preserve">Toimenpiteeseen kuuluu myös sellaisen neuvoa-antavan toimikunnan perustaminen, joka koostuu ministeriöiden edustajista ja paikallis- ja alueviranomaisten edustajista ja joka antaa neuvoja ja arvioi oikeudenmukaisen siirtymän politiikkojen vaikutuksia. </w:t>
      </w:r>
    </w:p>
    <w:p w14:paraId="36F54EEC"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kesäkuuta 2023 mennessä.</w:t>
      </w:r>
    </w:p>
    <w:p w14:paraId="209E9848" w14:textId="77777777" w:rsidR="0065073E" w:rsidRDefault="000A0998">
      <w:pPr>
        <w:pStyle w:val="P68B1DB1-Normal22"/>
        <w:spacing w:before="120" w:after="120" w:line="240" w:lineRule="auto"/>
        <w:jc w:val="both"/>
        <w:rPr>
          <w:rFonts w:cs="Times New Roman"/>
          <w:noProof/>
        </w:rPr>
      </w:pPr>
      <w:r>
        <w:rPr>
          <w:noProof/>
        </w:rPr>
        <w:t>Investointi 1 (C10.I1) – Investoinnit oikeudenmukaiseen siirtymään</w:t>
      </w:r>
    </w:p>
    <w:p w14:paraId="121B1291" w14:textId="77777777" w:rsidR="0065073E" w:rsidRDefault="000A0998">
      <w:pPr>
        <w:pStyle w:val="P68B1DB1-Normal21"/>
        <w:spacing w:before="120" w:after="120" w:line="240" w:lineRule="auto"/>
        <w:jc w:val="both"/>
        <w:rPr>
          <w:rFonts w:cs="Times New Roman"/>
          <w:noProof/>
        </w:rPr>
      </w:pPr>
      <w:r>
        <w:rPr>
          <w:noProof/>
        </w:rPr>
        <w:t xml:space="preserve">Oikeudenmukaisen siirtymän pöytäkirjoihin on liitettävä investointeja alueilla, jotta voidaan </w:t>
      </w:r>
    </w:p>
    <w:p w14:paraId="3F06503D" w14:textId="77777777" w:rsidR="0065073E" w:rsidRDefault="000A0998">
      <w:pPr>
        <w:pStyle w:val="P68B1DB1-Normal21"/>
        <w:numPr>
          <w:ilvl w:val="0"/>
          <w:numId w:val="105"/>
        </w:numPr>
        <w:spacing w:before="120" w:after="120" w:line="240" w:lineRule="auto"/>
        <w:jc w:val="both"/>
        <w:rPr>
          <w:rFonts w:cs="Times New Roman"/>
          <w:noProof/>
        </w:rPr>
      </w:pPr>
      <w:r>
        <w:rPr>
          <w:noProof/>
        </w:rPr>
        <w:t xml:space="preserve">luoda työpaikkoja ja tukea lyhyen aikavälin toimintaa; </w:t>
      </w:r>
    </w:p>
    <w:p w14:paraId="3E748B07" w14:textId="77777777" w:rsidR="0065073E" w:rsidRDefault="000A0998">
      <w:pPr>
        <w:pStyle w:val="P68B1DB1-Normal21"/>
        <w:numPr>
          <w:ilvl w:val="0"/>
          <w:numId w:val="105"/>
        </w:numPr>
        <w:spacing w:before="120" w:after="120" w:line="240" w:lineRule="auto"/>
        <w:jc w:val="both"/>
        <w:rPr>
          <w:rFonts w:cs="Times New Roman"/>
          <w:noProof/>
        </w:rPr>
      </w:pPr>
      <w:r>
        <w:rPr>
          <w:noProof/>
        </w:rPr>
        <w:t>nopeuttaa muutosta keskittymällä pienimuotoisiin pilottihankkeisiin, joita – jos ne katsotaan onnistuneiksi – laajennettaisiin JTF-rahaston yhteydessä; ja</w:t>
      </w:r>
    </w:p>
    <w:p w14:paraId="15A0C0C7" w14:textId="77777777" w:rsidR="0065073E" w:rsidRDefault="000A0998">
      <w:pPr>
        <w:pStyle w:val="P68B1DB1-Normal21"/>
        <w:numPr>
          <w:ilvl w:val="0"/>
          <w:numId w:val="105"/>
        </w:numPr>
        <w:spacing w:before="120" w:after="120" w:line="240" w:lineRule="auto"/>
        <w:jc w:val="both"/>
        <w:rPr>
          <w:rFonts w:cs="Times New Roman"/>
          <w:noProof/>
        </w:rPr>
      </w:pPr>
      <w:r>
        <w:rPr>
          <w:noProof/>
        </w:rPr>
        <w:t xml:space="preserve">edistetään talouskehitystä ja edistetään sosiaalista ja alueellista yhteenkuuluvuutta. </w:t>
      </w:r>
    </w:p>
    <w:p w14:paraId="0C490A71" w14:textId="77777777" w:rsidR="0065073E" w:rsidRDefault="000A0998">
      <w:pPr>
        <w:pStyle w:val="P68B1DB1-Normal21"/>
        <w:spacing w:before="120" w:after="120" w:line="240" w:lineRule="auto"/>
        <w:jc w:val="both"/>
        <w:rPr>
          <w:rFonts w:cs="Times New Roman"/>
          <w:noProof/>
        </w:rPr>
      </w:pPr>
      <w:r>
        <w:rPr>
          <w:noProof/>
        </w:rPr>
        <w:t xml:space="preserve">Hankkeet kohdistetaan neljään erityisalueeseen: </w:t>
      </w:r>
    </w:p>
    <w:p w14:paraId="0952D290" w14:textId="77777777" w:rsidR="0065073E" w:rsidRDefault="000A0998">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Ympäristön ennallistamissuunnitelmat (esim. uudelleenmetsittäminen </w:t>
      </w:r>
      <w:r>
        <w:rPr>
          <w:noProof/>
        </w:rPr>
        <w:t>tai kasvillisuuden palauttaminen),</w:t>
      </w:r>
      <w:r>
        <w:rPr>
          <w:noProof/>
          <w:shd w:val="clear" w:color="auto" w:fill="FFFFFF"/>
        </w:rPr>
        <w:t xml:space="preserve"> jotka koskevat suljettuja tai hylättyjä kaivosalueita ja lämpö- tai ydinvoimalaitosten vieressä olevaa huonontunutta maata ja jotka kattavat vähintään 2000 hehtaaria kunnostettua maata.</w:t>
      </w:r>
      <w:r>
        <w:rPr>
          <w:noProof/>
        </w:rPr>
        <w:t xml:space="preserve"> </w:t>
      </w:r>
      <w:r>
        <w:rPr>
          <w:noProof/>
          <w:shd w:val="clear" w:color="auto" w:fill="FFFFFF"/>
        </w:rPr>
        <w:t xml:space="preserve"> Osana näitä suunnitelmia laitos- ja kaivoslaitokset on purettava, maaperä on kunnostettava ja siihen on sovellettava uudelleenmetsitys- tai kasvillisuuden palauttamisprosesseja, uusiutuvan energian tuotantolaitoksia tai ekovaihtoehtoista talouskehitystä;</w:t>
      </w:r>
    </w:p>
    <w:p w14:paraId="700ACC35" w14:textId="77AF67D7" w:rsidR="0065073E" w:rsidRDefault="000A0998">
      <w:pPr>
        <w:pStyle w:val="P68B1DB1-Normal4"/>
        <w:numPr>
          <w:ilvl w:val="0"/>
          <w:numId w:val="104"/>
        </w:numPr>
        <w:spacing w:before="120" w:after="120" w:line="240" w:lineRule="auto"/>
        <w:jc w:val="both"/>
        <w:rPr>
          <w:rFonts w:cs="Times New Roman"/>
          <w:noProof/>
        </w:rPr>
      </w:pPr>
      <w:r>
        <w:rPr>
          <w:noProof/>
          <w:shd w:val="clear" w:color="auto" w:fill="FFFFFF"/>
        </w:rPr>
        <w:t xml:space="preserve">Vähintään </w:t>
      </w:r>
      <w:r>
        <w:rPr>
          <w:noProof/>
        </w:rPr>
        <w:t>130</w:t>
      </w:r>
      <w:r>
        <w:rPr>
          <w:noProof/>
          <w:shd w:val="clear" w:color="auto" w:fill="FFFFFF"/>
        </w:rPr>
        <w:t xml:space="preserve"> ympäristöön, digitaaliseen ja sosiaaliseen infrastruktuuriin liittyvää hanketta vähähiiliseen talouteen siirtymässä olevissa kunnissa ja alueilla, joiden kokonaisrahoitus on vähintään 102000000 euroa. Hankkeet koskevat muun muassa seuraavia aloja: infrastruktuurin ja julkisten rakennusten</w:t>
      </w:r>
      <w:r>
        <w:rPr>
          <w:noProof/>
        </w:rPr>
        <w:t>kunnostaminen; kuntien tai eristyksissä olevien väestöalueiden välistä viestintää koskevat innovatiiviset hankkeet, jotka perustuvat kestäviin liikkuvuusratkaisuihin ja olemassa olevan liikenneinfrastruktuurin elvyttämiseen ja vaihtoehtoiseen käyttöön; kiertotaloutta tukevan julkisen infrastruktuurin, mukaan lukien yhdyskuntalaamot ja jätehuoltokeskukset, kunnostaminen; ympäristöhankkeet julkisessa omistuksessa olevien alueiden (kuten varantojen, jokien kulkuväylien tai laiturien sekä luonnontulkkausalueiden) kunnostamiseksi ja parantamiseksi; digitaalinen infrastruktuuri ja palvelut ekologisten tuotteiden osuuskuntien tai yhteisöllisten järjestelmien kehittämiseksi yhteisostoja ja -myyntiä varten internetissä.</w:t>
      </w:r>
    </w:p>
    <w:p w14:paraId="68A2ED79" w14:textId="5A105EE8" w:rsidR="0065073E" w:rsidRDefault="000A0998">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Tuki kahdelle TKI-hankkeelle, jotka koskevat energian varastointia ja vihreää vetyä</w:t>
      </w:r>
      <w:r>
        <w:rPr>
          <w:noProof/>
        </w:rPr>
        <w:t>. Hankkeilla mukautetaan Ciudad de la Energían (</w:t>
      </w:r>
      <w:r>
        <w:rPr>
          <w:i/>
          <w:noProof/>
        </w:rPr>
        <w:t xml:space="preserve">Ciudad de la Energía) </w:t>
      </w:r>
      <w:r>
        <w:rPr>
          <w:noProof/>
        </w:rPr>
        <w:t>laitoksia ja laboratorioita, jotka ovat oikeudenmukaisen siirtymän instituutin yhteydessä Bierzoon (Leon) perustettu hallituksen tutkimus-, kehitys- ja innovointisäätiö ja riippuen ekologisesta siirtymästä ja väestöhaasteesta, kahteen vihreän vedyn tuotantoa ja energian varastointia koskevaan t &amp; k-hankkeeseen; ja</w:t>
      </w:r>
    </w:p>
    <w:p w14:paraId="30266114" w14:textId="43BD2763" w:rsidR="0065073E" w:rsidRDefault="000A0998">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Tuki työntekijöiden ja vähähiiliseen talouteen siirtymisestä kärsivien henkilöiden uudelleenkouluttamiselle ja työllistettävyyden parantamiselle siten, että vähintään </w:t>
      </w:r>
      <w:r>
        <w:rPr>
          <w:noProof/>
        </w:rPr>
        <w:t>840</w:t>
      </w:r>
      <w:r>
        <w:rPr>
          <w:noProof/>
          <w:shd w:val="clear" w:color="auto" w:fill="FFFFFF"/>
        </w:rPr>
        <w:t xml:space="preserve"> henkilöä saa yksilöllistä työnhakuneuvontaa ja</w:t>
      </w:r>
      <w:r>
        <w:rPr>
          <w:noProof/>
        </w:rPr>
        <w:t>/tai</w:t>
      </w:r>
      <w:r>
        <w:rPr>
          <w:noProof/>
          <w:shd w:val="clear" w:color="auto" w:fill="FFFFFF"/>
        </w:rPr>
        <w:t xml:space="preserve"> uudelleenkoulutuspolkuja. Uudelleenvalintatuen olisi katettava ainakin seuraavat alat: uusiutuvan energian (tuuli ja aurinkosähkö) asentaminen ja ylläpito, ennallistaminen ja ympäristöasioiden hallinta ja/tai integroitu ja energiakunnostaminen. </w:t>
      </w:r>
    </w:p>
    <w:p w14:paraId="0E19EE43" w14:textId="77777777" w:rsidR="0065073E" w:rsidRDefault="000A0998">
      <w:pPr>
        <w:pStyle w:val="P68B1DB1-Normal4"/>
        <w:spacing w:before="120" w:after="120" w:line="240" w:lineRule="auto"/>
        <w:jc w:val="both"/>
        <w:rPr>
          <w:rFonts w:cs="Times New Roman"/>
          <w:b/>
          <w:noProof/>
          <w:u w:val="single"/>
        </w:rPr>
      </w:pPr>
      <w:r>
        <w:rPr>
          <w:noProof/>
        </w:rPr>
        <w:t>Investoinnin toteutus saatetaan päätökseen viimeistään 30. kesäkuuta 2026.</w:t>
      </w:r>
    </w:p>
    <w:p w14:paraId="12C670DD"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J.2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20264558" w14:textId="77777777" w:rsidR="0065073E" w:rsidRDefault="000A0998">
      <w:pPr>
        <w:pStyle w:val="P68B1DB1-Normal4"/>
        <w:spacing w:before="120" w:after="120" w:line="240" w:lineRule="auto"/>
        <w:rPr>
          <w:rFonts w:cs="Times New Roman"/>
          <w:noProof/>
        </w:rPr>
        <w:sectPr w:rsidR="0065073E" w:rsidSect="00B511EF">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829"/>
        <w:gridCol w:w="828"/>
        <w:gridCol w:w="3170"/>
        <w:gridCol w:w="966"/>
        <w:gridCol w:w="828"/>
        <w:gridCol w:w="966"/>
        <w:gridCol w:w="691"/>
        <w:gridCol w:w="415"/>
        <w:gridCol w:w="553"/>
        <w:gridCol w:w="5373"/>
      </w:tblGrid>
      <w:tr w:rsidR="0065073E" w14:paraId="7C0B19A3" w14:textId="77777777">
        <w:trPr>
          <w:trHeight w:val="309"/>
          <w:tblHeader/>
        </w:trPr>
        <w:tc>
          <w:tcPr>
            <w:tcW w:w="833" w:type="dxa"/>
            <w:tcBorders>
              <w:bottom w:val="nil"/>
            </w:tcBorders>
            <w:shd w:val="clear" w:color="auto" w:fill="C6D9F1" w:themeFill="text2" w:themeFillTint="33"/>
            <w:noWrap/>
            <w:vAlign w:val="center"/>
          </w:tcPr>
          <w:p w14:paraId="47810258"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7A8A3BC4"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0E73BAB9"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3170" w:type="dxa"/>
            <w:tcBorders>
              <w:bottom w:val="nil"/>
            </w:tcBorders>
            <w:shd w:val="clear" w:color="auto" w:fill="C6D9F1" w:themeFill="text2" w:themeFillTint="33"/>
            <w:noWrap/>
            <w:vAlign w:val="center"/>
          </w:tcPr>
          <w:p w14:paraId="0100A987" w14:textId="77777777" w:rsidR="0065073E" w:rsidRDefault="000A0998">
            <w:pPr>
              <w:pStyle w:val="P68B1DB1-Normal8"/>
              <w:spacing w:after="0" w:line="240" w:lineRule="auto"/>
              <w:jc w:val="center"/>
              <w:rPr>
                <w:rFonts w:cs="Times New Roman"/>
                <w:noProof/>
              </w:rPr>
            </w:pPr>
            <w:r>
              <w:rPr>
                <w:noProof/>
              </w:rPr>
              <w:t>Nimi</w:t>
            </w:r>
          </w:p>
        </w:tc>
        <w:tc>
          <w:tcPr>
            <w:tcW w:w="966" w:type="dxa"/>
            <w:tcBorders>
              <w:bottom w:val="nil"/>
            </w:tcBorders>
            <w:shd w:val="clear" w:color="auto" w:fill="C6D9F1" w:themeFill="text2" w:themeFillTint="33"/>
            <w:noWrap/>
            <w:vAlign w:val="center"/>
          </w:tcPr>
          <w:p w14:paraId="32563B3D"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85" w:type="dxa"/>
            <w:gridSpan w:val="3"/>
            <w:shd w:val="clear" w:color="auto" w:fill="C6D9F1" w:themeFill="text2" w:themeFillTint="33"/>
            <w:noWrap/>
            <w:vAlign w:val="center"/>
          </w:tcPr>
          <w:p w14:paraId="0DB55535"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vAlign w:val="center"/>
          </w:tcPr>
          <w:p w14:paraId="4793D532" w14:textId="77777777" w:rsidR="0065073E" w:rsidRDefault="000A0998">
            <w:pPr>
              <w:pStyle w:val="P68B1DB1-Normal8"/>
              <w:spacing w:after="0" w:line="240" w:lineRule="auto"/>
              <w:jc w:val="center"/>
              <w:rPr>
                <w:rFonts w:cs="Times New Roman"/>
                <w:noProof/>
              </w:rPr>
            </w:pPr>
            <w:r>
              <w:rPr>
                <w:noProof/>
              </w:rPr>
              <w:t>Aika</w:t>
            </w:r>
          </w:p>
        </w:tc>
        <w:tc>
          <w:tcPr>
            <w:tcW w:w="5373" w:type="dxa"/>
            <w:tcBorders>
              <w:bottom w:val="nil"/>
            </w:tcBorders>
            <w:shd w:val="clear" w:color="auto" w:fill="C6D9F1" w:themeFill="text2" w:themeFillTint="33"/>
            <w:noWrap/>
            <w:vAlign w:val="center"/>
          </w:tcPr>
          <w:p w14:paraId="1FA168C9"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7A0970B9" w14:textId="77777777">
        <w:trPr>
          <w:trHeight w:val="309"/>
          <w:tblHeader/>
        </w:trPr>
        <w:tc>
          <w:tcPr>
            <w:tcW w:w="833" w:type="dxa"/>
            <w:tcBorders>
              <w:top w:val="nil"/>
            </w:tcBorders>
            <w:shd w:val="clear" w:color="auto" w:fill="C6D9F1" w:themeFill="text2" w:themeFillTint="33"/>
            <w:noWrap/>
          </w:tcPr>
          <w:p w14:paraId="2FC17F8B"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0A4F7224"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5AE48A43" w14:textId="77777777" w:rsidR="0065073E" w:rsidRDefault="0065073E">
            <w:pPr>
              <w:spacing w:after="0" w:line="240" w:lineRule="auto"/>
              <w:jc w:val="center"/>
              <w:rPr>
                <w:rFonts w:ascii="Times New Roman" w:hAnsi="Times New Roman" w:cs="Times New Roman"/>
                <w:b/>
                <w:noProof/>
                <w:sz w:val="18"/>
              </w:rPr>
            </w:pPr>
          </w:p>
        </w:tc>
        <w:tc>
          <w:tcPr>
            <w:tcW w:w="3170" w:type="dxa"/>
            <w:tcBorders>
              <w:top w:val="nil"/>
            </w:tcBorders>
            <w:shd w:val="clear" w:color="auto" w:fill="C6D9F1" w:themeFill="text2" w:themeFillTint="33"/>
            <w:noWrap/>
          </w:tcPr>
          <w:p w14:paraId="50F40DEB" w14:textId="77777777" w:rsidR="0065073E" w:rsidRDefault="0065073E">
            <w:pPr>
              <w:spacing w:after="0" w:line="240" w:lineRule="auto"/>
              <w:rPr>
                <w:rFonts w:ascii="Times New Roman" w:hAnsi="Times New Roman" w:cs="Times New Roman"/>
                <w:b/>
                <w:noProof/>
                <w:sz w:val="18"/>
              </w:rPr>
            </w:pPr>
          </w:p>
        </w:tc>
        <w:tc>
          <w:tcPr>
            <w:tcW w:w="966" w:type="dxa"/>
            <w:tcBorders>
              <w:top w:val="nil"/>
            </w:tcBorders>
            <w:shd w:val="clear" w:color="auto" w:fill="C6D9F1" w:themeFill="text2" w:themeFillTint="33"/>
            <w:noWrap/>
          </w:tcPr>
          <w:p w14:paraId="77A52294" w14:textId="77777777" w:rsidR="0065073E" w:rsidRDefault="0065073E">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tcPr>
          <w:p w14:paraId="524FBEBB"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tcPr>
          <w:p w14:paraId="774C8C57" w14:textId="0CD3A53B" w:rsidR="0065073E" w:rsidRDefault="000A0998">
            <w:pPr>
              <w:pStyle w:val="P68B1DB1-Normal8"/>
              <w:spacing w:after="0" w:line="240" w:lineRule="auto"/>
              <w:jc w:val="center"/>
              <w:rPr>
                <w:rFonts w:cs="Times New Roman"/>
                <w:noProof/>
              </w:rPr>
            </w:pPr>
            <w:r>
              <w:rPr>
                <w:noProof/>
              </w:rPr>
              <w:t>Lähtötaso</w:t>
            </w:r>
          </w:p>
        </w:tc>
        <w:tc>
          <w:tcPr>
            <w:tcW w:w="691" w:type="dxa"/>
            <w:shd w:val="clear" w:color="auto" w:fill="C6D9F1" w:themeFill="text2" w:themeFillTint="33"/>
            <w:noWrap/>
          </w:tcPr>
          <w:p w14:paraId="498E2A4F"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tcPr>
          <w:p w14:paraId="394D9DAB"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6A32D50D" w14:textId="77777777" w:rsidR="0065073E" w:rsidRDefault="000A0998">
            <w:pPr>
              <w:pStyle w:val="P68B1DB1-Normal8"/>
              <w:spacing w:after="0" w:line="240" w:lineRule="auto"/>
              <w:jc w:val="center"/>
              <w:rPr>
                <w:rFonts w:cs="Times New Roman"/>
                <w:noProof/>
              </w:rPr>
            </w:pPr>
            <w:r>
              <w:rPr>
                <w:noProof/>
              </w:rPr>
              <w:t>Vuosi</w:t>
            </w:r>
          </w:p>
        </w:tc>
        <w:tc>
          <w:tcPr>
            <w:tcW w:w="5373" w:type="dxa"/>
            <w:tcBorders>
              <w:top w:val="nil"/>
            </w:tcBorders>
            <w:shd w:val="clear" w:color="auto" w:fill="C6D9F1" w:themeFill="text2" w:themeFillTint="33"/>
            <w:noWrap/>
          </w:tcPr>
          <w:p w14:paraId="007DCDA8" w14:textId="77777777" w:rsidR="0065073E" w:rsidRDefault="0065073E">
            <w:pPr>
              <w:spacing w:after="0" w:line="240" w:lineRule="auto"/>
              <w:rPr>
                <w:rFonts w:ascii="Times New Roman" w:hAnsi="Times New Roman" w:cs="Times New Roman"/>
                <w:b/>
                <w:noProof/>
                <w:sz w:val="18"/>
              </w:rPr>
            </w:pPr>
          </w:p>
        </w:tc>
      </w:tr>
      <w:tr w:rsidR="0065073E" w14:paraId="6BC71F45" w14:textId="77777777">
        <w:trPr>
          <w:trHeight w:val="309"/>
        </w:trPr>
        <w:tc>
          <w:tcPr>
            <w:tcW w:w="833" w:type="dxa"/>
            <w:shd w:val="clear" w:color="auto" w:fill="C6EFCE"/>
            <w:noWrap/>
          </w:tcPr>
          <w:p w14:paraId="41E5CE6F" w14:textId="77777777" w:rsidR="0065073E" w:rsidRDefault="000A0998">
            <w:pPr>
              <w:pStyle w:val="P68B1DB1-Normal12"/>
              <w:spacing w:after="0" w:line="240" w:lineRule="auto"/>
              <w:jc w:val="center"/>
              <w:rPr>
                <w:rFonts w:eastAsia="Symbol" w:cs="Times New Roman"/>
                <w:noProof/>
              </w:rPr>
            </w:pPr>
            <w:r>
              <w:rPr>
                <w:noProof/>
              </w:rPr>
              <w:t>137</w:t>
            </w:r>
          </w:p>
        </w:tc>
        <w:tc>
          <w:tcPr>
            <w:tcW w:w="829" w:type="dxa"/>
            <w:shd w:val="clear" w:color="auto" w:fill="C6EFCE"/>
            <w:noWrap/>
          </w:tcPr>
          <w:p w14:paraId="79F6A2C5" w14:textId="77777777" w:rsidR="0065073E" w:rsidRDefault="000A0998">
            <w:pPr>
              <w:pStyle w:val="P68B1DB1-Normal12"/>
              <w:spacing w:after="0" w:line="240" w:lineRule="auto"/>
              <w:jc w:val="center"/>
              <w:rPr>
                <w:rFonts w:eastAsia="Symbol" w:cs="Times New Roman"/>
                <w:noProof/>
              </w:rPr>
            </w:pPr>
            <w:r>
              <w:rPr>
                <w:noProof/>
              </w:rPr>
              <w:t>C10.R1</w:t>
            </w:r>
          </w:p>
        </w:tc>
        <w:tc>
          <w:tcPr>
            <w:tcW w:w="828" w:type="dxa"/>
            <w:shd w:val="clear" w:color="auto" w:fill="C6EFCE"/>
            <w:noWrap/>
          </w:tcPr>
          <w:p w14:paraId="720AF5AC" w14:textId="77777777" w:rsidR="0065073E" w:rsidRDefault="000A0998">
            <w:pPr>
              <w:pStyle w:val="P68B1DB1-Normal12"/>
              <w:spacing w:after="0" w:line="240" w:lineRule="auto"/>
              <w:jc w:val="center"/>
              <w:rPr>
                <w:rFonts w:eastAsia="Symbol" w:cs="Times New Roman"/>
                <w:noProof/>
              </w:rPr>
            </w:pPr>
            <w:r>
              <w:rPr>
                <w:noProof/>
              </w:rPr>
              <w:t>M</w:t>
            </w:r>
          </w:p>
        </w:tc>
        <w:tc>
          <w:tcPr>
            <w:tcW w:w="3170" w:type="dxa"/>
            <w:shd w:val="clear" w:color="auto" w:fill="C6EFCE"/>
            <w:noWrap/>
          </w:tcPr>
          <w:p w14:paraId="7932CEC1" w14:textId="77777777" w:rsidR="0065073E" w:rsidRDefault="000A0998">
            <w:pPr>
              <w:pStyle w:val="P68B1DB1-Normal12"/>
              <w:spacing w:after="0" w:line="240" w:lineRule="auto"/>
              <w:rPr>
                <w:rFonts w:eastAsia="Symbol" w:cs="Times New Roman"/>
                <w:noProof/>
              </w:rPr>
            </w:pPr>
            <w:r>
              <w:rPr>
                <w:noProof/>
              </w:rPr>
              <w:t xml:space="preserve">Oikeudenmukaisen siirtymän rahaston instituutin perustaminen </w:t>
            </w:r>
          </w:p>
        </w:tc>
        <w:tc>
          <w:tcPr>
            <w:tcW w:w="966" w:type="dxa"/>
            <w:shd w:val="clear" w:color="auto" w:fill="C6EFCE"/>
            <w:noWrap/>
          </w:tcPr>
          <w:p w14:paraId="713B5DF0" w14:textId="77777777" w:rsidR="0065073E" w:rsidRDefault="000A0998">
            <w:pPr>
              <w:pStyle w:val="P68B1DB1-Normal12"/>
              <w:spacing w:after="0" w:line="240" w:lineRule="auto"/>
              <w:jc w:val="center"/>
              <w:rPr>
                <w:rFonts w:eastAsia="Symbol" w:cs="Times New Roman"/>
                <w:noProof/>
              </w:rPr>
            </w:pPr>
            <w:r>
              <w:rPr>
                <w:noProof/>
              </w:rPr>
              <w:t>Julkaiseminen EUVL:ssä</w:t>
            </w:r>
          </w:p>
        </w:tc>
        <w:tc>
          <w:tcPr>
            <w:tcW w:w="828" w:type="dxa"/>
            <w:shd w:val="clear" w:color="auto" w:fill="C6EFCE"/>
            <w:noWrap/>
          </w:tcPr>
          <w:p w14:paraId="606C22D1"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3079E7C0"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691" w:type="dxa"/>
            <w:shd w:val="clear" w:color="auto" w:fill="C6EFCE"/>
            <w:noWrap/>
          </w:tcPr>
          <w:p w14:paraId="7C9FA97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013C9489" w14:textId="77777777" w:rsidR="0065073E" w:rsidRDefault="000A0998">
            <w:pPr>
              <w:pStyle w:val="P68B1DB1-Normal12"/>
              <w:spacing w:after="0" w:line="240" w:lineRule="auto"/>
              <w:jc w:val="center"/>
              <w:rPr>
                <w:rFonts w:eastAsia="Symbol" w:cs="Times New Roman"/>
                <w:noProof/>
              </w:rPr>
            </w:pPr>
            <w:r>
              <w:rPr>
                <w:noProof/>
              </w:rPr>
              <w:t>ENSIMMÄINEN VUOSINELJÄNNES</w:t>
            </w:r>
          </w:p>
        </w:tc>
        <w:tc>
          <w:tcPr>
            <w:tcW w:w="553" w:type="dxa"/>
            <w:shd w:val="clear" w:color="auto" w:fill="C6EFCE"/>
            <w:noWrap/>
          </w:tcPr>
          <w:p w14:paraId="69044F9D" w14:textId="77777777" w:rsidR="0065073E" w:rsidRDefault="000A0998">
            <w:pPr>
              <w:pStyle w:val="P68B1DB1-Normal12"/>
              <w:spacing w:after="0" w:line="240" w:lineRule="auto"/>
              <w:jc w:val="center"/>
              <w:rPr>
                <w:rFonts w:eastAsia="Symbol" w:cs="Times New Roman"/>
                <w:noProof/>
              </w:rPr>
            </w:pPr>
            <w:r>
              <w:rPr>
                <w:noProof/>
              </w:rPr>
              <w:t>2020</w:t>
            </w:r>
          </w:p>
        </w:tc>
        <w:tc>
          <w:tcPr>
            <w:tcW w:w="5373" w:type="dxa"/>
            <w:shd w:val="clear" w:color="auto" w:fill="C6EFCE"/>
            <w:noWrap/>
          </w:tcPr>
          <w:p w14:paraId="6A19AC23" w14:textId="77777777" w:rsidR="0065073E" w:rsidRDefault="000A0998">
            <w:pPr>
              <w:pStyle w:val="P68B1DB1-Normal12"/>
              <w:spacing w:after="0" w:line="240" w:lineRule="auto"/>
              <w:rPr>
                <w:rFonts w:eastAsia="Symbol" w:cs="Times New Roman"/>
                <w:noProof/>
              </w:rPr>
            </w:pPr>
            <w:r>
              <w:rPr>
                <w:noProof/>
              </w:rPr>
              <w:t>Oikeudenmukaisen siirtymän rahaston instituutin perustamisesta annetulla kuninkaallisella asetuksella 500/2020. Instituutin tavoitteena on määrittää ja hyväksyä solidaarisuuteen perustuvia toimenpiteitä, joilla taataan niiden työntekijöiden ja alueiden tasapuolinen kohtelu, joihin siirtyminen vähähiiliseen talouteen vaikuttaa, minimoidaan kielteiset vaikutukset työllisyyteen ja väestöön näillä alueilla ja optimoidaan muutosprosessin mahdollisuudet.</w:t>
            </w:r>
          </w:p>
        </w:tc>
      </w:tr>
      <w:tr w:rsidR="0065073E" w14:paraId="114CF053" w14:textId="77777777">
        <w:trPr>
          <w:trHeight w:val="309"/>
        </w:trPr>
        <w:tc>
          <w:tcPr>
            <w:tcW w:w="833" w:type="dxa"/>
            <w:shd w:val="clear" w:color="auto" w:fill="C6EFCE"/>
            <w:noWrap/>
          </w:tcPr>
          <w:p w14:paraId="651B9F2F" w14:textId="77777777" w:rsidR="0065073E" w:rsidRDefault="000A0998">
            <w:pPr>
              <w:pStyle w:val="P68B1DB1-Normal12"/>
              <w:spacing w:after="0" w:line="240" w:lineRule="auto"/>
              <w:jc w:val="center"/>
              <w:rPr>
                <w:rFonts w:eastAsia="Symbol" w:cs="Times New Roman"/>
                <w:noProof/>
              </w:rPr>
            </w:pPr>
            <w:r>
              <w:rPr>
                <w:noProof/>
              </w:rPr>
              <w:t>138</w:t>
            </w:r>
          </w:p>
        </w:tc>
        <w:tc>
          <w:tcPr>
            <w:tcW w:w="829" w:type="dxa"/>
            <w:shd w:val="clear" w:color="auto" w:fill="C6EFCE"/>
            <w:noWrap/>
          </w:tcPr>
          <w:p w14:paraId="0D72D8D7" w14:textId="77777777" w:rsidR="0065073E" w:rsidRDefault="000A0998">
            <w:pPr>
              <w:pStyle w:val="P68B1DB1-Normal12"/>
              <w:spacing w:after="0" w:line="240" w:lineRule="auto"/>
              <w:jc w:val="center"/>
              <w:rPr>
                <w:rFonts w:eastAsia="Symbol" w:cs="Times New Roman"/>
                <w:noProof/>
              </w:rPr>
            </w:pPr>
            <w:r>
              <w:rPr>
                <w:noProof/>
              </w:rPr>
              <w:t>C10.R1</w:t>
            </w:r>
          </w:p>
        </w:tc>
        <w:tc>
          <w:tcPr>
            <w:tcW w:w="828" w:type="dxa"/>
            <w:shd w:val="clear" w:color="auto" w:fill="C6EFCE"/>
            <w:noWrap/>
          </w:tcPr>
          <w:p w14:paraId="673FD059" w14:textId="77777777" w:rsidR="0065073E" w:rsidRDefault="000A0998">
            <w:pPr>
              <w:pStyle w:val="P68B1DB1-Normal12"/>
              <w:spacing w:after="0" w:line="240" w:lineRule="auto"/>
              <w:jc w:val="center"/>
              <w:rPr>
                <w:rFonts w:eastAsia="Symbol" w:cs="Times New Roman"/>
                <w:noProof/>
              </w:rPr>
            </w:pPr>
            <w:r>
              <w:rPr>
                <w:noProof/>
              </w:rPr>
              <w:t>T</w:t>
            </w:r>
          </w:p>
        </w:tc>
        <w:tc>
          <w:tcPr>
            <w:tcW w:w="3170" w:type="dxa"/>
            <w:shd w:val="clear" w:color="auto" w:fill="C6EFCE"/>
            <w:noWrap/>
          </w:tcPr>
          <w:p w14:paraId="38CB7F22" w14:textId="62151F91" w:rsidR="0065073E" w:rsidRDefault="000A0998">
            <w:pPr>
              <w:pStyle w:val="P68B1DB1-Normal12"/>
              <w:spacing w:after="0" w:line="240" w:lineRule="auto"/>
              <w:rPr>
                <w:rFonts w:eastAsia="Symbol" w:cs="Times New Roman"/>
                <w:noProof/>
              </w:rPr>
            </w:pPr>
            <w:r>
              <w:rPr>
                <w:noProof/>
              </w:rPr>
              <w:t xml:space="preserve">Oikeudenmukaista siirtymää koskevat pöytäkirjat ja neuvoa-antava toimikunta </w:t>
            </w:r>
          </w:p>
        </w:tc>
        <w:tc>
          <w:tcPr>
            <w:tcW w:w="966" w:type="dxa"/>
            <w:shd w:val="clear" w:color="auto" w:fill="C6EFCE"/>
            <w:noWrap/>
          </w:tcPr>
          <w:p w14:paraId="1E3FF041" w14:textId="77777777" w:rsidR="0065073E" w:rsidRDefault="000A0998">
            <w:pPr>
              <w:pStyle w:val="P68B1DB1-Normal12"/>
              <w:spacing w:after="0" w:line="240" w:lineRule="auto"/>
              <w:jc w:val="center"/>
              <w:rPr>
                <w:rFonts w:eastAsia="Symbol" w:cs="Times New Roman"/>
                <w:noProof/>
              </w:rPr>
            </w:pPr>
            <w:r>
              <w:rPr>
                <w:noProof/>
              </w:rPr>
              <w:t>—</w:t>
            </w:r>
          </w:p>
        </w:tc>
        <w:tc>
          <w:tcPr>
            <w:tcW w:w="828" w:type="dxa"/>
            <w:shd w:val="clear" w:color="auto" w:fill="C6EFCE"/>
            <w:noWrap/>
          </w:tcPr>
          <w:p w14:paraId="44D3D206" w14:textId="77777777" w:rsidR="0065073E" w:rsidRDefault="000A0998">
            <w:pPr>
              <w:pStyle w:val="P68B1DB1-Normal12"/>
              <w:spacing w:after="0" w:line="240" w:lineRule="auto"/>
              <w:jc w:val="right"/>
              <w:rPr>
                <w:rFonts w:eastAsia="Symbol" w:cs="Times New Roman"/>
                <w:noProof/>
              </w:rPr>
            </w:pPr>
            <w:r>
              <w:rPr>
                <w:noProof/>
              </w:rPr>
              <w:t>Määrä</w:t>
            </w:r>
          </w:p>
        </w:tc>
        <w:tc>
          <w:tcPr>
            <w:tcW w:w="966" w:type="dxa"/>
            <w:shd w:val="clear" w:color="auto" w:fill="C6EFCE"/>
            <w:noWrap/>
          </w:tcPr>
          <w:p w14:paraId="139BF1F3" w14:textId="77777777" w:rsidR="0065073E" w:rsidRDefault="000A0998">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394C502F" w14:textId="77777777" w:rsidR="0065073E" w:rsidRDefault="000A0998">
            <w:pPr>
              <w:pStyle w:val="P68B1DB1-Normal12"/>
              <w:spacing w:after="0" w:line="240" w:lineRule="auto"/>
              <w:jc w:val="right"/>
              <w:rPr>
                <w:rFonts w:eastAsia="Symbol" w:cs="Times New Roman"/>
                <w:noProof/>
              </w:rPr>
            </w:pPr>
            <w:r>
              <w:rPr>
                <w:noProof/>
              </w:rPr>
              <w:t>12</w:t>
            </w:r>
          </w:p>
        </w:tc>
        <w:tc>
          <w:tcPr>
            <w:tcW w:w="415" w:type="dxa"/>
            <w:shd w:val="clear" w:color="auto" w:fill="C6EFCE"/>
            <w:noWrap/>
          </w:tcPr>
          <w:p w14:paraId="5B76DFD6"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761C5FC8" w14:textId="77777777" w:rsidR="0065073E" w:rsidRDefault="000A0998">
            <w:pPr>
              <w:pStyle w:val="P68B1DB1-Normal12"/>
              <w:spacing w:after="0" w:line="240" w:lineRule="auto"/>
              <w:jc w:val="center"/>
              <w:rPr>
                <w:rFonts w:eastAsia="Symbol" w:cs="Times New Roman"/>
                <w:noProof/>
              </w:rPr>
            </w:pPr>
            <w:r>
              <w:rPr>
                <w:noProof/>
              </w:rPr>
              <w:t>2023</w:t>
            </w:r>
          </w:p>
        </w:tc>
        <w:tc>
          <w:tcPr>
            <w:tcW w:w="5373" w:type="dxa"/>
            <w:shd w:val="clear" w:color="auto" w:fill="C6EFCE"/>
            <w:noWrap/>
          </w:tcPr>
          <w:p w14:paraId="0D390D59" w14:textId="77777777" w:rsidR="0065073E" w:rsidRDefault="000A0998">
            <w:pPr>
              <w:pStyle w:val="P68B1DB1-Normal12"/>
              <w:spacing w:after="0" w:line="240" w:lineRule="auto"/>
              <w:rPr>
                <w:rFonts w:cs="Times New Roman"/>
                <w:noProof/>
              </w:rPr>
            </w:pPr>
            <w:r>
              <w:rPr>
                <w:noProof/>
              </w:rPr>
              <w:t>Osallistavan prosessin jälkeen oikeudenmukaisen siirtymän verkkosivustolla julkaistiin 12 oikeudenmukaista siirtymää koskevaa pöytäkirjaa, jotka sisältävät työllisyyteen, ympäristön ennallistamiseen ja taloudelliseen ja sosiaaliseen kehitykseen liittyviä sitoumuksia 12 alueella, joihin vaikutukset kohdistuvat. Kunkin oikeudenmukaisen siirtymän rahaston pöytäkirjan on katettava vähintään alue, johon hiilivoimalan sulkeminen vaikuttaa.</w:t>
            </w:r>
          </w:p>
          <w:p w14:paraId="196B4BAC" w14:textId="6A30B9A8" w:rsidR="0065073E" w:rsidRDefault="000A0998">
            <w:pPr>
              <w:pStyle w:val="P68B1DB1-Normal12"/>
              <w:spacing w:after="0" w:line="240" w:lineRule="auto"/>
              <w:rPr>
                <w:rFonts w:cs="Times New Roman"/>
                <w:noProof/>
              </w:rPr>
            </w:pPr>
            <w:r>
              <w:rPr>
                <w:noProof/>
              </w:rPr>
              <w:t>Perustetaan neuvoa-antava toimikunta, joka koostuu ministeriöiden edustajista ja paikallis- ja alueviranomaisten edustajista ja joka antaa neuvoja ja arvioi oikeudenmukaisen siirtymän politiikkojen vaikutuksia</w:t>
            </w:r>
          </w:p>
        </w:tc>
      </w:tr>
      <w:tr w:rsidR="0065073E" w14:paraId="63438F36" w14:textId="77777777">
        <w:trPr>
          <w:trHeight w:val="309"/>
        </w:trPr>
        <w:tc>
          <w:tcPr>
            <w:tcW w:w="833" w:type="dxa"/>
            <w:shd w:val="clear" w:color="auto" w:fill="C6EFCE"/>
            <w:noWrap/>
          </w:tcPr>
          <w:p w14:paraId="09E31CEC" w14:textId="77777777" w:rsidR="0065073E" w:rsidRDefault="000A0998">
            <w:pPr>
              <w:pStyle w:val="P68B1DB1-Normal12"/>
              <w:spacing w:after="0" w:line="240" w:lineRule="auto"/>
              <w:jc w:val="center"/>
              <w:rPr>
                <w:rFonts w:eastAsia="Symbol" w:cs="Times New Roman"/>
                <w:noProof/>
              </w:rPr>
            </w:pPr>
            <w:r>
              <w:rPr>
                <w:noProof/>
              </w:rPr>
              <w:t>139</w:t>
            </w:r>
          </w:p>
        </w:tc>
        <w:tc>
          <w:tcPr>
            <w:tcW w:w="829" w:type="dxa"/>
            <w:shd w:val="clear" w:color="auto" w:fill="C6EFCE"/>
            <w:noWrap/>
          </w:tcPr>
          <w:p w14:paraId="1AAD5B4E" w14:textId="77777777" w:rsidR="0065073E" w:rsidRDefault="000A0998">
            <w:pPr>
              <w:pStyle w:val="P68B1DB1-Normal12"/>
              <w:spacing w:after="0" w:line="240" w:lineRule="auto"/>
              <w:jc w:val="center"/>
              <w:rPr>
                <w:rFonts w:eastAsia="Symbol" w:cs="Times New Roman"/>
                <w:noProof/>
              </w:rPr>
            </w:pPr>
            <w:r>
              <w:rPr>
                <w:noProof/>
              </w:rPr>
              <w:t>C10.I1</w:t>
            </w:r>
          </w:p>
        </w:tc>
        <w:tc>
          <w:tcPr>
            <w:tcW w:w="828" w:type="dxa"/>
            <w:shd w:val="clear" w:color="auto" w:fill="C6EFCE"/>
            <w:noWrap/>
          </w:tcPr>
          <w:p w14:paraId="059DBB28" w14:textId="77777777" w:rsidR="0065073E" w:rsidRDefault="000A0998">
            <w:pPr>
              <w:pStyle w:val="P68B1DB1-Normal12"/>
              <w:spacing w:after="0" w:line="240" w:lineRule="auto"/>
              <w:jc w:val="center"/>
              <w:rPr>
                <w:rFonts w:eastAsia="Symbol" w:cs="Times New Roman"/>
                <w:noProof/>
              </w:rPr>
            </w:pPr>
            <w:r>
              <w:rPr>
                <w:noProof/>
              </w:rPr>
              <w:t>M</w:t>
            </w:r>
          </w:p>
        </w:tc>
        <w:tc>
          <w:tcPr>
            <w:tcW w:w="3170" w:type="dxa"/>
            <w:shd w:val="clear" w:color="auto" w:fill="C6EFCE"/>
            <w:noWrap/>
          </w:tcPr>
          <w:p w14:paraId="5AA61149" w14:textId="77777777" w:rsidR="0065073E" w:rsidRDefault="000A0998">
            <w:pPr>
              <w:pStyle w:val="P68B1DB1-Normal12"/>
              <w:spacing w:after="0" w:line="240" w:lineRule="auto"/>
              <w:rPr>
                <w:rFonts w:eastAsia="Symbol" w:cs="Times New Roman"/>
                <w:noProof/>
              </w:rPr>
            </w:pPr>
            <w:r>
              <w:rPr>
                <w:noProof/>
              </w:rPr>
              <w:t>Oikeudenmukaisen siirtymän koulutusohjelma ja tuen myöntäminen oikeudenmukaisen siirtymän alueiden taloudelliseen kehitykseen</w:t>
            </w:r>
          </w:p>
        </w:tc>
        <w:tc>
          <w:tcPr>
            <w:tcW w:w="966" w:type="dxa"/>
            <w:shd w:val="clear" w:color="auto" w:fill="C6EFCE"/>
            <w:noWrap/>
          </w:tcPr>
          <w:p w14:paraId="27F4B882" w14:textId="77777777" w:rsidR="0065073E" w:rsidRDefault="000A0998">
            <w:pPr>
              <w:pStyle w:val="P68B1DB1-Normal12"/>
              <w:spacing w:after="0" w:line="240" w:lineRule="auto"/>
              <w:jc w:val="center"/>
              <w:rPr>
                <w:rFonts w:eastAsia="Symbol" w:cs="Times New Roman"/>
                <w:noProof/>
              </w:rPr>
            </w:pPr>
            <w:r>
              <w:rPr>
                <w:noProof/>
              </w:rPr>
              <w:t>Julkaiseminen EUVL:ssä</w:t>
            </w:r>
          </w:p>
        </w:tc>
        <w:tc>
          <w:tcPr>
            <w:tcW w:w="828" w:type="dxa"/>
            <w:shd w:val="clear" w:color="auto" w:fill="C6EFCE"/>
            <w:noWrap/>
          </w:tcPr>
          <w:p w14:paraId="672EDC33"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685F511E"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691" w:type="dxa"/>
            <w:shd w:val="clear" w:color="auto" w:fill="C6EFCE"/>
            <w:noWrap/>
          </w:tcPr>
          <w:p w14:paraId="030C1E12" w14:textId="77777777" w:rsidR="0065073E" w:rsidRDefault="000A0998">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32FC2616"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025EA925" w14:textId="77777777" w:rsidR="0065073E" w:rsidRDefault="000A0998">
            <w:pPr>
              <w:pStyle w:val="P68B1DB1-Normal12"/>
              <w:spacing w:after="0" w:line="240" w:lineRule="auto"/>
              <w:jc w:val="center"/>
              <w:rPr>
                <w:rFonts w:eastAsia="Symbol" w:cs="Times New Roman"/>
                <w:noProof/>
              </w:rPr>
            </w:pPr>
            <w:r>
              <w:rPr>
                <w:noProof/>
              </w:rPr>
              <w:t>2021</w:t>
            </w:r>
          </w:p>
        </w:tc>
        <w:tc>
          <w:tcPr>
            <w:tcW w:w="5373" w:type="dxa"/>
            <w:shd w:val="clear" w:color="auto" w:fill="C6EFCE"/>
            <w:noWrap/>
          </w:tcPr>
          <w:p w14:paraId="7024E496" w14:textId="77777777" w:rsidR="0065073E" w:rsidRDefault="000A0998">
            <w:pPr>
              <w:pStyle w:val="P68B1DB1-Normal12"/>
              <w:spacing w:after="0" w:line="240" w:lineRule="auto"/>
              <w:rPr>
                <w:rFonts w:eastAsia="Symbol" w:cs="Times New Roman"/>
                <w:noProof/>
              </w:rPr>
            </w:pPr>
            <w:r>
              <w:rPr>
                <w:noProof/>
              </w:rPr>
              <w:t>Julkaistu Euroopan unionin virallisessa lehdessä: määräys, jolla hyväksytään oikeudenmukaisen siirtymän tukiohjelman sääntelykehys, jossa täsmennetään tukisuunnitelma työntekijöiden ja vähähiiliseen talouteen siirtymisestä kärsivien henkilöiden ammatillista pätevyyttä ja työmarkkinoille integroitumista varten; ja b) määräys, jossa vahvistetaan oikeusperusta tuen myöntämiselle oikeudenmukaisen siirtymän alueiden taloudelliseen kehittämiseen kehittämällä ympäristöön liittyvää, digitaalista ja sosiaalista infrastruktuuria vähähiiliseen talouteen siirtymässä olevissa kunnissa ja alueilla.</w:t>
            </w:r>
          </w:p>
        </w:tc>
      </w:tr>
      <w:tr w:rsidR="0065073E" w14:paraId="738A00D3" w14:textId="77777777">
        <w:trPr>
          <w:trHeight w:val="309"/>
        </w:trPr>
        <w:tc>
          <w:tcPr>
            <w:tcW w:w="833" w:type="dxa"/>
            <w:shd w:val="clear" w:color="auto" w:fill="C6EFCE"/>
            <w:noWrap/>
          </w:tcPr>
          <w:p w14:paraId="7705F89A" w14:textId="502F7CF1" w:rsidR="0065073E" w:rsidRDefault="000A0998">
            <w:pPr>
              <w:pStyle w:val="P68B1DB1-Normal12"/>
              <w:spacing w:after="0" w:line="240" w:lineRule="auto"/>
              <w:jc w:val="center"/>
              <w:rPr>
                <w:rFonts w:eastAsia="Symbol" w:cs="Times New Roman"/>
                <w:noProof/>
              </w:rPr>
            </w:pPr>
            <w:r>
              <w:rPr>
                <w:noProof/>
              </w:rPr>
              <w:t>140</w:t>
            </w:r>
          </w:p>
        </w:tc>
        <w:tc>
          <w:tcPr>
            <w:tcW w:w="829" w:type="dxa"/>
            <w:shd w:val="clear" w:color="auto" w:fill="C6EFCE"/>
            <w:noWrap/>
          </w:tcPr>
          <w:p w14:paraId="1BB5EA0F" w14:textId="77777777" w:rsidR="0065073E" w:rsidRDefault="000A0998">
            <w:pPr>
              <w:pStyle w:val="P68B1DB1-Normal12"/>
              <w:spacing w:after="0" w:line="240" w:lineRule="auto"/>
              <w:jc w:val="center"/>
              <w:rPr>
                <w:rFonts w:eastAsia="Symbol" w:cs="Times New Roman"/>
                <w:noProof/>
              </w:rPr>
            </w:pPr>
            <w:r>
              <w:rPr>
                <w:noProof/>
              </w:rPr>
              <w:t>C10.I1</w:t>
            </w:r>
          </w:p>
        </w:tc>
        <w:tc>
          <w:tcPr>
            <w:tcW w:w="828" w:type="dxa"/>
            <w:shd w:val="clear" w:color="auto" w:fill="C6EFCE"/>
            <w:noWrap/>
          </w:tcPr>
          <w:p w14:paraId="1D3A1DC5" w14:textId="77777777" w:rsidR="0065073E" w:rsidRDefault="000A0998">
            <w:pPr>
              <w:pStyle w:val="P68B1DB1-Normal12"/>
              <w:spacing w:after="0" w:line="240" w:lineRule="auto"/>
              <w:jc w:val="center"/>
              <w:rPr>
                <w:rFonts w:eastAsia="Symbol" w:cs="Times New Roman"/>
                <w:noProof/>
              </w:rPr>
            </w:pPr>
            <w:r>
              <w:rPr>
                <w:noProof/>
              </w:rPr>
              <w:t>T</w:t>
            </w:r>
          </w:p>
        </w:tc>
        <w:tc>
          <w:tcPr>
            <w:tcW w:w="3170" w:type="dxa"/>
            <w:shd w:val="clear" w:color="auto" w:fill="C6EFCE"/>
            <w:noWrap/>
          </w:tcPr>
          <w:p w14:paraId="68494D80" w14:textId="77777777" w:rsidR="0065073E" w:rsidRDefault="000A0998">
            <w:pPr>
              <w:pStyle w:val="P68B1DB1-Normal12"/>
              <w:spacing w:after="0" w:line="240" w:lineRule="auto"/>
              <w:rPr>
                <w:rFonts w:eastAsia="Symbol" w:cs="Times New Roman"/>
                <w:noProof/>
              </w:rPr>
            </w:pPr>
            <w:r>
              <w:rPr>
                <w:noProof/>
              </w:rPr>
              <w:t>Tuki ympäristöön, digitaaliseen ja sosiaaliseen infrastruktuuriin liittyville hankkeille.</w:t>
            </w:r>
          </w:p>
        </w:tc>
        <w:tc>
          <w:tcPr>
            <w:tcW w:w="966" w:type="dxa"/>
            <w:shd w:val="clear" w:color="auto" w:fill="C6EFCE"/>
            <w:noWrap/>
          </w:tcPr>
          <w:p w14:paraId="1096122A" w14:textId="77777777" w:rsidR="0065073E" w:rsidRDefault="000A0998">
            <w:pPr>
              <w:pStyle w:val="P68B1DB1-Normal12"/>
              <w:spacing w:after="0" w:line="240" w:lineRule="auto"/>
              <w:jc w:val="center"/>
              <w:rPr>
                <w:rFonts w:eastAsia="Symbol" w:cs="Times New Roman"/>
                <w:noProof/>
              </w:rPr>
            </w:pPr>
            <w:r>
              <w:rPr>
                <w:noProof/>
              </w:rPr>
              <w:t>—</w:t>
            </w:r>
          </w:p>
        </w:tc>
        <w:tc>
          <w:tcPr>
            <w:tcW w:w="828" w:type="dxa"/>
            <w:shd w:val="clear" w:color="auto" w:fill="C6EFCE"/>
            <w:noWrap/>
          </w:tcPr>
          <w:p w14:paraId="633A5A00" w14:textId="77777777" w:rsidR="0065073E" w:rsidRDefault="000A0998">
            <w:pPr>
              <w:pStyle w:val="P68B1DB1-Normal12"/>
              <w:spacing w:after="0" w:line="240" w:lineRule="auto"/>
              <w:jc w:val="right"/>
              <w:rPr>
                <w:rFonts w:eastAsia="Symbol" w:cs="Times New Roman"/>
                <w:noProof/>
              </w:rPr>
            </w:pPr>
            <w:r>
              <w:rPr>
                <w:noProof/>
              </w:rPr>
              <w:t>Määrä</w:t>
            </w:r>
          </w:p>
        </w:tc>
        <w:tc>
          <w:tcPr>
            <w:tcW w:w="966" w:type="dxa"/>
            <w:shd w:val="clear" w:color="auto" w:fill="C6EFCE"/>
            <w:noWrap/>
          </w:tcPr>
          <w:p w14:paraId="03E3A27B" w14:textId="77777777" w:rsidR="0065073E" w:rsidRDefault="000A0998">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60525613" w14:textId="4A86C0D9" w:rsidR="0065073E" w:rsidRDefault="000A0998">
            <w:pPr>
              <w:pStyle w:val="P68B1DB1-Normal12"/>
              <w:spacing w:after="0" w:line="240" w:lineRule="auto"/>
              <w:jc w:val="right"/>
              <w:rPr>
                <w:rFonts w:eastAsia="Symbol" w:cs="Times New Roman"/>
                <w:noProof/>
              </w:rPr>
            </w:pPr>
            <w:r>
              <w:rPr>
                <w:noProof/>
              </w:rPr>
              <w:t>100</w:t>
            </w:r>
          </w:p>
        </w:tc>
        <w:tc>
          <w:tcPr>
            <w:tcW w:w="415" w:type="dxa"/>
            <w:shd w:val="clear" w:color="auto" w:fill="C6EFCE"/>
            <w:noWrap/>
          </w:tcPr>
          <w:p w14:paraId="3702CC88"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51542F09" w14:textId="79C847BA" w:rsidR="0065073E" w:rsidRDefault="000A0998">
            <w:pPr>
              <w:pStyle w:val="P68B1DB1-Normal12"/>
              <w:spacing w:after="0" w:line="240" w:lineRule="auto"/>
              <w:jc w:val="center"/>
              <w:rPr>
                <w:rFonts w:eastAsia="Symbol" w:cs="Times New Roman"/>
                <w:noProof/>
              </w:rPr>
            </w:pPr>
            <w:r>
              <w:rPr>
                <w:noProof/>
              </w:rPr>
              <w:t>2022</w:t>
            </w:r>
          </w:p>
        </w:tc>
        <w:tc>
          <w:tcPr>
            <w:tcW w:w="5373" w:type="dxa"/>
            <w:shd w:val="clear" w:color="auto" w:fill="C6EFCE"/>
            <w:noWrap/>
          </w:tcPr>
          <w:p w14:paraId="66A409B3" w14:textId="65F7362F" w:rsidR="0065073E" w:rsidRDefault="000A0998">
            <w:pPr>
              <w:pStyle w:val="P68B1DB1-Normal12"/>
              <w:spacing w:after="0" w:line="240" w:lineRule="auto"/>
              <w:rPr>
                <w:rFonts w:eastAsia="Symbol" w:cs="Times New Roman"/>
                <w:noProof/>
              </w:rPr>
            </w:pPr>
            <w:r>
              <w:rPr>
                <w:noProof/>
              </w:rPr>
              <w:t xml:space="preserve">Euroopan unionin virallisessa lehdessä julkaistaan vähintään 91000000 euroa vähintään 100:lle ympäristöä, digitaalista ja sosiaalista infrastruktuuria koskevalle hankkeelle kunnissa ja alueilla, jotka ovat siirtymässä vähähiiliseen talouteen. Näiden 100 ympäristö-, digitaalisen ja sosiaalisen infrastruktuurin hankkeen on sijaittava oikeudenmukaisen siirtymän alueiden kunnissa ja alueilla. </w:t>
            </w:r>
          </w:p>
        </w:tc>
      </w:tr>
      <w:tr w:rsidR="0065073E" w14:paraId="27329DFB" w14:textId="77777777">
        <w:trPr>
          <w:trHeight w:val="309"/>
        </w:trPr>
        <w:tc>
          <w:tcPr>
            <w:tcW w:w="833" w:type="dxa"/>
            <w:shd w:val="clear" w:color="auto" w:fill="C6EFCE"/>
            <w:noWrap/>
          </w:tcPr>
          <w:p w14:paraId="16263622" w14:textId="2C3ED561" w:rsidR="0065073E" w:rsidRDefault="000A0998">
            <w:pPr>
              <w:pStyle w:val="P68B1DB1-Normal12"/>
              <w:spacing w:after="0" w:line="240" w:lineRule="auto"/>
              <w:jc w:val="center"/>
              <w:rPr>
                <w:rFonts w:cs="Times New Roman"/>
                <w:noProof/>
              </w:rPr>
            </w:pPr>
            <w:r>
              <w:rPr>
                <w:noProof/>
              </w:rPr>
              <w:t>431</w:t>
            </w:r>
          </w:p>
        </w:tc>
        <w:tc>
          <w:tcPr>
            <w:tcW w:w="829" w:type="dxa"/>
            <w:shd w:val="clear" w:color="auto" w:fill="C6EFCE"/>
            <w:noWrap/>
          </w:tcPr>
          <w:p w14:paraId="52F76B2D" w14:textId="4B3610F0" w:rsidR="0065073E" w:rsidRDefault="000A0998">
            <w:pPr>
              <w:pStyle w:val="P68B1DB1-Normal12"/>
              <w:spacing w:after="0" w:line="240" w:lineRule="auto"/>
              <w:jc w:val="center"/>
              <w:rPr>
                <w:rFonts w:cs="Times New Roman"/>
                <w:noProof/>
              </w:rPr>
            </w:pPr>
            <w:r>
              <w:rPr>
                <w:noProof/>
              </w:rPr>
              <w:t>C10.I1</w:t>
            </w:r>
          </w:p>
        </w:tc>
        <w:tc>
          <w:tcPr>
            <w:tcW w:w="828" w:type="dxa"/>
            <w:shd w:val="clear" w:color="auto" w:fill="C6EFCE"/>
            <w:noWrap/>
          </w:tcPr>
          <w:p w14:paraId="78D7795B" w14:textId="0620911D" w:rsidR="0065073E" w:rsidRDefault="000A0998">
            <w:pPr>
              <w:pStyle w:val="P68B1DB1-Normal12"/>
              <w:spacing w:after="0" w:line="240" w:lineRule="auto"/>
              <w:jc w:val="center"/>
              <w:rPr>
                <w:rFonts w:cs="Times New Roman"/>
                <w:noProof/>
              </w:rPr>
            </w:pPr>
            <w:r>
              <w:rPr>
                <w:noProof/>
              </w:rPr>
              <w:t>T</w:t>
            </w:r>
          </w:p>
        </w:tc>
        <w:tc>
          <w:tcPr>
            <w:tcW w:w="3170" w:type="dxa"/>
            <w:shd w:val="clear" w:color="auto" w:fill="C6EFCE"/>
            <w:noWrap/>
          </w:tcPr>
          <w:p w14:paraId="7D579A5B" w14:textId="0881060C" w:rsidR="0065073E" w:rsidRDefault="000A0998">
            <w:pPr>
              <w:pStyle w:val="P68B1DB1-Normal12"/>
              <w:spacing w:after="0" w:line="240" w:lineRule="auto"/>
              <w:rPr>
                <w:rFonts w:cs="Times New Roman"/>
                <w:noProof/>
              </w:rPr>
            </w:pPr>
            <w:r>
              <w:rPr>
                <w:noProof/>
              </w:rPr>
              <w:t>Tuki ympäristöön, digitaaliseen ja sosiaaliseen infrastruktuuriin liittyville hankkeille</w:t>
            </w:r>
          </w:p>
        </w:tc>
        <w:tc>
          <w:tcPr>
            <w:tcW w:w="966" w:type="dxa"/>
            <w:shd w:val="clear" w:color="auto" w:fill="C6EFCE"/>
            <w:noWrap/>
          </w:tcPr>
          <w:p w14:paraId="24C99078" w14:textId="77777777" w:rsidR="0065073E" w:rsidRDefault="0065073E">
            <w:pPr>
              <w:spacing w:after="0" w:line="240" w:lineRule="auto"/>
              <w:jc w:val="center"/>
              <w:rPr>
                <w:rFonts w:ascii="Times New Roman" w:hAnsi="Times New Roman" w:cs="Times New Roman"/>
                <w:noProof/>
                <w:sz w:val="18"/>
              </w:rPr>
            </w:pPr>
          </w:p>
        </w:tc>
        <w:tc>
          <w:tcPr>
            <w:tcW w:w="828" w:type="dxa"/>
            <w:shd w:val="clear" w:color="auto" w:fill="C6EFCE"/>
            <w:noWrap/>
          </w:tcPr>
          <w:p w14:paraId="63B8055D" w14:textId="4A10BF69" w:rsidR="0065073E" w:rsidRDefault="000A0998">
            <w:pPr>
              <w:pStyle w:val="P68B1DB1-Normal12"/>
              <w:spacing w:after="0" w:line="240" w:lineRule="auto"/>
              <w:jc w:val="right"/>
              <w:rPr>
                <w:rFonts w:cs="Times New Roman"/>
                <w:noProof/>
              </w:rPr>
            </w:pPr>
            <w:r>
              <w:rPr>
                <w:noProof/>
              </w:rPr>
              <w:t>Määrä</w:t>
            </w:r>
          </w:p>
        </w:tc>
        <w:tc>
          <w:tcPr>
            <w:tcW w:w="966" w:type="dxa"/>
            <w:shd w:val="clear" w:color="auto" w:fill="C6EFCE"/>
            <w:noWrap/>
          </w:tcPr>
          <w:p w14:paraId="25B29C59" w14:textId="31F604E7" w:rsidR="0065073E" w:rsidRDefault="000A0998">
            <w:pPr>
              <w:pStyle w:val="P68B1DB1-Normal12"/>
              <w:spacing w:after="0" w:line="240" w:lineRule="auto"/>
              <w:jc w:val="right"/>
              <w:rPr>
                <w:rFonts w:cs="Times New Roman"/>
                <w:noProof/>
              </w:rPr>
            </w:pPr>
            <w:r>
              <w:rPr>
                <w:noProof/>
              </w:rPr>
              <w:t>100</w:t>
            </w:r>
          </w:p>
        </w:tc>
        <w:tc>
          <w:tcPr>
            <w:tcW w:w="691" w:type="dxa"/>
            <w:shd w:val="clear" w:color="auto" w:fill="C6EFCE"/>
            <w:noWrap/>
          </w:tcPr>
          <w:p w14:paraId="5024DAD2" w14:textId="34A1F977" w:rsidR="0065073E" w:rsidRDefault="000A0998">
            <w:pPr>
              <w:pStyle w:val="P68B1DB1-Normal12"/>
              <w:spacing w:after="0" w:line="240" w:lineRule="auto"/>
              <w:jc w:val="right"/>
              <w:rPr>
                <w:rFonts w:cs="Times New Roman"/>
                <w:noProof/>
              </w:rPr>
            </w:pPr>
            <w:r>
              <w:rPr>
                <w:noProof/>
              </w:rPr>
              <w:t>130</w:t>
            </w:r>
          </w:p>
        </w:tc>
        <w:tc>
          <w:tcPr>
            <w:tcW w:w="415" w:type="dxa"/>
            <w:shd w:val="clear" w:color="auto" w:fill="C6EFCE"/>
            <w:noWrap/>
          </w:tcPr>
          <w:p w14:paraId="30EB97FC" w14:textId="06725543"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59327563" w14:textId="4F4EECBF" w:rsidR="0065073E" w:rsidRDefault="000A0998">
            <w:pPr>
              <w:pStyle w:val="P68B1DB1-Normal12"/>
              <w:spacing w:after="0" w:line="240" w:lineRule="auto"/>
              <w:jc w:val="center"/>
              <w:rPr>
                <w:rFonts w:cs="Times New Roman"/>
                <w:noProof/>
              </w:rPr>
            </w:pPr>
            <w:r>
              <w:rPr>
                <w:noProof/>
              </w:rPr>
              <w:t>2024</w:t>
            </w:r>
          </w:p>
        </w:tc>
        <w:tc>
          <w:tcPr>
            <w:tcW w:w="5373" w:type="dxa"/>
            <w:shd w:val="clear" w:color="auto" w:fill="C6EFCE"/>
            <w:noWrap/>
          </w:tcPr>
          <w:p w14:paraId="7FCE44CE" w14:textId="6132AFDA" w:rsidR="0065073E" w:rsidRDefault="000A0998">
            <w:pPr>
              <w:pStyle w:val="P68B1DB1-Normal12"/>
              <w:spacing w:after="0" w:line="240" w:lineRule="auto"/>
              <w:rPr>
                <w:rFonts w:cs="Times New Roman"/>
                <w:noProof/>
              </w:rPr>
            </w:pPr>
            <w:r>
              <w:rPr>
                <w:noProof/>
              </w:rPr>
              <w:t>Euroopan unionin virallisessa lehdessä julkaistaan vähintään 11000000 euroa vähintään 30:lle ympäristöä, digitaalista ja sosiaalista infrastruktuuria koskevalle hankkeelle kunnissa ja alueilla, jotka ovat siirtymässä vähähiiliseen talouteen. Ympäristöön, digitaaliseen ja sosiaaliseen infrastruktuuriin liittyvien hankkeiden on sijaittava oikeudenmukaisen siirtymän alueiden kunnissa ja alueilla. (Perustaso: Joulukuuta 2022)</w:t>
            </w:r>
          </w:p>
        </w:tc>
      </w:tr>
      <w:tr w:rsidR="0065073E" w14:paraId="160D48AB" w14:textId="77777777">
        <w:trPr>
          <w:trHeight w:val="309"/>
        </w:trPr>
        <w:tc>
          <w:tcPr>
            <w:tcW w:w="833" w:type="dxa"/>
            <w:shd w:val="clear" w:color="auto" w:fill="C6EFCE"/>
            <w:noWrap/>
          </w:tcPr>
          <w:p w14:paraId="6F5909ED" w14:textId="48D8F886" w:rsidR="0065073E" w:rsidRDefault="000A0998">
            <w:pPr>
              <w:pStyle w:val="P68B1DB1-Normal12"/>
              <w:spacing w:after="0" w:line="240" w:lineRule="auto"/>
              <w:jc w:val="center"/>
              <w:rPr>
                <w:rFonts w:eastAsia="Symbol" w:cs="Times New Roman"/>
                <w:noProof/>
              </w:rPr>
            </w:pPr>
            <w:r>
              <w:rPr>
                <w:noProof/>
              </w:rPr>
              <w:t>141</w:t>
            </w:r>
          </w:p>
        </w:tc>
        <w:tc>
          <w:tcPr>
            <w:tcW w:w="829" w:type="dxa"/>
            <w:shd w:val="clear" w:color="auto" w:fill="C6EFCE"/>
            <w:noWrap/>
          </w:tcPr>
          <w:p w14:paraId="60E11A76" w14:textId="77777777" w:rsidR="0065073E" w:rsidRDefault="000A0998">
            <w:pPr>
              <w:pStyle w:val="P68B1DB1-Normal12"/>
              <w:spacing w:after="0" w:line="240" w:lineRule="auto"/>
              <w:jc w:val="center"/>
              <w:rPr>
                <w:rFonts w:eastAsia="Symbol" w:cs="Times New Roman"/>
                <w:noProof/>
              </w:rPr>
            </w:pPr>
            <w:r>
              <w:rPr>
                <w:noProof/>
              </w:rPr>
              <w:t>C10.I1</w:t>
            </w:r>
          </w:p>
        </w:tc>
        <w:tc>
          <w:tcPr>
            <w:tcW w:w="828" w:type="dxa"/>
            <w:shd w:val="clear" w:color="auto" w:fill="C6EFCE"/>
            <w:noWrap/>
          </w:tcPr>
          <w:p w14:paraId="481B80B2" w14:textId="77777777" w:rsidR="0065073E" w:rsidRDefault="000A0998">
            <w:pPr>
              <w:pStyle w:val="P68B1DB1-Normal12"/>
              <w:spacing w:after="0" w:line="240" w:lineRule="auto"/>
              <w:jc w:val="center"/>
              <w:rPr>
                <w:rFonts w:eastAsia="Symbol" w:cs="Times New Roman"/>
                <w:noProof/>
              </w:rPr>
            </w:pPr>
            <w:r>
              <w:rPr>
                <w:noProof/>
              </w:rPr>
              <w:t>T</w:t>
            </w:r>
          </w:p>
        </w:tc>
        <w:tc>
          <w:tcPr>
            <w:tcW w:w="3170" w:type="dxa"/>
            <w:shd w:val="clear" w:color="auto" w:fill="C6EFCE"/>
            <w:noWrap/>
          </w:tcPr>
          <w:p w14:paraId="1F395B26" w14:textId="77777777" w:rsidR="0065073E" w:rsidRDefault="000A0998">
            <w:pPr>
              <w:pStyle w:val="P68B1DB1-Normal12"/>
              <w:spacing w:after="0" w:line="240" w:lineRule="auto"/>
              <w:rPr>
                <w:rFonts w:eastAsia="Symbol" w:cs="Times New Roman"/>
                <w:noProof/>
              </w:rPr>
            </w:pPr>
            <w:r>
              <w:rPr>
                <w:noProof/>
              </w:rPr>
              <w:t xml:space="preserve">Työttömien työnhakuneuvonta ja uudelleenkoulutus </w:t>
            </w:r>
          </w:p>
        </w:tc>
        <w:tc>
          <w:tcPr>
            <w:tcW w:w="966" w:type="dxa"/>
            <w:shd w:val="clear" w:color="auto" w:fill="C6EFCE"/>
            <w:noWrap/>
          </w:tcPr>
          <w:p w14:paraId="48F00459" w14:textId="77777777" w:rsidR="0065073E" w:rsidRDefault="000A0998">
            <w:pPr>
              <w:pStyle w:val="P68B1DB1-Normal12"/>
              <w:spacing w:after="0" w:line="240" w:lineRule="auto"/>
              <w:jc w:val="center"/>
              <w:rPr>
                <w:rFonts w:eastAsia="Symbol" w:cs="Times New Roman"/>
                <w:noProof/>
              </w:rPr>
            </w:pPr>
            <w:r>
              <w:rPr>
                <w:noProof/>
              </w:rPr>
              <w:t>—</w:t>
            </w:r>
          </w:p>
        </w:tc>
        <w:tc>
          <w:tcPr>
            <w:tcW w:w="828" w:type="dxa"/>
            <w:shd w:val="clear" w:color="auto" w:fill="C6EFCE"/>
            <w:noWrap/>
          </w:tcPr>
          <w:p w14:paraId="196FD2E5" w14:textId="77777777" w:rsidR="0065073E" w:rsidRDefault="000A0998">
            <w:pPr>
              <w:pStyle w:val="P68B1DB1-Normal12"/>
              <w:spacing w:after="0" w:line="240" w:lineRule="auto"/>
              <w:jc w:val="right"/>
              <w:rPr>
                <w:rFonts w:eastAsia="Symbol" w:cs="Times New Roman"/>
                <w:noProof/>
              </w:rPr>
            </w:pPr>
            <w:r>
              <w:rPr>
                <w:noProof/>
              </w:rPr>
              <w:t>Määrä</w:t>
            </w:r>
          </w:p>
        </w:tc>
        <w:tc>
          <w:tcPr>
            <w:tcW w:w="966" w:type="dxa"/>
            <w:shd w:val="clear" w:color="auto" w:fill="C6EFCE"/>
            <w:noWrap/>
          </w:tcPr>
          <w:p w14:paraId="769908A7" w14:textId="77777777" w:rsidR="0065073E" w:rsidRDefault="000A0998">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2F9D5B7A" w14:textId="4A9CD569" w:rsidR="0065073E" w:rsidRDefault="000A0998">
            <w:pPr>
              <w:pStyle w:val="P68B1DB1-Normal12"/>
              <w:spacing w:after="0" w:line="240" w:lineRule="auto"/>
              <w:jc w:val="right"/>
              <w:rPr>
                <w:rFonts w:eastAsia="Symbol" w:cs="Times New Roman"/>
                <w:noProof/>
              </w:rPr>
            </w:pPr>
            <w:r>
              <w:rPr>
                <w:noProof/>
              </w:rPr>
              <w:t xml:space="preserve">840 </w:t>
            </w:r>
          </w:p>
        </w:tc>
        <w:tc>
          <w:tcPr>
            <w:tcW w:w="415" w:type="dxa"/>
            <w:shd w:val="clear" w:color="auto" w:fill="C6EFCE"/>
            <w:noWrap/>
          </w:tcPr>
          <w:p w14:paraId="409A1D4A" w14:textId="7DB3EBD1"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32553CA6" w14:textId="7A6AA67C" w:rsidR="0065073E" w:rsidRDefault="000A0998">
            <w:pPr>
              <w:pStyle w:val="P68B1DB1-Normal12"/>
              <w:spacing w:after="0" w:line="240" w:lineRule="auto"/>
              <w:jc w:val="center"/>
              <w:rPr>
                <w:rFonts w:eastAsia="Symbol" w:cs="Times New Roman"/>
                <w:noProof/>
              </w:rPr>
            </w:pPr>
            <w:r>
              <w:rPr>
                <w:noProof/>
              </w:rPr>
              <w:t>2025</w:t>
            </w:r>
          </w:p>
        </w:tc>
        <w:tc>
          <w:tcPr>
            <w:tcW w:w="5373" w:type="dxa"/>
            <w:shd w:val="clear" w:color="auto" w:fill="C6EFCE"/>
            <w:noWrap/>
          </w:tcPr>
          <w:p w14:paraId="5260A411" w14:textId="38CC4637" w:rsidR="0065073E" w:rsidRDefault="000A0998">
            <w:pPr>
              <w:pStyle w:val="P68B1DB1-Normal12"/>
              <w:spacing w:after="0" w:line="240" w:lineRule="auto"/>
              <w:rPr>
                <w:rFonts w:eastAsia="Symbol" w:cs="Times New Roman"/>
                <w:noProof/>
              </w:rPr>
            </w:pPr>
            <w:r>
              <w:rPr>
                <w:noProof/>
              </w:rPr>
              <w:t>Vähintään 840 henkilöä, jotka ovat saaneet henkilökohtaista työnhakuapua ja/tai yksilöllisiä uudelleenkoulutusväyliä työttömille oikeudenmukaisen siirtymän alueilla. Uudelleenkoulutuspolkujen on katettava ainakin seuraavat alat: uusiutuvan energian (tuuli ja aurinkosähkö) asentaminen ja ylläpito, ennallistaminen ja ympäristöasioiden hallinta ja/tai integroitu ja energiakunnostaminen.</w:t>
            </w:r>
          </w:p>
        </w:tc>
      </w:tr>
      <w:tr w:rsidR="0065073E" w14:paraId="31D214C2" w14:textId="77777777">
        <w:trPr>
          <w:trHeight w:val="309"/>
        </w:trPr>
        <w:tc>
          <w:tcPr>
            <w:tcW w:w="833" w:type="dxa"/>
            <w:shd w:val="clear" w:color="auto" w:fill="C6EFCE"/>
            <w:noWrap/>
          </w:tcPr>
          <w:p w14:paraId="0AD4F915" w14:textId="77777777" w:rsidR="0065073E" w:rsidRDefault="000A0998">
            <w:pPr>
              <w:pStyle w:val="P68B1DB1-Normal12"/>
              <w:spacing w:after="0" w:line="240" w:lineRule="auto"/>
              <w:jc w:val="center"/>
              <w:rPr>
                <w:rFonts w:eastAsia="Symbol" w:cs="Times New Roman"/>
                <w:noProof/>
              </w:rPr>
            </w:pPr>
            <w:r>
              <w:rPr>
                <w:noProof/>
              </w:rPr>
              <w:t>142</w:t>
            </w:r>
          </w:p>
        </w:tc>
        <w:tc>
          <w:tcPr>
            <w:tcW w:w="829" w:type="dxa"/>
            <w:shd w:val="clear" w:color="auto" w:fill="C6EFCE"/>
            <w:noWrap/>
          </w:tcPr>
          <w:p w14:paraId="4B81512C" w14:textId="77777777" w:rsidR="0065073E" w:rsidRDefault="000A0998">
            <w:pPr>
              <w:pStyle w:val="P68B1DB1-Normal12"/>
              <w:spacing w:after="0" w:line="240" w:lineRule="auto"/>
              <w:jc w:val="center"/>
              <w:rPr>
                <w:rFonts w:eastAsia="Symbol" w:cs="Times New Roman"/>
                <w:noProof/>
              </w:rPr>
            </w:pPr>
            <w:r>
              <w:rPr>
                <w:noProof/>
              </w:rPr>
              <w:t>C10.I1</w:t>
            </w:r>
          </w:p>
        </w:tc>
        <w:tc>
          <w:tcPr>
            <w:tcW w:w="828" w:type="dxa"/>
            <w:shd w:val="clear" w:color="auto" w:fill="C6EFCE"/>
            <w:noWrap/>
          </w:tcPr>
          <w:p w14:paraId="49C56718" w14:textId="77777777" w:rsidR="0065073E" w:rsidRDefault="000A0998">
            <w:pPr>
              <w:pStyle w:val="P68B1DB1-Normal12"/>
              <w:spacing w:after="0" w:line="240" w:lineRule="auto"/>
              <w:jc w:val="center"/>
              <w:rPr>
                <w:rFonts w:eastAsia="Symbol" w:cs="Times New Roman"/>
                <w:noProof/>
              </w:rPr>
            </w:pPr>
            <w:r>
              <w:rPr>
                <w:noProof/>
              </w:rPr>
              <w:t>T</w:t>
            </w:r>
          </w:p>
        </w:tc>
        <w:tc>
          <w:tcPr>
            <w:tcW w:w="3170" w:type="dxa"/>
            <w:shd w:val="clear" w:color="auto" w:fill="C6EFCE"/>
            <w:noWrap/>
          </w:tcPr>
          <w:p w14:paraId="1EC9E7CC" w14:textId="77777777" w:rsidR="0065073E" w:rsidRDefault="000A0998">
            <w:pPr>
              <w:pStyle w:val="P68B1DB1-Normal12"/>
              <w:spacing w:after="0" w:line="240" w:lineRule="auto"/>
              <w:rPr>
                <w:rFonts w:eastAsia="Symbol" w:cs="Times New Roman"/>
                <w:noProof/>
              </w:rPr>
            </w:pPr>
            <w:r>
              <w:rPr>
                <w:noProof/>
              </w:rPr>
              <w:t>Investointihankkeet teollisuuslaitosten mukauttamiseksi vihreään vetyyn ja energian varastointiin.</w:t>
            </w:r>
          </w:p>
        </w:tc>
        <w:tc>
          <w:tcPr>
            <w:tcW w:w="966" w:type="dxa"/>
            <w:shd w:val="clear" w:color="auto" w:fill="C6EFCE"/>
            <w:noWrap/>
          </w:tcPr>
          <w:p w14:paraId="60D9EF91" w14:textId="77777777" w:rsidR="0065073E" w:rsidRDefault="000A0998">
            <w:pPr>
              <w:pStyle w:val="P68B1DB1-Normal12"/>
              <w:spacing w:after="0" w:line="240" w:lineRule="auto"/>
              <w:jc w:val="center"/>
              <w:rPr>
                <w:rFonts w:eastAsia="Symbol" w:cs="Times New Roman"/>
                <w:noProof/>
              </w:rPr>
            </w:pPr>
            <w:r>
              <w:rPr>
                <w:noProof/>
              </w:rPr>
              <w:t>—</w:t>
            </w:r>
          </w:p>
        </w:tc>
        <w:tc>
          <w:tcPr>
            <w:tcW w:w="828" w:type="dxa"/>
            <w:shd w:val="clear" w:color="auto" w:fill="C6EFCE"/>
            <w:noWrap/>
          </w:tcPr>
          <w:p w14:paraId="34AF7EF2" w14:textId="77777777" w:rsidR="0065073E" w:rsidRDefault="000A0998">
            <w:pPr>
              <w:pStyle w:val="P68B1DB1-Normal12"/>
              <w:spacing w:after="0" w:line="240" w:lineRule="auto"/>
              <w:jc w:val="right"/>
              <w:rPr>
                <w:rFonts w:eastAsia="Symbol" w:cs="Times New Roman"/>
                <w:noProof/>
              </w:rPr>
            </w:pPr>
            <w:r>
              <w:rPr>
                <w:noProof/>
              </w:rPr>
              <w:t>Määrä</w:t>
            </w:r>
          </w:p>
        </w:tc>
        <w:tc>
          <w:tcPr>
            <w:tcW w:w="966" w:type="dxa"/>
            <w:shd w:val="clear" w:color="auto" w:fill="C6EFCE"/>
            <w:noWrap/>
          </w:tcPr>
          <w:p w14:paraId="7E83114B" w14:textId="77777777" w:rsidR="0065073E" w:rsidRDefault="000A0998">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7842F596" w14:textId="77777777" w:rsidR="0065073E" w:rsidRDefault="000A0998">
            <w:pPr>
              <w:pStyle w:val="P68B1DB1-Normal12"/>
              <w:spacing w:after="0" w:line="240" w:lineRule="auto"/>
              <w:jc w:val="right"/>
              <w:rPr>
                <w:rFonts w:eastAsia="Symbol" w:cs="Times New Roman"/>
                <w:noProof/>
              </w:rPr>
            </w:pPr>
            <w:r>
              <w:rPr>
                <w:noProof/>
              </w:rPr>
              <w:t>2</w:t>
            </w:r>
          </w:p>
        </w:tc>
        <w:tc>
          <w:tcPr>
            <w:tcW w:w="415" w:type="dxa"/>
            <w:shd w:val="clear" w:color="auto" w:fill="C6EFCE"/>
            <w:noWrap/>
          </w:tcPr>
          <w:p w14:paraId="3BF43DB5" w14:textId="77777777" w:rsidR="0065073E" w:rsidRDefault="000A0998">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1636D221" w14:textId="0FAE7557" w:rsidR="0065073E" w:rsidRDefault="000A0998">
            <w:pPr>
              <w:pStyle w:val="P68B1DB1-Normal12"/>
              <w:spacing w:after="0" w:line="240" w:lineRule="auto"/>
              <w:jc w:val="center"/>
              <w:rPr>
                <w:rFonts w:eastAsia="Symbol" w:cs="Times New Roman"/>
                <w:noProof/>
              </w:rPr>
            </w:pPr>
            <w:r>
              <w:rPr>
                <w:noProof/>
              </w:rPr>
              <w:t>2025</w:t>
            </w:r>
          </w:p>
        </w:tc>
        <w:tc>
          <w:tcPr>
            <w:tcW w:w="5373" w:type="dxa"/>
            <w:shd w:val="clear" w:color="auto" w:fill="C6EFCE"/>
            <w:noWrap/>
          </w:tcPr>
          <w:p w14:paraId="60DC99EA" w14:textId="77777777" w:rsidR="0065073E" w:rsidRDefault="000A0998">
            <w:pPr>
              <w:pStyle w:val="P68B1DB1-Normal12"/>
              <w:spacing w:after="0" w:line="240" w:lineRule="auto"/>
              <w:rPr>
                <w:rFonts w:eastAsia="Symbol" w:cs="Times New Roman"/>
                <w:noProof/>
              </w:rPr>
            </w:pPr>
            <w:r>
              <w:rPr>
                <w:noProof/>
              </w:rPr>
              <w:t xml:space="preserve">Saatetaan päätökseen kaksi investointihanketta teollisuuslaitosten mukauttamiseksi tulevaan </w:t>
            </w:r>
            <w:r>
              <w:rPr>
                <w:i/>
                <w:noProof/>
              </w:rPr>
              <w:t>Infraestructura Científica y Técnica Singular -yritykseen</w:t>
            </w:r>
            <w:r>
              <w:rPr>
                <w:noProof/>
              </w:rPr>
              <w:t xml:space="preserve"> (ICTP) vihreän vedyn tuotannon ja energian varastoinnin validointia varten. Hankkeissa mukautetaan Ciudad de la Energían (CIUDEN) laitoksia ja laboratorioita kahteen vihreän vedyn tuotantoa ja energian varastointia koskevaan t &amp; k-hankkeeseen.</w:t>
            </w:r>
          </w:p>
        </w:tc>
      </w:tr>
      <w:tr w:rsidR="0065073E" w14:paraId="26CCBD48" w14:textId="77777777">
        <w:trPr>
          <w:trHeight w:val="309"/>
        </w:trPr>
        <w:tc>
          <w:tcPr>
            <w:tcW w:w="833" w:type="dxa"/>
            <w:shd w:val="clear" w:color="auto" w:fill="C6EFCE"/>
            <w:noWrap/>
          </w:tcPr>
          <w:p w14:paraId="642DAC0B" w14:textId="77777777" w:rsidR="0065073E" w:rsidRDefault="000A0998">
            <w:pPr>
              <w:pStyle w:val="P68B1DB1-Normal12"/>
              <w:spacing w:after="0" w:line="240" w:lineRule="auto"/>
              <w:jc w:val="center"/>
              <w:rPr>
                <w:rFonts w:eastAsia="Symbol" w:cs="Times New Roman"/>
                <w:noProof/>
              </w:rPr>
            </w:pPr>
            <w:r>
              <w:rPr>
                <w:noProof/>
              </w:rPr>
              <w:t>143</w:t>
            </w:r>
          </w:p>
        </w:tc>
        <w:tc>
          <w:tcPr>
            <w:tcW w:w="829" w:type="dxa"/>
            <w:shd w:val="clear" w:color="auto" w:fill="C6EFCE"/>
            <w:noWrap/>
          </w:tcPr>
          <w:p w14:paraId="30B38E23" w14:textId="77777777" w:rsidR="0065073E" w:rsidRDefault="000A0998">
            <w:pPr>
              <w:pStyle w:val="P68B1DB1-Normal12"/>
              <w:spacing w:after="0" w:line="240" w:lineRule="auto"/>
              <w:jc w:val="center"/>
              <w:rPr>
                <w:rFonts w:eastAsia="Symbol" w:cs="Times New Roman"/>
                <w:noProof/>
              </w:rPr>
            </w:pPr>
            <w:r>
              <w:rPr>
                <w:noProof/>
              </w:rPr>
              <w:t>C10.I1</w:t>
            </w:r>
          </w:p>
        </w:tc>
        <w:tc>
          <w:tcPr>
            <w:tcW w:w="828" w:type="dxa"/>
            <w:shd w:val="clear" w:color="auto" w:fill="C6EFCE"/>
            <w:noWrap/>
          </w:tcPr>
          <w:p w14:paraId="1BBCB446" w14:textId="77777777" w:rsidR="0065073E" w:rsidRDefault="000A0998">
            <w:pPr>
              <w:pStyle w:val="P68B1DB1-Normal12"/>
              <w:spacing w:after="0" w:line="240" w:lineRule="auto"/>
              <w:jc w:val="center"/>
              <w:rPr>
                <w:rFonts w:eastAsia="Symbol" w:cs="Times New Roman"/>
                <w:noProof/>
              </w:rPr>
            </w:pPr>
            <w:r>
              <w:rPr>
                <w:noProof/>
              </w:rPr>
              <w:t>T</w:t>
            </w:r>
          </w:p>
        </w:tc>
        <w:tc>
          <w:tcPr>
            <w:tcW w:w="3170" w:type="dxa"/>
            <w:shd w:val="clear" w:color="auto" w:fill="C6EFCE"/>
            <w:noWrap/>
          </w:tcPr>
          <w:p w14:paraId="7A067092" w14:textId="77777777" w:rsidR="0065073E" w:rsidRDefault="000A0998">
            <w:pPr>
              <w:pStyle w:val="P68B1DB1-Normal12"/>
              <w:spacing w:after="0" w:line="240" w:lineRule="auto"/>
              <w:rPr>
                <w:rFonts w:eastAsia="Symbol" w:cs="Times New Roman"/>
                <w:noProof/>
              </w:rPr>
            </w:pPr>
            <w:r>
              <w:rPr>
                <w:noProof/>
              </w:rPr>
              <w:t>Kunnostettu maa-alue suljetuissa hiilikaivoksissa tai voimalaitosten vieressä olevilla alueilla.</w:t>
            </w:r>
          </w:p>
        </w:tc>
        <w:tc>
          <w:tcPr>
            <w:tcW w:w="966" w:type="dxa"/>
            <w:shd w:val="clear" w:color="auto" w:fill="C6EFCE"/>
            <w:noWrap/>
          </w:tcPr>
          <w:p w14:paraId="0812ED9E" w14:textId="77777777" w:rsidR="0065073E" w:rsidRDefault="000A0998">
            <w:pPr>
              <w:pStyle w:val="P68B1DB1-Normal12"/>
              <w:spacing w:after="0" w:line="240" w:lineRule="auto"/>
              <w:jc w:val="center"/>
              <w:rPr>
                <w:rFonts w:eastAsia="Symbol" w:cs="Times New Roman"/>
                <w:noProof/>
              </w:rPr>
            </w:pPr>
            <w:r>
              <w:rPr>
                <w:noProof/>
              </w:rPr>
              <w:t>—</w:t>
            </w:r>
          </w:p>
        </w:tc>
        <w:tc>
          <w:tcPr>
            <w:tcW w:w="828" w:type="dxa"/>
            <w:shd w:val="clear" w:color="auto" w:fill="C6EFCE"/>
            <w:noWrap/>
          </w:tcPr>
          <w:p w14:paraId="06982734" w14:textId="77777777" w:rsidR="0065073E" w:rsidRDefault="000A0998">
            <w:pPr>
              <w:pStyle w:val="P68B1DB1-Normal12"/>
              <w:spacing w:after="0" w:line="240" w:lineRule="auto"/>
              <w:jc w:val="right"/>
              <w:rPr>
                <w:rFonts w:eastAsia="Symbol" w:cs="Times New Roman"/>
                <w:noProof/>
              </w:rPr>
            </w:pPr>
            <w:r>
              <w:rPr>
                <w:noProof/>
              </w:rPr>
              <w:t>Lukumäärä (hehtaaria)</w:t>
            </w:r>
          </w:p>
        </w:tc>
        <w:tc>
          <w:tcPr>
            <w:tcW w:w="966" w:type="dxa"/>
            <w:shd w:val="clear" w:color="auto" w:fill="C6EFCE"/>
            <w:noWrap/>
          </w:tcPr>
          <w:p w14:paraId="28EA6124" w14:textId="77777777" w:rsidR="0065073E" w:rsidRDefault="000A0998">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1DCF5F40" w14:textId="77777777" w:rsidR="0065073E" w:rsidRDefault="000A0998">
            <w:pPr>
              <w:pStyle w:val="P68B1DB1-Normal12"/>
              <w:spacing w:after="0" w:line="240" w:lineRule="auto"/>
              <w:jc w:val="right"/>
              <w:rPr>
                <w:rFonts w:eastAsia="Symbol" w:cs="Times New Roman"/>
                <w:noProof/>
              </w:rPr>
            </w:pPr>
            <w:r>
              <w:rPr>
                <w:noProof/>
              </w:rPr>
              <w:t>2 000</w:t>
            </w:r>
          </w:p>
        </w:tc>
        <w:tc>
          <w:tcPr>
            <w:tcW w:w="415" w:type="dxa"/>
            <w:shd w:val="clear" w:color="auto" w:fill="C6EFCE"/>
            <w:noWrap/>
          </w:tcPr>
          <w:p w14:paraId="684BA9D8" w14:textId="77777777" w:rsidR="0065073E" w:rsidRDefault="000A0998">
            <w:pPr>
              <w:pStyle w:val="P68B1DB1-Normal12"/>
              <w:spacing w:after="0" w:line="240" w:lineRule="auto"/>
              <w:jc w:val="center"/>
              <w:rPr>
                <w:rFonts w:eastAsia="Symbol" w:cs="Times New Roman"/>
                <w:noProof/>
              </w:rPr>
            </w:pPr>
            <w:r>
              <w:rPr>
                <w:noProof/>
              </w:rPr>
              <w:t>TOINEN VUOSINELJÄNNES</w:t>
            </w:r>
          </w:p>
        </w:tc>
        <w:tc>
          <w:tcPr>
            <w:tcW w:w="553" w:type="dxa"/>
            <w:shd w:val="clear" w:color="auto" w:fill="C6EFCE"/>
            <w:noWrap/>
          </w:tcPr>
          <w:p w14:paraId="5B397BA1" w14:textId="77777777" w:rsidR="0065073E" w:rsidRDefault="000A0998">
            <w:pPr>
              <w:pStyle w:val="P68B1DB1-Normal12"/>
              <w:spacing w:after="0" w:line="240" w:lineRule="auto"/>
              <w:jc w:val="center"/>
              <w:rPr>
                <w:rFonts w:eastAsia="Symbol" w:cs="Times New Roman"/>
                <w:noProof/>
              </w:rPr>
            </w:pPr>
            <w:r>
              <w:rPr>
                <w:noProof/>
              </w:rPr>
              <w:t>2026</w:t>
            </w:r>
          </w:p>
        </w:tc>
        <w:tc>
          <w:tcPr>
            <w:tcW w:w="5373" w:type="dxa"/>
            <w:shd w:val="clear" w:color="auto" w:fill="C6EFCE"/>
            <w:noWrap/>
          </w:tcPr>
          <w:p w14:paraId="5AEEA7F3" w14:textId="77777777" w:rsidR="0065073E" w:rsidRDefault="000A0998">
            <w:pPr>
              <w:pStyle w:val="P68B1DB1-Normal12"/>
              <w:spacing w:after="0" w:line="240" w:lineRule="auto"/>
              <w:rPr>
                <w:rFonts w:eastAsia="Symbol" w:cs="Times New Roman"/>
                <w:noProof/>
              </w:rPr>
            </w:pPr>
            <w:r>
              <w:rPr>
                <w:noProof/>
              </w:rPr>
              <w:t>Vähintään 2000 hehtaaria kunnostettua maata suljetuilla hiilikaivosalueilla tai lämpö- tai ydinvoimalaitosten lähialueilla. Kunnostetun maan pinta-ala saastuneilla alueilla, erityisesti hiilikaivosalueilla tai lämpö- tai ydinvoimalaitosten vieressä olevalla maalla, ja jossa laitokset ja kaivoslaitokset puretaan ja maaperä kunnostetaan ja siihen kohdistuu uudelleenmetsitys- tai kasvillisuuden palauttamisprosesseja, uusiutuvaa energiaa käyttäviä laitoksia tai ekovaihtoehtoista talouskehitystä.</w:t>
            </w:r>
          </w:p>
        </w:tc>
      </w:tr>
    </w:tbl>
    <w:p w14:paraId="386B8F08" w14:textId="32D8376A" w:rsidR="0065073E" w:rsidRDefault="0065073E">
      <w:pPr>
        <w:tabs>
          <w:tab w:val="left" w:pos="2370"/>
        </w:tabs>
        <w:rPr>
          <w:rFonts w:ascii="Times New Roman" w:hAnsi="Times New Roman" w:cs="Times New Roman"/>
          <w:noProof/>
          <w:sz w:val="24"/>
        </w:rPr>
        <w:sectPr w:rsidR="0065073E" w:rsidSect="00B511EF">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134" w:right="1134" w:bottom="1134" w:left="1134" w:header="567" w:footer="567" w:gutter="0"/>
          <w:cols w:space="720"/>
          <w:docGrid w:linePitch="360"/>
        </w:sectPr>
      </w:pPr>
    </w:p>
    <w:p w14:paraId="6A7F6ABC" w14:textId="77777777" w:rsidR="0065073E" w:rsidRDefault="000A0998">
      <w:pPr>
        <w:pStyle w:val="P68B1DB1-Heading12"/>
        <w:rPr>
          <w:rFonts w:cs="Times New Roman"/>
          <w:noProof/>
        </w:rPr>
      </w:pPr>
      <w:r>
        <w:rPr>
          <w:noProof/>
        </w:rPr>
        <w:t>K. OSA 11: Julkishallinnon nykyaikaistaminen</w:t>
      </w:r>
    </w:p>
    <w:p w14:paraId="352E93FA" w14:textId="77777777" w:rsidR="0065073E" w:rsidRDefault="000A0998">
      <w:pPr>
        <w:pStyle w:val="P68B1DB1-Normal4"/>
        <w:spacing w:before="120" w:after="120" w:line="240" w:lineRule="auto"/>
        <w:jc w:val="both"/>
        <w:rPr>
          <w:rFonts w:cs="Times New Roman"/>
          <w:noProof/>
        </w:rPr>
      </w:pPr>
      <w:r>
        <w:rPr>
          <w:noProof/>
        </w:rPr>
        <w:t>Espanjan elpymis- ja palautumissuunnitelman tällä osa-alueella vastataan julkishallintoon liittyviin haasteisiin, mukaan lukien oikeusjärjestelmän tehokkuus, hallinnolliset valmiudet ja eri hallintotasojen välinen yhteistyö. Sen tavoitteena on nykyaikaistaa Espanjan julkishallintoa uudistamalla hallinnollisia prosesseja, julkisia hankintoja, oikeuslaitosta, julkista työllisyyttä, henkilöstöpolitiikka mukaan lukien. parannetaan julkisten palvelujen saavutettavuutta ja tehokkuutta digitalisoimalla niitä edelleen; edistetään energiansäästöä, uusiutuvan energian käyttöä julkisissa rakennuksissa ja infrastruktuurissa ja edistetään virkamiesten kestävää liikkuvuutta; ja vahvistaa julkishallinnon hallinnollisia valmiuksia seurata, valvoa ja panna täytäntöön julkista politiikkaa. Keskeiset toimenpiteet näiden tavoitteiden saavuttamiseksi ovat seuraavat:</w:t>
      </w:r>
    </w:p>
    <w:p w14:paraId="56EFA3F4" w14:textId="77777777" w:rsidR="0065073E" w:rsidRDefault="000A0998">
      <w:pPr>
        <w:pStyle w:val="P68B1DB1-Normal4"/>
        <w:numPr>
          <w:ilvl w:val="0"/>
          <w:numId w:val="106"/>
        </w:numPr>
        <w:spacing w:before="120" w:after="120" w:line="240" w:lineRule="auto"/>
        <w:ind w:left="714" w:hanging="357"/>
        <w:contextualSpacing/>
        <w:jc w:val="both"/>
        <w:rPr>
          <w:rFonts w:cs="Times New Roman"/>
          <w:noProof/>
        </w:rPr>
      </w:pPr>
      <w:r>
        <w:rPr>
          <w:noProof/>
        </w:rPr>
        <w:t>Uudistettava keskus-, alue- ja paikallishallintoa parantamalla niiden välistä yhteistyötä, vahvistamalla julkisten hankintojen kehystä, arvioimalla julkisia politiikkoja ja edistämällä siirtymistä toistaiseksi voimassa oleviin työsopimuksiin;</w:t>
      </w:r>
    </w:p>
    <w:p w14:paraId="4271A214" w14:textId="77777777" w:rsidR="0065073E" w:rsidRDefault="000A0998">
      <w:pPr>
        <w:pStyle w:val="P68B1DB1-Normal4"/>
        <w:numPr>
          <w:ilvl w:val="0"/>
          <w:numId w:val="106"/>
        </w:numPr>
        <w:spacing w:before="120" w:after="120" w:line="240" w:lineRule="auto"/>
        <w:ind w:left="714" w:hanging="357"/>
        <w:contextualSpacing/>
        <w:jc w:val="both"/>
        <w:rPr>
          <w:rFonts w:cs="Times New Roman"/>
          <w:noProof/>
        </w:rPr>
      </w:pPr>
      <w:r>
        <w:rPr>
          <w:noProof/>
        </w:rPr>
        <w:t>Hallintojen ja prosessien digitalisointi ja viisi ensisijaista hanketta strategisilla aloilla: oikeusasiat, julkiset työvoimapalvelut, kansanterveystiedot, konsulaattien hallinnointi ja alueellinen hallinto;</w:t>
      </w:r>
    </w:p>
    <w:p w14:paraId="1C63BC53" w14:textId="77777777" w:rsidR="0065073E" w:rsidRDefault="000A0998">
      <w:pPr>
        <w:pStyle w:val="P68B1DB1-Normal4"/>
        <w:numPr>
          <w:ilvl w:val="0"/>
          <w:numId w:val="106"/>
        </w:numPr>
        <w:spacing w:before="120" w:after="120" w:line="240" w:lineRule="auto"/>
        <w:ind w:left="714" w:hanging="357"/>
        <w:contextualSpacing/>
        <w:jc w:val="both"/>
        <w:rPr>
          <w:rFonts w:cs="Times New Roman"/>
          <w:noProof/>
        </w:rPr>
      </w:pPr>
      <w:r>
        <w:rPr>
          <w:noProof/>
        </w:rPr>
        <w:t>Keskushallinnon energiasiirtymäsuunnitelma;</w:t>
      </w:r>
    </w:p>
    <w:p w14:paraId="393C7493" w14:textId="77777777" w:rsidR="0065073E" w:rsidRDefault="000A0998">
      <w:pPr>
        <w:pStyle w:val="P68B1DB1-Normal4"/>
        <w:numPr>
          <w:ilvl w:val="0"/>
          <w:numId w:val="106"/>
        </w:numPr>
        <w:spacing w:before="120" w:after="120" w:line="240" w:lineRule="auto"/>
        <w:ind w:left="714" w:hanging="357"/>
        <w:contextualSpacing/>
        <w:jc w:val="both"/>
        <w:rPr>
          <w:rFonts w:cs="Times New Roman"/>
          <w:noProof/>
        </w:rPr>
      </w:pPr>
      <w:r>
        <w:rPr>
          <w:noProof/>
        </w:rPr>
        <w:t>Hallinnollisten valmiuksien vahvistaminen.</w:t>
      </w:r>
    </w:p>
    <w:p w14:paraId="5F50FC9F" w14:textId="4115D13C" w:rsidR="0065073E" w:rsidRDefault="000A0998">
      <w:pPr>
        <w:pStyle w:val="P68B1DB1-Normal4"/>
        <w:spacing w:before="120" w:after="120" w:line="240" w:lineRule="auto"/>
        <w:jc w:val="both"/>
        <w:rPr>
          <w:rFonts w:cs="Times New Roman"/>
          <w:noProof/>
        </w:rPr>
      </w:pPr>
      <w:r>
        <w:rPr>
          <w:noProof/>
        </w:rPr>
        <w:t>Tällä Espanjan elpymis- ja palautumissuunnitelman komponentilla vastataan maakohtaisiin suosituksiin, jotka koskevat julkisten hankintojen kehyksen vahvistamista (maakohtainen suositus 1 2019 ja 4 2020), siirtymistä toistaiseksi voimassa oleviin sopimuksiin (maakohtainen suositus 2 2019), julkisten investointihankkeiden aikaistamista ja investointien keskittämistä vihreään ja digitaaliseen siirtymään (maakohtainen suositus 3 2019, 3 2020, 1 2022 ja 1 2023) ja hallinnon välisen yhteistyön parantamisesta (maakohtainen suositus 4 2019 ja 2020).</w:t>
      </w:r>
    </w:p>
    <w:p w14:paraId="40F85C11"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12F0DF21" w14:textId="77777777" w:rsidR="0065073E" w:rsidRDefault="000A0998">
      <w:pPr>
        <w:spacing w:before="120" w:after="120" w:line="240" w:lineRule="auto"/>
        <w:jc w:val="both"/>
        <w:rPr>
          <w:rFonts w:ascii="Times New Roman" w:hAnsi="Times New Roman" w:cs="Times New Roman"/>
          <w:b/>
          <w:i/>
          <w:noProof/>
          <w:sz w:val="24"/>
        </w:rPr>
      </w:pPr>
      <w:r>
        <w:rPr>
          <w:rFonts w:ascii="Times New Roman" w:hAnsi="Times New Roman"/>
          <w:b/>
          <w:noProof/>
          <w:sz w:val="24"/>
          <w:u w:val="single"/>
        </w:rPr>
        <w:t xml:space="preserve">K.1 </w:t>
      </w:r>
      <w:r>
        <w:rPr>
          <w:noProof/>
        </w:rPr>
        <w:t xml:space="preserve"> </w:t>
      </w:r>
      <w:r>
        <w:rPr>
          <w:rFonts w:ascii="Times New Roman" w:hAnsi="Times New Roman"/>
          <w:b/>
          <w:noProof/>
          <w:sz w:val="24"/>
          <w:u w:val="single"/>
        </w:rPr>
        <w:t>Kuvaus uudistuksista ja investoinneista, joita rahoitetaan rahoitustuella, jota ei makseta takaisin</w:t>
      </w:r>
    </w:p>
    <w:p w14:paraId="3DACBE7E" w14:textId="77777777" w:rsidR="0065073E" w:rsidRDefault="000A0998">
      <w:pPr>
        <w:pStyle w:val="P68B1DB1-Normal5"/>
        <w:spacing w:before="120" w:after="120" w:line="240" w:lineRule="auto"/>
        <w:jc w:val="both"/>
        <w:rPr>
          <w:rFonts w:cs="Times New Roman"/>
          <w:noProof/>
        </w:rPr>
      </w:pPr>
      <w:r>
        <w:rPr>
          <w:noProof/>
        </w:rPr>
        <w:t xml:space="preserve">Uudistus 1 (C11.R1) – Uudistus hallinnon nykyaikaistamiseksi ja digitalisoimiseksi </w:t>
      </w:r>
    </w:p>
    <w:p w14:paraId="2714C8E2" w14:textId="77777777" w:rsidR="0065073E" w:rsidRDefault="000A0998">
      <w:pPr>
        <w:pStyle w:val="P68B1DB1-Normal4"/>
        <w:spacing w:before="120" w:after="120" w:line="240" w:lineRule="auto"/>
        <w:jc w:val="both"/>
        <w:rPr>
          <w:rFonts w:cs="Times New Roman"/>
          <w:noProof/>
        </w:rPr>
      </w:pPr>
      <w:r>
        <w:rPr>
          <w:noProof/>
        </w:rPr>
        <w:t>Tämä toimenpide on jaoteltava useisiin toimintalinjoihin, joilla puututaan julkishallinnon työllisyyspolitiikan heikkouksiin, vahvistetaan yhteistyötä ja koordinointia hallinnon eri tasojen välillä ja parannetaan tapaa, jolla keskushallinto toteuttaa julkista politiikkaa. Työllisyyspolitiikan tavoitteena on vähentää määräaikaisten työntekijöiden määrää julkishallinnossa ja vahvistaa julkisen sektorin työllisyysvalmiuksia siirtymällä osaamiseen perustuvaan henkilöstömalliin, myös työhönottoa varten. Toisena toimintalinjana on kehittää edelleen politiikan ennakkoarviointia ja lisätä avoimuutta ja kansalaisten osallistumista julkiseen päätöksentekoon, mukaan lukien uusi laki eturyhmien toiminnan avoimuudesta ja lahjomattomuudesta.</w:t>
      </w:r>
      <w:r>
        <w:rPr>
          <w:noProof/>
          <w:shd w:val="clear" w:color="auto" w:fill="FFFFFF" w:themeFill="background1"/>
        </w:rPr>
        <w:t xml:space="preserve"> Lisäksi uudistuksella</w:t>
      </w:r>
      <w:r>
        <w:rPr>
          <w:noProof/>
        </w:rPr>
        <w:t xml:space="preserve"> vahvistetaan olemassa olevia yhteistyövälineitä eri hallintotasojen välillä Espanjassa. Tämä vahvistaa alakohtaisten konferenssien eli alueiden kanssa jo toimivien yhteistyöelinten asemaa selventämällä, milloin ne voivat tehdä sopimuksia pakollisesta noudattamisesta. Uudistuksella vahvistetaan myös puheenjohtajakokousta (jossa pääministeri ja itsehallintoalueiden presidentit kokoontuvat korkeimmalla tasolla). Uudistus koskee myös välineitä, joiden avulla julkishallintojen välinen yhteistyö on mahdollista, ja sillä luodaan keskus- ja aluehallinnon tietoteknisten alustojen välinen digitaalinen yhteenliitäntä ja </w:t>
      </w:r>
      <w:r>
        <w:rPr>
          <w:noProof/>
          <w:shd w:val="clear" w:color="auto" w:fill="FFFFFF" w:themeFill="background1"/>
        </w:rPr>
        <w:t xml:space="preserve">yhteentoimivuus. </w:t>
      </w:r>
      <w:r>
        <w:rPr>
          <w:noProof/>
        </w:rPr>
        <w:t>Uudistuksella päivitetään myös kansallista turvallisuuskehystä.</w:t>
      </w:r>
    </w:p>
    <w:p w14:paraId="636B4929" w14:textId="77777777" w:rsidR="0065073E" w:rsidRDefault="000A0998">
      <w:pPr>
        <w:pStyle w:val="P68B1DB1-Normal4"/>
        <w:spacing w:before="120" w:after="120" w:line="240" w:lineRule="auto"/>
        <w:jc w:val="both"/>
        <w:rPr>
          <w:rFonts w:cs="Times New Roman"/>
          <w:noProof/>
        </w:rPr>
      </w:pPr>
      <w:r>
        <w:rPr>
          <w:noProof/>
        </w:rPr>
        <w:t>Tämän toimenpiteen täytäntöönpano on saatettava päätökseen 31 päivään joulukuuta 2024 mennessä.</w:t>
      </w:r>
    </w:p>
    <w:p w14:paraId="25E2998A" w14:textId="77777777" w:rsidR="0065073E" w:rsidRDefault="000A0998">
      <w:pPr>
        <w:pStyle w:val="P68B1DB1-Normal5"/>
        <w:keepNext/>
        <w:spacing w:before="120" w:after="120" w:line="240" w:lineRule="auto"/>
        <w:jc w:val="both"/>
        <w:rPr>
          <w:rFonts w:cs="Times New Roman"/>
          <w:noProof/>
        </w:rPr>
      </w:pPr>
      <w:r>
        <w:rPr>
          <w:noProof/>
        </w:rPr>
        <w:t>Uudistus 2 (C11.R2) – Uudistus oikeusvaltioperiaatteen ja oikeusjärjestelmän tehokkuuden edistämiseksi</w:t>
      </w:r>
    </w:p>
    <w:p w14:paraId="01290F57" w14:textId="77777777" w:rsidR="0065073E" w:rsidRDefault="000A0998">
      <w:pPr>
        <w:pStyle w:val="P68B1DB1-Normal4"/>
        <w:keepNext/>
        <w:spacing w:before="120" w:after="120" w:line="240" w:lineRule="auto"/>
        <w:jc w:val="both"/>
        <w:rPr>
          <w:rFonts w:cs="Times New Roman"/>
          <w:noProof/>
        </w:rPr>
      </w:pPr>
      <w:r>
        <w:rPr>
          <w:noProof/>
        </w:rPr>
        <w:t>Syyskuun 18. päivänä annetussa laissa 3/2020 ja oikeusalan ohjelmassa 2030 esitetään etenemissuunnitelma oikeudenkäytön uudistamiseksi Espanjassa. Tässä yhteydessä tällä toimenpiteellä nykyaikaistetaan oikeuslaitosta voimaantuloon mennessä (ottaen huomioon kussakin laissa säädetty</w:t>
      </w:r>
      <w:r>
        <w:rPr>
          <w:i/>
          <w:noProof/>
        </w:rPr>
        <w:t>vacatio legis</w:t>
      </w:r>
      <w:r>
        <w:rPr>
          <w:noProof/>
        </w:rPr>
        <w:t xml:space="preserve">),  </w:t>
      </w:r>
    </w:p>
    <w:p w14:paraId="1F3E25AB" w14:textId="77777777" w:rsidR="0065073E" w:rsidRDefault="000A0998">
      <w:pPr>
        <w:pStyle w:val="P68B1DB1-Normal4"/>
        <w:spacing w:before="120" w:after="120" w:line="240" w:lineRule="auto"/>
        <w:jc w:val="both"/>
        <w:rPr>
          <w:rFonts w:cs="Times New Roman"/>
          <w:noProof/>
        </w:rPr>
      </w:pPr>
      <w:r>
        <w:rPr>
          <w:noProof/>
        </w:rPr>
        <w:t>31 päivään joulukuuta 2022 mennessä:</w:t>
      </w:r>
    </w:p>
    <w:p w14:paraId="2E37D948" w14:textId="6B89FDCF" w:rsidR="0065073E" w:rsidRDefault="000A0998">
      <w:pPr>
        <w:pStyle w:val="P68B1DB1-Normal4"/>
        <w:numPr>
          <w:ilvl w:val="0"/>
          <w:numId w:val="109"/>
        </w:numPr>
        <w:spacing w:before="120" w:after="120" w:line="240" w:lineRule="auto"/>
        <w:jc w:val="both"/>
        <w:rPr>
          <w:rFonts w:cs="Times New Roman"/>
          <w:noProof/>
        </w:rPr>
      </w:pPr>
      <w:r>
        <w:rPr>
          <w:noProof/>
        </w:rPr>
        <w:t>Prosessitehokkuutta koskeva kuninkaan asetus, jolla lyhennetään menettelyjen kestoa kaikilla lainkäyttöalueilla säilyttäen samalla kansalaisten menettelylliset takeet;</w:t>
      </w:r>
    </w:p>
    <w:p w14:paraId="2F975B10" w14:textId="27DAE543" w:rsidR="0065073E" w:rsidRDefault="000A0998">
      <w:pPr>
        <w:pStyle w:val="P68B1DB1-Normal4"/>
        <w:numPr>
          <w:ilvl w:val="0"/>
          <w:numId w:val="109"/>
        </w:numPr>
        <w:spacing w:before="120" w:after="120" w:line="240" w:lineRule="auto"/>
        <w:jc w:val="both"/>
        <w:rPr>
          <w:rFonts w:cs="Times New Roman"/>
          <w:noProof/>
        </w:rPr>
      </w:pPr>
      <w:r>
        <w:rPr>
          <w:noProof/>
        </w:rPr>
        <w:t>Digitaalista tehokkuutta koskeva kuninkaallinen asetus, jolla edistetään datavetoista arkkitehtuuria tiedonhallintaa varten.</w:t>
      </w:r>
    </w:p>
    <w:p w14:paraId="5C8D43F9" w14:textId="18DD97C7" w:rsidR="0065073E" w:rsidRDefault="000A0998">
      <w:pPr>
        <w:pStyle w:val="P68B1DB1-Normal4"/>
        <w:spacing w:before="120" w:after="120" w:line="240" w:lineRule="auto"/>
        <w:jc w:val="both"/>
        <w:rPr>
          <w:rFonts w:cs="Times New Roman"/>
          <w:noProof/>
        </w:rPr>
      </w:pPr>
      <w:r>
        <w:rPr>
          <w:noProof/>
        </w:rPr>
        <w:t>31 päivään joulukuuta 2024 mennessä:</w:t>
      </w:r>
    </w:p>
    <w:p w14:paraId="633FA789" w14:textId="417AC4CB" w:rsidR="0065073E" w:rsidRDefault="000A0998">
      <w:pPr>
        <w:pStyle w:val="P68B1DB1-Normal4"/>
        <w:numPr>
          <w:ilvl w:val="0"/>
          <w:numId w:val="109"/>
        </w:numPr>
        <w:spacing w:before="120" w:after="120" w:line="240" w:lineRule="auto"/>
        <w:jc w:val="both"/>
        <w:rPr>
          <w:rFonts w:cs="Times New Roman"/>
          <w:noProof/>
        </w:rPr>
      </w:pPr>
      <w:r>
        <w:rPr>
          <w:noProof/>
        </w:rPr>
        <w:t>Oikeusjärjestelmän organisatorisesta ja menettelyllisestä tehokkuudesta annettu laki, jolla muutetaan tuomioistuinkartan organisointia ja luodaan vaihtoehtoisia riidanratkaisukeinoja. Tällä lailla korvataan suuri määrä yksittäisiä ensimmäisen oikeusasteen tuomioistuimia 431:llä kollegiaalisella elimellä (</w:t>
      </w:r>
      <w:r>
        <w:rPr>
          <w:i/>
          <w:noProof/>
        </w:rPr>
        <w:t>Tribunal de Instancia</w:t>
      </w:r>
      <w:r>
        <w:rPr>
          <w:noProof/>
        </w:rPr>
        <w:t>) ja pannaan täytäntöön oikeusvirasto.</w:t>
      </w:r>
    </w:p>
    <w:p w14:paraId="1C0B2809" w14:textId="778A1BB0" w:rsidR="0065073E" w:rsidRDefault="000A0998">
      <w:pPr>
        <w:pStyle w:val="P68B1DB1-Normal4"/>
        <w:numPr>
          <w:ilvl w:val="0"/>
          <w:numId w:val="109"/>
        </w:numPr>
        <w:spacing w:before="120" w:after="120" w:line="240" w:lineRule="auto"/>
        <w:jc w:val="both"/>
        <w:rPr>
          <w:rFonts w:cs="Times New Roman"/>
          <w:noProof/>
        </w:rPr>
      </w:pPr>
      <w:r>
        <w:rPr>
          <w:noProof/>
        </w:rPr>
        <w:t>Oikeutta puolustukseen koskeva laki, jolla kehitetään ja vahvistetaan perusoikeutta oikeudenmukaiseen oikeudenkäyntiin ja edistetään viime kädessä oikeusvaltioperiaatteen toteutumista.</w:t>
      </w:r>
    </w:p>
    <w:p w14:paraId="730B9F02" w14:textId="0FE2A1FA" w:rsidR="0065073E" w:rsidRDefault="000A0998">
      <w:pPr>
        <w:pStyle w:val="P68B1DB1-Normal4"/>
        <w:spacing w:before="120" w:after="120" w:line="240" w:lineRule="auto"/>
        <w:jc w:val="both"/>
        <w:rPr>
          <w:rFonts w:cs="Times New Roman"/>
          <w:noProof/>
          <w:u w:val="single"/>
        </w:rPr>
      </w:pPr>
      <w:r>
        <w:rPr>
          <w:noProof/>
        </w:rPr>
        <w:t>Toimenpiteen täytäntöönpano on saatettava päätökseen 31 päivään joulukuuta 2024 mennessä.</w:t>
      </w:r>
    </w:p>
    <w:p w14:paraId="1FE00358" w14:textId="77777777" w:rsidR="0065073E" w:rsidRDefault="000A0998">
      <w:pPr>
        <w:pStyle w:val="P68B1DB1-Normal5"/>
        <w:spacing w:before="120" w:after="120" w:line="240" w:lineRule="auto"/>
        <w:jc w:val="both"/>
        <w:rPr>
          <w:rFonts w:cs="Times New Roman"/>
          <w:noProof/>
        </w:rPr>
      </w:pPr>
      <w:r>
        <w:rPr>
          <w:noProof/>
        </w:rPr>
        <w:t>Uudistus 3 (C11.R3) – Uudistus talouden ohjausjärjestelmän institutionaalisen rakenteen nykyaikaistamiseksi</w:t>
      </w:r>
    </w:p>
    <w:p w14:paraId="6FED04EF" w14:textId="77777777" w:rsidR="0065073E" w:rsidRDefault="000A0998">
      <w:pPr>
        <w:pStyle w:val="P68B1DB1-Normal4"/>
        <w:shd w:val="clear" w:color="auto" w:fill="FFFFFF" w:themeFill="background1"/>
        <w:spacing w:before="120" w:after="120" w:line="240" w:lineRule="auto"/>
        <w:jc w:val="both"/>
        <w:rPr>
          <w:rFonts w:cs="Times New Roman"/>
          <w:noProof/>
        </w:rPr>
      </w:pPr>
      <w:r>
        <w:rPr>
          <w:noProof/>
        </w:rPr>
        <w:t xml:space="preserve">Tällä toimenpiteellä uudistetaan talouden institutionaalisen ohjausjärjestelmän näkökohtia muun muassa nopeuttamalla ja edistämällä prosessien digitalisointia. Tietoihin on sisällyttävä uudistetaan, miten </w:t>
      </w:r>
      <w:r>
        <w:rPr>
          <w:i/>
          <w:noProof/>
        </w:rPr>
        <w:t>Caja General de Depósitos</w:t>
      </w:r>
      <w:r>
        <w:rPr>
          <w:noProof/>
        </w:rPr>
        <w:t xml:space="preserve"> (yleinen talletussuojarahasto) käsittelee takuita, jotta ne olisivat sähköisiä; rahoitusasiakkaiden suojaamisesta vastaavan viranomaisen perustaminen, jonka tarkoituksena on taata rahoitusalan asiakkaiden oikeudet; parannetaan rahoituslaitosten kriisinratkaisua koskevaa institutionaalista kehystä antamalla laki, jolla muutetaan nykyistä institutionaalista kriisinratkaisukehystä; ja d) nykyaikaistaa varainhoidon ja tilintarkastuksen valvontaa uudistamalla yleistä kirjanpitosuunnitelmaa ja tilintarkastusasetusta.</w:t>
      </w:r>
    </w:p>
    <w:p w14:paraId="72E326FA" w14:textId="77777777" w:rsidR="0065073E" w:rsidRDefault="000A0998">
      <w:pPr>
        <w:pStyle w:val="P68B1DB1-Normal4"/>
        <w:shd w:val="clear" w:color="auto" w:fill="FFFFFF" w:themeFill="background1"/>
        <w:spacing w:before="120" w:after="120" w:line="240" w:lineRule="auto"/>
        <w:jc w:val="both"/>
        <w:rPr>
          <w:rFonts w:cs="Times New Roman"/>
          <w:noProof/>
        </w:rPr>
      </w:pPr>
      <w:r>
        <w:rPr>
          <w:noProof/>
        </w:rPr>
        <w:t>Uudistukseen sisältyy myös a) asiakaspalveluja (mukaan lukien rahoituspalvelut) koskeva laki, jossa vahvistetaan laatustandardit ja tarjotaan tehokkaampi palvelu asiakkaille; ja b) vihreän kirjan julkaiseminen kestävän talouden edistämiseksi Espanjassa.</w:t>
      </w:r>
    </w:p>
    <w:p w14:paraId="0F5B433A" w14:textId="77777777" w:rsidR="0065073E" w:rsidRDefault="000A0998">
      <w:pPr>
        <w:pStyle w:val="P68B1DB1-Normal4"/>
        <w:shd w:val="clear" w:color="auto" w:fill="FFFFFF" w:themeFill="background1"/>
        <w:spacing w:before="120" w:after="120" w:line="240" w:lineRule="auto"/>
        <w:jc w:val="both"/>
        <w:rPr>
          <w:rFonts w:cs="Times New Roman"/>
          <w:noProof/>
        </w:rPr>
      </w:pPr>
      <w:r>
        <w:rPr>
          <w:noProof/>
        </w:rPr>
        <w:t>Toimenpiteen täytäntöönpano on saatettava päätökseen 31 päivään joulukuuta 2024 mennessä.</w:t>
      </w:r>
    </w:p>
    <w:p w14:paraId="3B2ECC08" w14:textId="77777777" w:rsidR="0065073E" w:rsidRDefault="000A0998">
      <w:pPr>
        <w:pStyle w:val="P68B1DB1-Normal5"/>
        <w:spacing w:before="120" w:after="120" w:line="240" w:lineRule="auto"/>
        <w:jc w:val="both"/>
        <w:rPr>
          <w:rFonts w:cs="Times New Roman"/>
          <w:noProof/>
        </w:rPr>
      </w:pPr>
      <w:r>
        <w:rPr>
          <w:noProof/>
        </w:rPr>
        <w:t xml:space="preserve">Uudistus 4 (C11.R4) – Kansallinen julkisten hankintojen strategia </w:t>
      </w:r>
    </w:p>
    <w:p w14:paraId="0D561F15" w14:textId="77777777" w:rsidR="0065073E" w:rsidRDefault="000A0998">
      <w:pPr>
        <w:pStyle w:val="P68B1DB1-Normal4"/>
        <w:spacing w:before="120" w:after="120" w:line="240" w:lineRule="auto"/>
        <w:jc w:val="both"/>
        <w:rPr>
          <w:rFonts w:cs="Times New Roman"/>
          <w:noProof/>
        </w:rPr>
      </w:pPr>
      <w:r>
        <w:rPr>
          <w:noProof/>
        </w:rPr>
        <w:t xml:space="preserve">Uudistuksella saatetaan päätökseen julkisia hankintoja koskevassa laissa 9/2017 säädetyn julkisia hankintoja koskevan uudistuksen täytäntöönpano (joka on tärkein säädös julkisista hankinnoista ja direktiivin 2004/18/EY kumoamisesta 26 päivänä helmikuuta 2014 annetun Euroopan parlamentin ja neuvoston direktiivin 2014/24/EU saattamiseksi osaksi kansallista lainsäädäntöä, ETA:n kannalta merkityksellinen teksti). Näin luodaan hallintorakenne, jonka avulla voidaan vastata tarpeeseen luoda johdonmukainen julkisten hankintojen kehys, jolla varmistetaan avoimuus, tehokkaat valvontamekanismit, julkisia hankintoja koskevien tietokantojen yhteenliittäminen kaikkien hallintotasojen välillä ja hallinnon eri tasojen välinen koordinointi, jotta voidaan I) saattamaan kansallinen arviointivirasto täysin toimintakykyiseksi ja ii) hyväksymään kansallisen julkisia hankintoja koskevan strategian. </w:t>
      </w:r>
    </w:p>
    <w:p w14:paraId="3BF329BE" w14:textId="77777777" w:rsidR="0065073E" w:rsidRDefault="000A0998">
      <w:pPr>
        <w:pStyle w:val="P68B1DB1-Normal4"/>
        <w:spacing w:before="120" w:after="120" w:line="240" w:lineRule="auto"/>
        <w:jc w:val="both"/>
        <w:rPr>
          <w:rFonts w:cs="Times New Roman"/>
          <w:noProof/>
        </w:rPr>
      </w:pPr>
      <w:r>
        <w:rPr>
          <w:noProof/>
        </w:rPr>
        <w:t>Espanja on jo perustanut riippumattoman julkisten hankintojen sääntely- ja valvontaviraston ja kansallisen arviointiviraston. Uudistuksella puututaan myös ongelmiin, jotka liittyvät julkisia hankintoja koskevien tietojen ja tietokantojen rajalliseen tarjontaan, sekä heikkouksiin julkisia hankintoja koskevien sopimusten rakenteessa. Tätä varten uudistuksessa parantaa julkisten hankintojen tehokkuutta (prosessit, tulokset, data ja informaatio); b) edistää toimijoiden ammatillistamista (komission lokakuussa 2017 antaman suosituksen mukaisesti); parannetaan pk-yritysten markkinoillepääsyä; ja d) vahvistaa digitaalisten julkisten hankintojen oikeudellista kehystä.</w:t>
      </w:r>
    </w:p>
    <w:p w14:paraId="7A9531F1"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2022 mennessä.</w:t>
      </w:r>
    </w:p>
    <w:p w14:paraId="48A9D52C" w14:textId="77777777" w:rsidR="0065073E" w:rsidRDefault="000A0998">
      <w:pPr>
        <w:pStyle w:val="P68B1DB1-Normal5"/>
        <w:keepNext/>
        <w:spacing w:before="120" w:after="120" w:line="240" w:lineRule="auto"/>
        <w:jc w:val="both"/>
        <w:rPr>
          <w:rFonts w:cs="Times New Roman"/>
          <w:noProof/>
        </w:rPr>
      </w:pPr>
      <w:r>
        <w:rPr>
          <w:noProof/>
        </w:rPr>
        <w:t xml:space="preserve">Uudistus 5 (C11.R5) – Hallinnolliset valmiudet </w:t>
      </w:r>
    </w:p>
    <w:p w14:paraId="3663E51B" w14:textId="77777777" w:rsidR="0065073E" w:rsidRDefault="000A0998">
      <w:pPr>
        <w:pStyle w:val="P68B1DB1-Normal4"/>
        <w:spacing w:before="120" w:after="120" w:line="240" w:lineRule="auto"/>
        <w:jc w:val="both"/>
        <w:rPr>
          <w:rFonts w:cs="Times New Roman"/>
          <w:noProof/>
        </w:rPr>
      </w:pPr>
      <w:r>
        <w:rPr>
          <w:noProof/>
        </w:rPr>
        <w:t xml:space="preserve">Uudistuksella nykyaikaistetaan julkishallintojen sisäistä toimintaa Espanjan elpymis- ja palautumissuunnitelman täytäntöönpanon parantamiseksi, jotta sillä olisi pitkäkestoinen vaikutus Espanjan julkishallinnon tulevien uudistusten ja investointien täytäntöönpanoon. Kaiken kaikkiaan se uudistaa yhdessä investoinnin 5 kanssa julkishallintojen valmiuksia varmistaa elpymis- ja palautumissuunnitelman asianmukainen täytäntöönpano. Tämä edellyttää yhdennetyn tieto- ja hallintajärjestelmän luomista. kehittää koulutustoimia elpymis- ja palautumissuunnitelmaan osallistuville; ja toteuttaa tiedotustoimia elpymis- ja palautumissuunnitelman mahdollisille osallistujille ja edunsaajille sekä yrityksille ja kotitalouksille yleensä, jotta ne saisivat tietoa elpymis- ja palautumissuunnitelman tarjoamista mahdollisuuksista. </w:t>
      </w:r>
    </w:p>
    <w:p w14:paraId="31591AC5" w14:textId="77777777" w:rsidR="0065073E" w:rsidRDefault="000A0998">
      <w:pPr>
        <w:pStyle w:val="P68B1DB1-Normal4"/>
        <w:spacing w:before="120" w:after="120" w:line="240" w:lineRule="auto"/>
        <w:jc w:val="both"/>
        <w:rPr>
          <w:rFonts w:cs="Times New Roman"/>
          <w:noProof/>
        </w:rPr>
      </w:pPr>
      <w:r>
        <w:rPr>
          <w:noProof/>
        </w:rPr>
        <w:t>Elpymis- ja palautumissuunnitelmaan sisältyvien toimien hallinnointi, raportointi ja seuranta on toteutettava uuden hallinto- ja varainhallintomallin avulla sen varmistamiseksi, että elpymis- ja palautumissuunnitelmassa esitetyt toimet pannaan asianmukaisesti täytäntöön. Tämä yhtenäinen malli on tarkoitus keskittää EU:n rahastojen pääsihteeristöön, ja sitä käytetään raportoivissa ministeriöissä, niiden vastaavissa tieto- ja viestintätekniikan yksiköissä sekä mahdollisesti alueiden (autonomisten yhteisöjen) vertaishallinnoissa. Keskushallinto antoi tätä varten kuninkaan asetuksen 36/2020.</w:t>
      </w:r>
    </w:p>
    <w:p w14:paraId="4264C8DD"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30 päivään syyskuuta 2021 mennessä.</w:t>
      </w:r>
    </w:p>
    <w:p w14:paraId="2F7AA333" w14:textId="77777777" w:rsidR="0065073E" w:rsidRDefault="000A0998">
      <w:pPr>
        <w:pStyle w:val="P68B1DB1-Normal5"/>
        <w:spacing w:before="120" w:after="120" w:line="240" w:lineRule="auto"/>
        <w:jc w:val="both"/>
        <w:rPr>
          <w:rFonts w:cs="Times New Roman"/>
          <w:noProof/>
        </w:rPr>
      </w:pPr>
      <w:r>
        <w:rPr>
          <w:noProof/>
        </w:rPr>
        <w:t>Investointi 1 (C11.I1) – Valtion yleisen hallinnon nykyaikaistaminen</w:t>
      </w:r>
    </w:p>
    <w:p w14:paraId="0ED397FF" w14:textId="77777777" w:rsidR="0065073E" w:rsidRDefault="000A0998">
      <w:pPr>
        <w:pStyle w:val="P68B1DB1-Normal4"/>
        <w:spacing w:before="120" w:after="120" w:line="240" w:lineRule="auto"/>
        <w:jc w:val="both"/>
        <w:rPr>
          <w:rFonts w:cs="Times New Roman"/>
          <w:noProof/>
        </w:rPr>
      </w:pPr>
      <w:r>
        <w:rPr>
          <w:noProof/>
        </w:rPr>
        <w:t>Kohtien C11.I1 ja C11.I3 investoinnit toteutetaan samojen periaatteiden mukaisesti siten, että I1 on suunnattu keskushallinnolle ja I3 alue- ja paikallisviranomaiset. Kaikkien näiden yhteisöjen osalta on toteutettava seuraavat toimet:</w:t>
      </w:r>
    </w:p>
    <w:p w14:paraId="667ADB84" w14:textId="77777777" w:rsidR="0065073E" w:rsidRDefault="000A0998">
      <w:pPr>
        <w:pStyle w:val="P68B1DB1-Normal4"/>
        <w:numPr>
          <w:ilvl w:val="0"/>
          <w:numId w:val="107"/>
        </w:numPr>
        <w:spacing w:before="120" w:after="120" w:line="240" w:lineRule="auto"/>
        <w:jc w:val="both"/>
        <w:rPr>
          <w:rFonts w:cs="Times New Roman"/>
          <w:noProof/>
        </w:rPr>
      </w:pPr>
      <w:r>
        <w:rPr>
          <w:noProof/>
        </w:rPr>
        <w:t>Kansalaislähtöinen hallinto, kansalaisille ja yrityksille tarjottavien digitaalisten julkisten palvelujen parantaminen ja toimenpiteiden täytäntöönpano Espanjan digitaalistrategian 2025 mukaisesti;</w:t>
      </w:r>
    </w:p>
    <w:p w14:paraId="1244348B" w14:textId="77777777" w:rsidR="0065073E" w:rsidRDefault="000A0998">
      <w:pPr>
        <w:pStyle w:val="P68B1DB1-Normal4"/>
        <w:numPr>
          <w:ilvl w:val="0"/>
          <w:numId w:val="107"/>
        </w:numPr>
        <w:spacing w:before="120" w:after="120" w:line="240" w:lineRule="auto"/>
        <w:jc w:val="both"/>
        <w:rPr>
          <w:rFonts w:cs="Times New Roman"/>
          <w:noProof/>
        </w:rPr>
      </w:pPr>
      <w:r>
        <w:rPr>
          <w:noProof/>
        </w:rPr>
        <w:t>Älykkäät toiminnot ja datahallinto, joilla parannetaan julkishallinnon palvelujen (eli julkisten hankintojen) hallinnoinnin laatua ja tehokkuutta, mukaan lukien datan kulku, käyttämällä älykkäitä automatisointiteknologioita ja digitaalisia infrastruktuureja;</w:t>
      </w:r>
    </w:p>
    <w:p w14:paraId="5DA066F3" w14:textId="77777777" w:rsidR="0065073E" w:rsidRDefault="000A0998">
      <w:pPr>
        <w:pStyle w:val="P68B1DB1-Normal4"/>
        <w:numPr>
          <w:ilvl w:val="0"/>
          <w:numId w:val="107"/>
        </w:numPr>
        <w:spacing w:before="120" w:after="120" w:line="240" w:lineRule="auto"/>
        <w:jc w:val="both"/>
        <w:rPr>
          <w:rFonts w:cs="Times New Roman"/>
          <w:noProof/>
        </w:rPr>
      </w:pPr>
      <w:r>
        <w:rPr>
          <w:noProof/>
        </w:rPr>
        <w:t>Digitaaliset infrastruktuurit ja kyberturvallisuus, joiden tavoitteena on tarjota Espanjan julkishallinnon tekninen infrastruktuuri, jota tarvitaan niiden nykyaikaistamiseen</w:t>
      </w:r>
      <w:r>
        <w:rPr>
          <w:b/>
          <w:noProof/>
        </w:rPr>
        <w:t>. Kyberturvallisuuden</w:t>
      </w:r>
      <w:r>
        <w:rPr>
          <w:noProof/>
        </w:rPr>
        <w:t>osalta tällä toimenpiteellä perustetaan kyberturvallisuuden operaatiokeskus koko valtionhallintoa ja sen julkisia virastoja varten kyberturvallisuusuhkilta suojautumiseksi;</w:t>
      </w:r>
    </w:p>
    <w:p w14:paraId="57D971B4" w14:textId="046CA3A1" w:rsidR="0065073E" w:rsidRDefault="000A0998">
      <w:pPr>
        <w:pStyle w:val="P68B1DB1-Normal4"/>
        <w:spacing w:before="120" w:after="120" w:line="240" w:lineRule="auto"/>
        <w:jc w:val="both"/>
        <w:rPr>
          <w:rFonts w:cs="Times New Roman"/>
          <w:noProof/>
        </w:rPr>
      </w:pPr>
      <w:r>
        <w:rPr>
          <w:noProof/>
        </w:rPr>
        <w:t xml:space="preserve">Investoinnin toteutus saatetaan päätökseen 31. joulukuuta 2025 mennessä. </w:t>
      </w:r>
    </w:p>
    <w:p w14:paraId="4BEBE207" w14:textId="77777777" w:rsidR="0065073E" w:rsidRDefault="000A0998">
      <w:pPr>
        <w:pStyle w:val="P68B1DB1-Normal5"/>
        <w:spacing w:before="120" w:after="120" w:line="240" w:lineRule="auto"/>
        <w:jc w:val="both"/>
        <w:rPr>
          <w:rFonts w:cs="Times New Roman"/>
          <w:noProof/>
        </w:rPr>
      </w:pPr>
      <w:r>
        <w:rPr>
          <w:noProof/>
        </w:rPr>
        <w:t>Investointi 2 (C11.I2) – Erityishankkeet keskushallinnon digitalisoimiseksi</w:t>
      </w:r>
    </w:p>
    <w:p w14:paraId="6C5E427E" w14:textId="77777777" w:rsidR="0065073E" w:rsidRDefault="000A0998">
      <w:pPr>
        <w:pStyle w:val="P68B1DB1-Normal4"/>
        <w:spacing w:before="120" w:after="0" w:line="240" w:lineRule="auto"/>
        <w:contextualSpacing/>
        <w:jc w:val="both"/>
        <w:rPr>
          <w:noProof/>
        </w:rPr>
      </w:pPr>
      <w:r>
        <w:rPr>
          <w:noProof/>
        </w:rPr>
        <w:t>Tämän investoinnin on johdettava digitalisaation yleistymiseen ja digitaalisten palvelujen kehittämiseen koko julkishallinnossa. Digitalisaatiota toteutetaan seuraavilla politiikan aloilla:</w:t>
      </w:r>
    </w:p>
    <w:p w14:paraId="770F4558" w14:textId="77777777" w:rsidR="0065073E" w:rsidRDefault="000A0998">
      <w:pPr>
        <w:pStyle w:val="P68B1DB1-ListParagraph6"/>
        <w:numPr>
          <w:ilvl w:val="0"/>
          <w:numId w:val="790"/>
        </w:numPr>
        <w:spacing w:before="120" w:after="0" w:line="240" w:lineRule="auto"/>
        <w:jc w:val="both"/>
        <w:rPr>
          <w:rFonts w:cs="Times New Roman"/>
          <w:noProof/>
        </w:rPr>
      </w:pPr>
      <w:r>
        <w:rPr>
          <w:noProof/>
        </w:rPr>
        <w:t>Terveydenhuoltojärjestelmä. Investoinnilla parannetaan keskushallinnon ja itsehallintoalueiden yhteentoimivuutta sekä edistetään data-analytiikkaa;</w:t>
      </w:r>
    </w:p>
    <w:p w14:paraId="13E9D80C" w14:textId="77777777" w:rsidR="0065073E" w:rsidRDefault="000A0998">
      <w:pPr>
        <w:pStyle w:val="P68B1DB1-ListParagraph6"/>
        <w:numPr>
          <w:ilvl w:val="0"/>
          <w:numId w:val="790"/>
        </w:numPr>
        <w:spacing w:before="120" w:after="0" w:line="240" w:lineRule="auto"/>
        <w:jc w:val="both"/>
        <w:rPr>
          <w:rFonts w:cs="Times New Roman"/>
          <w:noProof/>
        </w:rPr>
      </w:pPr>
      <w:r>
        <w:rPr>
          <w:noProof/>
        </w:rPr>
        <w:t xml:space="preserve">Oikeuslaitos. Investoinnin on tarjottava kansalaisille ja oikeusalan toimijoille digitaalisia välineitä, joiden avulla he voivat paremmin hallita suhdettaan oikeudenkäyttöön; </w:t>
      </w:r>
    </w:p>
    <w:p w14:paraId="7094232A" w14:textId="77777777" w:rsidR="0065073E" w:rsidRDefault="000A0998">
      <w:pPr>
        <w:pStyle w:val="P68B1DB1-ListParagraph6"/>
        <w:numPr>
          <w:ilvl w:val="0"/>
          <w:numId w:val="790"/>
        </w:numPr>
        <w:spacing w:before="120" w:after="0" w:line="240" w:lineRule="auto"/>
        <w:jc w:val="both"/>
        <w:rPr>
          <w:rFonts w:cs="Times New Roman"/>
          <w:noProof/>
        </w:rPr>
      </w:pPr>
      <w:r>
        <w:rPr>
          <w:noProof/>
        </w:rPr>
        <w:t>Julkiset työvoimapalvelut. Investoinnilla on saatettava ajan tasalle tietojärjestelmät, jotka tukevat aktiivisen työmarkkinapolitiikan hallinnointia;</w:t>
      </w:r>
    </w:p>
    <w:p w14:paraId="04804860" w14:textId="48654851" w:rsidR="0065073E" w:rsidRDefault="000A0998">
      <w:pPr>
        <w:pStyle w:val="P68B1DB1-ListParagraph6"/>
        <w:numPr>
          <w:ilvl w:val="0"/>
          <w:numId w:val="790"/>
        </w:numPr>
        <w:spacing w:before="120" w:after="0" w:line="240" w:lineRule="auto"/>
        <w:jc w:val="both"/>
        <w:rPr>
          <w:rFonts w:cs="Times New Roman"/>
          <w:noProof/>
        </w:rPr>
      </w:pPr>
      <w:r>
        <w:rPr>
          <w:noProof/>
        </w:rPr>
        <w:t>Osallisuus, sosiaaliturva ja muuttoliike. Investoinnin on annettava toimivaltaiselle ministeriölle digitaaliset välineet, joilla helpotetaan kaikkein heikoimmassa asemassa olevia ryhmiä koskevien asiaankuuluvien politiikkojen täytäntöönpanoa sekä tietojen käyttöä korjaavien tai lieventävien lisätoimenpiteiden kehittämiseksi;</w:t>
      </w:r>
    </w:p>
    <w:p w14:paraId="66BA674A" w14:textId="0D11F212" w:rsidR="0065073E" w:rsidRDefault="000A0998">
      <w:pPr>
        <w:pStyle w:val="P68B1DB1-ListParagraph6"/>
        <w:numPr>
          <w:ilvl w:val="0"/>
          <w:numId w:val="790"/>
        </w:numPr>
        <w:spacing w:before="120" w:after="0" w:line="240" w:lineRule="auto"/>
        <w:jc w:val="both"/>
        <w:rPr>
          <w:rFonts w:cs="Times New Roman"/>
          <w:noProof/>
        </w:rPr>
      </w:pPr>
      <w:r>
        <w:rPr>
          <w:noProof/>
        </w:rPr>
        <w:t>Konsulipalvelut. Investoinnilla parannetaan sekä ulkomailla asuvien espanjalaisten että Espanjassa asuvien ulkomaalaisten mahdollisuuksia käyttää Espanjan julkishallinnon digitaalisia palveluja.</w:t>
      </w:r>
    </w:p>
    <w:p w14:paraId="18196CE2" w14:textId="77777777" w:rsidR="0065073E" w:rsidRDefault="000A0998">
      <w:pPr>
        <w:pStyle w:val="P68B1DB1-Normal4"/>
        <w:spacing w:before="120" w:after="120" w:line="240" w:lineRule="auto"/>
        <w:jc w:val="both"/>
        <w:rPr>
          <w:rFonts w:cs="Times New Roman"/>
          <w:noProof/>
          <w:u w:val="single"/>
        </w:rPr>
      </w:pPr>
      <w:r>
        <w:rPr>
          <w:noProof/>
        </w:rPr>
        <w:t xml:space="preserve">Investoinnin toteutus saatetaan päätökseen 31. joulukuuta 2025 mennessä. </w:t>
      </w:r>
    </w:p>
    <w:p w14:paraId="2272DC44" w14:textId="56CE069E" w:rsidR="0065073E" w:rsidRDefault="000A0998">
      <w:pPr>
        <w:pStyle w:val="P68B1DB1-Normal5"/>
        <w:spacing w:before="120" w:after="120" w:line="240" w:lineRule="auto"/>
        <w:jc w:val="both"/>
        <w:rPr>
          <w:rFonts w:cs="Times New Roman"/>
          <w:noProof/>
        </w:rPr>
      </w:pPr>
      <w:r>
        <w:rPr>
          <w:noProof/>
        </w:rPr>
        <w:t>Investointi 3 (C11.I3) – Digitaalinen muutos ja nykyaikaistaminen aluepolitiikasta vastaavassa ministeriössä, siviilioikeudellisessa</w:t>
      </w:r>
      <w:r>
        <w:rPr>
          <w:noProof/>
          <w:shd w:val="clear" w:color="auto" w:fill="FFFFFF" w:themeFill="background1"/>
        </w:rPr>
        <w:t>jäässä</w:t>
      </w:r>
      <w:r>
        <w:rPr>
          <w:noProof/>
        </w:rPr>
        <w:t xml:space="preserve">, kansallisessa terveydenhuoltojärjestelmässä sekä itsehallintoalueiden ja paikallisviranomaisten hallinnossa </w:t>
      </w:r>
    </w:p>
    <w:p w14:paraId="2B78DF17" w14:textId="77777777" w:rsidR="0065073E" w:rsidRDefault="000A0998">
      <w:pPr>
        <w:pStyle w:val="P68B1DB1-Normal4"/>
        <w:spacing w:before="120" w:after="120" w:line="240" w:lineRule="auto"/>
        <w:jc w:val="both"/>
        <w:rPr>
          <w:rFonts w:cs="Times New Roman"/>
          <w:noProof/>
        </w:rPr>
      </w:pPr>
      <w:r>
        <w:rPr>
          <w:noProof/>
        </w:rPr>
        <w:t xml:space="preserve">Tämän investoinnin puitteissa toteutettavissa toimissa noudatetaan samoja periaatteita, jotka on kuvattu alue- ja paikallisviranomaisille suunnatussa C11.I1 kohdassa. </w:t>
      </w:r>
    </w:p>
    <w:p w14:paraId="57134CA5"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1A70473C" w14:textId="77777777" w:rsidR="0065073E" w:rsidRDefault="000A0998">
      <w:pPr>
        <w:pStyle w:val="P68B1DB1-Normal5"/>
        <w:spacing w:before="120" w:after="120" w:line="240" w:lineRule="auto"/>
        <w:jc w:val="both"/>
        <w:rPr>
          <w:rFonts w:cs="Times New Roman"/>
          <w:noProof/>
        </w:rPr>
      </w:pPr>
      <w:r>
        <w:rPr>
          <w:noProof/>
        </w:rPr>
        <w:t>Investointi 4 (C11.I4) – Energiasiirtymäsuunnitelma valtion yleisessä hallinnossa</w:t>
      </w:r>
    </w:p>
    <w:p w14:paraId="606994D9" w14:textId="77777777" w:rsidR="0065073E" w:rsidRDefault="000A0998">
      <w:pPr>
        <w:pStyle w:val="P68B1DB1-Normal4"/>
        <w:spacing w:before="120" w:after="120" w:line="240" w:lineRule="auto"/>
        <w:jc w:val="both"/>
        <w:rPr>
          <w:rFonts w:cs="Times New Roman"/>
          <w:noProof/>
        </w:rPr>
      </w:pPr>
      <w:r>
        <w:rPr>
          <w:noProof/>
        </w:rPr>
        <w:t>Toimenpiteellä on edistettävä energiansäästöä ja tehokkuutta keskushallinnon rakennuksissa ja infrastruktuurissa. Toimenpiteellä on vähennettävä primäärienergian kysyntää keskimäärin vähintään 30 prosenttia energiatehokkuustodistuksilla todennetusti. Investoinnilla on edistettävä rakennusten lattiapinta-alan peruskorjausta korkean energialuokituksen piiriin kuuluvien laitosten ja erityisesti lähes nollaenergiarakennusten määrän lisäämiseksi. Investoinnilla on myös edistettävä aurinkosähköjärjestelmien tai muiden uusiutuvien energialähteiden käyttöönottoa keskushallinnon laitoksissa. Toimenpiteellä on myös edistettävä julkisten ajoneuvojen ajoneuvokannan muuttamista päästöttömiksi tai vähäpäästöisiksi ajoneuvoiksi</w:t>
      </w:r>
      <w:r>
        <w:rPr>
          <w:noProof/>
        </w:rPr>
        <w:footnoteReference w:id="19"/>
      </w:r>
      <w:r>
        <w:rPr>
          <w:noProof/>
        </w:rPr>
        <w:t xml:space="preserve">. </w:t>
      </w:r>
    </w:p>
    <w:p w14:paraId="4D8030AF" w14:textId="77777777" w:rsidR="0065073E" w:rsidRDefault="000A0998">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ympäristötavoitteille, kun otetaan huomioon elpymis- ja palautumissuunnitelmassa esitetty ”ei merkittävää haittaa” -periaatetta koskevien teknisten ohjeiden (2021/C58/01) mukainen toimenpiteen kuvaus ja lieventävät toimenpiteet. Erityisesti julkisten ajoneuvojen ajoneuvokannan muutoksella on tuettava ainoastaan päästöttömiä tai vähäpäästöisiä</w:t>
      </w:r>
      <w:r>
        <w:rPr>
          <w:noProof/>
        </w:rPr>
        <w:footnoteReference w:id="20"/>
      </w:r>
      <w:r>
        <w:rPr>
          <w:noProof/>
        </w:rPr>
        <w:t xml:space="preserve"> ajoneuvoja.</w:t>
      </w:r>
    </w:p>
    <w:p w14:paraId="49D879F9" w14:textId="77777777" w:rsidR="0065073E" w:rsidRDefault="000A0998">
      <w:pPr>
        <w:pStyle w:val="P68B1DB1-Normal4"/>
        <w:spacing w:before="120" w:after="120" w:line="240" w:lineRule="auto"/>
        <w:jc w:val="both"/>
        <w:rPr>
          <w:rFonts w:cs="Times New Roman"/>
          <w:noProof/>
        </w:rPr>
      </w:pPr>
      <w:r>
        <w:rPr>
          <w:noProof/>
        </w:rPr>
        <w:t>Investointi käsittää sekä investoinnit kiinteään pääomaan (infrastruktuuri ja julkiset rakennukset) että luonnonpääomaan (kaikki toimet edistävät kasvihuonekaasupäästöjen vähentämistä).</w:t>
      </w:r>
    </w:p>
    <w:p w14:paraId="10CC1B7A"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0146DEE2" w14:textId="77777777" w:rsidR="0065073E" w:rsidRDefault="000A0998">
      <w:pPr>
        <w:pStyle w:val="P68B1DB1-Normal5"/>
        <w:spacing w:before="120" w:after="120" w:line="240" w:lineRule="auto"/>
        <w:jc w:val="both"/>
        <w:rPr>
          <w:rFonts w:cs="Times New Roman"/>
          <w:noProof/>
        </w:rPr>
      </w:pPr>
      <w:r>
        <w:rPr>
          <w:noProof/>
        </w:rPr>
        <w:t>Investointi 5 (C11.I5) – Espanjan elpymis- ja palautumissuunnitelman täytäntöönpanoa koskevan hallinnon muutos</w:t>
      </w:r>
    </w:p>
    <w:p w14:paraId="16E12320" w14:textId="77777777" w:rsidR="0065073E" w:rsidRDefault="000A0998">
      <w:pPr>
        <w:pStyle w:val="P68B1DB1-Normal4"/>
        <w:spacing w:before="120" w:after="120" w:line="240" w:lineRule="auto"/>
        <w:jc w:val="both"/>
        <w:rPr>
          <w:rFonts w:cs="Times New Roman"/>
          <w:noProof/>
        </w:rPr>
      </w:pPr>
      <w:r>
        <w:rPr>
          <w:noProof/>
        </w:rPr>
        <w:t>Tämä investointi liittyy tämän komponentin uudistukseen R5. Se mukauttaa julkishallinnon toimintaa elpymis- ja palautumissuunnitelman täytäntöönpanosta ja seurannasta aiheutuviin haasteisiin vastaamiseksi. Toimenpiteellä nykyaikaistetaan tietojärjestelmää ja viestintäkanavia tietojen jakamiseksi hallinnon eri tasojen välillä sekä kansalaisten, yritysten ja mahdollisten edunsaajien kanssa. Toimenpiteeseen on sisällyttävä myös julkishallinnon henkilöstölle suunnattua kohdennettua koulutusta, jonka arvioidaan tavoittavan vähintään 3150 henkilöä elpymis- ja palautumissuunnitelman täytäntöönpanon aikana.</w:t>
      </w:r>
    </w:p>
    <w:p w14:paraId="560D3DBE" w14:textId="77777777" w:rsidR="0065073E" w:rsidRDefault="000A0998">
      <w:pPr>
        <w:pStyle w:val="P68B1DB1-Normal4"/>
        <w:spacing w:before="120" w:after="120" w:line="240" w:lineRule="auto"/>
        <w:jc w:val="both"/>
        <w:rPr>
          <w:rFonts w:cs="Times New Roman"/>
          <w:b/>
          <w:noProof/>
          <w:u w:val="single"/>
        </w:rPr>
      </w:pPr>
      <w:r>
        <w:rPr>
          <w:noProof/>
        </w:rPr>
        <w:t xml:space="preserve">Investoinnin toteutus on saatettava päätökseen 31 päivään elokuuta 2026 mennessä. </w:t>
      </w:r>
    </w:p>
    <w:p w14:paraId="5506936D" w14:textId="77777777" w:rsidR="0065073E" w:rsidRDefault="000A0998">
      <w:pPr>
        <w:keepNext/>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K.2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852A63E" w14:textId="77777777" w:rsidR="0065073E" w:rsidRDefault="000A0998">
      <w:pPr>
        <w:pStyle w:val="P68B1DB1-Normal4"/>
        <w:keepNext/>
        <w:spacing w:before="120" w:after="120" w:line="240" w:lineRule="auto"/>
        <w:rPr>
          <w:rFonts w:cs="Times New Roman"/>
          <w:i/>
          <w:noProof/>
        </w:rPr>
        <w:sectPr w:rsidR="0065073E" w:rsidSect="00B511EF">
          <w:headerReference w:type="even" r:id="rId246"/>
          <w:headerReference w:type="default" r:id="rId247"/>
          <w:footerReference w:type="even" r:id="rId248"/>
          <w:footerReference w:type="default" r:id="rId249"/>
          <w:headerReference w:type="first" r:id="rId250"/>
          <w:footerReference w:type="first" r:id="rId251"/>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415"/>
        <w:gridCol w:w="999"/>
        <w:gridCol w:w="1593"/>
        <w:gridCol w:w="1409"/>
        <w:gridCol w:w="1059"/>
        <w:gridCol w:w="971"/>
        <w:gridCol w:w="696"/>
        <w:gridCol w:w="558"/>
        <w:gridCol w:w="806"/>
        <w:gridCol w:w="3895"/>
      </w:tblGrid>
      <w:tr w:rsidR="0065073E" w14:paraId="73E2C7DE" w14:textId="77777777">
        <w:trPr>
          <w:trHeight w:val="978"/>
          <w:tblHeader/>
        </w:trPr>
        <w:tc>
          <w:tcPr>
            <w:tcW w:w="1223" w:type="dxa"/>
            <w:vMerge w:val="restart"/>
            <w:shd w:val="clear" w:color="auto" w:fill="C6D9F1" w:themeFill="text2" w:themeFillTint="33"/>
            <w:vAlign w:val="center"/>
          </w:tcPr>
          <w:p w14:paraId="15C09D13" w14:textId="77777777" w:rsidR="0065073E" w:rsidRDefault="000A0998">
            <w:pPr>
              <w:pStyle w:val="P68B1DB1-Normal8"/>
              <w:jc w:val="center"/>
              <w:rPr>
                <w:rFonts w:cs="Times New Roman"/>
                <w:noProof/>
              </w:rPr>
            </w:pPr>
            <w:r>
              <w:rPr>
                <w:noProof/>
              </w:rPr>
              <w:t>Määrä</w:t>
            </w:r>
          </w:p>
        </w:tc>
        <w:tc>
          <w:tcPr>
            <w:tcW w:w="1448" w:type="dxa"/>
            <w:vMerge w:val="restart"/>
            <w:shd w:val="clear" w:color="auto" w:fill="C6D9F1" w:themeFill="text2" w:themeFillTint="33"/>
            <w:vAlign w:val="center"/>
          </w:tcPr>
          <w:p w14:paraId="1956A1D2" w14:textId="77777777" w:rsidR="0065073E" w:rsidRDefault="000A0998">
            <w:pPr>
              <w:pStyle w:val="P68B1DB1-Normal8"/>
              <w:jc w:val="center"/>
              <w:rPr>
                <w:rFonts w:cs="Times New Roman"/>
                <w:noProof/>
              </w:rPr>
            </w:pPr>
            <w:r>
              <w:rPr>
                <w:noProof/>
              </w:rPr>
              <w:t>Toimenpide</w:t>
            </w:r>
          </w:p>
        </w:tc>
        <w:tc>
          <w:tcPr>
            <w:tcW w:w="1021" w:type="dxa"/>
            <w:vMerge w:val="restart"/>
            <w:shd w:val="clear" w:color="auto" w:fill="C6D9F1" w:themeFill="text2" w:themeFillTint="33"/>
            <w:vAlign w:val="center"/>
          </w:tcPr>
          <w:p w14:paraId="2B8AA672" w14:textId="77777777" w:rsidR="0065073E" w:rsidRDefault="000A0998">
            <w:pPr>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631" w:type="dxa"/>
            <w:tcBorders>
              <w:bottom w:val="nil"/>
            </w:tcBorders>
            <w:shd w:val="clear" w:color="auto" w:fill="C6D9F1" w:themeFill="text2" w:themeFillTint="33"/>
            <w:vAlign w:val="center"/>
          </w:tcPr>
          <w:p w14:paraId="01201CE3" w14:textId="77777777" w:rsidR="0065073E" w:rsidRDefault="000A0998">
            <w:pPr>
              <w:pStyle w:val="P68B1DB1-Normal8"/>
              <w:jc w:val="center"/>
              <w:rPr>
                <w:rFonts w:cs="Times New Roman"/>
                <w:noProof/>
              </w:rPr>
            </w:pPr>
            <w:r>
              <w:rPr>
                <w:noProof/>
              </w:rPr>
              <w:t>Nimi</w:t>
            </w:r>
          </w:p>
        </w:tc>
        <w:tc>
          <w:tcPr>
            <w:tcW w:w="1442" w:type="dxa"/>
            <w:vMerge w:val="restart"/>
            <w:shd w:val="clear" w:color="auto" w:fill="C6D9F1" w:themeFill="text2" w:themeFillTint="33"/>
            <w:vAlign w:val="center"/>
          </w:tcPr>
          <w:p w14:paraId="4800F027" w14:textId="77777777" w:rsidR="0065073E" w:rsidRDefault="000A0998">
            <w:pPr>
              <w:pStyle w:val="P68B1DB1-Normal8"/>
              <w:jc w:val="center"/>
              <w:rPr>
                <w:rFonts w:cs="Times New Roman"/>
                <w:noProof/>
              </w:rPr>
            </w:pPr>
            <w:r>
              <w:rPr>
                <w:noProof/>
              </w:rPr>
              <w:t>Välitavoitteiden laadullinen indikaattori</w:t>
            </w:r>
          </w:p>
        </w:tc>
        <w:tc>
          <w:tcPr>
            <w:tcW w:w="2499" w:type="dxa"/>
            <w:gridSpan w:val="3"/>
            <w:shd w:val="clear" w:color="auto" w:fill="C6D9F1" w:themeFill="text2" w:themeFillTint="33"/>
            <w:vAlign w:val="center"/>
          </w:tcPr>
          <w:p w14:paraId="6709F124" w14:textId="77777777" w:rsidR="0065073E" w:rsidRDefault="000A0998">
            <w:pPr>
              <w:pStyle w:val="P68B1DB1-Normal8"/>
              <w:jc w:val="center"/>
              <w:rPr>
                <w:rFonts w:cs="Times New Roman"/>
                <w:noProof/>
              </w:rPr>
            </w:pPr>
            <w:r>
              <w:rPr>
                <w:noProof/>
              </w:rPr>
              <w:t>Määrällinen indikaattori tavoitteelle</w:t>
            </w:r>
          </w:p>
        </w:tc>
        <w:tc>
          <w:tcPr>
            <w:tcW w:w="1389" w:type="dxa"/>
            <w:gridSpan w:val="2"/>
            <w:shd w:val="clear" w:color="auto" w:fill="C6D9F1" w:themeFill="text2" w:themeFillTint="33"/>
            <w:vAlign w:val="center"/>
          </w:tcPr>
          <w:p w14:paraId="0374E9BE" w14:textId="7AD23C41" w:rsidR="0065073E" w:rsidRDefault="000A0998">
            <w:pPr>
              <w:pStyle w:val="P68B1DB1-Normal8"/>
              <w:jc w:val="center"/>
              <w:rPr>
                <w:rFonts w:cs="Times New Roman"/>
                <w:noProof/>
              </w:rPr>
            </w:pPr>
            <w:r>
              <w:rPr>
                <w:noProof/>
              </w:rPr>
              <w:t>Aika</w:t>
            </w:r>
          </w:p>
        </w:tc>
        <w:tc>
          <w:tcPr>
            <w:tcW w:w="3998" w:type="dxa"/>
            <w:tcBorders>
              <w:bottom w:val="nil"/>
            </w:tcBorders>
            <w:shd w:val="clear" w:color="auto" w:fill="C6D9F1" w:themeFill="text2" w:themeFillTint="33"/>
            <w:vAlign w:val="center"/>
          </w:tcPr>
          <w:p w14:paraId="3737D492" w14:textId="77777777" w:rsidR="0065073E" w:rsidRDefault="000A0998">
            <w:pPr>
              <w:pStyle w:val="P68B1DB1-Normal8"/>
              <w:jc w:val="center"/>
              <w:rPr>
                <w:rFonts w:cs="Times New Roman"/>
                <w:noProof/>
              </w:rPr>
            </w:pPr>
            <w:r>
              <w:rPr>
                <w:noProof/>
              </w:rPr>
              <w:t>Kunkin välitavoitteen ja tavoitteen kuvaus</w:t>
            </w:r>
          </w:p>
        </w:tc>
      </w:tr>
      <w:tr w:rsidR="0065073E" w14:paraId="23A90F92" w14:textId="77777777">
        <w:trPr>
          <w:trHeight w:val="411"/>
          <w:tblHeader/>
        </w:trPr>
        <w:tc>
          <w:tcPr>
            <w:tcW w:w="1223" w:type="dxa"/>
            <w:vMerge/>
            <w:vAlign w:val="center"/>
          </w:tcPr>
          <w:p w14:paraId="5E1A7FE4" w14:textId="77777777" w:rsidR="0065073E" w:rsidRDefault="0065073E">
            <w:pPr>
              <w:jc w:val="center"/>
              <w:rPr>
                <w:rFonts w:ascii="Times New Roman" w:hAnsi="Times New Roman" w:cs="Times New Roman"/>
                <w:b/>
                <w:noProof/>
                <w:sz w:val="18"/>
              </w:rPr>
            </w:pPr>
          </w:p>
        </w:tc>
        <w:tc>
          <w:tcPr>
            <w:tcW w:w="1448" w:type="dxa"/>
            <w:vMerge/>
            <w:vAlign w:val="center"/>
          </w:tcPr>
          <w:p w14:paraId="39A92B90" w14:textId="77777777" w:rsidR="0065073E" w:rsidRDefault="0065073E">
            <w:pPr>
              <w:jc w:val="center"/>
              <w:rPr>
                <w:rFonts w:ascii="Times New Roman" w:hAnsi="Times New Roman" w:cs="Times New Roman"/>
                <w:b/>
                <w:noProof/>
                <w:sz w:val="18"/>
              </w:rPr>
            </w:pPr>
          </w:p>
        </w:tc>
        <w:tc>
          <w:tcPr>
            <w:tcW w:w="1021" w:type="dxa"/>
            <w:vMerge/>
            <w:vAlign w:val="center"/>
          </w:tcPr>
          <w:p w14:paraId="29F91612" w14:textId="77777777" w:rsidR="0065073E" w:rsidRDefault="0065073E">
            <w:pPr>
              <w:jc w:val="center"/>
              <w:rPr>
                <w:rFonts w:ascii="Times New Roman" w:hAnsi="Times New Roman" w:cs="Times New Roman"/>
                <w:b/>
                <w:noProof/>
                <w:sz w:val="18"/>
              </w:rPr>
            </w:pPr>
          </w:p>
        </w:tc>
        <w:tc>
          <w:tcPr>
            <w:tcW w:w="1631" w:type="dxa"/>
            <w:tcBorders>
              <w:top w:val="nil"/>
            </w:tcBorders>
            <w:shd w:val="clear" w:color="auto" w:fill="C6D9F1" w:themeFill="text2" w:themeFillTint="33"/>
            <w:vAlign w:val="center"/>
          </w:tcPr>
          <w:p w14:paraId="53D07373" w14:textId="77777777" w:rsidR="0065073E" w:rsidRDefault="0065073E">
            <w:pPr>
              <w:rPr>
                <w:rFonts w:ascii="Times New Roman" w:hAnsi="Times New Roman" w:cs="Times New Roman"/>
                <w:b/>
                <w:noProof/>
                <w:sz w:val="18"/>
              </w:rPr>
            </w:pPr>
          </w:p>
        </w:tc>
        <w:tc>
          <w:tcPr>
            <w:tcW w:w="1442" w:type="dxa"/>
            <w:vMerge/>
            <w:vAlign w:val="center"/>
          </w:tcPr>
          <w:p w14:paraId="7EE9E47B" w14:textId="77777777" w:rsidR="0065073E" w:rsidRDefault="0065073E">
            <w:pPr>
              <w:jc w:val="center"/>
              <w:rPr>
                <w:rFonts w:ascii="Times New Roman" w:hAnsi="Times New Roman" w:cs="Times New Roman"/>
                <w:b/>
                <w:noProof/>
                <w:sz w:val="18"/>
              </w:rPr>
            </w:pPr>
          </w:p>
        </w:tc>
        <w:tc>
          <w:tcPr>
            <w:tcW w:w="1082" w:type="dxa"/>
            <w:shd w:val="clear" w:color="auto" w:fill="C6D9F1" w:themeFill="text2" w:themeFillTint="33"/>
            <w:vAlign w:val="center"/>
          </w:tcPr>
          <w:p w14:paraId="6DEF3D7D" w14:textId="77777777" w:rsidR="0065073E" w:rsidRDefault="000A0998">
            <w:pPr>
              <w:pStyle w:val="P68B1DB1-Normal8"/>
              <w:jc w:val="center"/>
              <w:rPr>
                <w:rFonts w:cs="Times New Roman"/>
                <w:noProof/>
              </w:rPr>
            </w:pPr>
            <w:r>
              <w:rPr>
                <w:noProof/>
              </w:rPr>
              <w:t>Yksikkö</w:t>
            </w:r>
          </w:p>
        </w:tc>
        <w:tc>
          <w:tcPr>
            <w:tcW w:w="992" w:type="dxa"/>
            <w:shd w:val="clear" w:color="auto" w:fill="C6D9F1" w:themeFill="text2" w:themeFillTint="33"/>
            <w:vAlign w:val="center"/>
          </w:tcPr>
          <w:p w14:paraId="0E16D987" w14:textId="1E46D85C" w:rsidR="0065073E" w:rsidRDefault="000A0998">
            <w:pPr>
              <w:pStyle w:val="P68B1DB1-Normal8"/>
              <w:jc w:val="center"/>
              <w:rPr>
                <w:rFonts w:cs="Times New Roman"/>
                <w:noProof/>
              </w:rPr>
            </w:pPr>
            <w:r>
              <w:rPr>
                <w:noProof/>
              </w:rPr>
              <w:t>Lähtötaso</w:t>
            </w:r>
          </w:p>
        </w:tc>
        <w:tc>
          <w:tcPr>
            <w:tcW w:w="709" w:type="dxa"/>
            <w:shd w:val="clear" w:color="auto" w:fill="C6D9F1" w:themeFill="text2" w:themeFillTint="33"/>
            <w:vAlign w:val="center"/>
          </w:tcPr>
          <w:p w14:paraId="1DA3BFED" w14:textId="77777777" w:rsidR="0065073E" w:rsidRDefault="000A0998">
            <w:pPr>
              <w:pStyle w:val="P68B1DB1-Normal8"/>
              <w:jc w:val="center"/>
              <w:rPr>
                <w:rFonts w:cs="Times New Roman"/>
                <w:noProof/>
              </w:rPr>
            </w:pPr>
            <w:r>
              <w:rPr>
                <w:noProof/>
              </w:rPr>
              <w:t>Päämäärä</w:t>
            </w:r>
          </w:p>
        </w:tc>
        <w:tc>
          <w:tcPr>
            <w:tcW w:w="567" w:type="dxa"/>
            <w:shd w:val="clear" w:color="auto" w:fill="C6D9F1" w:themeFill="text2" w:themeFillTint="33"/>
            <w:vAlign w:val="center"/>
          </w:tcPr>
          <w:p w14:paraId="2E069D33" w14:textId="77777777" w:rsidR="0065073E" w:rsidRDefault="000A0998">
            <w:pPr>
              <w:pStyle w:val="P68B1DB1-Normal8"/>
              <w:jc w:val="center"/>
              <w:rPr>
                <w:rFonts w:cs="Times New Roman"/>
                <w:noProof/>
              </w:rPr>
            </w:pPr>
            <w:r>
              <w:rPr>
                <w:noProof/>
              </w:rPr>
              <w:t>Q</w:t>
            </w:r>
          </w:p>
        </w:tc>
        <w:tc>
          <w:tcPr>
            <w:tcW w:w="822" w:type="dxa"/>
            <w:shd w:val="clear" w:color="auto" w:fill="C6D9F1" w:themeFill="text2" w:themeFillTint="33"/>
            <w:vAlign w:val="center"/>
          </w:tcPr>
          <w:p w14:paraId="4EC9668C" w14:textId="77777777" w:rsidR="0065073E" w:rsidRDefault="000A0998">
            <w:pPr>
              <w:pStyle w:val="P68B1DB1-Normal8"/>
              <w:jc w:val="center"/>
              <w:rPr>
                <w:rFonts w:cs="Times New Roman"/>
                <w:noProof/>
              </w:rPr>
            </w:pPr>
            <w:r>
              <w:rPr>
                <w:noProof/>
              </w:rPr>
              <w:t>Vuosi</w:t>
            </w:r>
          </w:p>
        </w:tc>
        <w:tc>
          <w:tcPr>
            <w:tcW w:w="3998" w:type="dxa"/>
            <w:tcBorders>
              <w:top w:val="nil"/>
            </w:tcBorders>
            <w:shd w:val="clear" w:color="auto" w:fill="C6D9F1" w:themeFill="text2" w:themeFillTint="33"/>
            <w:vAlign w:val="center"/>
          </w:tcPr>
          <w:p w14:paraId="1F6FEB78" w14:textId="77777777" w:rsidR="0065073E" w:rsidRDefault="0065073E">
            <w:pPr>
              <w:jc w:val="center"/>
              <w:rPr>
                <w:rFonts w:ascii="Times New Roman" w:hAnsi="Times New Roman" w:cs="Times New Roman"/>
                <w:b/>
                <w:noProof/>
                <w:sz w:val="18"/>
              </w:rPr>
            </w:pPr>
          </w:p>
        </w:tc>
      </w:tr>
      <w:tr w:rsidR="0065073E" w14:paraId="40C2344B" w14:textId="77777777">
        <w:trPr>
          <w:trHeight w:val="309"/>
        </w:trPr>
        <w:tc>
          <w:tcPr>
            <w:tcW w:w="1223" w:type="dxa"/>
            <w:shd w:val="clear" w:color="auto" w:fill="C6EFCE"/>
          </w:tcPr>
          <w:p w14:paraId="27C717A0" w14:textId="77777777" w:rsidR="0065073E" w:rsidRDefault="000A0998">
            <w:pPr>
              <w:pStyle w:val="P68B1DB1-Normal12"/>
              <w:jc w:val="center"/>
              <w:rPr>
                <w:rFonts w:eastAsia="Times New Roman" w:cs="Times New Roman"/>
                <w:noProof/>
              </w:rPr>
            </w:pPr>
            <w:r>
              <w:rPr>
                <w:noProof/>
              </w:rPr>
              <w:t>144</w:t>
            </w:r>
          </w:p>
        </w:tc>
        <w:tc>
          <w:tcPr>
            <w:tcW w:w="1448" w:type="dxa"/>
            <w:shd w:val="clear" w:color="auto" w:fill="C6EFCE"/>
          </w:tcPr>
          <w:p w14:paraId="1BE228D3" w14:textId="77777777" w:rsidR="0065073E" w:rsidRDefault="000A0998">
            <w:pPr>
              <w:pStyle w:val="P68B1DB1-Normal12"/>
              <w:jc w:val="center"/>
              <w:rPr>
                <w:rFonts w:eastAsia="Times New Roman" w:cs="Times New Roman"/>
                <w:noProof/>
              </w:rPr>
            </w:pPr>
            <w:r>
              <w:rPr>
                <w:noProof/>
              </w:rPr>
              <w:t>C11.R1</w:t>
            </w:r>
          </w:p>
        </w:tc>
        <w:tc>
          <w:tcPr>
            <w:tcW w:w="1021" w:type="dxa"/>
            <w:shd w:val="clear" w:color="auto" w:fill="C6EFCE"/>
          </w:tcPr>
          <w:p w14:paraId="4E44D602" w14:textId="77777777" w:rsidR="0065073E" w:rsidRDefault="000A0998">
            <w:pPr>
              <w:pStyle w:val="P68B1DB1-Normal12"/>
              <w:jc w:val="center"/>
              <w:rPr>
                <w:rFonts w:eastAsia="Times New Roman" w:cs="Times New Roman"/>
                <w:noProof/>
              </w:rPr>
            </w:pPr>
            <w:r>
              <w:rPr>
                <w:noProof/>
              </w:rPr>
              <w:t>M</w:t>
            </w:r>
          </w:p>
        </w:tc>
        <w:tc>
          <w:tcPr>
            <w:tcW w:w="1631" w:type="dxa"/>
            <w:shd w:val="clear" w:color="auto" w:fill="C6EFCE"/>
          </w:tcPr>
          <w:p w14:paraId="41D2DCC6" w14:textId="77777777" w:rsidR="0065073E" w:rsidRDefault="000A0998">
            <w:pPr>
              <w:pStyle w:val="P68B1DB1-Normal12"/>
              <w:rPr>
                <w:rFonts w:eastAsia="Times New Roman" w:cs="Times New Roman"/>
                <w:noProof/>
              </w:rPr>
            </w:pPr>
            <w:r>
              <w:rPr>
                <w:noProof/>
              </w:rPr>
              <w:t>Julkishallinnon määräaikaisten työsuhteiden vähentämistä koskevan säädöksen voimaantulo</w:t>
            </w:r>
          </w:p>
        </w:tc>
        <w:tc>
          <w:tcPr>
            <w:tcW w:w="1442" w:type="dxa"/>
            <w:shd w:val="clear" w:color="auto" w:fill="C6EFCE"/>
          </w:tcPr>
          <w:p w14:paraId="516C6DCC" w14:textId="77777777" w:rsidR="0065073E" w:rsidRDefault="000A0998">
            <w:pPr>
              <w:pStyle w:val="P68B1DB1-Normal12"/>
              <w:jc w:val="center"/>
              <w:rPr>
                <w:rFonts w:eastAsia="Times New Roman" w:cs="Times New Roman"/>
                <w:noProof/>
              </w:rPr>
            </w:pPr>
            <w:r>
              <w:rPr>
                <w:noProof/>
              </w:rPr>
              <w:t>Säädöksen säännös, josta käy ilmi säädöksen voimaantulo</w:t>
            </w:r>
          </w:p>
        </w:tc>
        <w:tc>
          <w:tcPr>
            <w:tcW w:w="1082" w:type="dxa"/>
            <w:shd w:val="clear" w:color="auto" w:fill="C6EFCE"/>
          </w:tcPr>
          <w:p w14:paraId="47BD0B18" w14:textId="77777777" w:rsidR="0065073E" w:rsidRDefault="000A0998">
            <w:pPr>
              <w:pStyle w:val="P68B1DB1-Normal12"/>
              <w:jc w:val="right"/>
              <w:rPr>
                <w:rFonts w:eastAsia="Times New Roman" w:cs="Times New Roman"/>
                <w:noProof/>
              </w:rPr>
            </w:pPr>
            <w:r>
              <w:rPr>
                <w:noProof/>
              </w:rPr>
              <w:t xml:space="preserve"> </w:t>
            </w:r>
          </w:p>
        </w:tc>
        <w:tc>
          <w:tcPr>
            <w:tcW w:w="992" w:type="dxa"/>
            <w:shd w:val="clear" w:color="auto" w:fill="C6EFCE"/>
          </w:tcPr>
          <w:p w14:paraId="3A5F6558" w14:textId="77777777" w:rsidR="0065073E" w:rsidRDefault="000A0998">
            <w:pPr>
              <w:pStyle w:val="P68B1DB1-Normal12"/>
              <w:jc w:val="right"/>
              <w:rPr>
                <w:rFonts w:eastAsia="Times New Roman" w:cs="Times New Roman"/>
                <w:noProof/>
              </w:rPr>
            </w:pPr>
            <w:r>
              <w:rPr>
                <w:noProof/>
              </w:rPr>
              <w:t xml:space="preserve"> </w:t>
            </w:r>
          </w:p>
        </w:tc>
        <w:tc>
          <w:tcPr>
            <w:tcW w:w="709" w:type="dxa"/>
            <w:shd w:val="clear" w:color="auto" w:fill="C6EFCE"/>
          </w:tcPr>
          <w:p w14:paraId="78BFC1B3" w14:textId="77777777" w:rsidR="0065073E" w:rsidRDefault="000A0998">
            <w:pPr>
              <w:pStyle w:val="P68B1DB1-Normal12"/>
              <w:jc w:val="right"/>
              <w:rPr>
                <w:rFonts w:eastAsia="Times New Roman" w:cs="Times New Roman"/>
                <w:noProof/>
              </w:rPr>
            </w:pPr>
            <w:r>
              <w:rPr>
                <w:noProof/>
              </w:rPr>
              <w:t xml:space="preserve"> </w:t>
            </w:r>
          </w:p>
        </w:tc>
        <w:tc>
          <w:tcPr>
            <w:tcW w:w="567" w:type="dxa"/>
            <w:shd w:val="clear" w:color="auto" w:fill="C6EFCE"/>
          </w:tcPr>
          <w:p w14:paraId="6F76DCF8" w14:textId="77777777" w:rsidR="0065073E" w:rsidRDefault="000A0998">
            <w:pPr>
              <w:pStyle w:val="P68B1DB1-Normal12"/>
              <w:jc w:val="center"/>
              <w:rPr>
                <w:rFonts w:eastAsia="Times New Roman" w:cs="Times New Roman"/>
                <w:noProof/>
              </w:rPr>
            </w:pPr>
            <w:r>
              <w:rPr>
                <w:noProof/>
              </w:rPr>
              <w:t>TOINEN VUOSINELJÄNNES</w:t>
            </w:r>
          </w:p>
        </w:tc>
        <w:tc>
          <w:tcPr>
            <w:tcW w:w="822" w:type="dxa"/>
            <w:shd w:val="clear" w:color="auto" w:fill="C6EFCE"/>
          </w:tcPr>
          <w:p w14:paraId="3E081A7E" w14:textId="77777777" w:rsidR="0065073E" w:rsidRDefault="000A0998">
            <w:pPr>
              <w:pStyle w:val="P68B1DB1-Normal12"/>
              <w:jc w:val="center"/>
              <w:rPr>
                <w:rFonts w:eastAsia="Times New Roman" w:cs="Times New Roman"/>
                <w:noProof/>
              </w:rPr>
            </w:pPr>
            <w:r>
              <w:rPr>
                <w:noProof/>
              </w:rPr>
              <w:t>2021</w:t>
            </w:r>
          </w:p>
        </w:tc>
        <w:tc>
          <w:tcPr>
            <w:tcW w:w="3998" w:type="dxa"/>
            <w:shd w:val="clear" w:color="auto" w:fill="C6EFCE"/>
          </w:tcPr>
          <w:p w14:paraId="57ED2C1D" w14:textId="77777777" w:rsidR="0065073E" w:rsidRDefault="000A0998">
            <w:pPr>
              <w:pStyle w:val="P68B1DB1-Normal12"/>
              <w:rPr>
                <w:rFonts w:eastAsia="Times New Roman" w:cs="Times New Roman"/>
                <w:noProof/>
              </w:rPr>
            </w:pPr>
            <w:r>
              <w:rPr>
                <w:noProof/>
              </w:rPr>
              <w:t>Voimaan tulee säädös, jossa säädetään toimenpiteistä määräaikaisten työsuhteiden vähentämiseksi julkisissa palvelussuhteissa ja tehokkaita säännöksiä väärinkäytösten ehkäisemiseksi ja niistä rankaisemiseksi, mukaan lukien velvoite julkaista kaikki väliaikaisen henkilöstön vakauttamismenettelyjä koskevat pyynnöt 31. joulukuuta 2022 mennessä. Tätä lakia sovelletaan valtiollisiin, alueellisiin ja paikallisiin julkishallintoihin.</w:t>
            </w:r>
          </w:p>
        </w:tc>
      </w:tr>
      <w:tr w:rsidR="0065073E" w14:paraId="4ABE1BBE" w14:textId="77777777">
        <w:trPr>
          <w:trHeight w:val="309"/>
        </w:trPr>
        <w:tc>
          <w:tcPr>
            <w:tcW w:w="1223" w:type="dxa"/>
            <w:shd w:val="clear" w:color="auto" w:fill="C6EFCE"/>
          </w:tcPr>
          <w:p w14:paraId="755D0054" w14:textId="77777777" w:rsidR="0065073E" w:rsidRDefault="000A0998">
            <w:pPr>
              <w:pStyle w:val="P68B1DB1-Normal12"/>
              <w:jc w:val="center"/>
              <w:rPr>
                <w:rFonts w:cs="Times New Roman"/>
                <w:noProof/>
              </w:rPr>
            </w:pPr>
            <w:r>
              <w:rPr>
                <w:noProof/>
              </w:rPr>
              <w:t>145</w:t>
            </w:r>
          </w:p>
        </w:tc>
        <w:tc>
          <w:tcPr>
            <w:tcW w:w="1448" w:type="dxa"/>
            <w:shd w:val="clear" w:color="auto" w:fill="C6EFCE"/>
          </w:tcPr>
          <w:p w14:paraId="0BE2839D"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0BDFE37F"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2727413A" w14:textId="38E0BEE7" w:rsidR="0065073E" w:rsidRDefault="000A0998">
            <w:pPr>
              <w:pStyle w:val="P68B1DB1-Normal12"/>
              <w:rPr>
                <w:rFonts w:cs="Times New Roman"/>
                <w:noProof/>
              </w:rPr>
            </w:pPr>
            <w:r>
              <w:rPr>
                <w:noProof/>
              </w:rPr>
              <w:t>Lain 40/2015 muutoksen ja alue- ja paikallisyhteisöjen välistä yhteistyötä tehostavien ministeriöiden päätösten voimaantulo</w:t>
            </w:r>
          </w:p>
        </w:tc>
        <w:tc>
          <w:tcPr>
            <w:tcW w:w="1442" w:type="dxa"/>
            <w:shd w:val="clear" w:color="auto" w:fill="C6EFCE"/>
          </w:tcPr>
          <w:p w14:paraId="27FE097E" w14:textId="5FB0B6D2" w:rsidR="0065073E" w:rsidRDefault="000A0998">
            <w:pPr>
              <w:pStyle w:val="P68B1DB1-Normal12"/>
              <w:jc w:val="center"/>
              <w:rPr>
                <w:rFonts w:cs="Times New Roman"/>
                <w:noProof/>
              </w:rPr>
            </w:pPr>
            <w:r>
              <w:rPr>
                <w:noProof/>
              </w:rPr>
              <w:t xml:space="preserve">Säädöksen säännös ja ministeriön päätökset, joista käy ilmi niiden voimaantulo </w:t>
            </w:r>
          </w:p>
        </w:tc>
        <w:tc>
          <w:tcPr>
            <w:tcW w:w="1082" w:type="dxa"/>
            <w:shd w:val="clear" w:color="auto" w:fill="C6EFCE"/>
          </w:tcPr>
          <w:p w14:paraId="57BEDBD2"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5003F835"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4355D8D4"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4F6C131C"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0025E7B3"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49367F4A" w14:textId="5C92B568" w:rsidR="0065073E" w:rsidRDefault="000A0998">
            <w:pPr>
              <w:pStyle w:val="P68B1DB1-Normal12"/>
              <w:rPr>
                <w:rFonts w:cs="Times New Roman"/>
                <w:noProof/>
              </w:rPr>
            </w:pPr>
            <w:r>
              <w:rPr>
                <w:noProof/>
              </w:rPr>
              <w:t xml:space="preserve">Lain 40/2015 muutos ja alue- ja paikallisyhteisöjen välisen yhteistyön vahvistamista koskevat ministeriön määräykset, jotka kattavat seuraavat seikat: I) mahdollistetaan monialaisten konferenssien perustaminen, ii) määritellään alakohtaisten konferenssien päätöksentekomenettelyt, myös silloin, kun niissä tehdään sopimuksia pakollisesta noudattamisesta; III) puheenjohtajakokouksen vahvistaminen perustamalla pysyvä sihteeristö; IV) säädetään monivuotisten poliittisten tavoitteiden ja tulosindikaattoreiden pakollisesta valmistelusta, hyväksymisestä ja julkaisemisesta sekä avoimista seuranta- ja arviointimekanismeista; ja v) keskus- ja aluehallinnon tietoteknisten alustojen välisen digitaalisen yhteenliittämisen ja yhteentoimivuuden luominen. Tavoitteiden i, ii ja iv osalta ministeriöiden päätöksiä kuullaan itsehallintoalueiden kanssa osallistavassa, osallistavassa ja avoimessa prosessissa. </w:t>
            </w:r>
          </w:p>
        </w:tc>
      </w:tr>
      <w:tr w:rsidR="0065073E" w14:paraId="3ACB5FEF" w14:textId="77777777">
        <w:trPr>
          <w:trHeight w:val="309"/>
        </w:trPr>
        <w:tc>
          <w:tcPr>
            <w:tcW w:w="1223" w:type="dxa"/>
            <w:shd w:val="clear" w:color="auto" w:fill="C6EFCE"/>
          </w:tcPr>
          <w:p w14:paraId="7A3B126D" w14:textId="77777777" w:rsidR="0065073E" w:rsidRDefault="000A0998">
            <w:pPr>
              <w:pStyle w:val="P68B1DB1-Normal12"/>
              <w:jc w:val="center"/>
              <w:rPr>
                <w:rFonts w:cs="Times New Roman"/>
                <w:noProof/>
              </w:rPr>
            </w:pPr>
            <w:r>
              <w:rPr>
                <w:noProof/>
              </w:rPr>
              <w:t>146</w:t>
            </w:r>
          </w:p>
        </w:tc>
        <w:tc>
          <w:tcPr>
            <w:tcW w:w="1448" w:type="dxa"/>
            <w:shd w:val="clear" w:color="auto" w:fill="C6EFCE"/>
          </w:tcPr>
          <w:p w14:paraId="473EC799"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4E7C16EB"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09880326" w14:textId="77777777" w:rsidR="0065073E" w:rsidRDefault="000A0998">
            <w:pPr>
              <w:pStyle w:val="P68B1DB1-Normal12"/>
              <w:rPr>
                <w:rFonts w:cs="Times New Roman"/>
                <w:noProof/>
              </w:rPr>
            </w:pPr>
            <w:r>
              <w:rPr>
                <w:noProof/>
              </w:rPr>
              <w:t>Lain voimaantulo julkisten politiikkojen arvioinnin tehostamiseksi</w:t>
            </w:r>
          </w:p>
        </w:tc>
        <w:tc>
          <w:tcPr>
            <w:tcW w:w="1442" w:type="dxa"/>
            <w:shd w:val="clear" w:color="auto" w:fill="C6EFCE"/>
          </w:tcPr>
          <w:p w14:paraId="41ED911C" w14:textId="77777777" w:rsidR="0065073E" w:rsidRDefault="000A0998">
            <w:pPr>
              <w:pStyle w:val="P68B1DB1-Normal12"/>
              <w:jc w:val="center"/>
              <w:rPr>
                <w:rFonts w:cs="Times New Roman"/>
                <w:noProof/>
              </w:rPr>
            </w:pPr>
            <w:r>
              <w:rPr>
                <w:noProof/>
              </w:rPr>
              <w:t>Lain voimaantuloon viittaava säännös</w:t>
            </w:r>
          </w:p>
        </w:tc>
        <w:tc>
          <w:tcPr>
            <w:tcW w:w="1082" w:type="dxa"/>
            <w:shd w:val="clear" w:color="auto" w:fill="C6EFCE"/>
          </w:tcPr>
          <w:p w14:paraId="51E4C3E0"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503B4702"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0D200161"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1FE19E10"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2D798BA7"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2AEF5638" w14:textId="77777777" w:rsidR="0065073E" w:rsidRDefault="000A0998">
            <w:pPr>
              <w:pStyle w:val="P68B1DB1-Normal12"/>
              <w:rPr>
                <w:rFonts w:cs="Times New Roman"/>
                <w:noProof/>
              </w:rPr>
            </w:pPr>
            <w:r>
              <w:rPr>
                <w:noProof/>
              </w:rPr>
              <w:t>Arviointilain voimaantulo ja joukko toimia, joilla vahvistetaan ennakkoarviointiin perustuvaa julkista politiikkaa. Tavoitteita ovat: I) nykyisen kansallisen arviointiinstituutin (Instituto de Evaluación de Políticas Públicas) järjestelmän vahvistaminen sen organisatorisen ja toiminnallisen riippumattomuuden takaamiseksi; II) annetaan instituutille valmiudet ja keinot sen tehtävien hoitamiseen; III) mukaan lukien politiikan järjestelmällisen ennakkoarvioinnin periaate; ja iv) muiden elinten ja virastojen, kuten AIReF:n, toimeksiannon säilyttäminen.</w:t>
            </w:r>
          </w:p>
        </w:tc>
      </w:tr>
      <w:tr w:rsidR="0065073E" w14:paraId="00FAF26C" w14:textId="77777777">
        <w:trPr>
          <w:trHeight w:val="309"/>
        </w:trPr>
        <w:tc>
          <w:tcPr>
            <w:tcW w:w="1223" w:type="dxa"/>
            <w:shd w:val="clear" w:color="auto" w:fill="C6EFCE"/>
          </w:tcPr>
          <w:p w14:paraId="272C3981" w14:textId="77777777" w:rsidR="0065073E" w:rsidRDefault="000A0998">
            <w:pPr>
              <w:pStyle w:val="P68B1DB1-Normal12"/>
              <w:jc w:val="center"/>
              <w:rPr>
                <w:rFonts w:cs="Times New Roman"/>
                <w:noProof/>
              </w:rPr>
            </w:pPr>
            <w:r>
              <w:rPr>
                <w:noProof/>
              </w:rPr>
              <w:t>147</w:t>
            </w:r>
          </w:p>
        </w:tc>
        <w:tc>
          <w:tcPr>
            <w:tcW w:w="1448" w:type="dxa"/>
            <w:shd w:val="clear" w:color="auto" w:fill="C6EFCE"/>
          </w:tcPr>
          <w:p w14:paraId="66A6CFFE"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28864414"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41EE6FF5" w14:textId="21720083" w:rsidR="0065073E" w:rsidRDefault="000A0998">
            <w:pPr>
              <w:pStyle w:val="P68B1DB1-Normal12"/>
              <w:rPr>
                <w:rFonts w:cs="Times New Roman"/>
                <w:noProof/>
              </w:rPr>
            </w:pPr>
            <w:r>
              <w:rPr>
                <w:noProof/>
              </w:rPr>
              <w:t>Paikallishallintoa koskevan lain 7/1985 uudistuksen voimaantulo ja väestö- ja aluemäärittelyasetuksen hyväksymisestä 11. heinäkuuta 1986 annetun kuninkaallisen asetuksen 1690/1986 muuttaminen</w:t>
            </w:r>
          </w:p>
        </w:tc>
        <w:tc>
          <w:tcPr>
            <w:tcW w:w="1442" w:type="dxa"/>
            <w:shd w:val="clear" w:color="auto" w:fill="C6EFCE"/>
          </w:tcPr>
          <w:p w14:paraId="7349E8C9" w14:textId="2D8A6973" w:rsidR="0065073E" w:rsidRDefault="000A0998">
            <w:pPr>
              <w:pStyle w:val="P68B1DB1-Normal12"/>
              <w:jc w:val="center"/>
              <w:rPr>
                <w:rFonts w:cs="Times New Roman"/>
                <w:noProof/>
              </w:rPr>
            </w:pPr>
            <w:r>
              <w:rPr>
                <w:noProof/>
              </w:rPr>
              <w:t xml:space="preserve">Lain säännös ja kuninkaallinen asetus uudistusten täytäntöönpanosta, josta käy ilmi niiden voimaantulo </w:t>
            </w:r>
          </w:p>
        </w:tc>
        <w:tc>
          <w:tcPr>
            <w:tcW w:w="1082" w:type="dxa"/>
            <w:shd w:val="clear" w:color="auto" w:fill="C6EFCE"/>
          </w:tcPr>
          <w:p w14:paraId="75745E9A"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0C5E3641"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15541C48"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56CDA044"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298A2DB1"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3507A2BD" w14:textId="366E6416" w:rsidR="0065073E" w:rsidRDefault="000A0998">
            <w:pPr>
              <w:pStyle w:val="P68B1DB1-Normal12"/>
              <w:rPr>
                <w:rFonts w:cs="Times New Roman"/>
                <w:noProof/>
              </w:rPr>
            </w:pPr>
            <w:r>
              <w:rPr>
                <w:noProof/>
              </w:rPr>
              <w:t>Paikallisten hallintojärjestelmien sääntelystä annetun lain 7/1985 muutoksen ja paikallisyhteisöjen alueellista rajaamista koskevan asetuksen hyväksymisestä 11. heinäkuuta 1986 annetun kuninkaan asetuksen 1690/1986 muutos tulee voimaan. Paikallisia hallintojärjestelmiä koskevan lain 7/1985 muutoksella edistetään: I) nopeutetaan ja laajennetaan paikallisten julkisten palvelujen käyttöönottoa, myös digitaalisin keinoin, kuten sovelluksilla, ja ii) tuetaan pieniä kaupunkeja julkisten palvelujen tarjoamisessa. Kuninkaalliseen asetukseen 1690/1986 tehdyllä muutoksella, jolla hyväksytään paikallisyhteisöjen asukasmäärästä ja alueellisesta rajauksesta annettu asetus, päivitetään ja parannetaan kuntien hallinnoimaa asukaslaskentaa. Uudistuksiin on liitettävä vaikutustenarviointi, mukaan lukien julkisen talouden kestävyyteen liittyvät näkökohdat.</w:t>
            </w:r>
          </w:p>
        </w:tc>
      </w:tr>
      <w:tr w:rsidR="0065073E" w14:paraId="29BBF8D8" w14:textId="77777777">
        <w:trPr>
          <w:trHeight w:val="309"/>
        </w:trPr>
        <w:tc>
          <w:tcPr>
            <w:tcW w:w="1223" w:type="dxa"/>
            <w:shd w:val="clear" w:color="auto" w:fill="C6EFCE"/>
          </w:tcPr>
          <w:p w14:paraId="3632D0D5" w14:textId="77777777" w:rsidR="0065073E" w:rsidRDefault="000A0998">
            <w:pPr>
              <w:pStyle w:val="P68B1DB1-Normal12"/>
              <w:jc w:val="center"/>
              <w:rPr>
                <w:rFonts w:cs="Times New Roman"/>
                <w:noProof/>
              </w:rPr>
            </w:pPr>
            <w:r>
              <w:rPr>
                <w:noProof/>
              </w:rPr>
              <w:t>148</w:t>
            </w:r>
          </w:p>
        </w:tc>
        <w:tc>
          <w:tcPr>
            <w:tcW w:w="1448" w:type="dxa"/>
            <w:shd w:val="clear" w:color="auto" w:fill="C6EFCE"/>
          </w:tcPr>
          <w:p w14:paraId="56824CAD"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5FC47139"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0E387286" w14:textId="3D9414CA" w:rsidR="0065073E" w:rsidRDefault="000A0998">
            <w:pPr>
              <w:pStyle w:val="P68B1DB1-Normal12"/>
              <w:rPr>
                <w:rFonts w:cs="Times New Roman"/>
                <w:noProof/>
              </w:rPr>
            </w:pPr>
            <w:r>
              <w:rPr>
                <w:noProof/>
              </w:rPr>
              <w:t>Valtionhallinnon virkamieskuntaa koskevien sääntelytoimenpiteiden voimaantulo</w:t>
            </w:r>
          </w:p>
        </w:tc>
        <w:tc>
          <w:tcPr>
            <w:tcW w:w="1442" w:type="dxa"/>
            <w:shd w:val="clear" w:color="auto" w:fill="C6EFCE"/>
          </w:tcPr>
          <w:p w14:paraId="268E37DA" w14:textId="44026CF2" w:rsidR="0065073E" w:rsidRDefault="000A0998">
            <w:pPr>
              <w:pStyle w:val="P68B1DB1-Normal12"/>
              <w:jc w:val="center"/>
              <w:rPr>
                <w:rFonts w:cs="Times New Roman"/>
                <w:noProof/>
              </w:rPr>
            </w:pPr>
            <w:r>
              <w:rPr>
                <w:noProof/>
              </w:rPr>
              <w:t xml:space="preserve">Kuninkaan asetuksen (lakien) ja ministeriön asetuksen (asetusten) säännös, jolla pannaan täytäntöön ne uudistuksen osat, joista käy ilmi niiden voimaantulo </w:t>
            </w:r>
          </w:p>
        </w:tc>
        <w:tc>
          <w:tcPr>
            <w:tcW w:w="1082" w:type="dxa"/>
            <w:shd w:val="clear" w:color="auto" w:fill="C6EFCE"/>
          </w:tcPr>
          <w:p w14:paraId="39017060"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0740E5F9"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5FC345CA"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61594965"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3961A0ED"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716779E3" w14:textId="1B02DE47" w:rsidR="0065073E" w:rsidRDefault="000A0998">
            <w:pPr>
              <w:pStyle w:val="P68B1DB1-Normal12"/>
              <w:rPr>
                <w:rFonts w:cs="Times New Roman"/>
                <w:noProof/>
              </w:rPr>
            </w:pPr>
            <w:r>
              <w:rPr>
                <w:noProof/>
              </w:rPr>
              <w:t xml:space="preserve">Valtionhallinnon virkamieskuntaa koskevien sääntelytoimenpiteiden voimaantulo. Toimenpiteillä vahvistetaan hallinnon kykyä houkutella ja pitää palveluksessaan osaajia, joita se tarvitsee nykyisten tehtäviensä hoitamiseen, myös tieto- ja televiestintäalalla. Toimenpiteisiin on sisällyttävä seuraavat osatekijät: i) henkilöresurssien suunnittelua, organisointia ja hallinnointia koskevien välineiden elvyttäminen; taata tasa-arvon, ansioiden ja osallistumiskyvyn periaatteiden tehokkuus sekä valintamenettelyjen avoimuus ja ketteryys; III) arvioinnin ja suorituskyvyn sääntely osaamiseen perustuvan kehyksen mukaisesti, myös uuden rekrytoinnin osalta; ja iv) pääsy korkeiden virkamiesten virkoihin (eli </w:t>
            </w:r>
            <w:r>
              <w:rPr>
                <w:i/>
                <w:noProof/>
              </w:rPr>
              <w:t>yleistehtäviin ja</w:t>
            </w:r>
            <w:r>
              <w:rPr>
                <w:noProof/>
              </w:rPr>
              <w:t xml:space="preserve"> vastaaviin tehtäviin) ansioiden ja kilpailun perusteella. Sääntelytoimenpiteet on toteutettava kuninkaan asetuksen muodossa ii ja iii alakohtien osalta; ja ministeriön määräys(t) kohtien i ja iv osalta.</w:t>
            </w:r>
          </w:p>
        </w:tc>
      </w:tr>
      <w:tr w:rsidR="0065073E" w14:paraId="370A0D81" w14:textId="77777777">
        <w:trPr>
          <w:trHeight w:val="309"/>
        </w:trPr>
        <w:tc>
          <w:tcPr>
            <w:tcW w:w="1223" w:type="dxa"/>
            <w:shd w:val="clear" w:color="auto" w:fill="C6EFCE"/>
          </w:tcPr>
          <w:p w14:paraId="2B464838" w14:textId="77777777" w:rsidR="0065073E" w:rsidRDefault="000A0998">
            <w:pPr>
              <w:pStyle w:val="P68B1DB1-Normal12"/>
              <w:jc w:val="center"/>
              <w:rPr>
                <w:rFonts w:cs="Times New Roman"/>
                <w:noProof/>
              </w:rPr>
            </w:pPr>
            <w:r>
              <w:rPr>
                <w:noProof/>
              </w:rPr>
              <w:t>149</w:t>
            </w:r>
          </w:p>
        </w:tc>
        <w:tc>
          <w:tcPr>
            <w:tcW w:w="1448" w:type="dxa"/>
            <w:shd w:val="clear" w:color="auto" w:fill="C6EFCE"/>
          </w:tcPr>
          <w:p w14:paraId="424D4657"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299041B6"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1E35AF3F" w14:textId="77777777" w:rsidR="0065073E" w:rsidRDefault="000A0998">
            <w:pPr>
              <w:pStyle w:val="P68B1DB1-Normal12"/>
              <w:rPr>
                <w:rFonts w:cs="Times New Roman"/>
                <w:noProof/>
              </w:rPr>
            </w:pPr>
            <w:r>
              <w:rPr>
                <w:noProof/>
              </w:rPr>
              <w:t>Uuden arvioinnista vastaavan julkisen elimen perussääntö</w:t>
            </w:r>
          </w:p>
        </w:tc>
        <w:tc>
          <w:tcPr>
            <w:tcW w:w="1442" w:type="dxa"/>
            <w:shd w:val="clear" w:color="auto" w:fill="C6EFCE"/>
          </w:tcPr>
          <w:p w14:paraId="0C90CC59" w14:textId="77777777" w:rsidR="0065073E" w:rsidRDefault="000A0998">
            <w:pPr>
              <w:pStyle w:val="P68B1DB1-Normal12"/>
              <w:jc w:val="center"/>
              <w:rPr>
                <w:rFonts w:cs="Times New Roman"/>
                <w:noProof/>
              </w:rPr>
            </w:pPr>
            <w:r>
              <w:rPr>
                <w:noProof/>
              </w:rPr>
              <w:t xml:space="preserve">Kuninkaan asetuksessa oleva säännös, josta käy ilmi kuninkaan asetuksen voimaantulo </w:t>
            </w:r>
          </w:p>
        </w:tc>
        <w:tc>
          <w:tcPr>
            <w:tcW w:w="1082" w:type="dxa"/>
            <w:shd w:val="clear" w:color="auto" w:fill="C6EFCE"/>
          </w:tcPr>
          <w:p w14:paraId="29FC183F"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473AFF47"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3D603131"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2E4BFBF2"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340D2FE8" w14:textId="77777777" w:rsidR="0065073E" w:rsidRDefault="000A0998">
            <w:pPr>
              <w:pStyle w:val="P68B1DB1-Normal12"/>
              <w:jc w:val="center"/>
              <w:rPr>
                <w:rFonts w:cs="Times New Roman"/>
                <w:noProof/>
              </w:rPr>
            </w:pPr>
            <w:r>
              <w:rPr>
                <w:noProof/>
              </w:rPr>
              <w:t>2023</w:t>
            </w:r>
          </w:p>
        </w:tc>
        <w:tc>
          <w:tcPr>
            <w:tcW w:w="3998" w:type="dxa"/>
            <w:shd w:val="clear" w:color="auto" w:fill="C6EFCE"/>
          </w:tcPr>
          <w:p w14:paraId="78F3AB93" w14:textId="77777777" w:rsidR="0065073E" w:rsidRDefault="000A0998">
            <w:pPr>
              <w:pStyle w:val="P68B1DB1-Normal12"/>
              <w:rPr>
                <w:rFonts w:cs="Times New Roman"/>
                <w:noProof/>
              </w:rPr>
            </w:pPr>
            <w:r>
              <w:rPr>
                <w:noProof/>
              </w:rPr>
              <w:t>Uuden kansallisen arviointilaitoksen perussääntöä koskevan kuninkaallisen asetuksen voimaantulo. Tämän kuninkaallisen asetuksen tavoitteet ovat seuraavat: I) antaa kansalliselle arvioinnista vastaavalle julkiselle elimelle valmiudet ja keinot hoitaa metodologiseen standardointiin liittyvät tehtävänsä julkisen politiikan ennakkoarviointia varten; II) suorittaa julkisen politiikan arviointeja; ja iii) mukaan lukien järjestelmällisen politiikan ennakkoarvioinnin periaate laissa säädetyin poikkeuksin.</w:t>
            </w:r>
          </w:p>
        </w:tc>
      </w:tr>
      <w:tr w:rsidR="0065073E" w14:paraId="594099FE" w14:textId="77777777">
        <w:trPr>
          <w:trHeight w:val="309"/>
        </w:trPr>
        <w:tc>
          <w:tcPr>
            <w:tcW w:w="1223" w:type="dxa"/>
            <w:shd w:val="clear" w:color="auto" w:fill="C6EFCE"/>
          </w:tcPr>
          <w:p w14:paraId="3F22E7E6" w14:textId="7B8D20F9" w:rsidR="0065073E" w:rsidRDefault="000A0998">
            <w:pPr>
              <w:pStyle w:val="P68B1DB1-Normal12"/>
              <w:jc w:val="center"/>
              <w:rPr>
                <w:rFonts w:cs="Times New Roman"/>
                <w:noProof/>
              </w:rPr>
            </w:pPr>
            <w:r>
              <w:rPr>
                <w:noProof/>
              </w:rPr>
              <w:t>150</w:t>
            </w:r>
          </w:p>
        </w:tc>
        <w:tc>
          <w:tcPr>
            <w:tcW w:w="1448" w:type="dxa"/>
            <w:shd w:val="clear" w:color="auto" w:fill="C6EFCE"/>
          </w:tcPr>
          <w:p w14:paraId="39274323" w14:textId="1F729C9E" w:rsidR="0065073E" w:rsidRDefault="000A0998">
            <w:pPr>
              <w:pStyle w:val="P68B1DB1-Normal12"/>
              <w:jc w:val="center"/>
              <w:rPr>
                <w:rFonts w:cs="Times New Roman"/>
                <w:noProof/>
              </w:rPr>
            </w:pPr>
            <w:r>
              <w:rPr>
                <w:noProof/>
              </w:rPr>
              <w:t>C11.R1</w:t>
            </w:r>
          </w:p>
        </w:tc>
        <w:tc>
          <w:tcPr>
            <w:tcW w:w="1021" w:type="dxa"/>
            <w:shd w:val="clear" w:color="auto" w:fill="C6EFCE"/>
          </w:tcPr>
          <w:p w14:paraId="324774BA" w14:textId="0AEF0C26" w:rsidR="0065073E" w:rsidRDefault="000A0998">
            <w:pPr>
              <w:pStyle w:val="P68B1DB1-Normal12"/>
              <w:jc w:val="center"/>
              <w:rPr>
                <w:rFonts w:cs="Times New Roman"/>
                <w:noProof/>
              </w:rPr>
            </w:pPr>
            <w:r>
              <w:rPr>
                <w:noProof/>
              </w:rPr>
              <w:t>T</w:t>
            </w:r>
          </w:p>
        </w:tc>
        <w:tc>
          <w:tcPr>
            <w:tcW w:w="1631" w:type="dxa"/>
            <w:shd w:val="clear" w:color="auto" w:fill="C6EFCE"/>
          </w:tcPr>
          <w:p w14:paraId="7A55C355" w14:textId="367C5167" w:rsidR="0065073E" w:rsidRDefault="000A0998">
            <w:pPr>
              <w:pStyle w:val="P68B1DB1-Normal12"/>
              <w:rPr>
                <w:rFonts w:cs="Times New Roman"/>
                <w:noProof/>
              </w:rPr>
            </w:pPr>
            <w:r>
              <w:rPr>
                <w:noProof/>
              </w:rPr>
              <w:t>Julkisen sektorin työllisyyden vakauttaminen</w:t>
            </w:r>
          </w:p>
        </w:tc>
        <w:tc>
          <w:tcPr>
            <w:tcW w:w="1442" w:type="dxa"/>
            <w:shd w:val="clear" w:color="auto" w:fill="C6EFCE"/>
          </w:tcPr>
          <w:p w14:paraId="473383D2" w14:textId="77777777" w:rsidR="0065073E" w:rsidRDefault="0065073E">
            <w:pPr>
              <w:jc w:val="center"/>
              <w:rPr>
                <w:rFonts w:ascii="Times New Roman" w:hAnsi="Times New Roman" w:cs="Times New Roman"/>
                <w:noProof/>
                <w:sz w:val="18"/>
              </w:rPr>
            </w:pPr>
          </w:p>
        </w:tc>
        <w:tc>
          <w:tcPr>
            <w:tcW w:w="1082" w:type="dxa"/>
            <w:shd w:val="clear" w:color="auto" w:fill="C6EFCE"/>
          </w:tcPr>
          <w:p w14:paraId="1E54F784" w14:textId="7E9293D1" w:rsidR="0065073E" w:rsidRDefault="000A0998">
            <w:pPr>
              <w:pStyle w:val="P68B1DB1-Normal12"/>
              <w:jc w:val="right"/>
              <w:rPr>
                <w:rFonts w:cs="Times New Roman"/>
                <w:noProof/>
              </w:rPr>
            </w:pPr>
            <w:r>
              <w:rPr>
                <w:noProof/>
              </w:rPr>
              <w:t>Määrä</w:t>
            </w:r>
          </w:p>
        </w:tc>
        <w:tc>
          <w:tcPr>
            <w:tcW w:w="992" w:type="dxa"/>
            <w:shd w:val="clear" w:color="auto" w:fill="C6EFCE"/>
          </w:tcPr>
          <w:p w14:paraId="3CA84FD5" w14:textId="583DB036" w:rsidR="0065073E" w:rsidRDefault="000A0998">
            <w:pPr>
              <w:pStyle w:val="P68B1DB1-Normal12"/>
              <w:jc w:val="right"/>
              <w:rPr>
                <w:rFonts w:cs="Times New Roman"/>
                <w:noProof/>
              </w:rPr>
            </w:pPr>
            <w:r>
              <w:rPr>
                <w:noProof/>
              </w:rPr>
              <w:t>0</w:t>
            </w:r>
          </w:p>
        </w:tc>
        <w:tc>
          <w:tcPr>
            <w:tcW w:w="709" w:type="dxa"/>
            <w:shd w:val="clear" w:color="auto" w:fill="C6EFCE"/>
          </w:tcPr>
          <w:p w14:paraId="200B5FCB" w14:textId="18582A6B" w:rsidR="0065073E" w:rsidRDefault="000A0998">
            <w:pPr>
              <w:pStyle w:val="P68B1DB1-Normal12"/>
              <w:jc w:val="right"/>
              <w:rPr>
                <w:rFonts w:cs="Times New Roman"/>
                <w:noProof/>
              </w:rPr>
            </w:pPr>
            <w:r>
              <w:rPr>
                <w:noProof/>
              </w:rPr>
              <w:t>300 000</w:t>
            </w:r>
          </w:p>
        </w:tc>
        <w:tc>
          <w:tcPr>
            <w:tcW w:w="567" w:type="dxa"/>
            <w:shd w:val="clear" w:color="auto" w:fill="C6EFCE"/>
          </w:tcPr>
          <w:p w14:paraId="6F66B82C" w14:textId="77D85D2A" w:rsidR="0065073E" w:rsidRDefault="000A0998">
            <w:pPr>
              <w:pStyle w:val="P68B1DB1-Normal12"/>
              <w:jc w:val="center"/>
              <w:rPr>
                <w:rFonts w:cs="Times New Roman"/>
                <w:noProof/>
              </w:rPr>
            </w:pPr>
            <w:r>
              <w:rPr>
                <w:noProof/>
              </w:rPr>
              <w:t>Q4</w:t>
            </w:r>
          </w:p>
        </w:tc>
        <w:tc>
          <w:tcPr>
            <w:tcW w:w="822" w:type="dxa"/>
            <w:shd w:val="clear" w:color="auto" w:fill="C6EFCE"/>
          </w:tcPr>
          <w:p w14:paraId="52B4707C" w14:textId="090EEAC4" w:rsidR="0065073E" w:rsidRDefault="000A0998">
            <w:pPr>
              <w:pStyle w:val="P68B1DB1-Normal12"/>
              <w:jc w:val="center"/>
              <w:rPr>
                <w:rFonts w:cs="Times New Roman"/>
                <w:noProof/>
              </w:rPr>
            </w:pPr>
            <w:r>
              <w:rPr>
                <w:noProof/>
              </w:rPr>
              <w:t>2024</w:t>
            </w:r>
          </w:p>
        </w:tc>
        <w:tc>
          <w:tcPr>
            <w:tcW w:w="3998" w:type="dxa"/>
            <w:shd w:val="clear" w:color="auto" w:fill="C6EFCE"/>
          </w:tcPr>
          <w:p w14:paraId="6F4C32AA" w14:textId="7503A672" w:rsidR="0065073E" w:rsidRDefault="000A0998">
            <w:pPr>
              <w:pStyle w:val="P68B1DB1-Normal12"/>
              <w:rPr>
                <w:rFonts w:cs="Times New Roman"/>
                <w:noProof/>
              </w:rPr>
            </w:pPr>
            <w:r>
              <w:rPr>
                <w:noProof/>
              </w:rPr>
              <w:t>Palvelukseenottomenettelyjen loppuun saattaminen työllisyyden vakauttamiseksi (vakituisten sopimusten tai henkilöstösääntöjen alaisen henkilöstön toimien avulla) vähintään 300000 toimella (mukaan lukien vuosien 2017 ja 2918 vakautusmenettelyistä johtuvat toimet)</w:t>
            </w:r>
          </w:p>
        </w:tc>
      </w:tr>
      <w:tr w:rsidR="0065073E" w14:paraId="000DB73A" w14:textId="77777777">
        <w:trPr>
          <w:trHeight w:val="309"/>
        </w:trPr>
        <w:tc>
          <w:tcPr>
            <w:tcW w:w="1223" w:type="dxa"/>
            <w:shd w:val="clear" w:color="auto" w:fill="C6EFCE"/>
          </w:tcPr>
          <w:p w14:paraId="3B58C1C2" w14:textId="7C903BFA" w:rsidR="0065073E" w:rsidRDefault="000A0998">
            <w:pPr>
              <w:pStyle w:val="P68B1DB1-Normal12"/>
              <w:jc w:val="center"/>
              <w:rPr>
                <w:rFonts w:cs="Times New Roman"/>
                <w:noProof/>
              </w:rPr>
            </w:pPr>
            <w:r>
              <w:rPr>
                <w:noProof/>
              </w:rPr>
              <w:t>432</w:t>
            </w:r>
          </w:p>
        </w:tc>
        <w:tc>
          <w:tcPr>
            <w:tcW w:w="1448" w:type="dxa"/>
            <w:shd w:val="clear" w:color="auto" w:fill="C6EFCE"/>
          </w:tcPr>
          <w:p w14:paraId="570DFF20" w14:textId="4459DE15" w:rsidR="0065073E" w:rsidRDefault="000A0998">
            <w:pPr>
              <w:pStyle w:val="P68B1DB1-Normal12"/>
              <w:jc w:val="center"/>
              <w:rPr>
                <w:rFonts w:cs="Times New Roman"/>
                <w:noProof/>
              </w:rPr>
            </w:pPr>
            <w:r>
              <w:rPr>
                <w:noProof/>
              </w:rPr>
              <w:t>C11.R1</w:t>
            </w:r>
          </w:p>
        </w:tc>
        <w:tc>
          <w:tcPr>
            <w:tcW w:w="1021" w:type="dxa"/>
            <w:shd w:val="clear" w:color="auto" w:fill="C6EFCE"/>
          </w:tcPr>
          <w:p w14:paraId="4F014BAF" w14:textId="46A993A3" w:rsidR="0065073E" w:rsidRDefault="000A0998">
            <w:pPr>
              <w:pStyle w:val="P68B1DB1-Normal12"/>
              <w:jc w:val="center"/>
              <w:rPr>
                <w:rFonts w:cs="Times New Roman"/>
                <w:noProof/>
              </w:rPr>
            </w:pPr>
            <w:r>
              <w:rPr>
                <w:noProof/>
              </w:rPr>
              <w:t>M</w:t>
            </w:r>
          </w:p>
        </w:tc>
        <w:tc>
          <w:tcPr>
            <w:tcW w:w="1631" w:type="dxa"/>
            <w:shd w:val="clear" w:color="auto" w:fill="C6EFCE"/>
          </w:tcPr>
          <w:p w14:paraId="7FC16956" w14:textId="72919D0B" w:rsidR="0065073E" w:rsidRDefault="000A0998">
            <w:pPr>
              <w:pStyle w:val="P68B1DB1-Normal12"/>
              <w:rPr>
                <w:rFonts w:cs="Times New Roman"/>
                <w:noProof/>
              </w:rPr>
            </w:pPr>
            <w:r>
              <w:rPr>
                <w:noProof/>
              </w:rPr>
              <w:t xml:space="preserve">Laki eturyhmien toiminnan avoimuudesta ja lahjomattomuudesta </w:t>
            </w:r>
          </w:p>
        </w:tc>
        <w:tc>
          <w:tcPr>
            <w:tcW w:w="1442" w:type="dxa"/>
            <w:shd w:val="clear" w:color="auto" w:fill="C6EFCE"/>
          </w:tcPr>
          <w:p w14:paraId="39F3169B" w14:textId="57429E1D" w:rsidR="0065073E" w:rsidRDefault="000A0998">
            <w:pPr>
              <w:pStyle w:val="P68B1DB1-Normal12"/>
              <w:jc w:val="center"/>
              <w:rPr>
                <w:rFonts w:cs="Times New Roman"/>
                <w:noProof/>
              </w:rPr>
            </w:pPr>
            <w:r>
              <w:rPr>
                <w:noProof/>
              </w:rPr>
              <w:t xml:space="preserve">Lain säännös, josta käy ilmi lain voimaantulo, ja IT-tarkastus, jolla varmistetaan, että rekisteri on toiminnassa  </w:t>
            </w:r>
          </w:p>
        </w:tc>
        <w:tc>
          <w:tcPr>
            <w:tcW w:w="1082" w:type="dxa"/>
            <w:shd w:val="clear" w:color="auto" w:fill="C6EFCE"/>
          </w:tcPr>
          <w:p w14:paraId="3DB716A5" w14:textId="77777777" w:rsidR="0065073E" w:rsidRDefault="0065073E">
            <w:pPr>
              <w:jc w:val="right"/>
              <w:rPr>
                <w:rFonts w:ascii="Times New Roman" w:hAnsi="Times New Roman" w:cs="Times New Roman"/>
                <w:noProof/>
                <w:sz w:val="18"/>
              </w:rPr>
            </w:pPr>
          </w:p>
        </w:tc>
        <w:tc>
          <w:tcPr>
            <w:tcW w:w="992" w:type="dxa"/>
            <w:shd w:val="clear" w:color="auto" w:fill="C6EFCE"/>
          </w:tcPr>
          <w:p w14:paraId="33EC85B8" w14:textId="77777777" w:rsidR="0065073E" w:rsidRDefault="0065073E">
            <w:pPr>
              <w:jc w:val="right"/>
              <w:rPr>
                <w:rFonts w:ascii="Times New Roman" w:hAnsi="Times New Roman" w:cs="Times New Roman"/>
                <w:noProof/>
                <w:sz w:val="18"/>
              </w:rPr>
            </w:pPr>
          </w:p>
        </w:tc>
        <w:tc>
          <w:tcPr>
            <w:tcW w:w="709" w:type="dxa"/>
            <w:shd w:val="clear" w:color="auto" w:fill="C6EFCE"/>
          </w:tcPr>
          <w:p w14:paraId="13D2AC27" w14:textId="77777777" w:rsidR="0065073E" w:rsidRDefault="0065073E">
            <w:pPr>
              <w:jc w:val="right"/>
              <w:rPr>
                <w:rFonts w:ascii="Times New Roman" w:hAnsi="Times New Roman" w:cs="Times New Roman"/>
                <w:noProof/>
                <w:sz w:val="18"/>
              </w:rPr>
            </w:pPr>
          </w:p>
        </w:tc>
        <w:tc>
          <w:tcPr>
            <w:tcW w:w="567" w:type="dxa"/>
            <w:shd w:val="clear" w:color="auto" w:fill="C6EFCE"/>
          </w:tcPr>
          <w:p w14:paraId="14231283" w14:textId="31B8A6C3" w:rsidR="0065073E" w:rsidRDefault="000A0998">
            <w:pPr>
              <w:pStyle w:val="P68B1DB1-Normal12"/>
              <w:jc w:val="center"/>
              <w:rPr>
                <w:rFonts w:cs="Times New Roman"/>
                <w:noProof/>
              </w:rPr>
            </w:pPr>
            <w:r>
              <w:rPr>
                <w:noProof/>
              </w:rPr>
              <w:t>Q4</w:t>
            </w:r>
          </w:p>
        </w:tc>
        <w:tc>
          <w:tcPr>
            <w:tcW w:w="822" w:type="dxa"/>
            <w:shd w:val="clear" w:color="auto" w:fill="C6EFCE"/>
          </w:tcPr>
          <w:p w14:paraId="2089E3DD" w14:textId="13E253B8" w:rsidR="0065073E" w:rsidRDefault="000A0998">
            <w:pPr>
              <w:pStyle w:val="P68B1DB1-Normal12"/>
              <w:jc w:val="center"/>
              <w:rPr>
                <w:rFonts w:cs="Times New Roman"/>
                <w:noProof/>
              </w:rPr>
            </w:pPr>
            <w:r>
              <w:rPr>
                <w:noProof/>
              </w:rPr>
              <w:t>2024</w:t>
            </w:r>
          </w:p>
        </w:tc>
        <w:tc>
          <w:tcPr>
            <w:tcW w:w="3998" w:type="dxa"/>
            <w:shd w:val="clear" w:color="auto" w:fill="C6EFCE"/>
          </w:tcPr>
          <w:p w14:paraId="64F75892" w14:textId="6CB27B41" w:rsidR="0065073E" w:rsidRDefault="000A0998">
            <w:pPr>
              <w:pStyle w:val="P68B1DB1-Normal12"/>
              <w:rPr>
                <w:rFonts w:cs="Times New Roman"/>
                <w:noProof/>
              </w:rPr>
            </w:pPr>
            <w:r>
              <w:rPr>
                <w:noProof/>
              </w:rPr>
              <w:t>Lain voimaantulo, jolla säännellään edunvalvojien (mukaan lukien kansalaisjärjestöt, ajatushautomot, toimialajärjestöt, voittoa tavoittelemattomat yhdistykset, ammattiliitot, liike-elämän järjestöt ja asianajajat, joiden tarkoituksena on vaikuttaa politiikkaan eikä tarjota oikeusapua) ja julkisen sektorin välisiä suhteita. Lailla perustetaan julkinen ja pakollinen eturyhmien rekisteri, jota valvoo riippumaton elin, jolla on valmiudet ja keinot (henkilöresurssit, taloudelliset ja tekniset resurssit) sekä valvonta- ja seuraamusvaltuudet. Laissa säädetään myös uuden rekisterin liittämisestä olemassa oleviin eturyhmien alueellisiin rekistereihin. Rekisterin on oltava toiminnassa, myös edellä mainitun yhteenliitettävyyden osalta. Operatiivisuuden todentamiseksi on tehtävä tietotekniikkatarkastus.</w:t>
            </w:r>
          </w:p>
        </w:tc>
      </w:tr>
      <w:tr w:rsidR="0065073E" w14:paraId="3113AC41" w14:textId="77777777">
        <w:trPr>
          <w:trHeight w:val="309"/>
        </w:trPr>
        <w:tc>
          <w:tcPr>
            <w:tcW w:w="1223" w:type="dxa"/>
            <w:shd w:val="clear" w:color="auto" w:fill="C6EFCE"/>
          </w:tcPr>
          <w:p w14:paraId="17B4E54F" w14:textId="31F8DBEC" w:rsidR="0065073E" w:rsidRDefault="000A0998">
            <w:pPr>
              <w:pStyle w:val="P68B1DB1-Normal12"/>
              <w:jc w:val="center"/>
              <w:rPr>
                <w:rFonts w:cs="Times New Roman"/>
                <w:noProof/>
              </w:rPr>
            </w:pPr>
            <w:r>
              <w:rPr>
                <w:noProof/>
              </w:rPr>
              <w:t>433</w:t>
            </w:r>
          </w:p>
        </w:tc>
        <w:tc>
          <w:tcPr>
            <w:tcW w:w="1448" w:type="dxa"/>
            <w:shd w:val="clear" w:color="auto" w:fill="C6EFCE"/>
          </w:tcPr>
          <w:p w14:paraId="11CDBA34" w14:textId="77777777" w:rsidR="0065073E" w:rsidRDefault="000A0998">
            <w:pPr>
              <w:pStyle w:val="P68B1DB1-Normal12"/>
              <w:jc w:val="center"/>
              <w:rPr>
                <w:rFonts w:cs="Times New Roman"/>
                <w:noProof/>
              </w:rPr>
            </w:pPr>
            <w:r>
              <w:rPr>
                <w:noProof/>
              </w:rPr>
              <w:t>C11.R1</w:t>
            </w:r>
          </w:p>
        </w:tc>
        <w:tc>
          <w:tcPr>
            <w:tcW w:w="1021" w:type="dxa"/>
            <w:shd w:val="clear" w:color="auto" w:fill="C6EFCE"/>
          </w:tcPr>
          <w:p w14:paraId="1C6D20B4" w14:textId="52BFF1FB" w:rsidR="0065073E" w:rsidRDefault="000A0998">
            <w:pPr>
              <w:pStyle w:val="P68B1DB1-Normal12"/>
              <w:jc w:val="center"/>
              <w:rPr>
                <w:rFonts w:cs="Times New Roman"/>
                <w:noProof/>
              </w:rPr>
            </w:pPr>
            <w:r>
              <w:rPr>
                <w:noProof/>
              </w:rPr>
              <w:t>M</w:t>
            </w:r>
          </w:p>
        </w:tc>
        <w:tc>
          <w:tcPr>
            <w:tcW w:w="1631" w:type="dxa"/>
            <w:shd w:val="clear" w:color="auto" w:fill="C6EFCE"/>
          </w:tcPr>
          <w:p w14:paraId="218C5BA1" w14:textId="797FAB63" w:rsidR="0065073E" w:rsidRDefault="000A0998">
            <w:pPr>
              <w:pStyle w:val="P68B1DB1-Normal12"/>
              <w:rPr>
                <w:rFonts w:cs="Times New Roman"/>
                <w:noProof/>
              </w:rPr>
            </w:pPr>
            <w:r>
              <w:rPr>
                <w:noProof/>
              </w:rPr>
              <w:t>Kansallisen turvallisuuskehyksen päivittäminen</w:t>
            </w:r>
          </w:p>
        </w:tc>
        <w:tc>
          <w:tcPr>
            <w:tcW w:w="1442" w:type="dxa"/>
            <w:shd w:val="clear" w:color="auto" w:fill="C6EFCE"/>
          </w:tcPr>
          <w:p w14:paraId="20A3F8D8" w14:textId="5195A29C" w:rsidR="0065073E" w:rsidRDefault="000A0998">
            <w:pPr>
              <w:pStyle w:val="P68B1DB1-Normal12"/>
              <w:jc w:val="center"/>
              <w:rPr>
                <w:rFonts w:cs="Times New Roman"/>
                <w:noProof/>
              </w:rPr>
            </w:pPr>
            <w:r>
              <w:rPr>
                <w:noProof/>
              </w:rPr>
              <w:t>Kuninkaan asetuksessa oleva säännös, josta käy ilmi sen voimaantulo</w:t>
            </w:r>
          </w:p>
        </w:tc>
        <w:tc>
          <w:tcPr>
            <w:tcW w:w="1082" w:type="dxa"/>
            <w:shd w:val="clear" w:color="auto" w:fill="C6EFCE"/>
          </w:tcPr>
          <w:p w14:paraId="4D8E49A3" w14:textId="748C2B36" w:rsidR="0065073E" w:rsidRDefault="0065073E">
            <w:pPr>
              <w:jc w:val="right"/>
              <w:rPr>
                <w:rFonts w:ascii="Times New Roman" w:hAnsi="Times New Roman" w:cs="Times New Roman"/>
                <w:noProof/>
                <w:sz w:val="18"/>
              </w:rPr>
            </w:pPr>
          </w:p>
        </w:tc>
        <w:tc>
          <w:tcPr>
            <w:tcW w:w="992" w:type="dxa"/>
            <w:shd w:val="clear" w:color="auto" w:fill="C6EFCE"/>
          </w:tcPr>
          <w:p w14:paraId="66ABE3E1" w14:textId="4062B014" w:rsidR="0065073E" w:rsidRDefault="0065073E">
            <w:pPr>
              <w:jc w:val="right"/>
              <w:rPr>
                <w:rFonts w:ascii="Times New Roman" w:hAnsi="Times New Roman" w:cs="Times New Roman"/>
                <w:noProof/>
                <w:sz w:val="18"/>
              </w:rPr>
            </w:pPr>
          </w:p>
        </w:tc>
        <w:tc>
          <w:tcPr>
            <w:tcW w:w="709" w:type="dxa"/>
            <w:shd w:val="clear" w:color="auto" w:fill="C6EFCE"/>
          </w:tcPr>
          <w:p w14:paraId="6B521DA1" w14:textId="2509B3AD" w:rsidR="0065073E" w:rsidRDefault="0065073E">
            <w:pPr>
              <w:jc w:val="right"/>
              <w:rPr>
                <w:rFonts w:ascii="Times New Roman" w:hAnsi="Times New Roman" w:cs="Times New Roman"/>
                <w:noProof/>
                <w:sz w:val="18"/>
              </w:rPr>
            </w:pPr>
          </w:p>
        </w:tc>
        <w:tc>
          <w:tcPr>
            <w:tcW w:w="567" w:type="dxa"/>
            <w:shd w:val="clear" w:color="auto" w:fill="C6EFCE"/>
          </w:tcPr>
          <w:p w14:paraId="4847A319" w14:textId="5815FB05"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7F48C86D" w14:textId="5E4BD59E" w:rsidR="0065073E" w:rsidRDefault="000A0998">
            <w:pPr>
              <w:pStyle w:val="P68B1DB1-Normal12"/>
              <w:jc w:val="center"/>
              <w:rPr>
                <w:rFonts w:cs="Times New Roman"/>
                <w:noProof/>
              </w:rPr>
            </w:pPr>
            <w:r>
              <w:rPr>
                <w:noProof/>
              </w:rPr>
              <w:t>2023</w:t>
            </w:r>
          </w:p>
        </w:tc>
        <w:tc>
          <w:tcPr>
            <w:tcW w:w="3998" w:type="dxa"/>
            <w:shd w:val="clear" w:color="auto" w:fill="C6EFCE"/>
          </w:tcPr>
          <w:p w14:paraId="263DEF57" w14:textId="5B27F8DE" w:rsidR="0065073E" w:rsidRDefault="000A0998">
            <w:pPr>
              <w:pStyle w:val="P68B1DB1-Normal12"/>
              <w:rPr>
                <w:rFonts w:cs="Times New Roman"/>
                <w:noProof/>
              </w:rPr>
            </w:pPr>
            <w:r>
              <w:rPr>
                <w:noProof/>
              </w:rPr>
              <w:t xml:space="preserve">Kansallisen turvallisuuskehyksen päivittämisestä annetun kuninkaallisen asetuksen voimaantulo. Kuninkaan päätöksessä säädetään seuraavaa: I) mukautetaan kansallisen turvallisuuskehyksen vaatimuksia tiettyjen järjestelmien tai järjestelmien todellisuuteen ottamalla käyttöön ”erityisen vaatimustenmukaisuusprofiilin” käsite; II) kansallisen turvallisuuskehyksen yhdenmukaistaminen sääntelykehyksen ja strategisen asiayhteyden kanssa digitaalisen julkishallinnon turvallisuuden takaamiseksi vuoden 2019 kansallisen kyberturvallisuusstrategian ja kansallisen kyberturvallisuussuunnitelman mukaisesti; ja iii) helpottaa parempaa reagointia kyberturvallisuuden suuntauksiin, vähentää haavoittuvuuksia ja edistää jatkuvaa valppautta tarkistamalla perusperiaatteita, vähimmäisvaatimuksia ja turvatoimenpiteitä. </w:t>
            </w:r>
          </w:p>
        </w:tc>
      </w:tr>
      <w:tr w:rsidR="0065073E" w14:paraId="41EB67C2" w14:textId="77777777">
        <w:trPr>
          <w:trHeight w:val="309"/>
        </w:trPr>
        <w:tc>
          <w:tcPr>
            <w:tcW w:w="1223" w:type="dxa"/>
            <w:shd w:val="clear" w:color="auto" w:fill="C6EFCE"/>
          </w:tcPr>
          <w:p w14:paraId="5AC416AC" w14:textId="77777777" w:rsidR="0065073E" w:rsidRDefault="000A0998">
            <w:pPr>
              <w:pStyle w:val="P68B1DB1-Normal12"/>
              <w:jc w:val="center"/>
              <w:rPr>
                <w:rFonts w:cs="Times New Roman"/>
                <w:noProof/>
              </w:rPr>
            </w:pPr>
            <w:r>
              <w:rPr>
                <w:noProof/>
              </w:rPr>
              <w:t>151</w:t>
            </w:r>
          </w:p>
        </w:tc>
        <w:tc>
          <w:tcPr>
            <w:tcW w:w="1448" w:type="dxa"/>
            <w:shd w:val="clear" w:color="auto" w:fill="C6EFCE"/>
          </w:tcPr>
          <w:p w14:paraId="2FA6B541" w14:textId="77777777" w:rsidR="0065073E" w:rsidRDefault="000A0998">
            <w:pPr>
              <w:pStyle w:val="P68B1DB1-Normal12"/>
              <w:jc w:val="center"/>
              <w:rPr>
                <w:rFonts w:cs="Times New Roman"/>
                <w:noProof/>
              </w:rPr>
            </w:pPr>
            <w:r>
              <w:rPr>
                <w:noProof/>
              </w:rPr>
              <w:t>C11.R2</w:t>
            </w:r>
          </w:p>
        </w:tc>
        <w:tc>
          <w:tcPr>
            <w:tcW w:w="1021" w:type="dxa"/>
            <w:shd w:val="clear" w:color="auto" w:fill="C6EFCE"/>
          </w:tcPr>
          <w:p w14:paraId="29844041"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51A1B595" w14:textId="77777777" w:rsidR="0065073E" w:rsidRDefault="000A0998">
            <w:pPr>
              <w:pStyle w:val="P68B1DB1-Normal12"/>
              <w:rPr>
                <w:rFonts w:cs="Times New Roman"/>
                <w:noProof/>
              </w:rPr>
            </w:pPr>
            <w:r>
              <w:rPr>
                <w:noProof/>
              </w:rPr>
              <w:t>Prosessuaalisista ja organisatorisista toimenpiteistä oikeuden alalla annetun lain 3/2020 voimaantulo</w:t>
            </w:r>
          </w:p>
        </w:tc>
        <w:tc>
          <w:tcPr>
            <w:tcW w:w="1442" w:type="dxa"/>
            <w:shd w:val="clear" w:color="auto" w:fill="C6EFCE"/>
          </w:tcPr>
          <w:p w14:paraId="43C00945" w14:textId="77777777" w:rsidR="0065073E" w:rsidRDefault="000A0998">
            <w:pPr>
              <w:pStyle w:val="P68B1DB1-Normal12"/>
              <w:jc w:val="center"/>
              <w:rPr>
                <w:rFonts w:cs="Times New Roman"/>
                <w:noProof/>
              </w:rPr>
            </w:pPr>
            <w:r>
              <w:rPr>
                <w:noProof/>
              </w:rPr>
              <w:t>Lain voimaantuloon viittaava säännös</w:t>
            </w:r>
          </w:p>
        </w:tc>
        <w:tc>
          <w:tcPr>
            <w:tcW w:w="1082" w:type="dxa"/>
            <w:shd w:val="clear" w:color="auto" w:fill="C6EFCE"/>
          </w:tcPr>
          <w:p w14:paraId="3930645F"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10877538"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37A89D9E"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5AB379AF"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32500CC3" w14:textId="77777777" w:rsidR="0065073E" w:rsidRDefault="000A0998">
            <w:pPr>
              <w:pStyle w:val="P68B1DB1-Normal12"/>
              <w:jc w:val="center"/>
              <w:rPr>
                <w:rFonts w:cs="Times New Roman"/>
                <w:noProof/>
              </w:rPr>
            </w:pPr>
            <w:r>
              <w:rPr>
                <w:noProof/>
              </w:rPr>
              <w:t>2020</w:t>
            </w:r>
          </w:p>
        </w:tc>
        <w:tc>
          <w:tcPr>
            <w:tcW w:w="3998" w:type="dxa"/>
            <w:shd w:val="clear" w:color="auto" w:fill="C6EFCE"/>
          </w:tcPr>
          <w:p w14:paraId="440654AE" w14:textId="77777777" w:rsidR="0065073E" w:rsidRDefault="000A0998">
            <w:pPr>
              <w:pStyle w:val="P68B1DB1-Normal12"/>
              <w:rPr>
                <w:rFonts w:cs="Times New Roman"/>
                <w:noProof/>
              </w:rPr>
            </w:pPr>
            <w:r>
              <w:rPr>
                <w:noProof/>
              </w:rPr>
              <w:t xml:space="preserve">Menettelyllisistä ja organisatorisista toimenpiteistä covid-19-pandemian torjumiseksi oikeudenkäytön alalla 18. syyskuuta annetun lain 3/2020 voimaantulo. </w:t>
            </w:r>
          </w:p>
        </w:tc>
      </w:tr>
      <w:tr w:rsidR="0065073E" w14:paraId="5B6AD35D" w14:textId="77777777">
        <w:trPr>
          <w:trHeight w:val="309"/>
        </w:trPr>
        <w:tc>
          <w:tcPr>
            <w:tcW w:w="1223" w:type="dxa"/>
            <w:shd w:val="clear" w:color="auto" w:fill="C6EFCE"/>
          </w:tcPr>
          <w:p w14:paraId="7EF8616D" w14:textId="77777777" w:rsidR="0065073E" w:rsidRDefault="000A0998">
            <w:pPr>
              <w:pStyle w:val="P68B1DB1-Normal12"/>
              <w:jc w:val="center"/>
              <w:rPr>
                <w:rFonts w:cs="Times New Roman"/>
                <w:noProof/>
              </w:rPr>
            </w:pPr>
            <w:r>
              <w:rPr>
                <w:noProof/>
              </w:rPr>
              <w:t>152</w:t>
            </w:r>
          </w:p>
        </w:tc>
        <w:tc>
          <w:tcPr>
            <w:tcW w:w="1448" w:type="dxa"/>
            <w:shd w:val="clear" w:color="auto" w:fill="C6EFCE"/>
          </w:tcPr>
          <w:p w14:paraId="19BE9EA4" w14:textId="77777777" w:rsidR="0065073E" w:rsidRDefault="000A0998">
            <w:pPr>
              <w:pStyle w:val="P68B1DB1-Normal12"/>
              <w:jc w:val="center"/>
              <w:rPr>
                <w:rFonts w:cs="Times New Roman"/>
                <w:noProof/>
              </w:rPr>
            </w:pPr>
            <w:r>
              <w:rPr>
                <w:noProof/>
              </w:rPr>
              <w:t>C11.R2</w:t>
            </w:r>
          </w:p>
        </w:tc>
        <w:tc>
          <w:tcPr>
            <w:tcW w:w="1021" w:type="dxa"/>
            <w:shd w:val="clear" w:color="auto" w:fill="C6EFCE"/>
          </w:tcPr>
          <w:p w14:paraId="40D8BFC9"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5642636D" w14:textId="334504AA" w:rsidR="0065073E" w:rsidRDefault="000A0998">
            <w:pPr>
              <w:pStyle w:val="P68B1DB1-Normal12"/>
              <w:rPr>
                <w:rFonts w:cs="Times New Roman"/>
                <w:noProof/>
              </w:rPr>
            </w:pPr>
            <w:r>
              <w:rPr>
                <w:noProof/>
              </w:rPr>
              <w:t>Oikeudenkäyntimenettelyjen tehokkuutta parantavan kuninkaallisen asetuksen ja digitaalista tehokkuutta koskevan kuninkaan asetuksen voimaantulo</w:t>
            </w:r>
          </w:p>
        </w:tc>
        <w:tc>
          <w:tcPr>
            <w:tcW w:w="1442" w:type="dxa"/>
            <w:shd w:val="clear" w:color="auto" w:fill="C6EFCE"/>
          </w:tcPr>
          <w:p w14:paraId="4BED2B88" w14:textId="79D0C2CC" w:rsidR="0065073E" w:rsidRDefault="000A0998">
            <w:pPr>
              <w:pStyle w:val="P68B1DB1-Normal12"/>
              <w:jc w:val="center"/>
              <w:rPr>
                <w:rFonts w:cs="Times New Roman"/>
                <w:noProof/>
              </w:rPr>
            </w:pPr>
            <w:r>
              <w:rPr>
                <w:noProof/>
              </w:rPr>
              <w:t xml:space="preserve">Lain (lakien) säännökset, joista käy ilmi niiden voimaantulo </w:t>
            </w:r>
          </w:p>
        </w:tc>
        <w:tc>
          <w:tcPr>
            <w:tcW w:w="1082" w:type="dxa"/>
            <w:shd w:val="clear" w:color="auto" w:fill="C6EFCE"/>
          </w:tcPr>
          <w:p w14:paraId="64ABDF90"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30AC8B61"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666BC993"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5020F53A"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1B6C9055"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2EE9D3B0" w14:textId="5E44A524" w:rsidR="0065073E" w:rsidRDefault="000A0998">
            <w:pPr>
              <w:pStyle w:val="P68B1DB1-Normal12"/>
              <w:rPr>
                <w:rFonts w:cs="Times New Roman"/>
                <w:noProof/>
              </w:rPr>
            </w:pPr>
            <w:r>
              <w:rPr>
                <w:noProof/>
              </w:rPr>
              <w:t>Kansallisen oikeusjärjestelmän menettelyjen tehostamisesta annetun kuninkaallisen asetuksen ja digitaalista tehokkuutta koskevan kuninkaan asetuksen voimaantulo,  I) hyödyntää tehokkaammin teknologiaa tehokkaan ja laadukkaan julkisen palvelun tarjoamiseksi; II) toteuttaa prosessilakeja koskevia uudistuksia, joilla nopeutetaan menettelyjä hallinto- ja sosiaalilainkäyttöalueilla; ja iiii) muutettava muutoksenhakumenettelyjä (</w:t>
            </w:r>
            <w:r>
              <w:rPr>
                <w:i/>
                <w:noProof/>
              </w:rPr>
              <w:t>procesos de casación)</w:t>
            </w:r>
            <w:r>
              <w:rPr>
                <w:noProof/>
              </w:rPr>
              <w:t xml:space="preserve">tarpeettomien viivästysten välttämiseksi. </w:t>
            </w:r>
          </w:p>
        </w:tc>
      </w:tr>
      <w:tr w:rsidR="0065073E" w14:paraId="1844C472" w14:textId="77777777">
        <w:trPr>
          <w:trHeight w:val="309"/>
        </w:trPr>
        <w:tc>
          <w:tcPr>
            <w:tcW w:w="1223" w:type="dxa"/>
            <w:shd w:val="clear" w:color="auto" w:fill="C6EFCE"/>
          </w:tcPr>
          <w:p w14:paraId="163845D3" w14:textId="201CF894" w:rsidR="0065073E" w:rsidRDefault="000A0998">
            <w:pPr>
              <w:pStyle w:val="P68B1DB1-Normal12"/>
              <w:jc w:val="center"/>
              <w:rPr>
                <w:rFonts w:cs="Times New Roman"/>
                <w:noProof/>
              </w:rPr>
            </w:pPr>
            <w:r>
              <w:rPr>
                <w:noProof/>
              </w:rPr>
              <w:t>434</w:t>
            </w:r>
          </w:p>
        </w:tc>
        <w:tc>
          <w:tcPr>
            <w:tcW w:w="1448" w:type="dxa"/>
            <w:shd w:val="clear" w:color="auto" w:fill="C6EFCE"/>
          </w:tcPr>
          <w:p w14:paraId="07DB7A96" w14:textId="12791677" w:rsidR="0065073E" w:rsidRDefault="000A0998">
            <w:pPr>
              <w:pStyle w:val="P68B1DB1-Normal12"/>
              <w:jc w:val="center"/>
              <w:rPr>
                <w:rFonts w:cs="Times New Roman"/>
                <w:noProof/>
              </w:rPr>
            </w:pPr>
            <w:r>
              <w:rPr>
                <w:noProof/>
              </w:rPr>
              <w:t>C11.R2</w:t>
            </w:r>
          </w:p>
        </w:tc>
        <w:tc>
          <w:tcPr>
            <w:tcW w:w="1021" w:type="dxa"/>
            <w:shd w:val="clear" w:color="auto" w:fill="C6EFCE"/>
          </w:tcPr>
          <w:p w14:paraId="09FA722F" w14:textId="4A5F9EC2" w:rsidR="0065073E" w:rsidRDefault="000A0998">
            <w:pPr>
              <w:pStyle w:val="P68B1DB1-Normal12"/>
              <w:jc w:val="center"/>
              <w:rPr>
                <w:rFonts w:cs="Times New Roman"/>
                <w:noProof/>
              </w:rPr>
            </w:pPr>
            <w:r>
              <w:rPr>
                <w:noProof/>
              </w:rPr>
              <w:t>M</w:t>
            </w:r>
          </w:p>
        </w:tc>
        <w:tc>
          <w:tcPr>
            <w:tcW w:w="1631" w:type="dxa"/>
            <w:shd w:val="clear" w:color="auto" w:fill="C6EFCE"/>
          </w:tcPr>
          <w:p w14:paraId="67FB368F" w14:textId="515A55E9" w:rsidR="0065073E" w:rsidRDefault="000A0998">
            <w:pPr>
              <w:pStyle w:val="P68B1DB1-Normal12"/>
              <w:rPr>
                <w:rFonts w:cs="Times New Roman"/>
                <w:noProof/>
              </w:rPr>
            </w:pPr>
            <w:r>
              <w:rPr>
                <w:noProof/>
              </w:rPr>
              <w:t>Organisatorisesta ja menettelyllisestä tehokkuudesta annetun lain voimaantulo</w:t>
            </w:r>
          </w:p>
        </w:tc>
        <w:tc>
          <w:tcPr>
            <w:tcW w:w="1442" w:type="dxa"/>
            <w:shd w:val="clear" w:color="auto" w:fill="C6EFCE"/>
          </w:tcPr>
          <w:p w14:paraId="2B6902B6" w14:textId="119EB8E5" w:rsidR="0065073E" w:rsidRDefault="000A0998">
            <w:pPr>
              <w:pStyle w:val="P68B1DB1-Normal12"/>
              <w:jc w:val="center"/>
              <w:rPr>
                <w:rFonts w:cs="Times New Roman"/>
                <w:noProof/>
              </w:rPr>
            </w:pPr>
            <w:r>
              <w:rPr>
                <w:noProof/>
              </w:rPr>
              <w:t>Lain säännös, josta käy ilmi sen voimaantulo</w:t>
            </w:r>
          </w:p>
        </w:tc>
        <w:tc>
          <w:tcPr>
            <w:tcW w:w="1082" w:type="dxa"/>
            <w:shd w:val="clear" w:color="auto" w:fill="C6EFCE"/>
          </w:tcPr>
          <w:p w14:paraId="7699D622" w14:textId="77777777" w:rsidR="0065073E" w:rsidRDefault="0065073E">
            <w:pPr>
              <w:jc w:val="right"/>
              <w:rPr>
                <w:rFonts w:ascii="Times New Roman" w:hAnsi="Times New Roman" w:cs="Times New Roman"/>
                <w:noProof/>
                <w:sz w:val="18"/>
              </w:rPr>
            </w:pPr>
          </w:p>
        </w:tc>
        <w:tc>
          <w:tcPr>
            <w:tcW w:w="992" w:type="dxa"/>
            <w:shd w:val="clear" w:color="auto" w:fill="C6EFCE"/>
          </w:tcPr>
          <w:p w14:paraId="06B8C446" w14:textId="77777777" w:rsidR="0065073E" w:rsidRDefault="0065073E">
            <w:pPr>
              <w:jc w:val="right"/>
              <w:rPr>
                <w:rFonts w:ascii="Times New Roman" w:hAnsi="Times New Roman" w:cs="Times New Roman"/>
                <w:noProof/>
                <w:sz w:val="18"/>
              </w:rPr>
            </w:pPr>
          </w:p>
        </w:tc>
        <w:tc>
          <w:tcPr>
            <w:tcW w:w="709" w:type="dxa"/>
            <w:shd w:val="clear" w:color="auto" w:fill="C6EFCE"/>
          </w:tcPr>
          <w:p w14:paraId="794E76E3" w14:textId="77777777" w:rsidR="0065073E" w:rsidRDefault="0065073E">
            <w:pPr>
              <w:jc w:val="right"/>
              <w:rPr>
                <w:rFonts w:ascii="Times New Roman" w:hAnsi="Times New Roman" w:cs="Times New Roman"/>
                <w:noProof/>
                <w:sz w:val="18"/>
              </w:rPr>
            </w:pPr>
          </w:p>
        </w:tc>
        <w:tc>
          <w:tcPr>
            <w:tcW w:w="567" w:type="dxa"/>
            <w:shd w:val="clear" w:color="auto" w:fill="C6EFCE"/>
          </w:tcPr>
          <w:p w14:paraId="5233CAEA" w14:textId="1127D63A" w:rsidR="0065073E" w:rsidRDefault="000A0998">
            <w:pPr>
              <w:pStyle w:val="P68B1DB1-Normal12"/>
              <w:jc w:val="center"/>
              <w:rPr>
                <w:rFonts w:cs="Times New Roman"/>
                <w:noProof/>
              </w:rPr>
            </w:pPr>
            <w:r>
              <w:rPr>
                <w:noProof/>
              </w:rPr>
              <w:t>Q4</w:t>
            </w:r>
          </w:p>
        </w:tc>
        <w:tc>
          <w:tcPr>
            <w:tcW w:w="822" w:type="dxa"/>
            <w:shd w:val="clear" w:color="auto" w:fill="C6EFCE"/>
          </w:tcPr>
          <w:p w14:paraId="27FC54F1" w14:textId="405228EA" w:rsidR="0065073E" w:rsidRDefault="000A0998">
            <w:pPr>
              <w:pStyle w:val="P68B1DB1-Normal12"/>
              <w:jc w:val="center"/>
              <w:rPr>
                <w:rFonts w:cs="Times New Roman"/>
                <w:noProof/>
              </w:rPr>
            </w:pPr>
            <w:r>
              <w:rPr>
                <w:noProof/>
              </w:rPr>
              <w:t>2024</w:t>
            </w:r>
          </w:p>
        </w:tc>
        <w:tc>
          <w:tcPr>
            <w:tcW w:w="3998" w:type="dxa"/>
            <w:shd w:val="clear" w:color="auto" w:fill="C6EFCE"/>
          </w:tcPr>
          <w:p w14:paraId="1653648A" w14:textId="2AF87B8A" w:rsidR="0065073E" w:rsidRDefault="000A0998">
            <w:pPr>
              <w:pStyle w:val="P68B1DB1-Normal12"/>
              <w:rPr>
                <w:rFonts w:cs="Times New Roman"/>
                <w:noProof/>
              </w:rPr>
            </w:pPr>
            <w:r>
              <w:rPr>
                <w:noProof/>
              </w:rPr>
              <w:t>Organisaatio- ja prosessitehokkuutta koskevan lain voimaantulo, jotta voidaan muuttaa tuomioistuinkartan organisointia toimenpiteen kuvauksen mukaisesti ja parantaa edelleen oikeusjärjestelmän menettelyllistä tehokkuutta I) prosessilakien uudistaminen menettelyjen nopeuttamiseksi niillä lainkäyttöalueilla, jotka eivät kuulu välitavoitteen 152 piiriin, ii) vaihtoehtoisten riidanratkaisukeinojen käyttöönotto; III) sellaisten prosessilakien uudistaminen, joilla riita-asiat ratkaistaan ennen niiden viemistä tuomioistuimeen; IV) tehostaa hallintoa ja vastata nopeammin kansalaisten ja yritysten vaatimuksiin; ja v) yleisesti ottaen joustavamman, tehokkaamman, kansalaisystävällisemmän, kestävämmän ja avoimemman oikeudenkäytön.</w:t>
            </w:r>
          </w:p>
        </w:tc>
      </w:tr>
      <w:tr w:rsidR="0065073E" w14:paraId="0991F572" w14:textId="77777777">
        <w:trPr>
          <w:trHeight w:val="309"/>
        </w:trPr>
        <w:tc>
          <w:tcPr>
            <w:tcW w:w="1223" w:type="dxa"/>
            <w:shd w:val="clear" w:color="auto" w:fill="C6EFCE"/>
          </w:tcPr>
          <w:p w14:paraId="6AC988E3" w14:textId="19A83181" w:rsidR="0065073E" w:rsidRDefault="000A0998">
            <w:pPr>
              <w:pStyle w:val="P68B1DB1-Normal12"/>
              <w:jc w:val="center"/>
              <w:rPr>
                <w:rFonts w:cs="Times New Roman"/>
                <w:noProof/>
              </w:rPr>
            </w:pPr>
            <w:r>
              <w:rPr>
                <w:noProof/>
              </w:rPr>
              <w:t>435</w:t>
            </w:r>
          </w:p>
        </w:tc>
        <w:tc>
          <w:tcPr>
            <w:tcW w:w="1448" w:type="dxa"/>
            <w:shd w:val="clear" w:color="auto" w:fill="C6EFCE"/>
          </w:tcPr>
          <w:p w14:paraId="50956061" w14:textId="647FE991" w:rsidR="0065073E" w:rsidRDefault="000A0998">
            <w:pPr>
              <w:pStyle w:val="P68B1DB1-Normal12"/>
              <w:jc w:val="center"/>
              <w:rPr>
                <w:rFonts w:cs="Times New Roman"/>
                <w:noProof/>
              </w:rPr>
            </w:pPr>
            <w:r>
              <w:rPr>
                <w:noProof/>
              </w:rPr>
              <w:t>C11.R2</w:t>
            </w:r>
          </w:p>
        </w:tc>
        <w:tc>
          <w:tcPr>
            <w:tcW w:w="1021" w:type="dxa"/>
            <w:shd w:val="clear" w:color="auto" w:fill="C6EFCE"/>
          </w:tcPr>
          <w:p w14:paraId="0D9F4315" w14:textId="1A30595D" w:rsidR="0065073E" w:rsidRDefault="000A0998">
            <w:pPr>
              <w:pStyle w:val="P68B1DB1-Normal12"/>
              <w:jc w:val="center"/>
              <w:rPr>
                <w:rFonts w:cs="Times New Roman"/>
                <w:noProof/>
              </w:rPr>
            </w:pPr>
            <w:r>
              <w:rPr>
                <w:noProof/>
              </w:rPr>
              <w:t>M</w:t>
            </w:r>
          </w:p>
        </w:tc>
        <w:tc>
          <w:tcPr>
            <w:tcW w:w="1631" w:type="dxa"/>
            <w:shd w:val="clear" w:color="auto" w:fill="C6EFCE"/>
          </w:tcPr>
          <w:p w14:paraId="31DD27F0" w14:textId="4BE0F7A9" w:rsidR="0065073E" w:rsidRDefault="000A0998">
            <w:pPr>
              <w:pStyle w:val="P68B1DB1-Normal12"/>
              <w:rPr>
                <w:rFonts w:cs="Times New Roman"/>
                <w:noProof/>
              </w:rPr>
            </w:pPr>
            <w:r>
              <w:rPr>
                <w:noProof/>
              </w:rPr>
              <w:t>Oikeutta puolustukseen koskevan lain voimaantulo</w:t>
            </w:r>
          </w:p>
        </w:tc>
        <w:tc>
          <w:tcPr>
            <w:tcW w:w="1442" w:type="dxa"/>
            <w:shd w:val="clear" w:color="auto" w:fill="C6EFCE"/>
          </w:tcPr>
          <w:p w14:paraId="0C51FB95" w14:textId="1089F50D" w:rsidR="0065073E" w:rsidRDefault="000A0998">
            <w:pPr>
              <w:pStyle w:val="P68B1DB1-Normal12"/>
              <w:jc w:val="center"/>
              <w:rPr>
                <w:rFonts w:cs="Times New Roman"/>
                <w:noProof/>
              </w:rPr>
            </w:pPr>
            <w:r>
              <w:rPr>
                <w:noProof/>
              </w:rPr>
              <w:t>Lain säännös, josta käy ilmi sen voimaantulo</w:t>
            </w:r>
          </w:p>
        </w:tc>
        <w:tc>
          <w:tcPr>
            <w:tcW w:w="1082" w:type="dxa"/>
            <w:shd w:val="clear" w:color="auto" w:fill="C6EFCE"/>
          </w:tcPr>
          <w:p w14:paraId="402D2AFE" w14:textId="77777777" w:rsidR="0065073E" w:rsidRDefault="0065073E">
            <w:pPr>
              <w:jc w:val="right"/>
              <w:rPr>
                <w:rFonts w:ascii="Times New Roman" w:hAnsi="Times New Roman" w:cs="Times New Roman"/>
                <w:noProof/>
                <w:sz w:val="18"/>
              </w:rPr>
            </w:pPr>
          </w:p>
        </w:tc>
        <w:tc>
          <w:tcPr>
            <w:tcW w:w="992" w:type="dxa"/>
            <w:shd w:val="clear" w:color="auto" w:fill="C6EFCE"/>
          </w:tcPr>
          <w:p w14:paraId="1FD71E07" w14:textId="77777777" w:rsidR="0065073E" w:rsidRDefault="0065073E">
            <w:pPr>
              <w:jc w:val="right"/>
              <w:rPr>
                <w:rFonts w:ascii="Times New Roman" w:hAnsi="Times New Roman" w:cs="Times New Roman"/>
                <w:noProof/>
                <w:sz w:val="18"/>
              </w:rPr>
            </w:pPr>
          </w:p>
        </w:tc>
        <w:tc>
          <w:tcPr>
            <w:tcW w:w="709" w:type="dxa"/>
            <w:shd w:val="clear" w:color="auto" w:fill="C6EFCE"/>
          </w:tcPr>
          <w:p w14:paraId="1AA7BE86" w14:textId="77777777" w:rsidR="0065073E" w:rsidRDefault="0065073E">
            <w:pPr>
              <w:jc w:val="right"/>
              <w:rPr>
                <w:rFonts w:ascii="Times New Roman" w:hAnsi="Times New Roman" w:cs="Times New Roman"/>
                <w:noProof/>
                <w:sz w:val="18"/>
              </w:rPr>
            </w:pPr>
          </w:p>
        </w:tc>
        <w:tc>
          <w:tcPr>
            <w:tcW w:w="567" w:type="dxa"/>
            <w:shd w:val="clear" w:color="auto" w:fill="C6EFCE"/>
          </w:tcPr>
          <w:p w14:paraId="3044D533" w14:textId="178AA15B" w:rsidR="0065073E" w:rsidRDefault="000A0998">
            <w:pPr>
              <w:pStyle w:val="P68B1DB1-Normal12"/>
              <w:jc w:val="center"/>
              <w:rPr>
                <w:rFonts w:cs="Times New Roman"/>
                <w:noProof/>
              </w:rPr>
            </w:pPr>
            <w:r>
              <w:rPr>
                <w:noProof/>
              </w:rPr>
              <w:t>Q4</w:t>
            </w:r>
          </w:p>
        </w:tc>
        <w:tc>
          <w:tcPr>
            <w:tcW w:w="822" w:type="dxa"/>
            <w:shd w:val="clear" w:color="auto" w:fill="C6EFCE"/>
          </w:tcPr>
          <w:p w14:paraId="5BB3DA0C" w14:textId="3C5CEB4A" w:rsidR="0065073E" w:rsidRDefault="000A0998">
            <w:pPr>
              <w:pStyle w:val="P68B1DB1-Normal12"/>
              <w:jc w:val="center"/>
              <w:rPr>
                <w:rFonts w:cs="Times New Roman"/>
                <w:noProof/>
              </w:rPr>
            </w:pPr>
            <w:r>
              <w:rPr>
                <w:noProof/>
              </w:rPr>
              <w:t>2024</w:t>
            </w:r>
          </w:p>
        </w:tc>
        <w:tc>
          <w:tcPr>
            <w:tcW w:w="3998" w:type="dxa"/>
            <w:shd w:val="clear" w:color="auto" w:fill="C6EFCE"/>
          </w:tcPr>
          <w:p w14:paraId="1DC0D401" w14:textId="53BB3772" w:rsidR="0065073E" w:rsidRDefault="000A0998">
            <w:pPr>
              <w:pStyle w:val="P68B1DB1-Normal12"/>
              <w:rPr>
                <w:rFonts w:cs="Times New Roman"/>
                <w:noProof/>
              </w:rPr>
            </w:pPr>
            <w:r>
              <w:rPr>
                <w:noProof/>
              </w:rPr>
              <w:t>Puolustautumisoikeudesta annetun lain voimaantulo, jotta voidaan kehittää ja vahvistaa perusoikeutta oikeudenmukaiseen oikeudenkäyntiin.</w:t>
            </w:r>
          </w:p>
        </w:tc>
      </w:tr>
      <w:tr w:rsidR="0065073E" w14:paraId="4B2DCC21" w14:textId="77777777">
        <w:trPr>
          <w:trHeight w:val="309"/>
        </w:trPr>
        <w:tc>
          <w:tcPr>
            <w:tcW w:w="1223" w:type="dxa"/>
            <w:shd w:val="clear" w:color="auto" w:fill="C6EFCE"/>
          </w:tcPr>
          <w:p w14:paraId="2C3B7B1E" w14:textId="77777777" w:rsidR="0065073E" w:rsidRDefault="000A0998">
            <w:pPr>
              <w:pStyle w:val="P68B1DB1-Normal12"/>
              <w:jc w:val="center"/>
              <w:rPr>
                <w:rFonts w:cs="Times New Roman"/>
                <w:noProof/>
              </w:rPr>
            </w:pPr>
            <w:r>
              <w:rPr>
                <w:noProof/>
              </w:rPr>
              <w:t>153</w:t>
            </w:r>
          </w:p>
        </w:tc>
        <w:tc>
          <w:tcPr>
            <w:tcW w:w="1448" w:type="dxa"/>
            <w:shd w:val="clear" w:color="auto" w:fill="C6EFCE"/>
          </w:tcPr>
          <w:p w14:paraId="00EEE9B2" w14:textId="77777777" w:rsidR="0065073E" w:rsidRDefault="000A0998">
            <w:pPr>
              <w:pStyle w:val="P68B1DB1-Normal12"/>
              <w:jc w:val="center"/>
              <w:rPr>
                <w:rFonts w:cs="Times New Roman"/>
                <w:noProof/>
              </w:rPr>
            </w:pPr>
            <w:r>
              <w:rPr>
                <w:noProof/>
              </w:rPr>
              <w:t>C11.R3</w:t>
            </w:r>
          </w:p>
        </w:tc>
        <w:tc>
          <w:tcPr>
            <w:tcW w:w="1021" w:type="dxa"/>
            <w:shd w:val="clear" w:color="auto" w:fill="C6EFCE"/>
          </w:tcPr>
          <w:p w14:paraId="68880331"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44EF4B1D" w14:textId="77777777" w:rsidR="0065073E" w:rsidRDefault="000A0998">
            <w:pPr>
              <w:pStyle w:val="P68B1DB1-Normal12"/>
              <w:rPr>
                <w:rFonts w:cs="Times New Roman"/>
                <w:noProof/>
              </w:rPr>
            </w:pPr>
            <w:r>
              <w:rPr>
                <w:noProof/>
              </w:rPr>
              <w:t>Caja General de Depósitosin sääntelystä annetun kuninkaallisen asetuksen 937/2020 voimaantulo</w:t>
            </w:r>
          </w:p>
        </w:tc>
        <w:tc>
          <w:tcPr>
            <w:tcW w:w="1442" w:type="dxa"/>
            <w:shd w:val="clear" w:color="auto" w:fill="C6EFCE"/>
          </w:tcPr>
          <w:p w14:paraId="2B217473" w14:textId="77777777" w:rsidR="0065073E" w:rsidRDefault="000A0998">
            <w:pPr>
              <w:pStyle w:val="P68B1DB1-Normal12"/>
              <w:jc w:val="center"/>
              <w:rPr>
                <w:rFonts w:cs="Times New Roman"/>
                <w:noProof/>
              </w:rPr>
            </w:pPr>
            <w:r>
              <w:rPr>
                <w:noProof/>
              </w:rPr>
              <w:t>Asetuksen voimaantulosta annetun asetuksen säännös</w:t>
            </w:r>
          </w:p>
        </w:tc>
        <w:tc>
          <w:tcPr>
            <w:tcW w:w="1082" w:type="dxa"/>
            <w:shd w:val="clear" w:color="auto" w:fill="C6EFCE"/>
          </w:tcPr>
          <w:p w14:paraId="3D7D1C3F"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03B166C5"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47C04ACA"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3701FC34"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6235220B" w14:textId="77777777" w:rsidR="0065073E" w:rsidRDefault="000A0998">
            <w:pPr>
              <w:pStyle w:val="P68B1DB1-Normal12"/>
              <w:jc w:val="center"/>
              <w:rPr>
                <w:rFonts w:cs="Times New Roman"/>
                <w:noProof/>
              </w:rPr>
            </w:pPr>
            <w:r>
              <w:rPr>
                <w:noProof/>
              </w:rPr>
              <w:t>2020</w:t>
            </w:r>
          </w:p>
        </w:tc>
        <w:tc>
          <w:tcPr>
            <w:tcW w:w="3998" w:type="dxa"/>
            <w:shd w:val="clear" w:color="auto" w:fill="C6EFCE"/>
          </w:tcPr>
          <w:p w14:paraId="2B67E0F4" w14:textId="77777777" w:rsidR="0065073E" w:rsidRDefault="000A0998">
            <w:pPr>
              <w:pStyle w:val="P68B1DB1-Normal12"/>
              <w:rPr>
                <w:rFonts w:cs="Times New Roman"/>
                <w:noProof/>
              </w:rPr>
            </w:pPr>
            <w:r>
              <w:rPr>
                <w:noProof/>
              </w:rPr>
              <w:t>Lokakuun 27. päivänä annetun kuninkaallisen asetuksen 937/2020, jolla hyväksytään Caja General de Depósitosin asetus Cajalle annettujen takuiden ja talletusten digitaalisesta hallinnoinnista ja jolla poistetaan fyysiset asiakirjat, voimaantulo. Kuninkaan asetuksella saatetaan ajan tasalle Cajaan talletettujen vakuuksien ja käteismaksujen vahvistamis-, peruuttamis- ja täytäntöönpanomenettely. Se edistää myös sähköisten menettelyjen täytäntöönpanoa Cajassa määrittelemällä sähköisten asiakirjojen toimittamista koskevat säännöt ja kanavat ja tarjoaa tarvittavat oikeudelliset puitteet menettelyn digitalisointia varten.</w:t>
            </w:r>
          </w:p>
        </w:tc>
      </w:tr>
      <w:tr w:rsidR="0065073E" w14:paraId="5134B0F4" w14:textId="77777777">
        <w:trPr>
          <w:trHeight w:val="309"/>
        </w:trPr>
        <w:tc>
          <w:tcPr>
            <w:tcW w:w="1223" w:type="dxa"/>
            <w:shd w:val="clear" w:color="auto" w:fill="C6EFCE"/>
          </w:tcPr>
          <w:p w14:paraId="36FCDF83" w14:textId="77777777" w:rsidR="0065073E" w:rsidRDefault="000A0998">
            <w:pPr>
              <w:pStyle w:val="P68B1DB1-Normal12"/>
              <w:jc w:val="center"/>
              <w:rPr>
                <w:rFonts w:cs="Times New Roman"/>
                <w:noProof/>
              </w:rPr>
            </w:pPr>
            <w:r>
              <w:rPr>
                <w:noProof/>
              </w:rPr>
              <w:t>154</w:t>
            </w:r>
          </w:p>
        </w:tc>
        <w:tc>
          <w:tcPr>
            <w:tcW w:w="1448" w:type="dxa"/>
            <w:shd w:val="clear" w:color="auto" w:fill="C6EFCE"/>
          </w:tcPr>
          <w:p w14:paraId="1E17700C" w14:textId="77777777" w:rsidR="0065073E" w:rsidRDefault="000A0998">
            <w:pPr>
              <w:pStyle w:val="P68B1DB1-Normal12"/>
              <w:jc w:val="center"/>
              <w:rPr>
                <w:rFonts w:cs="Times New Roman"/>
                <w:noProof/>
              </w:rPr>
            </w:pPr>
            <w:r>
              <w:rPr>
                <w:noProof/>
              </w:rPr>
              <w:t>C11.R3</w:t>
            </w:r>
          </w:p>
        </w:tc>
        <w:tc>
          <w:tcPr>
            <w:tcW w:w="1021" w:type="dxa"/>
            <w:shd w:val="clear" w:color="auto" w:fill="C6EFCE"/>
          </w:tcPr>
          <w:p w14:paraId="04322C78"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13E09C3D" w14:textId="77777777" w:rsidR="0065073E" w:rsidRDefault="000A0998">
            <w:pPr>
              <w:pStyle w:val="P68B1DB1-Normal12"/>
              <w:rPr>
                <w:rFonts w:cs="Times New Roman"/>
                <w:noProof/>
              </w:rPr>
            </w:pPr>
            <w:r>
              <w:rPr>
                <w:noProof/>
              </w:rPr>
              <w:t>Tilintarkastuksista 20. heinäkuuta annetun lain 22/2015 täytäntöönpanoasetuksen hyväksymisestä annetun kuninkaallisen asetuksen voimaantulo</w:t>
            </w:r>
          </w:p>
        </w:tc>
        <w:tc>
          <w:tcPr>
            <w:tcW w:w="1442" w:type="dxa"/>
            <w:shd w:val="clear" w:color="auto" w:fill="C6EFCE"/>
          </w:tcPr>
          <w:p w14:paraId="2AD67CD2" w14:textId="77777777" w:rsidR="0065073E" w:rsidRDefault="000A0998">
            <w:pPr>
              <w:pStyle w:val="P68B1DB1-Normal12"/>
              <w:jc w:val="center"/>
              <w:rPr>
                <w:rFonts w:cs="Times New Roman"/>
                <w:noProof/>
              </w:rPr>
            </w:pPr>
            <w:r>
              <w:rPr>
                <w:noProof/>
              </w:rPr>
              <w:t>Kuninkaan asetuksessa oleva säännös, josta käy ilmi kuninkaan asetuksen voimaantulo</w:t>
            </w:r>
          </w:p>
        </w:tc>
        <w:tc>
          <w:tcPr>
            <w:tcW w:w="1082" w:type="dxa"/>
            <w:shd w:val="clear" w:color="auto" w:fill="C6EFCE"/>
          </w:tcPr>
          <w:p w14:paraId="017F41A9"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0A069ACF"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3A6DA355"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1B1FD8B3" w14:textId="77777777" w:rsidR="0065073E" w:rsidRDefault="000A0998">
            <w:pPr>
              <w:pStyle w:val="P68B1DB1-Normal12"/>
              <w:jc w:val="center"/>
              <w:rPr>
                <w:rFonts w:cs="Times New Roman"/>
                <w:noProof/>
              </w:rPr>
            </w:pPr>
            <w:r>
              <w:rPr>
                <w:noProof/>
              </w:rPr>
              <w:t>ENSIMMÄINEN VUOSINELJÄNNES</w:t>
            </w:r>
          </w:p>
        </w:tc>
        <w:tc>
          <w:tcPr>
            <w:tcW w:w="822" w:type="dxa"/>
            <w:shd w:val="clear" w:color="auto" w:fill="C6EFCE"/>
          </w:tcPr>
          <w:p w14:paraId="2FC8FA88"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4C401364" w14:textId="77777777" w:rsidR="0065073E" w:rsidRDefault="000A0998">
            <w:pPr>
              <w:pStyle w:val="P68B1DB1-Normal12"/>
              <w:rPr>
                <w:rFonts w:cs="Times New Roman"/>
                <w:noProof/>
              </w:rPr>
            </w:pPr>
            <w:r>
              <w:rPr>
                <w:noProof/>
              </w:rPr>
              <w:t>Tilintarkastuksesta 20.7.2015 annetun lain 22/2015 täytäntöönpanoasetuksen hyväksymisestä annetun kuninkaallisen asetuksen voimaantulo. Uudistuksen tavoitteena on tarjota tarkastustoiminnan oikeudelliselle kehykselle parempi oikeusvarmuus, jotta tarkastustoiminnan laatu on riittävä. Tilintarkastajille, tilintarkastusyhteisöille ja kaikille tämän asetuksen soveltamisalaan kuuluville tahoille annetaan näin ollen paremmat takeet ja turvallisuus tilintarkastuslain säännösten tulkinnassa ja soveltamisessa, mikä samalla parantaa tarkastusten suorittamista ja täyttää lainsäädäntöön sisältyvät velvoitteet.</w:t>
            </w:r>
          </w:p>
        </w:tc>
      </w:tr>
      <w:tr w:rsidR="0065073E" w14:paraId="130E21AF" w14:textId="77777777">
        <w:trPr>
          <w:trHeight w:val="309"/>
        </w:trPr>
        <w:tc>
          <w:tcPr>
            <w:tcW w:w="1223" w:type="dxa"/>
            <w:shd w:val="clear" w:color="auto" w:fill="C6EFCE"/>
          </w:tcPr>
          <w:p w14:paraId="36E3C197" w14:textId="0105E20B" w:rsidR="0065073E" w:rsidRDefault="000A0998">
            <w:pPr>
              <w:pStyle w:val="P68B1DB1-Normal12"/>
              <w:jc w:val="center"/>
              <w:rPr>
                <w:rFonts w:cs="Times New Roman"/>
                <w:noProof/>
              </w:rPr>
            </w:pPr>
            <w:r>
              <w:rPr>
                <w:noProof/>
              </w:rPr>
              <w:t>437</w:t>
            </w:r>
          </w:p>
        </w:tc>
        <w:tc>
          <w:tcPr>
            <w:tcW w:w="1448" w:type="dxa"/>
            <w:shd w:val="clear" w:color="auto" w:fill="C6EFCE"/>
          </w:tcPr>
          <w:p w14:paraId="5A867F31" w14:textId="59BD8082" w:rsidR="0065073E" w:rsidRDefault="000A0998">
            <w:pPr>
              <w:pStyle w:val="P68B1DB1-Normal12"/>
              <w:jc w:val="center"/>
              <w:rPr>
                <w:rFonts w:cs="Times New Roman"/>
                <w:noProof/>
              </w:rPr>
            </w:pPr>
            <w:r>
              <w:rPr>
                <w:noProof/>
              </w:rPr>
              <w:t>C11.R3</w:t>
            </w:r>
          </w:p>
        </w:tc>
        <w:tc>
          <w:tcPr>
            <w:tcW w:w="1021" w:type="dxa"/>
            <w:shd w:val="clear" w:color="auto" w:fill="C6EFCE"/>
          </w:tcPr>
          <w:p w14:paraId="74CA639F" w14:textId="55F7E420" w:rsidR="0065073E" w:rsidRDefault="000A0998">
            <w:pPr>
              <w:pStyle w:val="P68B1DB1-Normal12"/>
              <w:jc w:val="center"/>
              <w:rPr>
                <w:rFonts w:cs="Times New Roman"/>
                <w:noProof/>
              </w:rPr>
            </w:pPr>
            <w:r>
              <w:rPr>
                <w:noProof/>
              </w:rPr>
              <w:t>M</w:t>
            </w:r>
          </w:p>
        </w:tc>
        <w:tc>
          <w:tcPr>
            <w:tcW w:w="1631" w:type="dxa"/>
            <w:shd w:val="clear" w:color="auto" w:fill="C6EFCE"/>
          </w:tcPr>
          <w:p w14:paraId="135CCF63" w14:textId="21F79052" w:rsidR="0065073E" w:rsidRDefault="000A0998">
            <w:pPr>
              <w:pStyle w:val="P68B1DB1-Normal12"/>
              <w:rPr>
                <w:rFonts w:cs="Times New Roman"/>
                <w:noProof/>
              </w:rPr>
            </w:pPr>
            <w:r>
              <w:rPr>
                <w:noProof/>
              </w:rPr>
              <w:t>Rahoitusjärjestelmää koskevan kaksivuotisen ilmastonmuutosriskiraportin julkaiseminen ja kestävän rahoituksen neuvoston perustaminen</w:t>
            </w:r>
          </w:p>
        </w:tc>
        <w:tc>
          <w:tcPr>
            <w:tcW w:w="1442" w:type="dxa"/>
            <w:shd w:val="clear" w:color="auto" w:fill="C6EFCE"/>
          </w:tcPr>
          <w:p w14:paraId="6A8CCFEB" w14:textId="31685476" w:rsidR="0065073E" w:rsidRDefault="000A0998">
            <w:pPr>
              <w:pStyle w:val="P68B1DB1-Normal12"/>
              <w:jc w:val="center"/>
              <w:rPr>
                <w:rFonts w:cs="Times New Roman"/>
                <w:noProof/>
              </w:rPr>
            </w:pPr>
            <w:r>
              <w:rPr>
                <w:noProof/>
              </w:rPr>
              <w:t>Kertomuksen ja toimintasuunnitelman julkaiseminen neuvostolle</w:t>
            </w:r>
          </w:p>
        </w:tc>
        <w:tc>
          <w:tcPr>
            <w:tcW w:w="1082" w:type="dxa"/>
            <w:shd w:val="clear" w:color="auto" w:fill="C6EFCE"/>
          </w:tcPr>
          <w:p w14:paraId="37116B19" w14:textId="77777777" w:rsidR="0065073E" w:rsidRDefault="0065073E">
            <w:pPr>
              <w:jc w:val="right"/>
              <w:rPr>
                <w:rFonts w:ascii="Times New Roman" w:hAnsi="Times New Roman" w:cs="Times New Roman"/>
                <w:noProof/>
                <w:sz w:val="18"/>
              </w:rPr>
            </w:pPr>
          </w:p>
        </w:tc>
        <w:tc>
          <w:tcPr>
            <w:tcW w:w="992" w:type="dxa"/>
            <w:shd w:val="clear" w:color="auto" w:fill="C6EFCE"/>
          </w:tcPr>
          <w:p w14:paraId="32467A2C" w14:textId="77777777" w:rsidR="0065073E" w:rsidRDefault="0065073E">
            <w:pPr>
              <w:jc w:val="right"/>
              <w:rPr>
                <w:rFonts w:ascii="Times New Roman" w:hAnsi="Times New Roman" w:cs="Times New Roman"/>
                <w:noProof/>
                <w:sz w:val="18"/>
              </w:rPr>
            </w:pPr>
          </w:p>
        </w:tc>
        <w:tc>
          <w:tcPr>
            <w:tcW w:w="709" w:type="dxa"/>
            <w:shd w:val="clear" w:color="auto" w:fill="C6EFCE"/>
          </w:tcPr>
          <w:p w14:paraId="54C9A687" w14:textId="77777777" w:rsidR="0065073E" w:rsidRDefault="0065073E">
            <w:pPr>
              <w:jc w:val="right"/>
              <w:rPr>
                <w:rFonts w:ascii="Times New Roman" w:hAnsi="Times New Roman" w:cs="Times New Roman"/>
                <w:noProof/>
                <w:sz w:val="18"/>
              </w:rPr>
            </w:pPr>
          </w:p>
        </w:tc>
        <w:tc>
          <w:tcPr>
            <w:tcW w:w="567" w:type="dxa"/>
            <w:shd w:val="clear" w:color="auto" w:fill="C6EFCE"/>
          </w:tcPr>
          <w:p w14:paraId="570659E4" w14:textId="0A7CEEF7" w:rsidR="0065073E" w:rsidRDefault="000A0998">
            <w:pPr>
              <w:pStyle w:val="P68B1DB1-Normal12"/>
              <w:jc w:val="center"/>
              <w:rPr>
                <w:rFonts w:cs="Times New Roman"/>
                <w:noProof/>
              </w:rPr>
            </w:pPr>
            <w:r>
              <w:rPr>
                <w:noProof/>
              </w:rPr>
              <w:t>Q4</w:t>
            </w:r>
          </w:p>
        </w:tc>
        <w:tc>
          <w:tcPr>
            <w:tcW w:w="822" w:type="dxa"/>
            <w:shd w:val="clear" w:color="auto" w:fill="C6EFCE"/>
          </w:tcPr>
          <w:p w14:paraId="29B3594B" w14:textId="75E820C4" w:rsidR="0065073E" w:rsidRDefault="000A0998">
            <w:pPr>
              <w:pStyle w:val="P68B1DB1-Normal12"/>
              <w:jc w:val="center"/>
              <w:rPr>
                <w:rFonts w:cs="Times New Roman"/>
                <w:noProof/>
              </w:rPr>
            </w:pPr>
            <w:r>
              <w:rPr>
                <w:noProof/>
              </w:rPr>
              <w:t>2023</w:t>
            </w:r>
          </w:p>
        </w:tc>
        <w:tc>
          <w:tcPr>
            <w:tcW w:w="3998" w:type="dxa"/>
            <w:shd w:val="clear" w:color="auto" w:fill="C6EFCE"/>
          </w:tcPr>
          <w:p w14:paraId="60756770" w14:textId="653DF164" w:rsidR="0065073E" w:rsidRDefault="000A0998">
            <w:pPr>
              <w:pStyle w:val="P68B1DB1-Normal12"/>
              <w:rPr>
                <w:rFonts w:cs="Times New Roman"/>
                <w:noProof/>
              </w:rPr>
            </w:pPr>
            <w:r>
              <w:rPr>
                <w:noProof/>
              </w:rPr>
              <w:t>Viranomaisten on julkaistava vihreä kirja kestävän rahoituksen edistämiseksi. Lisäksi on toteutettava seuraavat kaksi toimenpidettä: I) rahoitusjärjestelmän ilmastonmuutosriskejä koskevan kaksivuotisraportin julkaiseminen makrovakausviranomaisen (AMCESFI) verkkosivustolla ilmastonmuutosta ja energiasiirtymää koskevan 20 päivänä toukokuuta annetun lain 7/2021 33 §:n mukaisesti; ja ii) kestävän rahoituksen neuvoston (mukaan lukien julkishallinnon, finanssivalvojien ja yksityisen sektorin edustajat) perustaminen ja toiminnan aloittaminen foorumina, jolla edistetään julkisen ja yksityisen sektorin yhteistyötä kestävän rahoituksen alalla. Neuvosto hyväksyy ensimmäisessä istunnossaan toimintasuunnitelman, joka sisältää aikataulun ja tavoitteet.</w:t>
            </w:r>
          </w:p>
        </w:tc>
      </w:tr>
      <w:tr w:rsidR="0065073E" w14:paraId="57839DEC" w14:textId="77777777">
        <w:trPr>
          <w:trHeight w:val="309"/>
        </w:trPr>
        <w:tc>
          <w:tcPr>
            <w:tcW w:w="1223" w:type="dxa"/>
            <w:shd w:val="clear" w:color="auto" w:fill="C6EFCE"/>
          </w:tcPr>
          <w:p w14:paraId="21434385" w14:textId="65ADA631" w:rsidR="0065073E" w:rsidRDefault="000A0998">
            <w:pPr>
              <w:pStyle w:val="P68B1DB1-Normal12"/>
              <w:jc w:val="center"/>
              <w:rPr>
                <w:rFonts w:cs="Times New Roman"/>
                <w:noProof/>
              </w:rPr>
            </w:pPr>
            <w:r>
              <w:rPr>
                <w:noProof/>
              </w:rPr>
              <w:t>436</w:t>
            </w:r>
          </w:p>
        </w:tc>
        <w:tc>
          <w:tcPr>
            <w:tcW w:w="1448" w:type="dxa"/>
            <w:shd w:val="clear" w:color="auto" w:fill="C6EFCE"/>
          </w:tcPr>
          <w:p w14:paraId="2C8202D6" w14:textId="51CD83AF" w:rsidR="0065073E" w:rsidRDefault="000A0998">
            <w:pPr>
              <w:pStyle w:val="P68B1DB1-Normal12"/>
              <w:jc w:val="center"/>
              <w:rPr>
                <w:rFonts w:cs="Times New Roman"/>
                <w:noProof/>
              </w:rPr>
            </w:pPr>
            <w:r>
              <w:rPr>
                <w:noProof/>
              </w:rPr>
              <w:t>C11.R3</w:t>
            </w:r>
          </w:p>
        </w:tc>
        <w:tc>
          <w:tcPr>
            <w:tcW w:w="1021" w:type="dxa"/>
            <w:shd w:val="clear" w:color="auto" w:fill="C6EFCE"/>
          </w:tcPr>
          <w:p w14:paraId="12B38417" w14:textId="5441C144" w:rsidR="0065073E" w:rsidRDefault="000A0998">
            <w:pPr>
              <w:pStyle w:val="P68B1DB1-Normal12"/>
              <w:jc w:val="center"/>
              <w:rPr>
                <w:rFonts w:cs="Times New Roman"/>
                <w:noProof/>
              </w:rPr>
            </w:pPr>
            <w:r>
              <w:rPr>
                <w:noProof/>
              </w:rPr>
              <w:t>M</w:t>
            </w:r>
          </w:p>
        </w:tc>
        <w:tc>
          <w:tcPr>
            <w:tcW w:w="1631" w:type="dxa"/>
            <w:shd w:val="clear" w:color="auto" w:fill="C6EFCE"/>
          </w:tcPr>
          <w:p w14:paraId="0BDF309D" w14:textId="79A02EBB" w:rsidR="0065073E" w:rsidRDefault="000A0998">
            <w:pPr>
              <w:pStyle w:val="P68B1DB1-Normal12"/>
              <w:rPr>
                <w:rFonts w:cs="Times New Roman"/>
                <w:noProof/>
              </w:rPr>
            </w:pPr>
            <w:r>
              <w:rPr>
                <w:noProof/>
              </w:rPr>
              <w:t>Asiakaspalvelulain ja rahoitusasiakkaiden suojaamisesta vastaavan viranomaisen perustamisesta annetun lain voimaantulo</w:t>
            </w:r>
          </w:p>
        </w:tc>
        <w:tc>
          <w:tcPr>
            <w:tcW w:w="1442" w:type="dxa"/>
            <w:shd w:val="clear" w:color="auto" w:fill="C6EFCE"/>
          </w:tcPr>
          <w:p w14:paraId="0C58AABD" w14:textId="112DC4C1" w:rsidR="0065073E" w:rsidRDefault="000A0998">
            <w:pPr>
              <w:pStyle w:val="P68B1DB1-Normal12"/>
              <w:jc w:val="center"/>
              <w:rPr>
                <w:rFonts w:cs="Times New Roman"/>
                <w:noProof/>
              </w:rPr>
            </w:pPr>
            <w:r>
              <w:rPr>
                <w:noProof/>
              </w:rPr>
              <w:t>Lain (lakien) voimaantuloon viittaava(ide)n säännös</w:t>
            </w:r>
          </w:p>
        </w:tc>
        <w:tc>
          <w:tcPr>
            <w:tcW w:w="1082" w:type="dxa"/>
            <w:shd w:val="clear" w:color="auto" w:fill="C6EFCE"/>
          </w:tcPr>
          <w:p w14:paraId="409AD4E0" w14:textId="77777777" w:rsidR="0065073E" w:rsidRDefault="0065073E">
            <w:pPr>
              <w:jc w:val="right"/>
              <w:rPr>
                <w:rFonts w:ascii="Times New Roman" w:hAnsi="Times New Roman" w:cs="Times New Roman"/>
                <w:noProof/>
                <w:sz w:val="18"/>
              </w:rPr>
            </w:pPr>
          </w:p>
        </w:tc>
        <w:tc>
          <w:tcPr>
            <w:tcW w:w="992" w:type="dxa"/>
            <w:shd w:val="clear" w:color="auto" w:fill="C6EFCE"/>
          </w:tcPr>
          <w:p w14:paraId="0EE56268" w14:textId="77777777" w:rsidR="0065073E" w:rsidRDefault="0065073E">
            <w:pPr>
              <w:jc w:val="right"/>
              <w:rPr>
                <w:rFonts w:ascii="Times New Roman" w:hAnsi="Times New Roman" w:cs="Times New Roman"/>
                <w:noProof/>
                <w:sz w:val="18"/>
              </w:rPr>
            </w:pPr>
          </w:p>
        </w:tc>
        <w:tc>
          <w:tcPr>
            <w:tcW w:w="709" w:type="dxa"/>
            <w:shd w:val="clear" w:color="auto" w:fill="C6EFCE"/>
          </w:tcPr>
          <w:p w14:paraId="10FCD8C5" w14:textId="77777777" w:rsidR="0065073E" w:rsidRDefault="0065073E">
            <w:pPr>
              <w:jc w:val="right"/>
              <w:rPr>
                <w:rFonts w:ascii="Times New Roman" w:hAnsi="Times New Roman" w:cs="Times New Roman"/>
                <w:noProof/>
                <w:sz w:val="18"/>
              </w:rPr>
            </w:pPr>
          </w:p>
        </w:tc>
        <w:tc>
          <w:tcPr>
            <w:tcW w:w="567" w:type="dxa"/>
            <w:shd w:val="clear" w:color="auto" w:fill="C6EFCE"/>
          </w:tcPr>
          <w:p w14:paraId="4F14BEC1" w14:textId="23E1EDAB" w:rsidR="0065073E" w:rsidRDefault="000A0998">
            <w:pPr>
              <w:pStyle w:val="P68B1DB1-Normal12"/>
              <w:jc w:val="center"/>
              <w:rPr>
                <w:rFonts w:cs="Times New Roman"/>
                <w:noProof/>
              </w:rPr>
            </w:pPr>
            <w:r>
              <w:rPr>
                <w:noProof/>
              </w:rPr>
              <w:t>Q4</w:t>
            </w:r>
          </w:p>
        </w:tc>
        <w:tc>
          <w:tcPr>
            <w:tcW w:w="822" w:type="dxa"/>
            <w:shd w:val="clear" w:color="auto" w:fill="C6EFCE"/>
          </w:tcPr>
          <w:p w14:paraId="69E6CD00" w14:textId="2D676C86" w:rsidR="0065073E" w:rsidRDefault="000A0998">
            <w:pPr>
              <w:pStyle w:val="P68B1DB1-Normal12"/>
              <w:jc w:val="center"/>
              <w:rPr>
                <w:rFonts w:cs="Times New Roman"/>
                <w:noProof/>
              </w:rPr>
            </w:pPr>
            <w:r>
              <w:rPr>
                <w:noProof/>
              </w:rPr>
              <w:t>2024</w:t>
            </w:r>
          </w:p>
        </w:tc>
        <w:tc>
          <w:tcPr>
            <w:tcW w:w="3998" w:type="dxa"/>
            <w:shd w:val="clear" w:color="auto" w:fill="C6EFCE"/>
          </w:tcPr>
          <w:p w14:paraId="56535F80" w14:textId="73BB1B61" w:rsidR="0065073E" w:rsidRDefault="000A0998">
            <w:pPr>
              <w:pStyle w:val="P68B1DB1-Normal12"/>
              <w:rPr>
                <w:rFonts w:cs="Times New Roman"/>
                <w:noProof/>
              </w:rPr>
            </w:pPr>
            <w:r>
              <w:rPr>
                <w:noProof/>
              </w:rPr>
              <w:t>Tulee voimaan i) asiakaspalvelulaki ja b) laki rahoitusasiakkaiden suojaamisesta vastaavan viranomaisen perustamisesta. Uudessa asiakaspalvelulaissa on määriteltävä toimet, joilla taataan kuluttajille heidän oikeuksiensa käyttäminen allekirjoitettujen sopimusten osalta, ja vahvistetaan laatustandardit sekä valvonta- tai tilintarkastusvaatimukset edellä mainittujen toimien täytäntöönpanon varmistamiseksi.</w:t>
            </w:r>
          </w:p>
        </w:tc>
      </w:tr>
      <w:tr w:rsidR="0065073E" w14:paraId="5A7D8430" w14:textId="77777777">
        <w:trPr>
          <w:trHeight w:val="309"/>
        </w:trPr>
        <w:tc>
          <w:tcPr>
            <w:tcW w:w="1223" w:type="dxa"/>
            <w:shd w:val="clear" w:color="auto" w:fill="C6EFCE"/>
          </w:tcPr>
          <w:p w14:paraId="6D75615F" w14:textId="77777777" w:rsidR="0065073E" w:rsidRDefault="000A0998">
            <w:pPr>
              <w:pStyle w:val="P68B1DB1-Normal12"/>
              <w:jc w:val="center"/>
              <w:rPr>
                <w:rFonts w:cs="Times New Roman"/>
                <w:noProof/>
              </w:rPr>
            </w:pPr>
            <w:r>
              <w:rPr>
                <w:noProof/>
              </w:rPr>
              <w:t>155</w:t>
            </w:r>
          </w:p>
        </w:tc>
        <w:tc>
          <w:tcPr>
            <w:tcW w:w="1448" w:type="dxa"/>
            <w:shd w:val="clear" w:color="auto" w:fill="C6EFCE"/>
          </w:tcPr>
          <w:p w14:paraId="4B256675" w14:textId="77777777" w:rsidR="0065073E" w:rsidRDefault="000A0998">
            <w:pPr>
              <w:pStyle w:val="P68B1DB1-Normal12"/>
              <w:jc w:val="center"/>
              <w:rPr>
                <w:rFonts w:cs="Times New Roman"/>
                <w:noProof/>
              </w:rPr>
            </w:pPr>
            <w:r>
              <w:rPr>
                <w:noProof/>
              </w:rPr>
              <w:t>C11.R4</w:t>
            </w:r>
          </w:p>
        </w:tc>
        <w:tc>
          <w:tcPr>
            <w:tcW w:w="1021" w:type="dxa"/>
            <w:shd w:val="clear" w:color="auto" w:fill="C6EFCE"/>
          </w:tcPr>
          <w:p w14:paraId="74D87489"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2EFBAA66" w14:textId="77777777" w:rsidR="0065073E" w:rsidRDefault="000A0998">
            <w:pPr>
              <w:pStyle w:val="P68B1DB1-Normal12"/>
              <w:rPr>
                <w:rFonts w:cs="Times New Roman"/>
                <w:noProof/>
              </w:rPr>
            </w:pPr>
            <w:r>
              <w:rPr>
                <w:noProof/>
              </w:rPr>
              <w:t xml:space="preserve">Kansallisen arviointiviraston perustamisesta annetun ministeriön päätöksen voimaantulo </w:t>
            </w:r>
          </w:p>
        </w:tc>
        <w:tc>
          <w:tcPr>
            <w:tcW w:w="1442" w:type="dxa"/>
            <w:shd w:val="clear" w:color="auto" w:fill="C6EFCE"/>
          </w:tcPr>
          <w:p w14:paraId="07C4E400" w14:textId="77777777" w:rsidR="0065073E" w:rsidRDefault="000A0998">
            <w:pPr>
              <w:pStyle w:val="P68B1DB1-Normal12"/>
              <w:jc w:val="center"/>
              <w:rPr>
                <w:rFonts w:cs="Times New Roman"/>
                <w:noProof/>
              </w:rPr>
            </w:pPr>
            <w:r>
              <w:rPr>
                <w:noProof/>
              </w:rPr>
              <w:t xml:space="preserve">Ministeriön päätöksessä oleva säännös, josta käy ilmi asetuksen voimaantulo </w:t>
            </w:r>
          </w:p>
        </w:tc>
        <w:tc>
          <w:tcPr>
            <w:tcW w:w="1082" w:type="dxa"/>
            <w:shd w:val="clear" w:color="auto" w:fill="C6EFCE"/>
          </w:tcPr>
          <w:p w14:paraId="276B786B"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60F75EFC"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0D03D9A5"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67C1383A"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7A96E621"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0A0770C2" w14:textId="77777777" w:rsidR="0065073E" w:rsidRDefault="000A0998">
            <w:pPr>
              <w:pStyle w:val="P68B1DB1-Normal12"/>
              <w:rPr>
                <w:rFonts w:cs="Times New Roman"/>
                <w:noProof/>
              </w:rPr>
            </w:pPr>
            <w:r>
              <w:rPr>
                <w:noProof/>
              </w:rPr>
              <w:t>Ministeriön päätös kansallisen arviointiviraston (</w:t>
            </w:r>
            <w:r>
              <w:rPr>
                <w:i/>
                <w:noProof/>
              </w:rPr>
              <w:t>Oficina Nacional de Evaluación</w:t>
            </w:r>
            <w:r>
              <w:rPr>
                <w:noProof/>
              </w:rPr>
              <w:t>) perustamisesta julkisten hankintojen riippumattomaan sääntely- ja valvontavirastoon (OIReScon) tulee voimaan. Julkisista hankinnoista annetun lain 9/2017 333 §:n mukaisesti virasto arvioi julkisia hankintoja koskevan lain 9/2017 14 ja 15 §:ssä määriteltyjen käyttöoikeussopimusten rahoituksen kestävyyden. Ministeriön päätöksellä virastolle annetaan valmiudet ja keinot sen tehtävien hoitamiseen.</w:t>
            </w:r>
          </w:p>
        </w:tc>
      </w:tr>
      <w:tr w:rsidR="0065073E" w14:paraId="22BF9568" w14:textId="77777777">
        <w:trPr>
          <w:trHeight w:val="309"/>
        </w:trPr>
        <w:tc>
          <w:tcPr>
            <w:tcW w:w="1223" w:type="dxa"/>
            <w:shd w:val="clear" w:color="auto" w:fill="C6EFCE"/>
          </w:tcPr>
          <w:p w14:paraId="1C450ABE" w14:textId="77777777" w:rsidR="0065073E" w:rsidRDefault="000A0998">
            <w:pPr>
              <w:pStyle w:val="P68B1DB1-Normal12"/>
              <w:jc w:val="center"/>
              <w:rPr>
                <w:rFonts w:cs="Times New Roman"/>
                <w:noProof/>
              </w:rPr>
            </w:pPr>
            <w:r>
              <w:rPr>
                <w:noProof/>
              </w:rPr>
              <w:t>156</w:t>
            </w:r>
          </w:p>
        </w:tc>
        <w:tc>
          <w:tcPr>
            <w:tcW w:w="1448" w:type="dxa"/>
            <w:shd w:val="clear" w:color="auto" w:fill="C6EFCE"/>
          </w:tcPr>
          <w:p w14:paraId="1FB9E4AE" w14:textId="77777777" w:rsidR="0065073E" w:rsidRDefault="000A0998">
            <w:pPr>
              <w:pStyle w:val="P68B1DB1-Normal12"/>
              <w:jc w:val="center"/>
              <w:rPr>
                <w:rFonts w:cs="Times New Roman"/>
                <w:noProof/>
              </w:rPr>
            </w:pPr>
            <w:r>
              <w:rPr>
                <w:noProof/>
              </w:rPr>
              <w:t>C11.R4</w:t>
            </w:r>
          </w:p>
        </w:tc>
        <w:tc>
          <w:tcPr>
            <w:tcW w:w="1021" w:type="dxa"/>
            <w:shd w:val="clear" w:color="auto" w:fill="C6EFCE"/>
          </w:tcPr>
          <w:p w14:paraId="3986AFE4"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7F169F02" w14:textId="77777777" w:rsidR="0065073E" w:rsidRDefault="000A0998">
            <w:pPr>
              <w:pStyle w:val="P68B1DB1-Normal12"/>
              <w:rPr>
                <w:rFonts w:cs="Times New Roman"/>
                <w:noProof/>
              </w:rPr>
            </w:pPr>
            <w:r>
              <w:rPr>
                <w:noProof/>
              </w:rPr>
              <w:t>Kansallinen hankintastrategia</w:t>
            </w:r>
          </w:p>
        </w:tc>
        <w:tc>
          <w:tcPr>
            <w:tcW w:w="1442" w:type="dxa"/>
            <w:shd w:val="clear" w:color="auto" w:fill="C6EFCE"/>
          </w:tcPr>
          <w:p w14:paraId="21DF001F" w14:textId="77777777" w:rsidR="0065073E" w:rsidRDefault="000A0998">
            <w:pPr>
              <w:pStyle w:val="P68B1DB1-Normal12"/>
              <w:jc w:val="center"/>
              <w:rPr>
                <w:rFonts w:cs="Times New Roman"/>
                <w:noProof/>
              </w:rPr>
            </w:pPr>
            <w:r>
              <w:rPr>
                <w:noProof/>
              </w:rPr>
              <w:t>Riippumaton julkisten hankintojen sääntely- ja valvontavirasto hyväksyy kansallisen hankintastrategian</w:t>
            </w:r>
          </w:p>
        </w:tc>
        <w:tc>
          <w:tcPr>
            <w:tcW w:w="1082" w:type="dxa"/>
            <w:shd w:val="clear" w:color="auto" w:fill="C6EFCE"/>
          </w:tcPr>
          <w:p w14:paraId="03146A6D"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41437DD0"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553E6077"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5507A625"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217DCF61"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72899254" w14:textId="77777777" w:rsidR="0065073E" w:rsidRDefault="000A0998">
            <w:pPr>
              <w:pStyle w:val="P68B1DB1-Normal12"/>
              <w:rPr>
                <w:rFonts w:cs="Times New Roman"/>
                <w:noProof/>
              </w:rPr>
            </w:pPr>
            <w:r>
              <w:rPr>
                <w:noProof/>
              </w:rPr>
              <w:t xml:space="preserve">Kansallisen hankintastrategian tavoitteena on lain 9/2017 334 §:ssä säädettyjen vaatimusten mukaisesti parantaa julkisten hankintojen tehokkuutta ja kestävyyttä. Strategiaan on sisällyttävä seuraavat osatekijät: I) strategisten julkisten hankintojen edistäminen; II) ammatillistaminen; III) helpotetaan pk-yritysten mahdollisuuksia osallistua julkisiin hankintoihin; IV) saatavilla olevien tietojen parantaminen; v) julkisten hankintojen tehokkuuden edistäminen; VI) julkisten hankintojen täydellinen digitaalinen muutos; VII) oikeusvarmuuden parantaminen; VIII) parannetaan julkisten hankintojen valvontaa ja valvontaa, mukaan lukien korruption ehkäiseminen tunnistettuja riskejä koskevan kartan perusteella. </w:t>
            </w:r>
          </w:p>
        </w:tc>
      </w:tr>
      <w:tr w:rsidR="0065073E" w14:paraId="176C6745" w14:textId="77777777">
        <w:trPr>
          <w:trHeight w:val="309"/>
        </w:trPr>
        <w:tc>
          <w:tcPr>
            <w:tcW w:w="1223" w:type="dxa"/>
            <w:shd w:val="clear" w:color="auto" w:fill="C6EFCE"/>
          </w:tcPr>
          <w:p w14:paraId="2AD3780C" w14:textId="77777777" w:rsidR="0065073E" w:rsidRDefault="000A0998">
            <w:pPr>
              <w:pStyle w:val="P68B1DB1-Normal12"/>
              <w:jc w:val="center"/>
              <w:rPr>
                <w:rFonts w:cs="Times New Roman"/>
                <w:noProof/>
              </w:rPr>
            </w:pPr>
            <w:r>
              <w:rPr>
                <w:noProof/>
              </w:rPr>
              <w:t>157</w:t>
            </w:r>
          </w:p>
        </w:tc>
        <w:tc>
          <w:tcPr>
            <w:tcW w:w="1448" w:type="dxa"/>
            <w:shd w:val="clear" w:color="auto" w:fill="C6EFCE"/>
          </w:tcPr>
          <w:p w14:paraId="0DB11FDB" w14:textId="77777777" w:rsidR="0065073E" w:rsidRDefault="000A0998">
            <w:pPr>
              <w:pStyle w:val="P68B1DB1-Normal12"/>
              <w:jc w:val="center"/>
              <w:rPr>
                <w:rFonts w:cs="Times New Roman"/>
                <w:noProof/>
              </w:rPr>
            </w:pPr>
            <w:r>
              <w:rPr>
                <w:noProof/>
              </w:rPr>
              <w:t>C11.R5</w:t>
            </w:r>
          </w:p>
        </w:tc>
        <w:tc>
          <w:tcPr>
            <w:tcW w:w="1021" w:type="dxa"/>
            <w:shd w:val="clear" w:color="auto" w:fill="C6EFCE"/>
          </w:tcPr>
          <w:p w14:paraId="5F1FD093"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62918432" w14:textId="77777777" w:rsidR="0065073E" w:rsidRDefault="000A0998">
            <w:pPr>
              <w:pStyle w:val="P68B1DB1-Normal12"/>
              <w:rPr>
                <w:rFonts w:cs="Times New Roman"/>
                <w:noProof/>
              </w:rPr>
            </w:pPr>
            <w:r>
              <w:rPr>
                <w:noProof/>
              </w:rPr>
              <w:t>Elpymis-, muutos- ja palautumissuunnitelman täytäntöönpanosta annetun kuninkaallisen asetuksen 36/2020 voimaantulo</w:t>
            </w:r>
          </w:p>
        </w:tc>
        <w:tc>
          <w:tcPr>
            <w:tcW w:w="1442" w:type="dxa"/>
            <w:shd w:val="clear" w:color="auto" w:fill="C6EFCE"/>
          </w:tcPr>
          <w:p w14:paraId="0389687B" w14:textId="77777777" w:rsidR="0065073E" w:rsidRDefault="000A0998">
            <w:pPr>
              <w:pStyle w:val="P68B1DB1-Normal12"/>
              <w:jc w:val="center"/>
              <w:rPr>
                <w:rFonts w:cs="Times New Roman"/>
                <w:noProof/>
              </w:rPr>
            </w:pPr>
            <w:r>
              <w:rPr>
                <w:noProof/>
              </w:rPr>
              <w:t>Kuninkaan asetuksessa oleva säännös, josta käy ilmi kuninkaan asetuksen voimaantulo</w:t>
            </w:r>
          </w:p>
        </w:tc>
        <w:tc>
          <w:tcPr>
            <w:tcW w:w="1082" w:type="dxa"/>
            <w:shd w:val="clear" w:color="auto" w:fill="C6EFCE"/>
          </w:tcPr>
          <w:p w14:paraId="4979E2E4"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6402251C"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41568CAC"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305F72BC" w14:textId="77777777" w:rsidR="0065073E" w:rsidRDefault="000A0998">
            <w:pPr>
              <w:pStyle w:val="P68B1DB1-Normal12"/>
              <w:jc w:val="center"/>
              <w:rPr>
                <w:rFonts w:cs="Times New Roman"/>
                <w:noProof/>
              </w:rPr>
            </w:pPr>
            <w:r>
              <w:rPr>
                <w:noProof/>
              </w:rPr>
              <w:t>ENSIMMÄINEN VUOSINELJÄNNES</w:t>
            </w:r>
          </w:p>
        </w:tc>
        <w:tc>
          <w:tcPr>
            <w:tcW w:w="822" w:type="dxa"/>
            <w:shd w:val="clear" w:color="auto" w:fill="C6EFCE"/>
          </w:tcPr>
          <w:p w14:paraId="58C15E60"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0D4E7F0A" w14:textId="77777777" w:rsidR="0065073E" w:rsidRDefault="000A0998">
            <w:pPr>
              <w:pStyle w:val="P68B1DB1-Normal12"/>
              <w:rPr>
                <w:rFonts w:cs="Times New Roman"/>
                <w:noProof/>
              </w:rPr>
            </w:pPr>
            <w:r>
              <w:rPr>
                <w:noProof/>
              </w:rPr>
              <w:t>Julkishallinnon nykyaikaistamista ja Espanjan elpymis- ja palautumissuunnitelman täytäntöönpanoa koskevien kiireellisten toimenpiteiden hyväksymisestä 30. joulukuuta annetun kuninkaallisen asetuksen 36/2020 voimaantulo, jotta Espanjan julkishallinnot voivat panna elpymis- ja palautumissuunnitelman täytäntöön oikea-aikaisesti ja EU:n lainsäädännön, myös elpymis- ja palautumistukivälinettä koskevan asetuksen, mukaisesti, mukaan lukien elpymis- ja palautumistukivälinettä koskeva asetus. Kuninkaan asetuksella otetaan käyttöön sääntelyuudistuksia, joilla nopeutetaan hankkeiden täytäntöönpanoa ja tehostetaan julkisia menoja säilyttäen aina EU:n sääntelykehyksen edellyttämät takeet ja valvonta.</w:t>
            </w:r>
          </w:p>
        </w:tc>
      </w:tr>
      <w:tr w:rsidR="0065073E" w14:paraId="1021F9E9" w14:textId="77777777">
        <w:trPr>
          <w:trHeight w:val="309"/>
        </w:trPr>
        <w:tc>
          <w:tcPr>
            <w:tcW w:w="1223" w:type="dxa"/>
            <w:shd w:val="clear" w:color="auto" w:fill="C6EFCE"/>
          </w:tcPr>
          <w:p w14:paraId="34C2843B" w14:textId="77777777" w:rsidR="0065073E" w:rsidRDefault="000A0998">
            <w:pPr>
              <w:pStyle w:val="P68B1DB1-Normal12"/>
              <w:jc w:val="center"/>
              <w:rPr>
                <w:rFonts w:cs="Times New Roman"/>
                <w:noProof/>
              </w:rPr>
            </w:pPr>
            <w:r>
              <w:rPr>
                <w:noProof/>
              </w:rPr>
              <w:t>158</w:t>
            </w:r>
          </w:p>
        </w:tc>
        <w:tc>
          <w:tcPr>
            <w:tcW w:w="1448" w:type="dxa"/>
            <w:shd w:val="clear" w:color="auto" w:fill="C6EFCE"/>
          </w:tcPr>
          <w:p w14:paraId="25578DD2" w14:textId="77777777" w:rsidR="0065073E" w:rsidRDefault="000A0998">
            <w:pPr>
              <w:pStyle w:val="P68B1DB1-Normal12"/>
              <w:jc w:val="center"/>
              <w:rPr>
                <w:rFonts w:cs="Times New Roman"/>
                <w:noProof/>
              </w:rPr>
            </w:pPr>
            <w:r>
              <w:rPr>
                <w:noProof/>
              </w:rPr>
              <w:t>C11.R5</w:t>
            </w:r>
          </w:p>
        </w:tc>
        <w:tc>
          <w:tcPr>
            <w:tcW w:w="1021" w:type="dxa"/>
            <w:shd w:val="clear" w:color="auto" w:fill="C6EFCE"/>
          </w:tcPr>
          <w:p w14:paraId="2AE88895"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35CC870F" w14:textId="77777777" w:rsidR="0065073E" w:rsidRDefault="000A0998">
            <w:pPr>
              <w:pStyle w:val="P68B1DB1-Normal12"/>
              <w:rPr>
                <w:rFonts w:cs="Times New Roman"/>
                <w:noProof/>
              </w:rPr>
            </w:pPr>
            <w:r>
              <w:rPr>
                <w:noProof/>
              </w:rPr>
              <w:t>Uusien elinten perustaminen keskushallintoon suunnitelman täytäntöönpanon, valvonnan ja tarkastuksen seurantaa varten.</w:t>
            </w:r>
          </w:p>
        </w:tc>
        <w:tc>
          <w:tcPr>
            <w:tcW w:w="1442" w:type="dxa"/>
            <w:shd w:val="clear" w:color="auto" w:fill="C6EFCE"/>
          </w:tcPr>
          <w:p w14:paraId="02661681" w14:textId="77777777" w:rsidR="0065073E" w:rsidRDefault="000A0998">
            <w:pPr>
              <w:pStyle w:val="P68B1DB1-Normal12"/>
              <w:jc w:val="center"/>
              <w:rPr>
                <w:rFonts w:cs="Times New Roman"/>
                <w:noProof/>
              </w:rPr>
            </w:pPr>
            <w:r>
              <w:rPr>
                <w:noProof/>
              </w:rPr>
              <w:t>Julkaiseminen EUVL:ssä</w:t>
            </w:r>
          </w:p>
        </w:tc>
        <w:tc>
          <w:tcPr>
            <w:tcW w:w="1082" w:type="dxa"/>
            <w:shd w:val="clear" w:color="auto" w:fill="C6EFCE"/>
          </w:tcPr>
          <w:p w14:paraId="217A145A"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636B9118"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30AA32BE"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0C696184" w14:textId="77777777"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41CECB29"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3554C54D" w14:textId="77777777" w:rsidR="0065073E" w:rsidRDefault="000A0998">
            <w:pPr>
              <w:pStyle w:val="P68B1DB1-Normal12"/>
              <w:rPr>
                <w:rFonts w:cs="Times New Roman"/>
                <w:noProof/>
              </w:rPr>
            </w:pPr>
            <w:r>
              <w:rPr>
                <w:noProof/>
              </w:rPr>
              <w:t>Perustetaan EU-rahastojen pääsihteeri (Secretaría General de Fondos Europeos) ja uusia osastoja talousarvion tietotekniikan toimistoon (Oficina de Informática Presupuestaria) ja valtionhallinnon päätarkastajan (Intervención General de la Administración del Estado) kansalliseen tarkastusvirastoon (Oficina Nacional de Auditoría), jotta voidaan edistää pitkäkestoista tulosperusteista suunnittelu- ja valvontakulttuuria suunnitelman hallinnoinnista ja valvonnasta saadun kokemuksen avulla ja kuninkaan asetuksen 1182/2020 säännösten mukaisesti.</w:t>
            </w:r>
          </w:p>
        </w:tc>
      </w:tr>
      <w:tr w:rsidR="0065073E" w14:paraId="5F77562F" w14:textId="77777777">
        <w:trPr>
          <w:trHeight w:val="309"/>
        </w:trPr>
        <w:tc>
          <w:tcPr>
            <w:tcW w:w="1223" w:type="dxa"/>
            <w:shd w:val="clear" w:color="auto" w:fill="C6EFCE"/>
          </w:tcPr>
          <w:p w14:paraId="027D1872" w14:textId="77777777" w:rsidR="0065073E" w:rsidRDefault="000A0998">
            <w:pPr>
              <w:pStyle w:val="P68B1DB1-Normal12"/>
              <w:jc w:val="center"/>
              <w:rPr>
                <w:rFonts w:cs="Times New Roman"/>
                <w:noProof/>
              </w:rPr>
            </w:pPr>
            <w:r>
              <w:rPr>
                <w:noProof/>
              </w:rPr>
              <w:t>159</w:t>
            </w:r>
          </w:p>
        </w:tc>
        <w:tc>
          <w:tcPr>
            <w:tcW w:w="1448" w:type="dxa"/>
            <w:shd w:val="clear" w:color="auto" w:fill="C6EFCE"/>
          </w:tcPr>
          <w:p w14:paraId="141F74C1" w14:textId="77777777" w:rsidR="0065073E" w:rsidRDefault="000A0998">
            <w:pPr>
              <w:pStyle w:val="P68B1DB1-Normal12"/>
              <w:jc w:val="center"/>
              <w:rPr>
                <w:rFonts w:cs="Times New Roman"/>
                <w:noProof/>
              </w:rPr>
            </w:pPr>
            <w:r>
              <w:rPr>
                <w:noProof/>
              </w:rPr>
              <w:t>C11.R5</w:t>
            </w:r>
          </w:p>
        </w:tc>
        <w:tc>
          <w:tcPr>
            <w:tcW w:w="1021" w:type="dxa"/>
            <w:shd w:val="clear" w:color="auto" w:fill="C6EFCE"/>
          </w:tcPr>
          <w:p w14:paraId="15CED175"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3A46289B" w14:textId="77777777" w:rsidR="0065073E" w:rsidRDefault="000A0998">
            <w:pPr>
              <w:pStyle w:val="P68B1DB1-Normal12"/>
              <w:rPr>
                <w:rFonts w:cs="Times New Roman"/>
                <w:noProof/>
              </w:rPr>
            </w:pPr>
            <w:r>
              <w:rPr>
                <w:noProof/>
              </w:rPr>
              <w:t>Määräys, jossa määritellään elpymis- ja palautumissuunnitelman seurantaa ja menojen kirjanpidollista toteutusta varten jaettavia tietoja koskevat menettelyt ja muoto</w:t>
            </w:r>
          </w:p>
        </w:tc>
        <w:tc>
          <w:tcPr>
            <w:tcW w:w="1442" w:type="dxa"/>
            <w:shd w:val="clear" w:color="auto" w:fill="C6EFCE"/>
          </w:tcPr>
          <w:p w14:paraId="30909781" w14:textId="77777777" w:rsidR="0065073E" w:rsidRDefault="000A0998">
            <w:pPr>
              <w:pStyle w:val="P68B1DB1-Normal12"/>
              <w:jc w:val="center"/>
              <w:rPr>
                <w:rFonts w:cs="Times New Roman"/>
                <w:noProof/>
              </w:rPr>
            </w:pPr>
            <w:r>
              <w:rPr>
                <w:noProof/>
              </w:rPr>
              <w:t>Määräys määräyksen voimaantulosta</w:t>
            </w:r>
          </w:p>
        </w:tc>
        <w:tc>
          <w:tcPr>
            <w:tcW w:w="1082" w:type="dxa"/>
            <w:shd w:val="clear" w:color="auto" w:fill="C6EFCE"/>
          </w:tcPr>
          <w:p w14:paraId="3610F77F"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43F38F7D"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71D48BC5"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0202EAD9"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44F8380F"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018B7E42" w14:textId="77777777" w:rsidR="0065073E" w:rsidRDefault="000A0998">
            <w:pPr>
              <w:pStyle w:val="P68B1DB1-Normal12"/>
              <w:rPr>
                <w:rFonts w:cs="Times New Roman"/>
                <w:noProof/>
              </w:rPr>
            </w:pPr>
            <w:r>
              <w:rPr>
                <w:noProof/>
              </w:rPr>
              <w:t>Elpymis- ja palautumissuunnitelman seurantaa ja menojen kirjanpidollista toteutusta varten jaettavia tietoja koskevat menettelyt ja muoto määrittelevän määräyksen voimaantulo</w:t>
            </w:r>
          </w:p>
        </w:tc>
      </w:tr>
      <w:tr w:rsidR="0065073E" w14:paraId="54A913DA" w14:textId="77777777">
        <w:trPr>
          <w:trHeight w:val="309"/>
        </w:trPr>
        <w:tc>
          <w:tcPr>
            <w:tcW w:w="1223" w:type="dxa"/>
            <w:shd w:val="clear" w:color="auto" w:fill="C6EFCE"/>
          </w:tcPr>
          <w:p w14:paraId="0032295D" w14:textId="77777777" w:rsidR="0065073E" w:rsidRDefault="000A0998">
            <w:pPr>
              <w:pStyle w:val="P68B1DB1-Normal12"/>
              <w:jc w:val="center"/>
              <w:rPr>
                <w:rFonts w:cs="Times New Roman"/>
                <w:noProof/>
              </w:rPr>
            </w:pPr>
            <w:r>
              <w:rPr>
                <w:noProof/>
              </w:rPr>
              <w:t>160</w:t>
            </w:r>
          </w:p>
        </w:tc>
        <w:tc>
          <w:tcPr>
            <w:tcW w:w="1448" w:type="dxa"/>
            <w:shd w:val="clear" w:color="auto" w:fill="C6EFCE"/>
          </w:tcPr>
          <w:p w14:paraId="1F697D06" w14:textId="77777777" w:rsidR="0065073E" w:rsidRDefault="000A0998">
            <w:pPr>
              <w:pStyle w:val="P68B1DB1-Normal12"/>
              <w:jc w:val="center"/>
              <w:rPr>
                <w:rFonts w:cs="Times New Roman"/>
                <w:noProof/>
              </w:rPr>
            </w:pPr>
            <w:r>
              <w:rPr>
                <w:noProof/>
              </w:rPr>
              <w:t>C11.I1</w:t>
            </w:r>
          </w:p>
        </w:tc>
        <w:tc>
          <w:tcPr>
            <w:tcW w:w="1021" w:type="dxa"/>
            <w:shd w:val="clear" w:color="auto" w:fill="C6EFCE"/>
          </w:tcPr>
          <w:p w14:paraId="2CEE176A"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45050344" w14:textId="77777777" w:rsidR="0065073E" w:rsidRDefault="000A0998">
            <w:pPr>
              <w:pStyle w:val="P68B1DB1-Normal12"/>
              <w:rPr>
                <w:rFonts w:cs="Times New Roman"/>
                <w:noProof/>
              </w:rPr>
            </w:pPr>
            <w:r>
              <w:rPr>
                <w:noProof/>
              </w:rPr>
              <w:t>Kansallisten julkisten hankinta-alustojen yhteenliittäminen</w:t>
            </w:r>
          </w:p>
        </w:tc>
        <w:tc>
          <w:tcPr>
            <w:tcW w:w="1442" w:type="dxa"/>
            <w:shd w:val="clear" w:color="auto" w:fill="C6EFCE"/>
          </w:tcPr>
          <w:p w14:paraId="6C5B25A9" w14:textId="77777777" w:rsidR="0065073E" w:rsidRDefault="000A0998">
            <w:pPr>
              <w:pStyle w:val="P68B1DB1-Normal12"/>
              <w:jc w:val="center"/>
              <w:rPr>
                <w:rFonts w:cs="Times New Roman"/>
                <w:noProof/>
              </w:rPr>
            </w:pPr>
            <w:r>
              <w:rPr>
                <w:noProof/>
              </w:rPr>
              <w:t xml:space="preserve">Keskus- ja aluehallinnot toimittavat allekirjoitetut todistukset, joilla vahvistetaan alustan toiminnot. </w:t>
            </w:r>
          </w:p>
        </w:tc>
        <w:tc>
          <w:tcPr>
            <w:tcW w:w="1082" w:type="dxa"/>
            <w:shd w:val="clear" w:color="auto" w:fill="C6EFCE"/>
          </w:tcPr>
          <w:p w14:paraId="7FC0BC0D"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1FFB4213"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0522966B"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1AF12D3D"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316130A3" w14:textId="77777777" w:rsidR="0065073E" w:rsidRDefault="000A0998">
            <w:pPr>
              <w:pStyle w:val="P68B1DB1-Normal12"/>
              <w:jc w:val="center"/>
              <w:rPr>
                <w:rFonts w:cs="Times New Roman"/>
                <w:noProof/>
              </w:rPr>
            </w:pPr>
            <w:r>
              <w:rPr>
                <w:noProof/>
              </w:rPr>
              <w:t>2023</w:t>
            </w:r>
          </w:p>
        </w:tc>
        <w:tc>
          <w:tcPr>
            <w:tcW w:w="3998" w:type="dxa"/>
            <w:shd w:val="clear" w:color="auto" w:fill="C6EFCE"/>
          </w:tcPr>
          <w:p w14:paraId="7893AEE2" w14:textId="77777777" w:rsidR="0065073E" w:rsidRDefault="000A0998">
            <w:pPr>
              <w:rPr>
                <w:rFonts w:ascii="Times New Roman" w:hAnsi="Times New Roman" w:cs="Times New Roman"/>
                <w:noProof/>
                <w:sz w:val="18"/>
              </w:rPr>
            </w:pPr>
            <w:r>
              <w:rPr>
                <w:rFonts w:ascii="Times New Roman" w:hAnsi="Times New Roman"/>
                <w:noProof/>
                <w:sz w:val="18"/>
              </w:rPr>
              <w:t xml:space="preserve">Yhteenliittäminen (tietojen vaihto) kaikkien olemassa olevien julkisten hankintojen alustojen (keskus- ja aluehallinnon) välillä: vähintään 142 avointa tietokenttää ja 52 aggregoitua dataa keskushallinnon alustalla. </w:t>
            </w:r>
            <w:r>
              <w:rPr>
                <w:noProof/>
              </w:rPr>
              <w:t xml:space="preserve"> </w:t>
            </w:r>
            <w:r>
              <w:rPr>
                <w:noProof/>
              </w:rPr>
              <w:br/>
            </w:r>
            <w:r>
              <w:rPr>
                <w:rFonts w:ascii="Times New Roman" w:hAnsi="Times New Roman"/>
                <w:noProof/>
                <w:sz w:val="18"/>
              </w:rPr>
              <w:t>Keskushallinnon alustalla olevien avointen tietokenttien lukumäärä tammikuussa 2021: 119</w:t>
            </w:r>
            <w:r>
              <w:rPr>
                <w:noProof/>
              </w:rPr>
              <w:t xml:space="preserve"> </w:t>
            </w:r>
            <w:r>
              <w:rPr>
                <w:noProof/>
              </w:rPr>
              <w:br/>
            </w:r>
            <w:r>
              <w:rPr>
                <w:rFonts w:ascii="Times New Roman" w:hAnsi="Times New Roman"/>
                <w:noProof/>
                <w:sz w:val="18"/>
              </w:rPr>
              <w:t>Keskushallinnon alustan aggregoitujen tietojen määrä tammikuussa 2021: 43</w:t>
            </w:r>
          </w:p>
        </w:tc>
      </w:tr>
      <w:tr w:rsidR="0065073E" w14:paraId="53019A9A" w14:textId="77777777">
        <w:trPr>
          <w:trHeight w:val="309"/>
        </w:trPr>
        <w:tc>
          <w:tcPr>
            <w:tcW w:w="1223" w:type="dxa"/>
            <w:shd w:val="clear" w:color="auto" w:fill="C6EFCE"/>
          </w:tcPr>
          <w:p w14:paraId="756B86DB" w14:textId="77777777" w:rsidR="0065073E" w:rsidRDefault="000A0998">
            <w:pPr>
              <w:pStyle w:val="P68B1DB1-Normal12"/>
              <w:jc w:val="center"/>
              <w:rPr>
                <w:rFonts w:cs="Times New Roman"/>
                <w:noProof/>
              </w:rPr>
            </w:pPr>
            <w:r>
              <w:rPr>
                <w:noProof/>
              </w:rPr>
              <w:t>161</w:t>
            </w:r>
          </w:p>
        </w:tc>
        <w:tc>
          <w:tcPr>
            <w:tcW w:w="1448" w:type="dxa"/>
            <w:shd w:val="clear" w:color="auto" w:fill="C6EFCE"/>
          </w:tcPr>
          <w:p w14:paraId="392178A5" w14:textId="77777777" w:rsidR="0065073E" w:rsidRDefault="000A0998">
            <w:pPr>
              <w:pStyle w:val="P68B1DB1-Normal12"/>
              <w:jc w:val="center"/>
              <w:rPr>
                <w:rFonts w:cs="Times New Roman"/>
                <w:noProof/>
              </w:rPr>
            </w:pPr>
            <w:r>
              <w:rPr>
                <w:noProof/>
              </w:rPr>
              <w:t>C11.I1</w:t>
            </w:r>
          </w:p>
        </w:tc>
        <w:tc>
          <w:tcPr>
            <w:tcW w:w="1021" w:type="dxa"/>
            <w:shd w:val="clear" w:color="auto" w:fill="C6EFCE"/>
          </w:tcPr>
          <w:p w14:paraId="541E19CC"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21D0885E" w14:textId="77777777" w:rsidR="0065073E" w:rsidRDefault="000A0998">
            <w:pPr>
              <w:pStyle w:val="P68B1DB1-Normal12"/>
              <w:rPr>
                <w:rFonts w:cs="Times New Roman"/>
                <w:noProof/>
              </w:rPr>
            </w:pPr>
            <w:r>
              <w:rPr>
                <w:noProof/>
              </w:rPr>
              <w:t>Julkishallinnon keskushallinnon digitalisaatiota tukevien hankkeiden myöntäminen</w:t>
            </w:r>
          </w:p>
        </w:tc>
        <w:tc>
          <w:tcPr>
            <w:tcW w:w="1442" w:type="dxa"/>
            <w:shd w:val="clear" w:color="auto" w:fill="C6EFCE"/>
          </w:tcPr>
          <w:p w14:paraId="580C4F25"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6B4525D7" w14:textId="77777777" w:rsidR="0065073E" w:rsidRDefault="000A0998">
            <w:pPr>
              <w:pStyle w:val="P68B1DB1-Normal12"/>
              <w:rPr>
                <w:rFonts w:cs="Times New Roman"/>
                <w:noProof/>
              </w:rPr>
            </w:pPr>
            <w:r>
              <w:rPr>
                <w:noProof/>
              </w:rPr>
              <w:t>Miljoonaa euroa</w:t>
            </w:r>
          </w:p>
        </w:tc>
        <w:tc>
          <w:tcPr>
            <w:tcW w:w="992" w:type="dxa"/>
            <w:shd w:val="clear" w:color="auto" w:fill="C6EFCE"/>
          </w:tcPr>
          <w:p w14:paraId="56C99C6B" w14:textId="77777777" w:rsidR="0065073E" w:rsidRDefault="000A0998">
            <w:pPr>
              <w:pStyle w:val="P68B1DB1-Normal12"/>
              <w:jc w:val="right"/>
              <w:rPr>
                <w:rFonts w:cs="Times New Roman"/>
                <w:noProof/>
              </w:rPr>
            </w:pPr>
            <w:r>
              <w:rPr>
                <w:noProof/>
              </w:rPr>
              <w:t>0</w:t>
            </w:r>
          </w:p>
        </w:tc>
        <w:tc>
          <w:tcPr>
            <w:tcW w:w="709" w:type="dxa"/>
            <w:shd w:val="clear" w:color="auto" w:fill="C6EFCE"/>
          </w:tcPr>
          <w:p w14:paraId="0F82A3B1" w14:textId="77777777" w:rsidR="0065073E" w:rsidRDefault="000A0998">
            <w:pPr>
              <w:pStyle w:val="P68B1DB1-Normal12"/>
              <w:jc w:val="right"/>
              <w:rPr>
                <w:rFonts w:cs="Times New Roman"/>
                <w:noProof/>
              </w:rPr>
            </w:pPr>
            <w:r>
              <w:rPr>
                <w:noProof/>
              </w:rPr>
              <w:t>960</w:t>
            </w:r>
          </w:p>
        </w:tc>
        <w:tc>
          <w:tcPr>
            <w:tcW w:w="567" w:type="dxa"/>
            <w:shd w:val="clear" w:color="auto" w:fill="C6EFCE"/>
          </w:tcPr>
          <w:p w14:paraId="21CE8994"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0B80C929" w14:textId="77777777" w:rsidR="0065073E" w:rsidRDefault="000A0998">
            <w:pPr>
              <w:pStyle w:val="P68B1DB1-Normal12"/>
              <w:jc w:val="center"/>
              <w:rPr>
                <w:rFonts w:cs="Times New Roman"/>
                <w:noProof/>
              </w:rPr>
            </w:pPr>
            <w:r>
              <w:rPr>
                <w:noProof/>
              </w:rPr>
              <w:t>2023</w:t>
            </w:r>
          </w:p>
        </w:tc>
        <w:tc>
          <w:tcPr>
            <w:tcW w:w="3998" w:type="dxa"/>
            <w:shd w:val="clear" w:color="auto" w:fill="C6EFCE"/>
          </w:tcPr>
          <w:p w14:paraId="66B1EDED" w14:textId="77777777" w:rsidR="0065073E" w:rsidRDefault="000A0998">
            <w:pPr>
              <w:rPr>
                <w:rFonts w:ascii="Times New Roman" w:hAnsi="Times New Roman" w:cs="Times New Roman"/>
                <w:noProof/>
                <w:sz w:val="18"/>
              </w:rPr>
            </w:pPr>
            <w:r>
              <w:rPr>
                <w:noProof/>
              </w:rPr>
              <w:t>Vähintään 960000000 euron suuruisen sopimuksen</w:t>
            </w:r>
            <w:r>
              <w:rPr>
                <w:rFonts w:ascii="Times New Roman" w:hAnsi="Times New Roman"/>
                <w:noProof/>
                <w:sz w:val="18"/>
              </w:rPr>
              <w:t xml:space="preserve">julkaiseminen EUVL:ssä tai julkisten hankintojen foorumissa hankkeissa, jotka kattavat seuraavat alat: </w:t>
            </w:r>
            <w:r>
              <w:rPr>
                <w:noProof/>
              </w:rPr>
              <w:t xml:space="preserve"> </w:t>
            </w:r>
            <w:r>
              <w:rPr>
                <w:noProof/>
              </w:rPr>
              <w:br/>
            </w:r>
            <w:r>
              <w:rPr>
                <w:rFonts w:ascii="Times New Roman" w:hAnsi="Times New Roman"/>
                <w:noProof/>
                <w:sz w:val="18"/>
              </w:rPr>
              <w:t>— Digitaalinen muutos proaktiivisuuden, liikkuvuuden ja käyttäjäkokemuksen osalta</w:t>
            </w:r>
            <w:r>
              <w:rPr>
                <w:noProof/>
              </w:rPr>
              <w:t xml:space="preserve"> </w:t>
            </w:r>
            <w:r>
              <w:rPr>
                <w:noProof/>
              </w:rPr>
              <w:br/>
            </w:r>
            <w:r>
              <w:rPr>
                <w:rFonts w:ascii="Times New Roman" w:hAnsi="Times New Roman"/>
                <w:noProof/>
                <w:sz w:val="18"/>
              </w:rPr>
              <w:t>— Digitalisoituminen automaation ja datakeskeisen julkishallinnon osalta</w:t>
            </w:r>
            <w:r>
              <w:rPr>
                <w:noProof/>
              </w:rPr>
              <w:t xml:space="preserve"> </w:t>
            </w:r>
            <w:r>
              <w:rPr>
                <w:noProof/>
              </w:rPr>
              <w:br/>
            </w:r>
            <w:r>
              <w:rPr>
                <w:rFonts w:ascii="Times New Roman" w:hAnsi="Times New Roman"/>
                <w:noProof/>
                <w:sz w:val="18"/>
              </w:rPr>
              <w:t>— Digitaalinen muutos fyysisten ja loogisten infrastruktuurien ja ohjelmistojen osalta;</w:t>
            </w:r>
            <w:r>
              <w:rPr>
                <w:noProof/>
              </w:rPr>
              <w:t xml:space="preserve"> </w:t>
            </w:r>
            <w:r>
              <w:rPr>
                <w:noProof/>
              </w:rPr>
              <w:br/>
            </w:r>
            <w:r>
              <w:rPr>
                <w:rFonts w:ascii="Times New Roman" w:hAnsi="Times New Roman"/>
                <w:noProof/>
                <w:sz w:val="18"/>
              </w:rPr>
              <w:t>— Digitaalinen muutos kyberturvallisuuden kannalta.</w:t>
            </w:r>
          </w:p>
        </w:tc>
      </w:tr>
      <w:tr w:rsidR="0065073E" w14:paraId="142D29EA" w14:textId="77777777">
        <w:trPr>
          <w:trHeight w:val="309"/>
        </w:trPr>
        <w:tc>
          <w:tcPr>
            <w:tcW w:w="1223" w:type="dxa"/>
            <w:shd w:val="clear" w:color="auto" w:fill="C6EFCE"/>
          </w:tcPr>
          <w:p w14:paraId="7F94E94C" w14:textId="77777777" w:rsidR="0065073E" w:rsidRDefault="000A0998">
            <w:pPr>
              <w:pStyle w:val="P68B1DB1-Normal12"/>
              <w:jc w:val="center"/>
              <w:rPr>
                <w:rFonts w:cs="Times New Roman"/>
                <w:noProof/>
              </w:rPr>
            </w:pPr>
            <w:r>
              <w:rPr>
                <w:noProof/>
              </w:rPr>
              <w:t>162</w:t>
            </w:r>
          </w:p>
        </w:tc>
        <w:tc>
          <w:tcPr>
            <w:tcW w:w="1448" w:type="dxa"/>
            <w:shd w:val="clear" w:color="auto" w:fill="C6EFCE"/>
          </w:tcPr>
          <w:p w14:paraId="0EC70345" w14:textId="77777777" w:rsidR="0065073E" w:rsidRDefault="000A0998">
            <w:pPr>
              <w:pStyle w:val="P68B1DB1-Normal12"/>
              <w:jc w:val="center"/>
              <w:rPr>
                <w:rFonts w:cs="Times New Roman"/>
                <w:noProof/>
              </w:rPr>
            </w:pPr>
            <w:r>
              <w:rPr>
                <w:noProof/>
              </w:rPr>
              <w:t>C11.I1</w:t>
            </w:r>
          </w:p>
        </w:tc>
        <w:tc>
          <w:tcPr>
            <w:tcW w:w="1021" w:type="dxa"/>
            <w:shd w:val="clear" w:color="auto" w:fill="C6EFCE"/>
          </w:tcPr>
          <w:p w14:paraId="03D52EE2"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24744C26" w14:textId="77777777" w:rsidR="0065073E" w:rsidRDefault="000A0998">
            <w:pPr>
              <w:pStyle w:val="P68B1DB1-Normal12"/>
              <w:rPr>
                <w:rFonts w:cs="Times New Roman"/>
                <w:noProof/>
              </w:rPr>
            </w:pPr>
            <w:r>
              <w:rPr>
                <w:noProof/>
              </w:rPr>
              <w:t>Keskushallinnon digitalisaatiota tukevien hankkeiden loppuun saattaminen</w:t>
            </w:r>
          </w:p>
        </w:tc>
        <w:tc>
          <w:tcPr>
            <w:tcW w:w="1442" w:type="dxa"/>
            <w:shd w:val="clear" w:color="auto" w:fill="C6EFCE"/>
          </w:tcPr>
          <w:p w14:paraId="1C9A228D" w14:textId="77777777" w:rsidR="0065073E" w:rsidRDefault="000A0998">
            <w:pPr>
              <w:pStyle w:val="P68B1DB1-Normal12"/>
              <w:jc w:val="center"/>
              <w:rPr>
                <w:rFonts w:cs="Times New Roman"/>
                <w:noProof/>
              </w:rPr>
            </w:pPr>
            <w:r>
              <w:rPr>
                <w:noProof/>
              </w:rPr>
              <w:t>Toimivaltaisen viranomaisen allekirjoittamat todistukset siitä, että hankkeet on saatettu päätökseen ja että ne ovat toiminnassa</w:t>
            </w:r>
          </w:p>
        </w:tc>
        <w:tc>
          <w:tcPr>
            <w:tcW w:w="1082" w:type="dxa"/>
            <w:shd w:val="clear" w:color="auto" w:fill="C6EFCE"/>
          </w:tcPr>
          <w:p w14:paraId="602C3F68"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1C895DDD"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5CE29C09"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7C88DA4F"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292C0F1F" w14:textId="77777777" w:rsidR="0065073E" w:rsidRDefault="000A0998">
            <w:pPr>
              <w:pStyle w:val="P68B1DB1-Normal12"/>
              <w:jc w:val="center"/>
              <w:rPr>
                <w:rFonts w:cs="Times New Roman"/>
                <w:noProof/>
              </w:rPr>
            </w:pPr>
            <w:r>
              <w:rPr>
                <w:noProof/>
              </w:rPr>
              <w:t>2025</w:t>
            </w:r>
          </w:p>
        </w:tc>
        <w:tc>
          <w:tcPr>
            <w:tcW w:w="3998" w:type="dxa"/>
            <w:shd w:val="clear" w:color="auto" w:fill="C6EFCE"/>
          </w:tcPr>
          <w:p w14:paraId="1A4CED02" w14:textId="77777777" w:rsidR="0065073E" w:rsidRDefault="000A0998">
            <w:pPr>
              <w:pStyle w:val="P68B1DB1-Normal12"/>
              <w:rPr>
                <w:rFonts w:cs="Times New Roman"/>
                <w:noProof/>
              </w:rPr>
            </w:pPr>
            <w:r>
              <w:rPr>
                <w:noProof/>
              </w:rPr>
              <w:t>Tavoitteen #161 mukaisesti myönnettyjen hankkeiden loppuun saattaminen</w:t>
            </w:r>
          </w:p>
        </w:tc>
      </w:tr>
      <w:tr w:rsidR="0065073E" w14:paraId="48E255C1" w14:textId="77777777">
        <w:trPr>
          <w:trHeight w:val="309"/>
        </w:trPr>
        <w:tc>
          <w:tcPr>
            <w:tcW w:w="1223" w:type="dxa"/>
            <w:shd w:val="clear" w:color="auto" w:fill="C6EFCE"/>
          </w:tcPr>
          <w:p w14:paraId="23ADB4BA" w14:textId="77777777" w:rsidR="0065073E" w:rsidRDefault="000A0998">
            <w:pPr>
              <w:pStyle w:val="P68B1DB1-Normal12"/>
              <w:jc w:val="center"/>
              <w:rPr>
                <w:rFonts w:cs="Times New Roman"/>
                <w:noProof/>
              </w:rPr>
            </w:pPr>
            <w:r>
              <w:rPr>
                <w:noProof/>
              </w:rPr>
              <w:t>163</w:t>
            </w:r>
          </w:p>
        </w:tc>
        <w:tc>
          <w:tcPr>
            <w:tcW w:w="1448" w:type="dxa"/>
            <w:shd w:val="clear" w:color="auto" w:fill="C6EFCE"/>
          </w:tcPr>
          <w:p w14:paraId="59FAF852" w14:textId="77777777" w:rsidR="0065073E" w:rsidRDefault="000A0998">
            <w:pPr>
              <w:pStyle w:val="P68B1DB1-Normal12"/>
              <w:jc w:val="center"/>
              <w:rPr>
                <w:rFonts w:cs="Times New Roman"/>
                <w:noProof/>
              </w:rPr>
            </w:pPr>
            <w:r>
              <w:rPr>
                <w:noProof/>
              </w:rPr>
              <w:t>C11.I2</w:t>
            </w:r>
          </w:p>
        </w:tc>
        <w:tc>
          <w:tcPr>
            <w:tcW w:w="1021" w:type="dxa"/>
            <w:shd w:val="clear" w:color="auto" w:fill="C6EFCE"/>
          </w:tcPr>
          <w:p w14:paraId="0C1536D6"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24E56970" w14:textId="77777777" w:rsidR="0065073E" w:rsidRDefault="000A0998">
            <w:pPr>
              <w:pStyle w:val="P68B1DB1-Normal12"/>
              <w:rPr>
                <w:rFonts w:cs="Times New Roman"/>
                <w:noProof/>
              </w:rPr>
            </w:pPr>
            <w:r>
              <w:rPr>
                <w:noProof/>
              </w:rPr>
              <w:t>Yhteentoimivat alustat sosiaaliturva- ja terveystietojen vaihtamiseksi</w:t>
            </w:r>
          </w:p>
        </w:tc>
        <w:tc>
          <w:tcPr>
            <w:tcW w:w="1442" w:type="dxa"/>
            <w:shd w:val="clear" w:color="auto" w:fill="C6EFCE"/>
          </w:tcPr>
          <w:p w14:paraId="100AC249" w14:textId="77777777" w:rsidR="0065073E" w:rsidRDefault="000A0998">
            <w:pPr>
              <w:pStyle w:val="P68B1DB1-Normal12"/>
              <w:jc w:val="center"/>
              <w:rPr>
                <w:rFonts w:cs="Times New Roman"/>
                <w:noProof/>
              </w:rPr>
            </w:pPr>
            <w:r>
              <w:rPr>
                <w:noProof/>
              </w:rPr>
              <w:t>Keskus- ja aluetason sosiaaliturvaviranomaiset toimittavat allekirjoitetut todistukset, joilla vahvistetaan alustan toiminnot.</w:t>
            </w:r>
          </w:p>
        </w:tc>
        <w:tc>
          <w:tcPr>
            <w:tcW w:w="1082" w:type="dxa"/>
            <w:shd w:val="clear" w:color="auto" w:fill="C6EFCE"/>
          </w:tcPr>
          <w:p w14:paraId="07CC20C5"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3D11EC86"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73ABAB0A"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1BCDA116"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3AA9859C" w14:textId="77777777" w:rsidR="0065073E" w:rsidRDefault="000A0998">
            <w:pPr>
              <w:pStyle w:val="P68B1DB1-Normal12"/>
              <w:jc w:val="center"/>
              <w:rPr>
                <w:rFonts w:cs="Times New Roman"/>
                <w:noProof/>
              </w:rPr>
            </w:pPr>
            <w:r>
              <w:rPr>
                <w:noProof/>
              </w:rPr>
              <w:t>2023</w:t>
            </w:r>
          </w:p>
        </w:tc>
        <w:tc>
          <w:tcPr>
            <w:tcW w:w="3998" w:type="dxa"/>
            <w:shd w:val="clear" w:color="auto" w:fill="C6EFCE"/>
          </w:tcPr>
          <w:p w14:paraId="1477897E" w14:textId="77777777" w:rsidR="0065073E" w:rsidRDefault="000A0998">
            <w:pPr>
              <w:pStyle w:val="P68B1DB1-Normal12"/>
              <w:rPr>
                <w:rFonts w:cs="Times New Roman"/>
                <w:noProof/>
              </w:rPr>
            </w:pPr>
            <w:r>
              <w:rPr>
                <w:noProof/>
              </w:rPr>
              <w:t>Keskushallinnolla ja alueilla on oltava täysin yhteentoimivat alustat, jotka mahdollistavat sosiaaliturvatietojen ja -tietojen vaihdon seuraavilla aloilla: I) perusterveydenhuolto, ii) sairaalahoito, iii) terveydenhuollon ammattilaiset, lääkemääräykset/lääkkeet</w:t>
            </w:r>
          </w:p>
        </w:tc>
      </w:tr>
      <w:tr w:rsidR="0065073E" w14:paraId="4B26C5BC" w14:textId="77777777">
        <w:trPr>
          <w:trHeight w:val="309"/>
        </w:trPr>
        <w:tc>
          <w:tcPr>
            <w:tcW w:w="1223" w:type="dxa"/>
            <w:shd w:val="clear" w:color="auto" w:fill="C6EFCE"/>
          </w:tcPr>
          <w:p w14:paraId="2E00A2AF" w14:textId="77777777" w:rsidR="0065073E" w:rsidRDefault="000A0998">
            <w:pPr>
              <w:pStyle w:val="P68B1DB1-Normal12"/>
              <w:jc w:val="center"/>
              <w:rPr>
                <w:rFonts w:cs="Times New Roman"/>
                <w:noProof/>
              </w:rPr>
            </w:pPr>
            <w:r>
              <w:rPr>
                <w:noProof/>
              </w:rPr>
              <w:t>164</w:t>
            </w:r>
          </w:p>
        </w:tc>
        <w:tc>
          <w:tcPr>
            <w:tcW w:w="1448" w:type="dxa"/>
            <w:shd w:val="clear" w:color="auto" w:fill="C6EFCE"/>
          </w:tcPr>
          <w:p w14:paraId="696DD7AF" w14:textId="77777777" w:rsidR="0065073E" w:rsidRDefault="000A0998">
            <w:pPr>
              <w:pStyle w:val="P68B1DB1-Normal12"/>
              <w:jc w:val="center"/>
              <w:rPr>
                <w:rFonts w:cs="Times New Roman"/>
                <w:noProof/>
              </w:rPr>
            </w:pPr>
            <w:r>
              <w:rPr>
                <w:noProof/>
              </w:rPr>
              <w:t>C11.I2</w:t>
            </w:r>
          </w:p>
        </w:tc>
        <w:tc>
          <w:tcPr>
            <w:tcW w:w="1021" w:type="dxa"/>
            <w:shd w:val="clear" w:color="auto" w:fill="C6EFCE"/>
          </w:tcPr>
          <w:p w14:paraId="35F832AF"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0DBD42D0" w14:textId="77777777" w:rsidR="0065073E" w:rsidRDefault="000A0998">
            <w:pPr>
              <w:pStyle w:val="P68B1DB1-Normal12"/>
              <w:rPr>
                <w:rFonts w:cs="Times New Roman"/>
                <w:noProof/>
              </w:rPr>
            </w:pPr>
            <w:r>
              <w:rPr>
                <w:noProof/>
              </w:rPr>
              <w:t>Sähköisesti toteutettava oikeudellinen menettely</w:t>
            </w:r>
          </w:p>
        </w:tc>
        <w:tc>
          <w:tcPr>
            <w:tcW w:w="1442" w:type="dxa"/>
            <w:shd w:val="clear" w:color="auto" w:fill="C6EFCE"/>
          </w:tcPr>
          <w:p w14:paraId="30B8D3DF"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3DA4CF3B" w14:textId="3B76D2CA" w:rsidR="0065073E" w:rsidRDefault="000A0998">
            <w:pPr>
              <w:pStyle w:val="P68B1DB1-Normal12"/>
              <w:rPr>
                <w:rFonts w:cs="Times New Roman"/>
                <w:noProof/>
              </w:rPr>
            </w:pPr>
            <w:r>
              <w:rPr>
                <w:noProof/>
              </w:rPr>
              <w:t xml:space="preserve">Määrä </w:t>
            </w:r>
          </w:p>
        </w:tc>
        <w:tc>
          <w:tcPr>
            <w:tcW w:w="992" w:type="dxa"/>
            <w:shd w:val="clear" w:color="auto" w:fill="C6EFCE"/>
          </w:tcPr>
          <w:p w14:paraId="76AECD44" w14:textId="77777777" w:rsidR="0065073E" w:rsidRDefault="000A0998">
            <w:pPr>
              <w:pStyle w:val="P68B1DB1-Normal12"/>
              <w:jc w:val="right"/>
              <w:rPr>
                <w:rFonts w:cs="Times New Roman"/>
                <w:noProof/>
              </w:rPr>
            </w:pPr>
            <w:r>
              <w:rPr>
                <w:noProof/>
              </w:rPr>
              <w:t>0</w:t>
            </w:r>
          </w:p>
        </w:tc>
        <w:tc>
          <w:tcPr>
            <w:tcW w:w="709" w:type="dxa"/>
            <w:shd w:val="clear" w:color="auto" w:fill="C6EFCE"/>
          </w:tcPr>
          <w:p w14:paraId="2B05AACE" w14:textId="569B3FB8" w:rsidR="0065073E" w:rsidRDefault="000A0998">
            <w:pPr>
              <w:pStyle w:val="P68B1DB1-Normal12"/>
              <w:jc w:val="right"/>
              <w:rPr>
                <w:rFonts w:cs="Times New Roman"/>
                <w:noProof/>
              </w:rPr>
            </w:pPr>
            <w:r>
              <w:rPr>
                <w:noProof/>
              </w:rPr>
              <w:t>2 839</w:t>
            </w:r>
          </w:p>
        </w:tc>
        <w:tc>
          <w:tcPr>
            <w:tcW w:w="567" w:type="dxa"/>
            <w:shd w:val="clear" w:color="auto" w:fill="C6EFCE"/>
          </w:tcPr>
          <w:p w14:paraId="1376797B"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431F1297" w14:textId="3CA06F1A" w:rsidR="0065073E" w:rsidRDefault="000A0998">
            <w:pPr>
              <w:pStyle w:val="P68B1DB1-Normal12"/>
              <w:jc w:val="center"/>
              <w:rPr>
                <w:rFonts w:cs="Times New Roman"/>
                <w:noProof/>
              </w:rPr>
            </w:pPr>
            <w:r>
              <w:rPr>
                <w:noProof/>
              </w:rPr>
              <w:t>2022</w:t>
            </w:r>
          </w:p>
        </w:tc>
        <w:tc>
          <w:tcPr>
            <w:tcW w:w="3998" w:type="dxa"/>
            <w:shd w:val="clear" w:color="auto" w:fill="C6EFCE"/>
          </w:tcPr>
          <w:p w14:paraId="1A18F975" w14:textId="6F00F4E1" w:rsidR="0065073E" w:rsidRDefault="000A0998">
            <w:pPr>
              <w:pStyle w:val="P68B1DB1-Normal12"/>
              <w:rPr>
                <w:rFonts w:cs="Times New Roman"/>
                <w:noProof/>
              </w:rPr>
            </w:pPr>
            <w:r>
              <w:rPr>
                <w:noProof/>
              </w:rPr>
              <w:t>Lisäksi vähintään 2839 lainkäyttöelimellä on oltava tarvittava infrastruktuuri, jotta vähintään 30 prosenttia menettelyistä voidaan hoitaa sähköisesti. Tämä edellyttää telemaattisten oikeussuojakeinojen toteuttamista eri toimivaltaisissa elimissä täydellä oikeusvarmuudella. Tämän tavoitteen saavuttamiseksi kaikkien osallistujien on voitava päästä istuntosaliin videoyhteyden välityksellä. Lisäksi sen on mahdollistettava täysin virtuaalisten oikeussalien perustaminen, joihin kaikilla osallistujilla on pääsy videoneuvottelun välityksellä. Perustetaan välitön alusta uusien mallien luomiseksi muita kuin henkilökohtaisia suhteita ja käsittelyä varten. Tämä parantaa kansalaisten etäpääsyä julkishallinnon tarjoamiin palveluihin.</w:t>
            </w:r>
          </w:p>
        </w:tc>
      </w:tr>
      <w:tr w:rsidR="0065073E" w14:paraId="599998E8" w14:textId="77777777">
        <w:trPr>
          <w:trHeight w:val="343"/>
        </w:trPr>
        <w:tc>
          <w:tcPr>
            <w:tcW w:w="1223"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65073E" w:rsidRDefault="000A0998">
            <w:pPr>
              <w:pStyle w:val="P68B1DB1-Normal12"/>
              <w:jc w:val="center"/>
              <w:rPr>
                <w:rFonts w:cs="Times New Roman"/>
                <w:noProof/>
              </w:rPr>
            </w:pPr>
            <w:r>
              <w:rPr>
                <w:noProof/>
              </w:rPr>
              <w:t>165</w:t>
            </w:r>
          </w:p>
        </w:tc>
        <w:tc>
          <w:tcPr>
            <w:tcW w:w="1448"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65073E" w:rsidRDefault="000A0998">
            <w:pPr>
              <w:pStyle w:val="P68B1DB1-Normal12"/>
              <w:jc w:val="center"/>
              <w:rPr>
                <w:rFonts w:cs="Times New Roman"/>
                <w:noProof/>
              </w:rPr>
            </w:pPr>
            <w:r>
              <w:rPr>
                <w:noProof/>
              </w:rPr>
              <w:t>C11.I2</w:t>
            </w:r>
          </w:p>
        </w:tc>
        <w:tc>
          <w:tcPr>
            <w:tcW w:w="1021"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65073E" w:rsidRDefault="000A0998">
            <w:pPr>
              <w:pStyle w:val="P68B1DB1-Normal12"/>
              <w:jc w:val="center"/>
              <w:rPr>
                <w:rFonts w:cs="Times New Roman"/>
                <w:noProof/>
              </w:rPr>
            </w:pPr>
            <w:r>
              <w:rPr>
                <w:noProof/>
              </w:rPr>
              <w:t>T</w:t>
            </w:r>
          </w:p>
        </w:tc>
        <w:tc>
          <w:tcPr>
            <w:tcW w:w="1631" w:type="dxa"/>
            <w:tcBorders>
              <w:top w:val="single" w:sz="4" w:space="0" w:color="auto"/>
              <w:left w:val="single" w:sz="4" w:space="0" w:color="auto"/>
              <w:bottom w:val="single" w:sz="4" w:space="0" w:color="auto"/>
              <w:right w:val="single" w:sz="4" w:space="0" w:color="auto"/>
            </w:tcBorders>
            <w:shd w:val="clear" w:color="auto" w:fill="C6EFCE"/>
          </w:tcPr>
          <w:p w14:paraId="5D08D1D3" w14:textId="77777777" w:rsidR="0065073E" w:rsidRDefault="000A0998">
            <w:pPr>
              <w:pStyle w:val="P68B1DB1-Normal12"/>
              <w:rPr>
                <w:rFonts w:cs="Times New Roman"/>
                <w:noProof/>
              </w:rPr>
            </w:pPr>
            <w:r>
              <w:rPr>
                <w:noProof/>
              </w:rPr>
              <w:t>Julkishallinnon keskushallinnon digitalisaatiota edistäviä hankkeita tukevien hankkeiden myöntäminen</w:t>
            </w:r>
          </w:p>
        </w:tc>
        <w:tc>
          <w:tcPr>
            <w:tcW w:w="1442"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65073E" w:rsidRDefault="000A0998">
            <w:pPr>
              <w:pStyle w:val="P68B1DB1-Normal12"/>
              <w:jc w:val="center"/>
              <w:rPr>
                <w:rFonts w:cs="Times New Roman"/>
                <w:noProof/>
              </w:rPr>
            </w:pPr>
            <w:r>
              <w:rPr>
                <w:noProof/>
              </w:rPr>
              <w:t xml:space="preserve"> </w:t>
            </w:r>
          </w:p>
        </w:tc>
        <w:tc>
          <w:tcPr>
            <w:tcW w:w="1082"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65073E" w:rsidRDefault="000A0998">
            <w:pPr>
              <w:pStyle w:val="P68B1DB1-Normal12"/>
              <w:rPr>
                <w:rFonts w:cs="Times New Roman"/>
                <w:noProof/>
              </w:rPr>
            </w:pPr>
            <w:r>
              <w:rPr>
                <w:noProof/>
              </w:rPr>
              <w:t>Miljoonaa euroa</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65073E" w:rsidRDefault="000A0998">
            <w:pPr>
              <w:pStyle w:val="P68B1DB1-Normal12"/>
              <w:jc w:val="right"/>
              <w:rPr>
                <w:rFonts w:cs="Times New Roman"/>
                <w:noProof/>
              </w:rPr>
            </w:pPr>
            <w:r>
              <w:rPr>
                <w:noProof/>
              </w:rPr>
              <w:t>0</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65073E" w:rsidRDefault="000A0998">
            <w:pPr>
              <w:pStyle w:val="P68B1DB1-Normal12"/>
              <w:jc w:val="right"/>
              <w:rPr>
                <w:rFonts w:cs="Times New Roman"/>
                <w:noProof/>
              </w:rPr>
            </w:pPr>
            <w:r>
              <w:rPr>
                <w:noProof/>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65073E" w:rsidRDefault="000A0998">
            <w:pPr>
              <w:pStyle w:val="P68B1DB1-Normal12"/>
              <w:jc w:val="center"/>
              <w:rPr>
                <w:rFonts w:cs="Times New Roman"/>
                <w:noProof/>
              </w:rPr>
            </w:pPr>
            <w:r>
              <w:rPr>
                <w:noProof/>
              </w:rPr>
              <w:t>Q4</w:t>
            </w:r>
          </w:p>
        </w:tc>
        <w:tc>
          <w:tcPr>
            <w:tcW w:w="822"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65073E" w:rsidRDefault="000A0998">
            <w:pPr>
              <w:pStyle w:val="P68B1DB1-Normal12"/>
              <w:jc w:val="center"/>
              <w:rPr>
                <w:rFonts w:cs="Times New Roman"/>
                <w:noProof/>
              </w:rPr>
            </w:pPr>
            <w:r>
              <w:rPr>
                <w:noProof/>
              </w:rPr>
              <w:t>2023</w:t>
            </w:r>
          </w:p>
        </w:tc>
        <w:tc>
          <w:tcPr>
            <w:tcW w:w="3998"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65073E" w:rsidRDefault="000A0998">
            <w:pPr>
              <w:rPr>
                <w:rFonts w:ascii="Times New Roman" w:hAnsi="Times New Roman" w:cs="Times New Roman"/>
                <w:noProof/>
                <w:sz w:val="18"/>
              </w:rPr>
            </w:pPr>
            <w:r>
              <w:rPr>
                <w:rFonts w:ascii="Times New Roman" w:hAnsi="Times New Roman"/>
                <w:noProof/>
                <w:sz w:val="18"/>
              </w:rPr>
              <w:t>Julkaistaan EUVL:ssä tai julkisia hankintoja käsittelevässä foorumissa hankkeita, jotka koskevat seuraavia aloja:</w:t>
            </w:r>
            <w:r>
              <w:rPr>
                <w:noProof/>
              </w:rPr>
              <w:t xml:space="preserve"> </w:t>
            </w:r>
            <w:r>
              <w:rPr>
                <w:noProof/>
              </w:rPr>
              <w:br/>
            </w:r>
            <w:r>
              <w:rPr>
                <w:rFonts w:ascii="Times New Roman" w:hAnsi="Times New Roman"/>
                <w:noProof/>
                <w:sz w:val="18"/>
              </w:rPr>
              <w:t>— Terveydenhuoltoalan digitalisaatio;</w:t>
            </w:r>
            <w:r>
              <w:rPr>
                <w:noProof/>
              </w:rPr>
              <w:t xml:space="preserve"> </w:t>
            </w:r>
            <w:r>
              <w:rPr>
                <w:noProof/>
              </w:rPr>
              <w:br/>
            </w:r>
            <w:r>
              <w:rPr>
                <w:rFonts w:ascii="Times New Roman" w:hAnsi="Times New Roman"/>
                <w:noProof/>
                <w:sz w:val="18"/>
              </w:rPr>
              <w:t>— Oikeudenkäytön digitalisaatio;</w:t>
            </w:r>
            <w:r>
              <w:rPr>
                <w:noProof/>
              </w:rPr>
              <w:t xml:space="preserve"> </w:t>
            </w:r>
            <w:r>
              <w:rPr>
                <w:noProof/>
              </w:rPr>
              <w:br/>
            </w:r>
            <w:r>
              <w:rPr>
                <w:rFonts w:ascii="Times New Roman" w:hAnsi="Times New Roman"/>
                <w:noProof/>
                <w:sz w:val="18"/>
              </w:rPr>
              <w:t>— Digitaalinen muutos työllisyyden osalta;</w:t>
            </w:r>
            <w:r>
              <w:rPr>
                <w:noProof/>
              </w:rPr>
              <w:t xml:space="preserve"> </w:t>
            </w:r>
            <w:r>
              <w:rPr>
                <w:noProof/>
              </w:rPr>
              <w:br/>
            </w:r>
            <w:r>
              <w:rPr>
                <w:rFonts w:ascii="Times New Roman" w:hAnsi="Times New Roman"/>
                <w:noProof/>
                <w:sz w:val="18"/>
              </w:rPr>
              <w:t>Digitaalinen muutos osallisuuden, sosiaaliturvan ja muuttoliikkeen osalta;</w:t>
            </w:r>
            <w:r>
              <w:rPr>
                <w:noProof/>
              </w:rPr>
              <w:t xml:space="preserve"> </w:t>
            </w:r>
            <w:r>
              <w:rPr>
                <w:noProof/>
              </w:rPr>
              <w:br/>
            </w:r>
            <w:r>
              <w:rPr>
                <w:rFonts w:ascii="Times New Roman" w:hAnsi="Times New Roman"/>
                <w:noProof/>
                <w:sz w:val="18"/>
              </w:rPr>
              <w:t>— Konsuliedustustojen digitointisuunnitelma;</w:t>
            </w:r>
            <w:r>
              <w:rPr>
                <w:noProof/>
              </w:rPr>
              <w:t xml:space="preserve"> </w:t>
            </w:r>
            <w:r>
              <w:rPr>
                <w:noProof/>
              </w:rPr>
              <w:br/>
            </w:r>
            <w:r>
              <w:rPr>
                <w:rFonts w:ascii="Times New Roman" w:hAnsi="Times New Roman"/>
                <w:noProof/>
                <w:sz w:val="18"/>
              </w:rPr>
              <w:t>— Digitalisaatio muilla valtionhallinnon osa-alueilla.</w:t>
            </w:r>
          </w:p>
        </w:tc>
      </w:tr>
      <w:tr w:rsidR="0065073E" w14:paraId="30C22732" w14:textId="77777777">
        <w:trPr>
          <w:trHeight w:val="309"/>
        </w:trPr>
        <w:tc>
          <w:tcPr>
            <w:tcW w:w="1223" w:type="dxa"/>
            <w:shd w:val="clear" w:color="auto" w:fill="C6EFCE"/>
          </w:tcPr>
          <w:p w14:paraId="748BDFB5" w14:textId="77777777" w:rsidR="0065073E" w:rsidRDefault="000A0998">
            <w:pPr>
              <w:pStyle w:val="P68B1DB1-Normal12"/>
              <w:jc w:val="center"/>
              <w:rPr>
                <w:rFonts w:cs="Times New Roman"/>
                <w:noProof/>
              </w:rPr>
            </w:pPr>
            <w:r>
              <w:rPr>
                <w:noProof/>
              </w:rPr>
              <w:t>166</w:t>
            </w:r>
          </w:p>
        </w:tc>
        <w:tc>
          <w:tcPr>
            <w:tcW w:w="1448" w:type="dxa"/>
            <w:shd w:val="clear" w:color="auto" w:fill="C6EFCE"/>
          </w:tcPr>
          <w:p w14:paraId="35122461" w14:textId="77777777" w:rsidR="0065073E" w:rsidRDefault="000A0998">
            <w:pPr>
              <w:pStyle w:val="P68B1DB1-Normal12"/>
              <w:jc w:val="center"/>
              <w:rPr>
                <w:rFonts w:cs="Times New Roman"/>
                <w:noProof/>
              </w:rPr>
            </w:pPr>
            <w:r>
              <w:rPr>
                <w:noProof/>
              </w:rPr>
              <w:t>C11.I2</w:t>
            </w:r>
          </w:p>
        </w:tc>
        <w:tc>
          <w:tcPr>
            <w:tcW w:w="1021" w:type="dxa"/>
            <w:shd w:val="clear" w:color="auto" w:fill="C6EFCE"/>
          </w:tcPr>
          <w:p w14:paraId="140A805F"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71EB7BE6" w14:textId="461A05FA" w:rsidR="0065073E" w:rsidRDefault="000A0998">
            <w:pPr>
              <w:pStyle w:val="P68B1DB1-Normal12"/>
              <w:rPr>
                <w:noProof/>
              </w:rPr>
            </w:pPr>
            <w:r>
              <w:rPr>
                <w:noProof/>
              </w:rPr>
              <w:t>Julkishallinnon keskushallinnon digitalisaatiota edistäviä hankkeita tukevien hankkeiden loppuun saattaminen (lukuun ottamatta välitavoitteisiin #163, #164 ja #341 kuuluvia hankkeita)</w:t>
            </w:r>
          </w:p>
        </w:tc>
        <w:tc>
          <w:tcPr>
            <w:tcW w:w="1442" w:type="dxa"/>
            <w:shd w:val="clear" w:color="auto" w:fill="C6EFCE"/>
          </w:tcPr>
          <w:p w14:paraId="71FD1A04" w14:textId="77777777" w:rsidR="0065073E" w:rsidRDefault="000A0998">
            <w:pPr>
              <w:pStyle w:val="P68B1DB1-Normal12"/>
              <w:jc w:val="center"/>
              <w:rPr>
                <w:rFonts w:cs="Times New Roman"/>
                <w:noProof/>
              </w:rPr>
            </w:pPr>
            <w:r>
              <w:rPr>
                <w:noProof/>
              </w:rPr>
              <w:t>Toimivaltaisen viranomaisen allekirjoittamat todistukset siitä, että hankkeet on saatettu päätökseen ja että ne ovat toiminnassa</w:t>
            </w:r>
          </w:p>
        </w:tc>
        <w:tc>
          <w:tcPr>
            <w:tcW w:w="1082" w:type="dxa"/>
            <w:shd w:val="clear" w:color="auto" w:fill="C6EFCE"/>
          </w:tcPr>
          <w:p w14:paraId="15DC0836"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3533C3BA"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1DE894AF"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7E9CB671"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5D100815" w14:textId="77777777" w:rsidR="0065073E" w:rsidRDefault="000A0998">
            <w:pPr>
              <w:pStyle w:val="P68B1DB1-Normal12"/>
              <w:jc w:val="center"/>
              <w:rPr>
                <w:rFonts w:cs="Times New Roman"/>
                <w:noProof/>
              </w:rPr>
            </w:pPr>
            <w:r>
              <w:rPr>
                <w:noProof/>
              </w:rPr>
              <w:t>2025</w:t>
            </w:r>
          </w:p>
        </w:tc>
        <w:tc>
          <w:tcPr>
            <w:tcW w:w="3998" w:type="dxa"/>
            <w:shd w:val="clear" w:color="auto" w:fill="C6EFCE"/>
          </w:tcPr>
          <w:p w14:paraId="4B12F15C" w14:textId="4284F54D" w:rsidR="0065073E" w:rsidRDefault="000A0998">
            <w:pPr>
              <w:pStyle w:val="P68B1DB1-Normal12"/>
              <w:rPr>
                <w:rFonts w:cs="Times New Roman"/>
                <w:noProof/>
              </w:rPr>
            </w:pPr>
            <w:r>
              <w:rPr>
                <w:noProof/>
              </w:rPr>
              <w:t xml:space="preserve">Tavoitteen #165 mukaisesti myönnettyjen hankkeiden loppuun saattaminen (lukuun ottamatta välitavoitteisiin #163, #164 ja #341 kuuluvia hankkeita) </w:t>
            </w:r>
          </w:p>
        </w:tc>
      </w:tr>
      <w:tr w:rsidR="0065073E" w14:paraId="1F8EC9B7" w14:textId="77777777">
        <w:trPr>
          <w:trHeight w:val="309"/>
        </w:trPr>
        <w:tc>
          <w:tcPr>
            <w:tcW w:w="1223" w:type="dxa"/>
            <w:shd w:val="clear" w:color="auto" w:fill="C6EFCE"/>
          </w:tcPr>
          <w:p w14:paraId="23667BAA" w14:textId="77777777" w:rsidR="0065073E" w:rsidRDefault="000A0998">
            <w:pPr>
              <w:pStyle w:val="P68B1DB1-Normal12"/>
              <w:jc w:val="center"/>
              <w:rPr>
                <w:rFonts w:cs="Times New Roman"/>
                <w:noProof/>
              </w:rPr>
            </w:pPr>
            <w:r>
              <w:rPr>
                <w:noProof/>
              </w:rPr>
              <w:t>167</w:t>
            </w:r>
          </w:p>
        </w:tc>
        <w:tc>
          <w:tcPr>
            <w:tcW w:w="1448" w:type="dxa"/>
            <w:shd w:val="clear" w:color="auto" w:fill="C6EFCE"/>
          </w:tcPr>
          <w:p w14:paraId="2DA2DBB6" w14:textId="77777777" w:rsidR="0065073E" w:rsidRDefault="000A0998">
            <w:pPr>
              <w:pStyle w:val="P68B1DB1-Normal12"/>
              <w:jc w:val="center"/>
              <w:rPr>
                <w:rFonts w:cs="Times New Roman"/>
                <w:noProof/>
              </w:rPr>
            </w:pPr>
            <w:r>
              <w:rPr>
                <w:noProof/>
              </w:rPr>
              <w:t>C11.I3</w:t>
            </w:r>
          </w:p>
        </w:tc>
        <w:tc>
          <w:tcPr>
            <w:tcW w:w="1021" w:type="dxa"/>
            <w:shd w:val="clear" w:color="auto" w:fill="C6EFCE"/>
          </w:tcPr>
          <w:p w14:paraId="5BD39C5F"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6022DEBF" w14:textId="77777777" w:rsidR="0065073E" w:rsidRDefault="000A0998">
            <w:pPr>
              <w:pStyle w:val="P68B1DB1-Normal12"/>
              <w:rPr>
                <w:rFonts w:cs="Times New Roman"/>
                <w:noProof/>
              </w:rPr>
            </w:pPr>
            <w:r>
              <w:rPr>
                <w:noProof/>
              </w:rPr>
              <w:t>Alue- ja paikallisyhteisöjen digitalisointi</w:t>
            </w:r>
          </w:p>
        </w:tc>
        <w:tc>
          <w:tcPr>
            <w:tcW w:w="1442" w:type="dxa"/>
            <w:shd w:val="clear" w:color="auto" w:fill="C6EFCE"/>
          </w:tcPr>
          <w:p w14:paraId="34C8375B" w14:textId="77777777" w:rsidR="0065073E" w:rsidRDefault="000A0998">
            <w:pPr>
              <w:pStyle w:val="P68B1DB1-Normal12"/>
              <w:jc w:val="center"/>
              <w:rPr>
                <w:rFonts w:cs="Times New Roman"/>
                <w:noProof/>
              </w:rPr>
            </w:pPr>
            <w:r>
              <w:rPr>
                <w:noProof/>
              </w:rPr>
              <w:t>Aluepolitiikasta ja julkishallinnosta vastaava ministeriö toimittaa allekirjoitetun todistuksen siitä, että tavoite on saavutettu.</w:t>
            </w:r>
          </w:p>
        </w:tc>
        <w:tc>
          <w:tcPr>
            <w:tcW w:w="1082" w:type="dxa"/>
            <w:shd w:val="clear" w:color="auto" w:fill="C6EFCE"/>
          </w:tcPr>
          <w:p w14:paraId="00005C1A"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28DA1435"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51460906"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06D515A8"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37AC85C7" w14:textId="77777777" w:rsidR="0065073E" w:rsidRDefault="000A0998">
            <w:pPr>
              <w:pStyle w:val="P68B1DB1-Normal12"/>
              <w:jc w:val="center"/>
              <w:rPr>
                <w:rFonts w:cs="Times New Roman"/>
                <w:noProof/>
              </w:rPr>
            </w:pPr>
            <w:r>
              <w:rPr>
                <w:noProof/>
              </w:rPr>
              <w:t>2023</w:t>
            </w:r>
          </w:p>
        </w:tc>
        <w:tc>
          <w:tcPr>
            <w:tcW w:w="3998" w:type="dxa"/>
            <w:shd w:val="clear" w:color="auto" w:fill="C6EFCE"/>
          </w:tcPr>
          <w:p w14:paraId="70950286" w14:textId="77777777" w:rsidR="0065073E" w:rsidRDefault="000A0998">
            <w:pPr>
              <w:pStyle w:val="P68B1DB1-Normal12"/>
              <w:rPr>
                <w:rFonts w:cs="Times New Roman"/>
                <w:noProof/>
              </w:rPr>
            </w:pPr>
            <w:r>
              <w:rPr>
                <w:noProof/>
              </w:rPr>
              <w:t>Itsehallintoalueet ja paikallishallinnot ovat saattaneet päätökseen hankkeita, jotka sisältyvät digitaalistrategiaan 2025, julkishallinnon digitalisointisuunnitelmaan ja muuhun julkiselle sektorille suunniteltuun nykyaikaistamistoimeen. Erityisesti: a) Kukin autonominen alue on saattanut päätökseen vähintään yhden hankkeen yhdellä viidestä strategisesta toimintalinjasta (1. Kansalaisiin suuntautunut hallinto, 2. Älykkäät toiminnot, 3. Datahallinto, 4. Digitaaliset infrastruktuurit ja/tai 5. Kyberturvallisuus); b) 60 % aluehallintojen digitaalisista menettelyistä</w:t>
            </w:r>
            <w:r>
              <w:rPr>
                <w:i/>
                <w:noProof/>
              </w:rPr>
              <w:t>(Comunidades Autónomas</w:t>
            </w:r>
            <w:r>
              <w:rPr>
                <w:noProof/>
              </w:rPr>
              <w:t xml:space="preserve">) mahdollistaa niiden käytön mobiilikäytössä (nykyinen: 48 PROSENTTIA. </w:t>
            </w:r>
          </w:p>
        </w:tc>
      </w:tr>
      <w:tr w:rsidR="0065073E" w14:paraId="29457D88" w14:textId="77777777">
        <w:trPr>
          <w:trHeight w:val="309"/>
        </w:trPr>
        <w:tc>
          <w:tcPr>
            <w:tcW w:w="1223" w:type="dxa"/>
            <w:shd w:val="clear" w:color="auto" w:fill="C6EFCE"/>
          </w:tcPr>
          <w:p w14:paraId="43DD2ED9" w14:textId="77777777" w:rsidR="0065073E" w:rsidRDefault="000A0998">
            <w:pPr>
              <w:pStyle w:val="P68B1DB1-Normal12"/>
              <w:jc w:val="center"/>
              <w:rPr>
                <w:rFonts w:cs="Times New Roman"/>
                <w:noProof/>
              </w:rPr>
            </w:pPr>
            <w:r>
              <w:rPr>
                <w:noProof/>
              </w:rPr>
              <w:t>168</w:t>
            </w:r>
          </w:p>
        </w:tc>
        <w:tc>
          <w:tcPr>
            <w:tcW w:w="1448" w:type="dxa"/>
            <w:shd w:val="clear" w:color="auto" w:fill="C6EFCE"/>
          </w:tcPr>
          <w:p w14:paraId="175B0B9C" w14:textId="77777777" w:rsidR="0065073E" w:rsidRDefault="000A0998">
            <w:pPr>
              <w:pStyle w:val="P68B1DB1-Normal12"/>
              <w:jc w:val="center"/>
              <w:rPr>
                <w:rFonts w:cs="Times New Roman"/>
                <w:noProof/>
              </w:rPr>
            </w:pPr>
            <w:r>
              <w:rPr>
                <w:noProof/>
              </w:rPr>
              <w:t>C11.I3</w:t>
            </w:r>
          </w:p>
        </w:tc>
        <w:tc>
          <w:tcPr>
            <w:tcW w:w="1021" w:type="dxa"/>
            <w:shd w:val="clear" w:color="auto" w:fill="C6EFCE"/>
          </w:tcPr>
          <w:p w14:paraId="1AD90BCF"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13A6B727" w14:textId="77777777" w:rsidR="0065073E" w:rsidRDefault="000A0998">
            <w:pPr>
              <w:pStyle w:val="P68B1DB1-Normal12"/>
              <w:rPr>
                <w:rFonts w:cs="Times New Roman"/>
                <w:noProof/>
              </w:rPr>
            </w:pPr>
            <w:r>
              <w:rPr>
                <w:noProof/>
              </w:rPr>
              <w:t>Alue- ja paikallishallinnon sekä aluepolitiikasta ja julkishallinnosta vastaavan ministeriön digitalisaatiota tukevien hankkeiden myöntäminen</w:t>
            </w:r>
          </w:p>
        </w:tc>
        <w:tc>
          <w:tcPr>
            <w:tcW w:w="1442" w:type="dxa"/>
            <w:shd w:val="clear" w:color="auto" w:fill="C6EFCE"/>
          </w:tcPr>
          <w:p w14:paraId="7DCD1A6C"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407B9779" w14:textId="77777777" w:rsidR="0065073E" w:rsidRDefault="000A0998">
            <w:pPr>
              <w:pStyle w:val="P68B1DB1-Normal12"/>
              <w:rPr>
                <w:rFonts w:cs="Times New Roman"/>
                <w:noProof/>
              </w:rPr>
            </w:pPr>
            <w:r>
              <w:rPr>
                <w:noProof/>
              </w:rPr>
              <w:t>Miljoonaa euroa</w:t>
            </w:r>
          </w:p>
        </w:tc>
        <w:tc>
          <w:tcPr>
            <w:tcW w:w="992" w:type="dxa"/>
            <w:shd w:val="clear" w:color="auto" w:fill="C6EFCE"/>
          </w:tcPr>
          <w:p w14:paraId="606EC8B5" w14:textId="77777777" w:rsidR="0065073E" w:rsidRDefault="000A0998">
            <w:pPr>
              <w:pStyle w:val="P68B1DB1-Normal12"/>
              <w:jc w:val="right"/>
              <w:rPr>
                <w:rFonts w:cs="Times New Roman"/>
                <w:noProof/>
              </w:rPr>
            </w:pPr>
            <w:r>
              <w:rPr>
                <w:noProof/>
              </w:rPr>
              <w:t>0</w:t>
            </w:r>
          </w:p>
        </w:tc>
        <w:tc>
          <w:tcPr>
            <w:tcW w:w="709" w:type="dxa"/>
            <w:shd w:val="clear" w:color="auto" w:fill="C6EFCE"/>
          </w:tcPr>
          <w:p w14:paraId="1516BA19" w14:textId="77777777" w:rsidR="0065073E" w:rsidRDefault="000A0998">
            <w:pPr>
              <w:pStyle w:val="P68B1DB1-Normal12"/>
              <w:jc w:val="right"/>
              <w:rPr>
                <w:rFonts w:cs="Times New Roman"/>
                <w:noProof/>
              </w:rPr>
            </w:pPr>
            <w:r>
              <w:rPr>
                <w:noProof/>
              </w:rPr>
              <w:t>1 000</w:t>
            </w:r>
          </w:p>
        </w:tc>
        <w:tc>
          <w:tcPr>
            <w:tcW w:w="567" w:type="dxa"/>
            <w:shd w:val="clear" w:color="auto" w:fill="C6EFCE"/>
          </w:tcPr>
          <w:p w14:paraId="23EE0B9A" w14:textId="77777777"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7E3FE776" w14:textId="77777777" w:rsidR="0065073E" w:rsidRDefault="000A0998">
            <w:pPr>
              <w:pStyle w:val="P68B1DB1-Normal12"/>
              <w:jc w:val="center"/>
              <w:rPr>
                <w:rFonts w:cs="Times New Roman"/>
                <w:noProof/>
              </w:rPr>
            </w:pPr>
            <w:r>
              <w:rPr>
                <w:noProof/>
              </w:rPr>
              <w:t>2025</w:t>
            </w:r>
          </w:p>
        </w:tc>
        <w:tc>
          <w:tcPr>
            <w:tcW w:w="3998" w:type="dxa"/>
            <w:shd w:val="clear" w:color="auto" w:fill="C6EFCE"/>
          </w:tcPr>
          <w:p w14:paraId="749F95DF" w14:textId="77777777" w:rsidR="0065073E" w:rsidRDefault="000A0998">
            <w:pPr>
              <w:rPr>
                <w:rFonts w:ascii="Times New Roman" w:hAnsi="Times New Roman" w:cs="Times New Roman"/>
                <w:noProof/>
                <w:sz w:val="18"/>
              </w:rPr>
            </w:pPr>
            <w:r>
              <w:rPr>
                <w:rFonts w:ascii="Times New Roman" w:hAnsi="Times New Roman"/>
                <w:noProof/>
                <w:sz w:val="18"/>
              </w:rPr>
              <w:t xml:space="preserve">Julkaistaan EUVL:ssä tai julkisia hankintoja käsittelevässä foorumissa hankkeita, jotka koskevat seuraavia aloja: </w:t>
            </w:r>
            <w:r>
              <w:rPr>
                <w:noProof/>
              </w:rPr>
              <w:t xml:space="preserve"> </w:t>
            </w:r>
            <w:r>
              <w:rPr>
                <w:noProof/>
              </w:rPr>
              <w:br/>
            </w:r>
            <w:r>
              <w:rPr>
                <w:rFonts w:ascii="Times New Roman" w:hAnsi="Times New Roman"/>
                <w:noProof/>
                <w:sz w:val="18"/>
              </w:rPr>
              <w:t>— Digitaalinen muutos proaktiivisuuden, liikkuvuuden ja käyttäjäkokemuksen osalta</w:t>
            </w:r>
            <w:r>
              <w:rPr>
                <w:noProof/>
              </w:rPr>
              <w:t xml:space="preserve"> </w:t>
            </w:r>
            <w:r>
              <w:rPr>
                <w:noProof/>
              </w:rPr>
              <w:br/>
            </w:r>
            <w:r>
              <w:rPr>
                <w:rFonts w:ascii="Times New Roman" w:hAnsi="Times New Roman"/>
                <w:noProof/>
                <w:sz w:val="18"/>
              </w:rPr>
              <w:t>— Digitalisoituminen automaation ja datakeskeisen julkishallinnon osalta</w:t>
            </w:r>
            <w:r>
              <w:rPr>
                <w:noProof/>
              </w:rPr>
              <w:t xml:space="preserve"> </w:t>
            </w:r>
            <w:r>
              <w:rPr>
                <w:noProof/>
              </w:rPr>
              <w:br/>
            </w:r>
            <w:r>
              <w:rPr>
                <w:rFonts w:ascii="Times New Roman" w:hAnsi="Times New Roman"/>
                <w:noProof/>
                <w:sz w:val="18"/>
              </w:rPr>
              <w:t>— Digitaalinen muutos fyysisten ja loogisten infrastruktuurien ja ohjelmistojen osalta;</w:t>
            </w:r>
            <w:r>
              <w:rPr>
                <w:noProof/>
              </w:rPr>
              <w:t xml:space="preserve"> </w:t>
            </w:r>
            <w:r>
              <w:rPr>
                <w:noProof/>
              </w:rPr>
              <w:br/>
            </w:r>
            <w:r>
              <w:rPr>
                <w:rFonts w:ascii="Times New Roman" w:hAnsi="Times New Roman"/>
                <w:noProof/>
                <w:sz w:val="18"/>
              </w:rPr>
              <w:t>— Digitaalinen muutos kyberturvallisuuden kannalta.</w:t>
            </w:r>
          </w:p>
        </w:tc>
      </w:tr>
      <w:tr w:rsidR="0065073E" w14:paraId="70646FC0" w14:textId="77777777">
        <w:trPr>
          <w:trHeight w:val="309"/>
        </w:trPr>
        <w:tc>
          <w:tcPr>
            <w:tcW w:w="1223" w:type="dxa"/>
            <w:shd w:val="clear" w:color="auto" w:fill="C6EFCE"/>
          </w:tcPr>
          <w:p w14:paraId="69ED8513" w14:textId="77777777" w:rsidR="0065073E" w:rsidRDefault="000A0998">
            <w:pPr>
              <w:pStyle w:val="P68B1DB1-Normal12"/>
              <w:jc w:val="center"/>
              <w:rPr>
                <w:rFonts w:cs="Times New Roman"/>
                <w:noProof/>
              </w:rPr>
            </w:pPr>
            <w:r>
              <w:rPr>
                <w:noProof/>
              </w:rPr>
              <w:t>169</w:t>
            </w:r>
          </w:p>
        </w:tc>
        <w:tc>
          <w:tcPr>
            <w:tcW w:w="1448" w:type="dxa"/>
            <w:shd w:val="clear" w:color="auto" w:fill="C6EFCE"/>
          </w:tcPr>
          <w:p w14:paraId="58170C5B" w14:textId="77777777" w:rsidR="0065073E" w:rsidRDefault="000A0998">
            <w:pPr>
              <w:pStyle w:val="P68B1DB1-Normal12"/>
              <w:jc w:val="center"/>
              <w:rPr>
                <w:rFonts w:cs="Times New Roman"/>
                <w:noProof/>
              </w:rPr>
            </w:pPr>
            <w:r>
              <w:rPr>
                <w:noProof/>
              </w:rPr>
              <w:t>C11.I3</w:t>
            </w:r>
          </w:p>
        </w:tc>
        <w:tc>
          <w:tcPr>
            <w:tcW w:w="1021" w:type="dxa"/>
            <w:shd w:val="clear" w:color="auto" w:fill="C6EFCE"/>
          </w:tcPr>
          <w:p w14:paraId="0741F2D4"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080D547C" w14:textId="77777777" w:rsidR="0065073E" w:rsidRDefault="000A0998">
            <w:pPr>
              <w:pStyle w:val="P68B1DB1-Normal12"/>
              <w:rPr>
                <w:rFonts w:cs="Times New Roman"/>
                <w:noProof/>
              </w:rPr>
            </w:pPr>
            <w:r>
              <w:rPr>
                <w:noProof/>
              </w:rPr>
              <w:t>Kaikkien alue- ja paikallishallinnon sekä aluepolitiikasta ja julkishallinnosta vastaavan ministeriön digitalisaatiota tukevien hankkeiden loppuun saattaminen</w:t>
            </w:r>
          </w:p>
        </w:tc>
        <w:tc>
          <w:tcPr>
            <w:tcW w:w="1442" w:type="dxa"/>
            <w:shd w:val="clear" w:color="auto" w:fill="C6EFCE"/>
          </w:tcPr>
          <w:p w14:paraId="026EC5A2" w14:textId="77777777" w:rsidR="0065073E" w:rsidRDefault="000A0998">
            <w:pPr>
              <w:pStyle w:val="P68B1DB1-Normal12"/>
              <w:jc w:val="center"/>
              <w:rPr>
                <w:rFonts w:cs="Times New Roman"/>
                <w:noProof/>
              </w:rPr>
            </w:pPr>
            <w:r>
              <w:rPr>
                <w:noProof/>
              </w:rPr>
              <w:t>Toimivaltaisen viranomaisen allekirjoittamat todistukset siitä, että hankkeet on saatettu päätökseen ja että ne ovat toiminnassa</w:t>
            </w:r>
          </w:p>
        </w:tc>
        <w:tc>
          <w:tcPr>
            <w:tcW w:w="1082" w:type="dxa"/>
            <w:shd w:val="clear" w:color="auto" w:fill="C6EFCE"/>
          </w:tcPr>
          <w:p w14:paraId="6EA08E3F"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207E0226"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1D252E91"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36784472" w14:textId="77777777"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3EE6A61A" w14:textId="77777777" w:rsidR="0065073E" w:rsidRDefault="000A0998">
            <w:pPr>
              <w:pStyle w:val="P68B1DB1-Normal12"/>
              <w:jc w:val="center"/>
              <w:rPr>
                <w:rFonts w:cs="Times New Roman"/>
                <w:noProof/>
              </w:rPr>
            </w:pPr>
            <w:r>
              <w:rPr>
                <w:noProof/>
              </w:rPr>
              <w:t>2026</w:t>
            </w:r>
          </w:p>
        </w:tc>
        <w:tc>
          <w:tcPr>
            <w:tcW w:w="3998" w:type="dxa"/>
            <w:shd w:val="clear" w:color="auto" w:fill="C6EFCE"/>
          </w:tcPr>
          <w:p w14:paraId="317F015F" w14:textId="77777777" w:rsidR="0065073E" w:rsidRDefault="000A0998">
            <w:pPr>
              <w:rPr>
                <w:rFonts w:ascii="Times New Roman" w:hAnsi="Times New Roman" w:cs="Times New Roman"/>
                <w:noProof/>
                <w:sz w:val="18"/>
              </w:rPr>
            </w:pPr>
            <w:r>
              <w:rPr>
                <w:rFonts w:ascii="Times New Roman" w:hAnsi="Times New Roman"/>
                <w:noProof/>
                <w:sz w:val="18"/>
              </w:rPr>
              <w:t>Kaikkien seuraavia aloja koskevien hankkeiden loppuun saattaminen (tavoitteen #168 mukaisesti)</w:t>
            </w:r>
            <w:r>
              <w:rPr>
                <w:noProof/>
              </w:rPr>
              <w:t xml:space="preserve"> </w:t>
            </w:r>
            <w:r>
              <w:rPr>
                <w:noProof/>
              </w:rPr>
              <w:br/>
            </w:r>
            <w:r>
              <w:rPr>
                <w:rFonts w:ascii="Times New Roman" w:hAnsi="Times New Roman"/>
                <w:noProof/>
                <w:sz w:val="18"/>
              </w:rPr>
              <w:t>Digitaalinen muutos proaktiivisuuden, liikkuvuuden ja käyttäjäkokemuksen osalta</w:t>
            </w:r>
            <w:r>
              <w:rPr>
                <w:noProof/>
              </w:rPr>
              <w:t xml:space="preserve"> </w:t>
            </w:r>
            <w:r>
              <w:rPr>
                <w:noProof/>
              </w:rPr>
              <w:br/>
              <w:t xml:space="preserve"> </w:t>
            </w:r>
            <w:r>
              <w:rPr>
                <w:rFonts w:ascii="Times New Roman" w:hAnsi="Times New Roman"/>
                <w:noProof/>
                <w:sz w:val="18"/>
              </w:rPr>
              <w:t>Digitaalinen muutos automaation ja datakeskeisen julkishallinnon osalta</w:t>
            </w:r>
            <w:r>
              <w:rPr>
                <w:noProof/>
              </w:rPr>
              <w:t xml:space="preserve"> </w:t>
            </w:r>
            <w:r>
              <w:rPr>
                <w:noProof/>
              </w:rPr>
              <w:br/>
              <w:t xml:space="preserve"> </w:t>
            </w:r>
            <w:r>
              <w:rPr>
                <w:rFonts w:ascii="Times New Roman" w:hAnsi="Times New Roman"/>
                <w:noProof/>
                <w:sz w:val="18"/>
              </w:rPr>
              <w:t>— Digitaalinen muutos fyysisten ja loogisten infrastruktuurien ja ohjelmistojen osalta.</w:t>
            </w:r>
            <w:r>
              <w:rPr>
                <w:noProof/>
              </w:rPr>
              <w:t xml:space="preserve"> </w:t>
            </w:r>
            <w:r>
              <w:rPr>
                <w:noProof/>
              </w:rPr>
              <w:br/>
            </w:r>
            <w:r>
              <w:rPr>
                <w:rFonts w:ascii="Times New Roman" w:hAnsi="Times New Roman"/>
                <w:noProof/>
                <w:sz w:val="18"/>
              </w:rPr>
              <w:t>— Digitaalinen muutos kyberturvallisuuden kannalta.</w:t>
            </w:r>
          </w:p>
        </w:tc>
      </w:tr>
      <w:tr w:rsidR="0065073E" w14:paraId="6A151996" w14:textId="77777777">
        <w:trPr>
          <w:trHeight w:val="309"/>
        </w:trPr>
        <w:tc>
          <w:tcPr>
            <w:tcW w:w="1223" w:type="dxa"/>
            <w:shd w:val="clear" w:color="auto" w:fill="C6EFCE"/>
          </w:tcPr>
          <w:p w14:paraId="211C1731" w14:textId="70CDA916" w:rsidR="0065073E" w:rsidRDefault="000A0998">
            <w:pPr>
              <w:pStyle w:val="P68B1DB1-Normal12"/>
              <w:jc w:val="center"/>
              <w:rPr>
                <w:rFonts w:cs="Times New Roman"/>
                <w:noProof/>
              </w:rPr>
            </w:pPr>
            <w:r>
              <w:rPr>
                <w:noProof/>
              </w:rPr>
              <w:t>438</w:t>
            </w:r>
          </w:p>
        </w:tc>
        <w:tc>
          <w:tcPr>
            <w:tcW w:w="1448" w:type="dxa"/>
            <w:shd w:val="clear" w:color="auto" w:fill="C6EFCE"/>
          </w:tcPr>
          <w:p w14:paraId="4DB2848C" w14:textId="1CDC9673" w:rsidR="0065073E" w:rsidRDefault="000A0998">
            <w:pPr>
              <w:pStyle w:val="P68B1DB1-Normal12"/>
              <w:jc w:val="center"/>
              <w:rPr>
                <w:rFonts w:cs="Times New Roman"/>
                <w:noProof/>
              </w:rPr>
            </w:pPr>
            <w:r>
              <w:rPr>
                <w:noProof/>
              </w:rPr>
              <w:t>C11.I3</w:t>
            </w:r>
          </w:p>
        </w:tc>
        <w:tc>
          <w:tcPr>
            <w:tcW w:w="1021" w:type="dxa"/>
            <w:shd w:val="clear" w:color="auto" w:fill="C6EFCE"/>
          </w:tcPr>
          <w:p w14:paraId="5493CF37" w14:textId="55846B27" w:rsidR="0065073E" w:rsidRDefault="000A0998">
            <w:pPr>
              <w:pStyle w:val="P68B1DB1-Normal12"/>
              <w:jc w:val="center"/>
              <w:rPr>
                <w:rFonts w:cs="Times New Roman"/>
                <w:noProof/>
              </w:rPr>
            </w:pPr>
            <w:r>
              <w:rPr>
                <w:noProof/>
              </w:rPr>
              <w:t>T</w:t>
            </w:r>
          </w:p>
        </w:tc>
        <w:tc>
          <w:tcPr>
            <w:tcW w:w="1631" w:type="dxa"/>
            <w:shd w:val="clear" w:color="auto" w:fill="C6EFCE"/>
          </w:tcPr>
          <w:p w14:paraId="45816173" w14:textId="540FABE8" w:rsidR="0065073E" w:rsidRDefault="000A0998">
            <w:pPr>
              <w:pStyle w:val="P68B1DB1-Normal12"/>
              <w:rPr>
                <w:rFonts w:cs="Times New Roman"/>
                <w:noProof/>
              </w:rPr>
            </w:pPr>
            <w:r>
              <w:rPr>
                <w:noProof/>
              </w:rPr>
              <w:t>Henkilökohtainen digitaalinen hoitosuunnitelma toteutettu</w:t>
            </w:r>
          </w:p>
        </w:tc>
        <w:tc>
          <w:tcPr>
            <w:tcW w:w="1442" w:type="dxa"/>
            <w:shd w:val="clear" w:color="auto" w:fill="C6EFCE"/>
          </w:tcPr>
          <w:p w14:paraId="0F8444E8" w14:textId="7842BCF8"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605440BC" w14:textId="33586031" w:rsidR="0065073E" w:rsidRDefault="000A0998">
            <w:pPr>
              <w:pStyle w:val="P68B1DB1-Normal12"/>
              <w:rPr>
                <w:rFonts w:cs="Times New Roman"/>
                <w:noProof/>
              </w:rPr>
            </w:pPr>
            <w:r>
              <w:rPr>
                <w:noProof/>
              </w:rPr>
              <w:t>Määrä</w:t>
            </w:r>
          </w:p>
        </w:tc>
        <w:tc>
          <w:tcPr>
            <w:tcW w:w="992" w:type="dxa"/>
            <w:shd w:val="clear" w:color="auto" w:fill="C6EFCE"/>
          </w:tcPr>
          <w:p w14:paraId="1B445EF1" w14:textId="606F196E" w:rsidR="0065073E" w:rsidRDefault="000A0998">
            <w:pPr>
              <w:pStyle w:val="P68B1DB1-Normal12"/>
              <w:jc w:val="right"/>
              <w:rPr>
                <w:rFonts w:cs="Times New Roman"/>
                <w:noProof/>
              </w:rPr>
            </w:pPr>
            <w:r>
              <w:rPr>
                <w:noProof/>
              </w:rPr>
              <w:t>0</w:t>
            </w:r>
          </w:p>
        </w:tc>
        <w:tc>
          <w:tcPr>
            <w:tcW w:w="709" w:type="dxa"/>
            <w:shd w:val="clear" w:color="auto" w:fill="C6EFCE"/>
          </w:tcPr>
          <w:p w14:paraId="28FAF395" w14:textId="212F84CD" w:rsidR="0065073E" w:rsidRDefault="000A0998">
            <w:pPr>
              <w:pStyle w:val="P68B1DB1-Normal12"/>
              <w:jc w:val="right"/>
              <w:rPr>
                <w:rFonts w:cs="Times New Roman"/>
                <w:noProof/>
              </w:rPr>
            </w:pPr>
            <w:r>
              <w:rPr>
                <w:noProof/>
              </w:rPr>
              <w:t>17</w:t>
            </w:r>
          </w:p>
        </w:tc>
        <w:tc>
          <w:tcPr>
            <w:tcW w:w="567" w:type="dxa"/>
            <w:shd w:val="clear" w:color="auto" w:fill="C6EFCE"/>
          </w:tcPr>
          <w:p w14:paraId="3E5F5F2A" w14:textId="37067F45"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6BD2A566" w14:textId="0F4D48E5" w:rsidR="0065073E" w:rsidRDefault="000A0998">
            <w:pPr>
              <w:pStyle w:val="P68B1DB1-Normal12"/>
              <w:jc w:val="center"/>
              <w:rPr>
                <w:rFonts w:cs="Times New Roman"/>
                <w:noProof/>
              </w:rPr>
            </w:pPr>
            <w:r>
              <w:rPr>
                <w:noProof/>
              </w:rPr>
              <w:t>2026</w:t>
            </w:r>
          </w:p>
        </w:tc>
        <w:tc>
          <w:tcPr>
            <w:tcW w:w="3998" w:type="dxa"/>
            <w:shd w:val="clear" w:color="auto" w:fill="C6EFCE"/>
          </w:tcPr>
          <w:p w14:paraId="22F22FF7" w14:textId="77777777" w:rsidR="0065073E" w:rsidRDefault="000A0998">
            <w:pPr>
              <w:pStyle w:val="P68B1DB1-Normal12"/>
              <w:rPr>
                <w:rFonts w:cs="Times New Roman"/>
                <w:noProof/>
              </w:rPr>
            </w:pPr>
            <w:r>
              <w:rPr>
                <w:noProof/>
              </w:rPr>
              <w:t>Saatetaan päätökseen vähintään 17 pilottihanketta osana henkilökohtaista digitaalista hoivaa koskevaa suunnitelmaa, joilla edistetään Espanjan digitaalistrategian 2025 tavoitetta edistää yksilöllistä hoitoa kansalaisten tarpeiden mukaan. Hankkeissa on käsiteltävä digitalisaation kautta vähintään yhtä seuraavista aloista:</w:t>
            </w:r>
          </w:p>
          <w:p w14:paraId="4026E81A" w14:textId="77777777" w:rsidR="0065073E" w:rsidRDefault="000A0998">
            <w:pPr>
              <w:pStyle w:val="P68B1DB1-Normal12"/>
              <w:rPr>
                <w:rFonts w:cs="Times New Roman"/>
                <w:noProof/>
              </w:rPr>
            </w:pPr>
            <w:r>
              <w:rPr>
                <w:noProof/>
              </w:rPr>
              <w:t>Tietojen kerääminen: potilastietojen keräämistä, tallentamista ja tulkintaa koskevien tietoteknisten ratkaisujen testaaminen</w:t>
            </w:r>
          </w:p>
          <w:p w14:paraId="2FA31153" w14:textId="77777777" w:rsidR="0065073E" w:rsidRDefault="000A0998">
            <w:pPr>
              <w:pStyle w:val="P68B1DB1-Normal12"/>
              <w:rPr>
                <w:rFonts w:cs="Times New Roman"/>
                <w:noProof/>
              </w:rPr>
            </w:pPr>
            <w:r>
              <w:rPr>
                <w:noProof/>
              </w:rPr>
              <w:t>Yksilöllinen digitaalinen hoito: yksilöllisen digitaalisen hoidon tarjoamiseen tarkoitettujen välineiden ja/tai yleishyödyllisten palvelujen testaus</w:t>
            </w:r>
          </w:p>
          <w:p w14:paraId="1DDC7BDD" w14:textId="77777777" w:rsidR="0065073E" w:rsidRDefault="000A0998">
            <w:pPr>
              <w:pStyle w:val="P68B1DB1-Normal12"/>
              <w:rPr>
                <w:rFonts w:cs="Times New Roman"/>
                <w:noProof/>
              </w:rPr>
            </w:pPr>
            <w:r>
              <w:rPr>
                <w:noProof/>
              </w:rPr>
              <w:t>Sellaisten välineiden ja/tai yleishyödyllisten palvelujen tiedon tuottamisen testaus, jotka perustuvat saatuihin potilastietoihin ja auttavat ammattilaisia diagnosoimaan tai seuraamaan potilaita.</w:t>
            </w:r>
          </w:p>
          <w:p w14:paraId="0B201D6A" w14:textId="2E88978A" w:rsidR="0065073E" w:rsidRDefault="000A0998">
            <w:pPr>
              <w:pStyle w:val="P68B1DB1-Normal12"/>
              <w:rPr>
                <w:rFonts w:cs="Times New Roman"/>
                <w:noProof/>
              </w:rPr>
            </w:pPr>
            <w:r>
              <w:rPr>
                <w:noProof/>
              </w:rPr>
              <w:t>Kun pilottihankkeet on saatu päätökseen, julkaistaan alustava arviointi, jossa arvioidaan pilottihankkeiden tehokkuutta ja niiden vaikutusta terveyspalvelujen parantamiseen, mukaan lukien erityiset suositukset, jos puutteita tai heikkouksia havaitaan.</w:t>
            </w:r>
          </w:p>
        </w:tc>
      </w:tr>
      <w:tr w:rsidR="0065073E" w14:paraId="2EC2DAE2" w14:textId="77777777">
        <w:trPr>
          <w:trHeight w:val="309"/>
        </w:trPr>
        <w:tc>
          <w:tcPr>
            <w:tcW w:w="1223" w:type="dxa"/>
            <w:shd w:val="clear" w:color="auto" w:fill="C6EFCE"/>
          </w:tcPr>
          <w:p w14:paraId="58201B93" w14:textId="77777777" w:rsidR="0065073E" w:rsidRDefault="000A0998">
            <w:pPr>
              <w:pStyle w:val="P68B1DB1-Normal12"/>
              <w:jc w:val="center"/>
              <w:rPr>
                <w:rFonts w:cs="Times New Roman"/>
                <w:noProof/>
              </w:rPr>
            </w:pPr>
            <w:r>
              <w:rPr>
                <w:noProof/>
              </w:rPr>
              <w:t>170</w:t>
            </w:r>
          </w:p>
        </w:tc>
        <w:tc>
          <w:tcPr>
            <w:tcW w:w="1448" w:type="dxa"/>
            <w:shd w:val="clear" w:color="auto" w:fill="C6EFCE"/>
          </w:tcPr>
          <w:p w14:paraId="62CEB5EF" w14:textId="77777777" w:rsidR="0065073E" w:rsidRDefault="000A0998">
            <w:pPr>
              <w:pStyle w:val="P68B1DB1-Normal12"/>
              <w:jc w:val="center"/>
              <w:rPr>
                <w:rFonts w:cs="Times New Roman"/>
                <w:noProof/>
              </w:rPr>
            </w:pPr>
            <w:r>
              <w:rPr>
                <w:noProof/>
              </w:rPr>
              <w:t>C11.I4</w:t>
            </w:r>
          </w:p>
        </w:tc>
        <w:tc>
          <w:tcPr>
            <w:tcW w:w="1021" w:type="dxa"/>
            <w:shd w:val="clear" w:color="auto" w:fill="C6EFCE"/>
          </w:tcPr>
          <w:p w14:paraId="2F26825E"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7364233E" w14:textId="77777777" w:rsidR="0065073E" w:rsidRDefault="000A0998">
            <w:pPr>
              <w:pStyle w:val="P68B1DB1-Normal12"/>
              <w:rPr>
                <w:rFonts w:cs="Times New Roman"/>
                <w:noProof/>
              </w:rPr>
            </w:pPr>
            <w:r>
              <w:rPr>
                <w:noProof/>
              </w:rPr>
              <w:t>Ajoneuvojen kunnostaminen julkishallinnossa</w:t>
            </w:r>
          </w:p>
        </w:tc>
        <w:tc>
          <w:tcPr>
            <w:tcW w:w="1442" w:type="dxa"/>
            <w:shd w:val="clear" w:color="auto" w:fill="C6EFCE"/>
          </w:tcPr>
          <w:p w14:paraId="63A8EC38"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627B135B" w14:textId="77777777" w:rsidR="0065073E" w:rsidRDefault="000A0998">
            <w:pPr>
              <w:pStyle w:val="P68B1DB1-Normal12"/>
              <w:rPr>
                <w:rFonts w:cs="Times New Roman"/>
                <w:noProof/>
              </w:rPr>
            </w:pPr>
            <w:r>
              <w:rPr>
                <w:noProof/>
              </w:rPr>
              <w:t>Määrä</w:t>
            </w:r>
          </w:p>
        </w:tc>
        <w:tc>
          <w:tcPr>
            <w:tcW w:w="992" w:type="dxa"/>
            <w:shd w:val="clear" w:color="auto" w:fill="C6EFCE"/>
          </w:tcPr>
          <w:p w14:paraId="26A2834B" w14:textId="77777777" w:rsidR="0065073E" w:rsidRDefault="000A0998">
            <w:pPr>
              <w:pStyle w:val="P68B1DB1-Normal12"/>
              <w:jc w:val="right"/>
              <w:rPr>
                <w:rFonts w:cs="Times New Roman"/>
                <w:noProof/>
              </w:rPr>
            </w:pPr>
            <w:r>
              <w:rPr>
                <w:noProof/>
              </w:rPr>
              <w:t>0</w:t>
            </w:r>
          </w:p>
        </w:tc>
        <w:tc>
          <w:tcPr>
            <w:tcW w:w="709" w:type="dxa"/>
            <w:shd w:val="clear" w:color="auto" w:fill="C6EFCE"/>
          </w:tcPr>
          <w:p w14:paraId="4393AA0A" w14:textId="49FE25DB" w:rsidR="0065073E" w:rsidRDefault="000A0998">
            <w:pPr>
              <w:pStyle w:val="P68B1DB1-Normal12"/>
              <w:jc w:val="right"/>
              <w:rPr>
                <w:rFonts w:cs="Times New Roman"/>
                <w:noProof/>
              </w:rPr>
            </w:pPr>
            <w:r>
              <w:rPr>
                <w:noProof/>
              </w:rPr>
              <w:t>5 500</w:t>
            </w:r>
          </w:p>
        </w:tc>
        <w:tc>
          <w:tcPr>
            <w:tcW w:w="567" w:type="dxa"/>
            <w:shd w:val="clear" w:color="auto" w:fill="C6EFCE"/>
          </w:tcPr>
          <w:p w14:paraId="12EF1AA7" w14:textId="35FF11E9" w:rsidR="0065073E" w:rsidRDefault="000A0998">
            <w:pPr>
              <w:pStyle w:val="P68B1DB1-Normal12"/>
              <w:jc w:val="center"/>
              <w:rPr>
                <w:rFonts w:cs="Times New Roman"/>
                <w:noProof/>
              </w:rPr>
            </w:pPr>
            <w:r>
              <w:rPr>
                <w:noProof/>
              </w:rPr>
              <w:t>Q4</w:t>
            </w:r>
          </w:p>
        </w:tc>
        <w:tc>
          <w:tcPr>
            <w:tcW w:w="822" w:type="dxa"/>
            <w:shd w:val="clear" w:color="auto" w:fill="C6EFCE"/>
          </w:tcPr>
          <w:p w14:paraId="79DE240C" w14:textId="77777777" w:rsidR="0065073E" w:rsidRDefault="000A0998">
            <w:pPr>
              <w:pStyle w:val="P68B1DB1-Normal12"/>
              <w:jc w:val="center"/>
              <w:rPr>
                <w:rFonts w:cs="Times New Roman"/>
                <w:noProof/>
              </w:rPr>
            </w:pPr>
            <w:r>
              <w:rPr>
                <w:noProof/>
              </w:rPr>
              <w:t>2024</w:t>
            </w:r>
          </w:p>
        </w:tc>
        <w:tc>
          <w:tcPr>
            <w:tcW w:w="3998" w:type="dxa"/>
            <w:shd w:val="clear" w:color="auto" w:fill="C6EFCE"/>
          </w:tcPr>
          <w:p w14:paraId="5A19E714" w14:textId="72B13E44" w:rsidR="0065073E" w:rsidRDefault="000A0998">
            <w:pPr>
              <w:pStyle w:val="P68B1DB1-Normal12"/>
              <w:rPr>
                <w:rFonts w:cs="Times New Roman"/>
                <w:noProof/>
              </w:rPr>
            </w:pPr>
            <w:r>
              <w:rPr>
                <w:noProof/>
              </w:rPr>
              <w:t xml:space="preserve">Vähintään 5500 hiilidioksidipäästötöntä tai vähäpäästöistä ajoneuvoa (BEV, REEV, PHEV, FCEV), jotka korvaavat julkishallinnossa käytettäviin fossiilisiin polttoaineisiin perustuvia ajoneuvoja. </w:t>
            </w:r>
          </w:p>
        </w:tc>
      </w:tr>
      <w:tr w:rsidR="0065073E" w14:paraId="61842A22" w14:textId="77777777">
        <w:trPr>
          <w:trHeight w:val="309"/>
        </w:trPr>
        <w:tc>
          <w:tcPr>
            <w:tcW w:w="1223" w:type="dxa"/>
            <w:shd w:val="clear" w:color="auto" w:fill="C6EFCE"/>
          </w:tcPr>
          <w:p w14:paraId="0453EA2B" w14:textId="77777777" w:rsidR="0065073E" w:rsidRDefault="000A0998">
            <w:pPr>
              <w:pStyle w:val="P68B1DB1-Normal12"/>
              <w:jc w:val="center"/>
              <w:rPr>
                <w:rFonts w:cs="Times New Roman"/>
                <w:noProof/>
              </w:rPr>
            </w:pPr>
            <w:r>
              <w:rPr>
                <w:noProof/>
              </w:rPr>
              <w:t>171</w:t>
            </w:r>
          </w:p>
        </w:tc>
        <w:tc>
          <w:tcPr>
            <w:tcW w:w="1448" w:type="dxa"/>
            <w:shd w:val="clear" w:color="auto" w:fill="C6EFCE"/>
          </w:tcPr>
          <w:p w14:paraId="224B33D6" w14:textId="77777777" w:rsidR="0065073E" w:rsidRDefault="000A0998">
            <w:pPr>
              <w:pStyle w:val="P68B1DB1-Normal12"/>
              <w:jc w:val="center"/>
              <w:rPr>
                <w:rFonts w:cs="Times New Roman"/>
                <w:noProof/>
              </w:rPr>
            </w:pPr>
            <w:r>
              <w:rPr>
                <w:noProof/>
              </w:rPr>
              <w:t>C11.I4</w:t>
            </w:r>
          </w:p>
        </w:tc>
        <w:tc>
          <w:tcPr>
            <w:tcW w:w="1021" w:type="dxa"/>
            <w:shd w:val="clear" w:color="auto" w:fill="C6EFCE"/>
          </w:tcPr>
          <w:p w14:paraId="3A1065C5"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221D05EB" w14:textId="77777777" w:rsidR="0065073E" w:rsidRDefault="000A0998">
            <w:pPr>
              <w:pStyle w:val="P68B1DB1-Normal12"/>
              <w:rPr>
                <w:rFonts w:cs="Times New Roman"/>
                <w:noProof/>
              </w:rPr>
            </w:pPr>
            <w:r>
              <w:rPr>
                <w:noProof/>
              </w:rPr>
              <w:t>Julkisten rakennusten energiaperuskorjaus (140 000 m 2</w:t>
            </w:r>
            <w:r>
              <w:rPr>
                <w:noProof/>
                <w:vertAlign w:val="superscript"/>
              </w:rPr>
              <w:t>)</w:t>
            </w:r>
          </w:p>
        </w:tc>
        <w:tc>
          <w:tcPr>
            <w:tcW w:w="1442" w:type="dxa"/>
            <w:shd w:val="clear" w:color="auto" w:fill="C6EFCE"/>
          </w:tcPr>
          <w:p w14:paraId="4E78C98F"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0AD94DD7" w14:textId="77777777" w:rsidR="0065073E" w:rsidRDefault="000A0998">
            <w:pPr>
              <w:pStyle w:val="P68B1DB1-Normal12"/>
              <w:rPr>
                <w:rFonts w:cs="Times New Roman"/>
                <w:noProof/>
              </w:rPr>
            </w:pPr>
            <w:r>
              <w:rPr>
                <w:noProof/>
              </w:rPr>
              <w:t>Lukumäärä (m</w:t>
            </w:r>
            <w:r>
              <w:rPr>
                <w:noProof/>
                <w:vertAlign w:val="superscript"/>
              </w:rPr>
              <w:t>2</w:t>
            </w:r>
            <w:r>
              <w:rPr>
                <w:noProof/>
              </w:rPr>
              <w:t>)</w:t>
            </w:r>
          </w:p>
        </w:tc>
        <w:tc>
          <w:tcPr>
            <w:tcW w:w="992" w:type="dxa"/>
            <w:shd w:val="clear" w:color="auto" w:fill="C6EFCE"/>
          </w:tcPr>
          <w:p w14:paraId="4D8BF13E" w14:textId="77777777" w:rsidR="0065073E" w:rsidRDefault="000A0998">
            <w:pPr>
              <w:pStyle w:val="P68B1DB1-Normal12"/>
              <w:jc w:val="right"/>
              <w:rPr>
                <w:rFonts w:cs="Times New Roman"/>
                <w:noProof/>
              </w:rPr>
            </w:pPr>
            <w:r>
              <w:rPr>
                <w:noProof/>
              </w:rPr>
              <w:t>0</w:t>
            </w:r>
          </w:p>
        </w:tc>
        <w:tc>
          <w:tcPr>
            <w:tcW w:w="709" w:type="dxa"/>
            <w:shd w:val="clear" w:color="auto" w:fill="C6EFCE"/>
          </w:tcPr>
          <w:p w14:paraId="0CB2C3F3" w14:textId="77777777" w:rsidR="0065073E" w:rsidRDefault="000A0998">
            <w:pPr>
              <w:pStyle w:val="P68B1DB1-Normal12"/>
              <w:jc w:val="right"/>
              <w:rPr>
                <w:rFonts w:cs="Times New Roman"/>
                <w:noProof/>
              </w:rPr>
            </w:pPr>
            <w:r>
              <w:rPr>
                <w:noProof/>
              </w:rPr>
              <w:t>140 000</w:t>
            </w:r>
          </w:p>
        </w:tc>
        <w:tc>
          <w:tcPr>
            <w:tcW w:w="567" w:type="dxa"/>
            <w:shd w:val="clear" w:color="auto" w:fill="C6EFCE"/>
          </w:tcPr>
          <w:p w14:paraId="4113EE62"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34AD0CC7" w14:textId="77777777" w:rsidR="0065073E" w:rsidRDefault="000A0998">
            <w:pPr>
              <w:pStyle w:val="P68B1DB1-Normal12"/>
              <w:jc w:val="center"/>
              <w:rPr>
                <w:rFonts w:cs="Times New Roman"/>
                <w:noProof/>
              </w:rPr>
            </w:pPr>
            <w:r>
              <w:rPr>
                <w:noProof/>
              </w:rPr>
              <w:t>2024</w:t>
            </w:r>
          </w:p>
        </w:tc>
        <w:tc>
          <w:tcPr>
            <w:tcW w:w="3998" w:type="dxa"/>
            <w:shd w:val="clear" w:color="auto" w:fill="C6EFCE"/>
          </w:tcPr>
          <w:p w14:paraId="6DD00CB3" w14:textId="77777777" w:rsidR="0065073E" w:rsidRDefault="000A0998">
            <w:pPr>
              <w:pStyle w:val="P68B1DB1-Normal12"/>
              <w:rPr>
                <w:rFonts w:cs="Times New Roman"/>
                <w:noProof/>
              </w:rPr>
            </w:pPr>
            <w:r>
              <w:rPr>
                <w:noProof/>
              </w:rPr>
              <w:t>Vähintään 140 000 m 2 julkisissa rakennuksissa tehtyjä</w:t>
            </w:r>
            <w:r>
              <w:rPr>
                <w:noProof/>
                <w:vertAlign w:val="superscript"/>
              </w:rPr>
              <w:t>energiaperuskorjauksia</w:t>
            </w:r>
            <w:r>
              <w:rPr>
                <w:noProof/>
              </w:rPr>
              <w:t xml:space="preserve">, joilla saavutetaan keskimäärin vähintään 30 prosentin vähennys primäärienergian kysynnässä. </w:t>
            </w:r>
          </w:p>
        </w:tc>
      </w:tr>
      <w:tr w:rsidR="0065073E" w14:paraId="0ECAD83F" w14:textId="77777777">
        <w:trPr>
          <w:trHeight w:val="309"/>
        </w:trPr>
        <w:tc>
          <w:tcPr>
            <w:tcW w:w="1223" w:type="dxa"/>
            <w:shd w:val="clear" w:color="auto" w:fill="C6EFCE"/>
          </w:tcPr>
          <w:p w14:paraId="265144FA" w14:textId="77777777" w:rsidR="0065073E" w:rsidRDefault="000A0998">
            <w:pPr>
              <w:pStyle w:val="P68B1DB1-Normal12"/>
              <w:jc w:val="center"/>
              <w:rPr>
                <w:rFonts w:cs="Times New Roman"/>
                <w:noProof/>
              </w:rPr>
            </w:pPr>
            <w:r>
              <w:rPr>
                <w:noProof/>
              </w:rPr>
              <w:t>172</w:t>
            </w:r>
          </w:p>
        </w:tc>
        <w:tc>
          <w:tcPr>
            <w:tcW w:w="1448" w:type="dxa"/>
            <w:shd w:val="clear" w:color="auto" w:fill="C6EFCE"/>
          </w:tcPr>
          <w:p w14:paraId="16CFF082" w14:textId="77777777" w:rsidR="0065073E" w:rsidRDefault="000A0998">
            <w:pPr>
              <w:pStyle w:val="P68B1DB1-Normal12"/>
              <w:jc w:val="center"/>
              <w:rPr>
                <w:rFonts w:cs="Times New Roman"/>
                <w:noProof/>
              </w:rPr>
            </w:pPr>
            <w:r>
              <w:rPr>
                <w:noProof/>
              </w:rPr>
              <w:t>C11.I4</w:t>
            </w:r>
          </w:p>
        </w:tc>
        <w:tc>
          <w:tcPr>
            <w:tcW w:w="1021" w:type="dxa"/>
            <w:shd w:val="clear" w:color="auto" w:fill="C6EFCE"/>
          </w:tcPr>
          <w:p w14:paraId="424A5BDB"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39B2B5FA" w14:textId="14AE9D35" w:rsidR="0065073E" w:rsidRDefault="000A0998">
            <w:pPr>
              <w:pStyle w:val="P68B1DB1-Normal12"/>
              <w:rPr>
                <w:rFonts w:cs="Times New Roman"/>
                <w:noProof/>
              </w:rPr>
            </w:pPr>
            <w:r>
              <w:rPr>
                <w:noProof/>
              </w:rPr>
              <w:t>Julkisten rakennusten energiaperuskorjaukset (1 050 000 m 2)</w:t>
            </w:r>
          </w:p>
        </w:tc>
        <w:tc>
          <w:tcPr>
            <w:tcW w:w="1442" w:type="dxa"/>
            <w:shd w:val="clear" w:color="auto" w:fill="C6EFCE"/>
          </w:tcPr>
          <w:p w14:paraId="17FC145C"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3CA5CD69" w14:textId="77777777" w:rsidR="0065073E" w:rsidRDefault="000A0998">
            <w:pPr>
              <w:pStyle w:val="P68B1DB1-Normal12"/>
              <w:rPr>
                <w:rFonts w:cs="Times New Roman"/>
                <w:noProof/>
              </w:rPr>
            </w:pPr>
            <w:r>
              <w:rPr>
                <w:noProof/>
              </w:rPr>
              <w:t>Lukumäärä (m</w:t>
            </w:r>
            <w:r>
              <w:rPr>
                <w:noProof/>
                <w:vertAlign w:val="superscript"/>
              </w:rPr>
              <w:t>2</w:t>
            </w:r>
            <w:r>
              <w:rPr>
                <w:noProof/>
              </w:rPr>
              <w:t>)</w:t>
            </w:r>
          </w:p>
        </w:tc>
        <w:tc>
          <w:tcPr>
            <w:tcW w:w="992" w:type="dxa"/>
            <w:shd w:val="clear" w:color="auto" w:fill="C6EFCE"/>
          </w:tcPr>
          <w:p w14:paraId="3FC613A1" w14:textId="77777777" w:rsidR="0065073E" w:rsidRDefault="000A0998">
            <w:pPr>
              <w:pStyle w:val="P68B1DB1-Normal12"/>
              <w:jc w:val="right"/>
              <w:rPr>
                <w:rFonts w:cs="Times New Roman"/>
                <w:noProof/>
              </w:rPr>
            </w:pPr>
            <w:r>
              <w:rPr>
                <w:noProof/>
              </w:rPr>
              <w:t>140 000</w:t>
            </w:r>
          </w:p>
        </w:tc>
        <w:tc>
          <w:tcPr>
            <w:tcW w:w="709" w:type="dxa"/>
            <w:shd w:val="clear" w:color="auto" w:fill="C6EFCE"/>
          </w:tcPr>
          <w:p w14:paraId="2CEBE334" w14:textId="09D1C051" w:rsidR="0065073E" w:rsidRDefault="000A0998">
            <w:pPr>
              <w:pStyle w:val="P68B1DB1-Normal12"/>
              <w:jc w:val="right"/>
              <w:rPr>
                <w:rFonts w:cs="Times New Roman"/>
                <w:noProof/>
              </w:rPr>
            </w:pPr>
            <w:r>
              <w:rPr>
                <w:noProof/>
              </w:rPr>
              <w:t>1 050 000</w:t>
            </w:r>
          </w:p>
        </w:tc>
        <w:tc>
          <w:tcPr>
            <w:tcW w:w="567" w:type="dxa"/>
            <w:shd w:val="clear" w:color="auto" w:fill="C6EFCE"/>
          </w:tcPr>
          <w:p w14:paraId="707801F4" w14:textId="77777777"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46EFD318" w14:textId="77777777" w:rsidR="0065073E" w:rsidRDefault="000A0998">
            <w:pPr>
              <w:pStyle w:val="P68B1DB1-Normal12"/>
              <w:jc w:val="center"/>
              <w:rPr>
                <w:rFonts w:cs="Times New Roman"/>
                <w:noProof/>
              </w:rPr>
            </w:pPr>
            <w:r>
              <w:rPr>
                <w:noProof/>
              </w:rPr>
              <w:t>2026</w:t>
            </w:r>
          </w:p>
        </w:tc>
        <w:tc>
          <w:tcPr>
            <w:tcW w:w="3998" w:type="dxa"/>
            <w:shd w:val="clear" w:color="auto" w:fill="C6EFCE"/>
          </w:tcPr>
          <w:p w14:paraId="79821775" w14:textId="4ECB9088" w:rsidR="0065073E" w:rsidRDefault="000A0998">
            <w:pPr>
              <w:pStyle w:val="P68B1DB1-Normal12"/>
              <w:rPr>
                <w:rFonts w:cs="Times New Roman"/>
                <w:noProof/>
              </w:rPr>
            </w:pPr>
            <w:r>
              <w:rPr>
                <w:noProof/>
              </w:rPr>
              <w:t>Vähintään 1 050 000 m 2 julkisissa rakennuksissa tehtyjä</w:t>
            </w:r>
            <w:r>
              <w:rPr>
                <w:noProof/>
                <w:vertAlign w:val="superscript"/>
              </w:rPr>
              <w:t>energiaperuskorjauksia</w:t>
            </w:r>
            <w:r>
              <w:rPr>
                <w:noProof/>
              </w:rPr>
              <w:t>, joilla saavutetaan keskimäärin vähintään 30 prosentin vähennys primäärienergian kysynnässä. (perustaso: Joulukuuta 2024)</w:t>
            </w:r>
          </w:p>
        </w:tc>
      </w:tr>
      <w:tr w:rsidR="0065073E" w14:paraId="1A19CA85" w14:textId="77777777">
        <w:trPr>
          <w:trHeight w:val="309"/>
        </w:trPr>
        <w:tc>
          <w:tcPr>
            <w:tcW w:w="1223" w:type="dxa"/>
            <w:shd w:val="clear" w:color="auto" w:fill="C6EFCE"/>
          </w:tcPr>
          <w:p w14:paraId="266C876D" w14:textId="1CED3F3D" w:rsidR="0065073E" w:rsidRDefault="000A0998">
            <w:pPr>
              <w:pStyle w:val="P68B1DB1-Normal12"/>
              <w:jc w:val="center"/>
              <w:rPr>
                <w:rFonts w:cs="Times New Roman"/>
                <w:noProof/>
              </w:rPr>
            </w:pPr>
            <w:r>
              <w:rPr>
                <w:noProof/>
              </w:rPr>
              <w:t>439</w:t>
            </w:r>
          </w:p>
        </w:tc>
        <w:tc>
          <w:tcPr>
            <w:tcW w:w="1448" w:type="dxa"/>
            <w:shd w:val="clear" w:color="auto" w:fill="C6EFCE"/>
          </w:tcPr>
          <w:p w14:paraId="2C941AE5" w14:textId="549FD562" w:rsidR="0065073E" w:rsidRDefault="000A0998">
            <w:pPr>
              <w:pStyle w:val="P68B1DB1-Normal12"/>
              <w:jc w:val="center"/>
              <w:rPr>
                <w:rFonts w:cs="Times New Roman"/>
                <w:noProof/>
              </w:rPr>
            </w:pPr>
            <w:r>
              <w:rPr>
                <w:noProof/>
              </w:rPr>
              <w:t>C11.I4</w:t>
            </w:r>
          </w:p>
        </w:tc>
        <w:tc>
          <w:tcPr>
            <w:tcW w:w="1021" w:type="dxa"/>
            <w:shd w:val="clear" w:color="auto" w:fill="C6EFCE"/>
          </w:tcPr>
          <w:p w14:paraId="48D882CE" w14:textId="12CA02B8" w:rsidR="0065073E" w:rsidRDefault="000A0998">
            <w:pPr>
              <w:pStyle w:val="P68B1DB1-Normal12"/>
              <w:jc w:val="center"/>
              <w:rPr>
                <w:rFonts w:cs="Times New Roman"/>
                <w:noProof/>
              </w:rPr>
            </w:pPr>
            <w:r>
              <w:rPr>
                <w:noProof/>
              </w:rPr>
              <w:t>T</w:t>
            </w:r>
          </w:p>
        </w:tc>
        <w:tc>
          <w:tcPr>
            <w:tcW w:w="1631" w:type="dxa"/>
            <w:shd w:val="clear" w:color="auto" w:fill="C6EFCE"/>
          </w:tcPr>
          <w:p w14:paraId="351EFAD8" w14:textId="6AD718D2" w:rsidR="0065073E" w:rsidRDefault="000A0998">
            <w:pPr>
              <w:pStyle w:val="P68B1DB1-Normal12"/>
              <w:rPr>
                <w:rFonts w:cs="Times New Roman"/>
                <w:noProof/>
              </w:rPr>
            </w:pPr>
            <w:r>
              <w:rPr>
                <w:noProof/>
              </w:rPr>
              <w:t>Aurinkosähköjärjestelmien tai muiden uusiutuvien energialähteiden käyttöönotto keskushallinnon laitoksissa</w:t>
            </w:r>
          </w:p>
        </w:tc>
        <w:tc>
          <w:tcPr>
            <w:tcW w:w="1442" w:type="dxa"/>
            <w:shd w:val="clear" w:color="auto" w:fill="C6EFCE"/>
          </w:tcPr>
          <w:p w14:paraId="0089FA6D" w14:textId="77777777" w:rsidR="0065073E" w:rsidRDefault="0065073E">
            <w:pPr>
              <w:jc w:val="center"/>
              <w:rPr>
                <w:rFonts w:ascii="Times New Roman" w:hAnsi="Times New Roman" w:cs="Times New Roman"/>
                <w:noProof/>
                <w:sz w:val="18"/>
              </w:rPr>
            </w:pPr>
          </w:p>
        </w:tc>
        <w:tc>
          <w:tcPr>
            <w:tcW w:w="1082" w:type="dxa"/>
            <w:shd w:val="clear" w:color="auto" w:fill="C6EFCE"/>
          </w:tcPr>
          <w:p w14:paraId="4858E5CA" w14:textId="75BB5C50" w:rsidR="0065073E" w:rsidRDefault="000A0998">
            <w:pPr>
              <w:pStyle w:val="P68B1DB1-Normal12"/>
              <w:rPr>
                <w:rFonts w:cs="Times New Roman"/>
                <w:noProof/>
              </w:rPr>
            </w:pPr>
            <w:r>
              <w:rPr>
                <w:noProof/>
              </w:rPr>
              <w:t>Miljoonaa euroa</w:t>
            </w:r>
          </w:p>
        </w:tc>
        <w:tc>
          <w:tcPr>
            <w:tcW w:w="992" w:type="dxa"/>
            <w:shd w:val="clear" w:color="auto" w:fill="C6EFCE"/>
          </w:tcPr>
          <w:p w14:paraId="15744716" w14:textId="26FF9995" w:rsidR="0065073E" w:rsidRDefault="000A0998">
            <w:pPr>
              <w:pStyle w:val="P68B1DB1-Normal12"/>
              <w:jc w:val="right"/>
              <w:rPr>
                <w:rFonts w:cs="Times New Roman"/>
                <w:noProof/>
              </w:rPr>
            </w:pPr>
            <w:r>
              <w:rPr>
                <w:noProof/>
              </w:rPr>
              <w:t>0</w:t>
            </w:r>
          </w:p>
        </w:tc>
        <w:tc>
          <w:tcPr>
            <w:tcW w:w="709" w:type="dxa"/>
            <w:shd w:val="clear" w:color="auto" w:fill="C6EFCE"/>
          </w:tcPr>
          <w:p w14:paraId="28D7C79F" w14:textId="36B39F61" w:rsidR="0065073E" w:rsidRDefault="000A0998">
            <w:pPr>
              <w:pStyle w:val="P68B1DB1-Normal12"/>
              <w:jc w:val="right"/>
              <w:rPr>
                <w:rFonts w:cs="Times New Roman"/>
                <w:noProof/>
              </w:rPr>
            </w:pPr>
            <w:r>
              <w:rPr>
                <w:noProof/>
              </w:rPr>
              <w:t>80</w:t>
            </w:r>
          </w:p>
        </w:tc>
        <w:tc>
          <w:tcPr>
            <w:tcW w:w="567" w:type="dxa"/>
            <w:shd w:val="clear" w:color="auto" w:fill="C6EFCE"/>
          </w:tcPr>
          <w:p w14:paraId="7911F42D" w14:textId="23F61333" w:rsidR="0065073E" w:rsidRDefault="000A0998">
            <w:pPr>
              <w:pStyle w:val="P68B1DB1-Normal12"/>
              <w:jc w:val="center"/>
              <w:rPr>
                <w:rFonts w:cs="Times New Roman"/>
                <w:noProof/>
              </w:rPr>
            </w:pPr>
            <w:r>
              <w:rPr>
                <w:noProof/>
              </w:rPr>
              <w:t>TOINEN VUOSINELJÄNNES</w:t>
            </w:r>
          </w:p>
        </w:tc>
        <w:tc>
          <w:tcPr>
            <w:tcW w:w="822" w:type="dxa"/>
            <w:shd w:val="clear" w:color="auto" w:fill="C6EFCE"/>
          </w:tcPr>
          <w:p w14:paraId="40D1653F" w14:textId="324B3F87" w:rsidR="0065073E" w:rsidRDefault="000A0998">
            <w:pPr>
              <w:pStyle w:val="P68B1DB1-Normal12"/>
              <w:jc w:val="center"/>
              <w:rPr>
                <w:rFonts w:cs="Times New Roman"/>
                <w:noProof/>
              </w:rPr>
            </w:pPr>
            <w:r>
              <w:rPr>
                <w:noProof/>
              </w:rPr>
              <w:t>2026</w:t>
            </w:r>
          </w:p>
        </w:tc>
        <w:tc>
          <w:tcPr>
            <w:tcW w:w="3998" w:type="dxa"/>
            <w:shd w:val="clear" w:color="auto" w:fill="C6EFCE"/>
          </w:tcPr>
          <w:p w14:paraId="3C260850" w14:textId="0BD0FA22" w:rsidR="0065073E" w:rsidRDefault="000A0998">
            <w:pPr>
              <w:pStyle w:val="P68B1DB1-Normal12"/>
              <w:rPr>
                <w:rFonts w:cs="Times New Roman"/>
                <w:noProof/>
              </w:rPr>
            </w:pPr>
            <w:r>
              <w:rPr>
                <w:noProof/>
              </w:rPr>
              <w:t>Aurinkosähköjärjestelmien tai muiden uusiutuvien energialähteiden käyttöönottoa keskushallinnon laitoksissa koskevien hankkeiden loppuun saattaminen vähintään 80000000 eurolla.</w:t>
            </w:r>
          </w:p>
        </w:tc>
      </w:tr>
      <w:tr w:rsidR="0065073E" w14:paraId="51420AED" w14:textId="77777777">
        <w:trPr>
          <w:trHeight w:val="309"/>
        </w:trPr>
        <w:tc>
          <w:tcPr>
            <w:tcW w:w="1223" w:type="dxa"/>
            <w:shd w:val="clear" w:color="auto" w:fill="C6EFCE"/>
          </w:tcPr>
          <w:p w14:paraId="16D69C5E" w14:textId="77777777" w:rsidR="0065073E" w:rsidRDefault="000A0998">
            <w:pPr>
              <w:pStyle w:val="P68B1DB1-Normal12"/>
              <w:jc w:val="center"/>
              <w:rPr>
                <w:rFonts w:cs="Times New Roman"/>
                <w:noProof/>
              </w:rPr>
            </w:pPr>
            <w:r>
              <w:rPr>
                <w:noProof/>
              </w:rPr>
              <w:t>173</w:t>
            </w:r>
          </w:p>
        </w:tc>
        <w:tc>
          <w:tcPr>
            <w:tcW w:w="1448" w:type="dxa"/>
            <w:shd w:val="clear" w:color="auto" w:fill="C6EFCE"/>
          </w:tcPr>
          <w:p w14:paraId="42396D75" w14:textId="77777777" w:rsidR="0065073E" w:rsidRDefault="000A0998">
            <w:pPr>
              <w:pStyle w:val="P68B1DB1-Normal12"/>
              <w:jc w:val="center"/>
              <w:rPr>
                <w:rFonts w:cs="Times New Roman"/>
                <w:noProof/>
              </w:rPr>
            </w:pPr>
            <w:r>
              <w:rPr>
                <w:noProof/>
              </w:rPr>
              <w:t>C11.I5</w:t>
            </w:r>
          </w:p>
        </w:tc>
        <w:tc>
          <w:tcPr>
            <w:tcW w:w="1021" w:type="dxa"/>
            <w:shd w:val="clear" w:color="auto" w:fill="C6EFCE"/>
          </w:tcPr>
          <w:p w14:paraId="3028FAE5" w14:textId="77777777" w:rsidR="0065073E" w:rsidRDefault="000A0998">
            <w:pPr>
              <w:pStyle w:val="P68B1DB1-Normal12"/>
              <w:jc w:val="center"/>
              <w:rPr>
                <w:rFonts w:cs="Times New Roman"/>
                <w:noProof/>
              </w:rPr>
            </w:pPr>
            <w:r>
              <w:rPr>
                <w:noProof/>
              </w:rPr>
              <w:t>M</w:t>
            </w:r>
          </w:p>
        </w:tc>
        <w:tc>
          <w:tcPr>
            <w:tcW w:w="1631" w:type="dxa"/>
            <w:shd w:val="clear" w:color="auto" w:fill="C6EFCE"/>
          </w:tcPr>
          <w:p w14:paraId="2F2DF16B" w14:textId="77777777" w:rsidR="0065073E" w:rsidRDefault="000A0998">
            <w:pPr>
              <w:pStyle w:val="P68B1DB1-Normal12"/>
              <w:rPr>
                <w:rFonts w:cs="Times New Roman"/>
                <w:noProof/>
              </w:rPr>
            </w:pPr>
            <w:r>
              <w:rPr>
                <w:noProof/>
              </w:rPr>
              <w:t>Elpymis- ja palautumistukivälineen integroitu tietojärjestelmä</w:t>
            </w:r>
          </w:p>
        </w:tc>
        <w:tc>
          <w:tcPr>
            <w:tcW w:w="1442" w:type="dxa"/>
            <w:shd w:val="clear" w:color="auto" w:fill="C6EFCE"/>
          </w:tcPr>
          <w:p w14:paraId="109361A0" w14:textId="77777777" w:rsidR="0065073E" w:rsidRDefault="000A0998">
            <w:pPr>
              <w:pStyle w:val="P68B1DB1-Normal12"/>
              <w:jc w:val="center"/>
              <w:rPr>
                <w:rFonts w:cs="Times New Roman"/>
                <w:noProof/>
              </w:rPr>
            </w:pPr>
            <w:r>
              <w:rPr>
                <w:noProof/>
              </w:rPr>
              <w:t>Tarkastusraportti</w:t>
            </w:r>
          </w:p>
        </w:tc>
        <w:tc>
          <w:tcPr>
            <w:tcW w:w="1082" w:type="dxa"/>
            <w:shd w:val="clear" w:color="auto" w:fill="C6EFCE"/>
          </w:tcPr>
          <w:p w14:paraId="0115031B" w14:textId="77777777" w:rsidR="0065073E" w:rsidRDefault="000A0998">
            <w:pPr>
              <w:pStyle w:val="P68B1DB1-Normal12"/>
              <w:jc w:val="right"/>
              <w:rPr>
                <w:rFonts w:cs="Times New Roman"/>
                <w:noProof/>
              </w:rPr>
            </w:pPr>
            <w:r>
              <w:rPr>
                <w:noProof/>
              </w:rPr>
              <w:t xml:space="preserve"> </w:t>
            </w:r>
          </w:p>
        </w:tc>
        <w:tc>
          <w:tcPr>
            <w:tcW w:w="992" w:type="dxa"/>
            <w:shd w:val="clear" w:color="auto" w:fill="C6EFCE"/>
          </w:tcPr>
          <w:p w14:paraId="1E24DD54" w14:textId="77777777" w:rsidR="0065073E" w:rsidRDefault="000A0998">
            <w:pPr>
              <w:pStyle w:val="P68B1DB1-Normal12"/>
              <w:jc w:val="right"/>
              <w:rPr>
                <w:rFonts w:cs="Times New Roman"/>
                <w:noProof/>
              </w:rPr>
            </w:pPr>
            <w:r>
              <w:rPr>
                <w:noProof/>
              </w:rPr>
              <w:t xml:space="preserve"> </w:t>
            </w:r>
          </w:p>
        </w:tc>
        <w:tc>
          <w:tcPr>
            <w:tcW w:w="709" w:type="dxa"/>
            <w:shd w:val="clear" w:color="auto" w:fill="C6EFCE"/>
          </w:tcPr>
          <w:p w14:paraId="074BB40A" w14:textId="77777777" w:rsidR="0065073E" w:rsidRDefault="000A0998">
            <w:pPr>
              <w:pStyle w:val="P68B1DB1-Normal12"/>
              <w:jc w:val="right"/>
              <w:rPr>
                <w:rFonts w:cs="Times New Roman"/>
                <w:noProof/>
              </w:rPr>
            </w:pPr>
            <w:r>
              <w:rPr>
                <w:noProof/>
              </w:rPr>
              <w:t xml:space="preserve"> </w:t>
            </w:r>
          </w:p>
        </w:tc>
        <w:tc>
          <w:tcPr>
            <w:tcW w:w="567" w:type="dxa"/>
            <w:shd w:val="clear" w:color="auto" w:fill="C6EFCE"/>
          </w:tcPr>
          <w:p w14:paraId="7E469E69"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7638223B" w14:textId="77777777" w:rsidR="0065073E" w:rsidRDefault="000A0998">
            <w:pPr>
              <w:pStyle w:val="P68B1DB1-Normal12"/>
              <w:jc w:val="center"/>
              <w:rPr>
                <w:rFonts w:cs="Times New Roman"/>
                <w:noProof/>
              </w:rPr>
            </w:pPr>
            <w:r>
              <w:rPr>
                <w:noProof/>
              </w:rPr>
              <w:t>2021</w:t>
            </w:r>
          </w:p>
        </w:tc>
        <w:tc>
          <w:tcPr>
            <w:tcW w:w="3998" w:type="dxa"/>
            <w:shd w:val="clear" w:color="auto" w:fill="C6EFCE"/>
          </w:tcPr>
          <w:p w14:paraId="6286323C" w14:textId="77777777" w:rsidR="0065073E" w:rsidRDefault="000A0998">
            <w:pPr>
              <w:pStyle w:val="P68B1DB1-Normal12"/>
              <w:rPr>
                <w:rFonts w:cs="Times New Roman"/>
                <w:noProof/>
              </w:rPr>
            </w:pPr>
            <w:r>
              <w:rPr>
                <w:noProof/>
              </w:rPr>
              <w:t>Sellaisen järjestelmän täytäntöönpano, joka mahdollistaa a) elpymis- ja palautumissuunnitelman sekä välitavoitteiden ja tavoitteiden saavuttamista koskevien tietojen lataamisen verkkoon; b) johdon vahvistuslausumien ja tarkastustiivistelmän sekä maksupyyntöjen laatimista varten ja c) kerätä ja tallentaa tietoja tuensaajista, toimeksisaajista, alihankkijoista ja tosiasiallisista omistajista ja edunsaajista elpymis- ja palautumistukivälinettä koskevan asetuksen 22 artiklan mukaisesti. Käytetystä järjestelmästä on laadittava erityinen tarkastuskertomus. Jos kertomuksessa havaitaan puutteita, siinä on suositeltava korjaavia toimia.</w:t>
            </w:r>
          </w:p>
        </w:tc>
      </w:tr>
      <w:tr w:rsidR="0065073E" w14:paraId="3D6B6EB3" w14:textId="77777777">
        <w:trPr>
          <w:trHeight w:val="309"/>
        </w:trPr>
        <w:tc>
          <w:tcPr>
            <w:tcW w:w="1223" w:type="dxa"/>
            <w:shd w:val="clear" w:color="auto" w:fill="C6EFCE"/>
          </w:tcPr>
          <w:p w14:paraId="6DAA0BD9" w14:textId="77777777" w:rsidR="0065073E" w:rsidRDefault="000A0998">
            <w:pPr>
              <w:pStyle w:val="P68B1DB1-Normal12"/>
              <w:jc w:val="center"/>
              <w:rPr>
                <w:rFonts w:cs="Times New Roman"/>
                <w:noProof/>
              </w:rPr>
            </w:pPr>
            <w:r>
              <w:rPr>
                <w:noProof/>
              </w:rPr>
              <w:t>174</w:t>
            </w:r>
          </w:p>
        </w:tc>
        <w:tc>
          <w:tcPr>
            <w:tcW w:w="1448" w:type="dxa"/>
            <w:shd w:val="clear" w:color="auto" w:fill="C6EFCE"/>
          </w:tcPr>
          <w:p w14:paraId="2F95774C" w14:textId="77777777" w:rsidR="0065073E" w:rsidRDefault="000A0998">
            <w:pPr>
              <w:pStyle w:val="P68B1DB1-Normal12"/>
              <w:jc w:val="center"/>
              <w:rPr>
                <w:rFonts w:cs="Times New Roman"/>
                <w:noProof/>
              </w:rPr>
            </w:pPr>
            <w:r>
              <w:rPr>
                <w:noProof/>
              </w:rPr>
              <w:t>C11.I5</w:t>
            </w:r>
          </w:p>
        </w:tc>
        <w:tc>
          <w:tcPr>
            <w:tcW w:w="1021" w:type="dxa"/>
            <w:shd w:val="clear" w:color="auto" w:fill="C6EFCE"/>
          </w:tcPr>
          <w:p w14:paraId="140E7501"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09AB6B67" w14:textId="77777777" w:rsidR="0065073E" w:rsidRDefault="000A0998">
            <w:pPr>
              <w:pStyle w:val="P68B1DB1-Normal12"/>
              <w:rPr>
                <w:rFonts w:cs="Times New Roman"/>
                <w:noProof/>
              </w:rPr>
            </w:pPr>
            <w:r>
              <w:rPr>
                <w:noProof/>
              </w:rPr>
              <w:t>Uudet viestintävälineet ja -toimet</w:t>
            </w:r>
          </w:p>
        </w:tc>
        <w:tc>
          <w:tcPr>
            <w:tcW w:w="1442" w:type="dxa"/>
            <w:shd w:val="clear" w:color="auto" w:fill="C6EFCE"/>
          </w:tcPr>
          <w:p w14:paraId="1043FF33"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1BA20486" w14:textId="77777777" w:rsidR="0065073E" w:rsidRDefault="000A0998">
            <w:pPr>
              <w:pStyle w:val="P68B1DB1-Normal12"/>
              <w:rPr>
                <w:rFonts w:cs="Times New Roman"/>
                <w:noProof/>
              </w:rPr>
            </w:pPr>
            <w:r>
              <w:rPr>
                <w:noProof/>
              </w:rPr>
              <w:t>Määrä</w:t>
            </w:r>
          </w:p>
        </w:tc>
        <w:tc>
          <w:tcPr>
            <w:tcW w:w="992" w:type="dxa"/>
            <w:shd w:val="clear" w:color="auto" w:fill="C6EFCE"/>
          </w:tcPr>
          <w:p w14:paraId="3194369D" w14:textId="77777777" w:rsidR="0065073E" w:rsidRDefault="000A0998">
            <w:pPr>
              <w:pStyle w:val="P68B1DB1-Normal12"/>
              <w:jc w:val="right"/>
              <w:rPr>
                <w:rFonts w:cs="Times New Roman"/>
                <w:noProof/>
              </w:rPr>
            </w:pPr>
            <w:r>
              <w:rPr>
                <w:noProof/>
              </w:rPr>
              <w:t>0</w:t>
            </w:r>
          </w:p>
        </w:tc>
        <w:tc>
          <w:tcPr>
            <w:tcW w:w="709" w:type="dxa"/>
            <w:shd w:val="clear" w:color="auto" w:fill="C6EFCE"/>
          </w:tcPr>
          <w:p w14:paraId="1DFFE5C7" w14:textId="77777777" w:rsidR="0065073E" w:rsidRDefault="000A0998">
            <w:pPr>
              <w:pStyle w:val="P68B1DB1-Normal12"/>
              <w:jc w:val="right"/>
              <w:rPr>
                <w:rFonts w:cs="Times New Roman"/>
                <w:noProof/>
              </w:rPr>
            </w:pPr>
            <w:r>
              <w:rPr>
                <w:noProof/>
              </w:rPr>
              <w:t>4</w:t>
            </w:r>
          </w:p>
        </w:tc>
        <w:tc>
          <w:tcPr>
            <w:tcW w:w="567" w:type="dxa"/>
            <w:shd w:val="clear" w:color="auto" w:fill="C6EFCE"/>
          </w:tcPr>
          <w:p w14:paraId="7D1EB45E" w14:textId="77777777" w:rsidR="0065073E" w:rsidRDefault="000A0998">
            <w:pPr>
              <w:pStyle w:val="P68B1DB1-Normal12"/>
              <w:jc w:val="center"/>
              <w:rPr>
                <w:rFonts w:cs="Times New Roman"/>
                <w:noProof/>
              </w:rPr>
            </w:pPr>
            <w:r>
              <w:rPr>
                <w:noProof/>
              </w:rPr>
              <w:t>Q4</w:t>
            </w:r>
          </w:p>
        </w:tc>
        <w:tc>
          <w:tcPr>
            <w:tcW w:w="822" w:type="dxa"/>
            <w:shd w:val="clear" w:color="auto" w:fill="C6EFCE"/>
          </w:tcPr>
          <w:p w14:paraId="1DFA7961" w14:textId="77777777" w:rsidR="0065073E" w:rsidRDefault="000A0998">
            <w:pPr>
              <w:pStyle w:val="P68B1DB1-Normal12"/>
              <w:jc w:val="center"/>
              <w:rPr>
                <w:rFonts w:cs="Times New Roman"/>
                <w:noProof/>
              </w:rPr>
            </w:pPr>
            <w:r>
              <w:rPr>
                <w:noProof/>
              </w:rPr>
              <w:t>2022</w:t>
            </w:r>
          </w:p>
        </w:tc>
        <w:tc>
          <w:tcPr>
            <w:tcW w:w="3998" w:type="dxa"/>
            <w:shd w:val="clear" w:color="auto" w:fill="C6EFCE"/>
          </w:tcPr>
          <w:p w14:paraId="2D0F4233" w14:textId="77777777" w:rsidR="0065073E" w:rsidRDefault="000A0998">
            <w:pPr>
              <w:pStyle w:val="P68B1DB1-Normal12"/>
              <w:rPr>
                <w:rFonts w:cs="Times New Roman"/>
                <w:noProof/>
              </w:rPr>
            </w:pPr>
            <w:r>
              <w:rPr>
                <w:noProof/>
              </w:rPr>
              <w:t>Vähintään kaksi yhteisöjohtajaa, jotka on palkattu lisäämään läsnäoloa sosiaalisessa mediassa, mikä lisää suunnitelman mahdollisten osallistujien ja edunsaajien määrää, jotta he olisivat tietoisia suunnitelman tarjoamista mahdollisuuksista; kaksi verkkosivustoa on toiminnassa resurssien käytön maksimoimiseksi.</w:t>
            </w:r>
          </w:p>
        </w:tc>
      </w:tr>
      <w:tr w:rsidR="0065073E" w14:paraId="2692D9E7" w14:textId="77777777">
        <w:trPr>
          <w:trHeight w:val="309"/>
        </w:trPr>
        <w:tc>
          <w:tcPr>
            <w:tcW w:w="1223" w:type="dxa"/>
            <w:shd w:val="clear" w:color="auto" w:fill="C6EFCE"/>
          </w:tcPr>
          <w:p w14:paraId="5D82B080" w14:textId="77777777" w:rsidR="0065073E" w:rsidRDefault="000A0998">
            <w:pPr>
              <w:pStyle w:val="P68B1DB1-Normal12"/>
              <w:jc w:val="center"/>
              <w:rPr>
                <w:rFonts w:cs="Times New Roman"/>
                <w:noProof/>
              </w:rPr>
            </w:pPr>
            <w:r>
              <w:rPr>
                <w:noProof/>
              </w:rPr>
              <w:t>175</w:t>
            </w:r>
          </w:p>
        </w:tc>
        <w:tc>
          <w:tcPr>
            <w:tcW w:w="1448" w:type="dxa"/>
            <w:shd w:val="clear" w:color="auto" w:fill="C6EFCE"/>
          </w:tcPr>
          <w:p w14:paraId="79BA18C8" w14:textId="77777777" w:rsidR="0065073E" w:rsidRDefault="000A0998">
            <w:pPr>
              <w:pStyle w:val="P68B1DB1-Normal12"/>
              <w:jc w:val="center"/>
              <w:rPr>
                <w:rFonts w:cs="Times New Roman"/>
                <w:noProof/>
              </w:rPr>
            </w:pPr>
            <w:r>
              <w:rPr>
                <w:noProof/>
              </w:rPr>
              <w:t>C11.I5</w:t>
            </w:r>
          </w:p>
        </w:tc>
        <w:tc>
          <w:tcPr>
            <w:tcW w:w="1021" w:type="dxa"/>
            <w:shd w:val="clear" w:color="auto" w:fill="C6EFCE"/>
          </w:tcPr>
          <w:p w14:paraId="73559B47" w14:textId="77777777" w:rsidR="0065073E" w:rsidRDefault="000A0998">
            <w:pPr>
              <w:pStyle w:val="P68B1DB1-Normal12"/>
              <w:jc w:val="center"/>
              <w:rPr>
                <w:rFonts w:cs="Times New Roman"/>
                <w:noProof/>
              </w:rPr>
            </w:pPr>
            <w:r>
              <w:rPr>
                <w:noProof/>
              </w:rPr>
              <w:t>T</w:t>
            </w:r>
          </w:p>
        </w:tc>
        <w:tc>
          <w:tcPr>
            <w:tcW w:w="1631" w:type="dxa"/>
            <w:shd w:val="clear" w:color="auto" w:fill="C6EFCE"/>
          </w:tcPr>
          <w:p w14:paraId="3632DEEA" w14:textId="77777777" w:rsidR="0065073E" w:rsidRDefault="000A0998">
            <w:pPr>
              <w:pStyle w:val="P68B1DB1-Normal12"/>
              <w:rPr>
                <w:rFonts w:cs="Times New Roman"/>
                <w:noProof/>
              </w:rPr>
            </w:pPr>
            <w:r>
              <w:rPr>
                <w:noProof/>
              </w:rPr>
              <w:t xml:space="preserve">Koulutettu julkishallinnon henkilöstö </w:t>
            </w:r>
          </w:p>
        </w:tc>
        <w:tc>
          <w:tcPr>
            <w:tcW w:w="1442" w:type="dxa"/>
            <w:shd w:val="clear" w:color="auto" w:fill="C6EFCE"/>
          </w:tcPr>
          <w:p w14:paraId="589E950B" w14:textId="77777777" w:rsidR="0065073E" w:rsidRDefault="000A0998">
            <w:pPr>
              <w:pStyle w:val="P68B1DB1-Normal12"/>
              <w:jc w:val="center"/>
              <w:rPr>
                <w:rFonts w:cs="Times New Roman"/>
                <w:noProof/>
              </w:rPr>
            </w:pPr>
            <w:r>
              <w:rPr>
                <w:noProof/>
              </w:rPr>
              <w:t xml:space="preserve"> </w:t>
            </w:r>
          </w:p>
        </w:tc>
        <w:tc>
          <w:tcPr>
            <w:tcW w:w="1082" w:type="dxa"/>
            <w:shd w:val="clear" w:color="auto" w:fill="C6EFCE"/>
          </w:tcPr>
          <w:p w14:paraId="56C89F43" w14:textId="77777777" w:rsidR="0065073E" w:rsidRDefault="000A0998">
            <w:pPr>
              <w:pStyle w:val="P68B1DB1-Normal12"/>
              <w:rPr>
                <w:rFonts w:cs="Times New Roman"/>
                <w:noProof/>
              </w:rPr>
            </w:pPr>
            <w:r>
              <w:rPr>
                <w:noProof/>
              </w:rPr>
              <w:t>Määrä</w:t>
            </w:r>
          </w:p>
        </w:tc>
        <w:tc>
          <w:tcPr>
            <w:tcW w:w="992" w:type="dxa"/>
            <w:shd w:val="clear" w:color="auto" w:fill="C6EFCE"/>
          </w:tcPr>
          <w:p w14:paraId="6992A621" w14:textId="77777777" w:rsidR="0065073E" w:rsidRDefault="000A0998">
            <w:pPr>
              <w:pStyle w:val="P68B1DB1-Normal12"/>
              <w:jc w:val="right"/>
              <w:rPr>
                <w:rFonts w:cs="Times New Roman"/>
                <w:noProof/>
              </w:rPr>
            </w:pPr>
            <w:r>
              <w:rPr>
                <w:noProof/>
              </w:rPr>
              <w:t>0</w:t>
            </w:r>
          </w:p>
        </w:tc>
        <w:tc>
          <w:tcPr>
            <w:tcW w:w="709" w:type="dxa"/>
            <w:shd w:val="clear" w:color="auto" w:fill="C6EFCE"/>
          </w:tcPr>
          <w:p w14:paraId="39FC2332" w14:textId="77777777" w:rsidR="0065073E" w:rsidRDefault="000A0998">
            <w:pPr>
              <w:pStyle w:val="P68B1DB1-Normal12"/>
              <w:jc w:val="right"/>
              <w:rPr>
                <w:rFonts w:cs="Times New Roman"/>
                <w:noProof/>
              </w:rPr>
            </w:pPr>
            <w:r>
              <w:rPr>
                <w:noProof/>
              </w:rPr>
              <w:t>3 150</w:t>
            </w:r>
          </w:p>
        </w:tc>
        <w:tc>
          <w:tcPr>
            <w:tcW w:w="567" w:type="dxa"/>
            <w:shd w:val="clear" w:color="auto" w:fill="C6EFCE"/>
          </w:tcPr>
          <w:p w14:paraId="18DEFB86" w14:textId="77777777" w:rsidR="0065073E" w:rsidRDefault="000A0998">
            <w:pPr>
              <w:pStyle w:val="P68B1DB1-Normal12"/>
              <w:jc w:val="center"/>
              <w:rPr>
                <w:rFonts w:cs="Times New Roman"/>
                <w:noProof/>
              </w:rPr>
            </w:pPr>
            <w:r>
              <w:rPr>
                <w:noProof/>
              </w:rPr>
              <w:t>Q3</w:t>
            </w:r>
          </w:p>
        </w:tc>
        <w:tc>
          <w:tcPr>
            <w:tcW w:w="822" w:type="dxa"/>
            <w:shd w:val="clear" w:color="auto" w:fill="C6EFCE"/>
          </w:tcPr>
          <w:p w14:paraId="3D640CA9" w14:textId="77777777" w:rsidR="0065073E" w:rsidRDefault="000A0998">
            <w:pPr>
              <w:pStyle w:val="P68B1DB1-Normal12"/>
              <w:jc w:val="center"/>
              <w:rPr>
                <w:rFonts w:cs="Times New Roman"/>
                <w:noProof/>
              </w:rPr>
            </w:pPr>
            <w:r>
              <w:rPr>
                <w:noProof/>
              </w:rPr>
              <w:t>2026</w:t>
            </w:r>
          </w:p>
        </w:tc>
        <w:tc>
          <w:tcPr>
            <w:tcW w:w="3998" w:type="dxa"/>
            <w:shd w:val="clear" w:color="auto" w:fill="C6EFCE"/>
          </w:tcPr>
          <w:p w14:paraId="42468616" w14:textId="77777777" w:rsidR="0065073E" w:rsidRDefault="000A0998">
            <w:pPr>
              <w:pStyle w:val="P68B1DB1-Normal12"/>
              <w:rPr>
                <w:rFonts w:cs="Times New Roman"/>
                <w:noProof/>
              </w:rPr>
            </w:pPr>
            <w:r>
              <w:rPr>
                <w:noProof/>
              </w:rPr>
              <w:t xml:space="preserve">Vähintään 3150 julkishallinnon työntekijää on koulutettu elpymis- ja palautumissuunnitelman täytäntöönpanoon, valvontaan ja tarkastukseen liittyvillä aloilla. </w:t>
            </w:r>
          </w:p>
        </w:tc>
      </w:tr>
    </w:tbl>
    <w:p w14:paraId="000C812F"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134" w:right="1134" w:bottom="1134" w:left="1134" w:header="567" w:footer="567" w:gutter="0"/>
          <w:cols w:space="720"/>
          <w:docGrid w:linePitch="360"/>
        </w:sectPr>
      </w:pPr>
    </w:p>
    <w:p w14:paraId="7AC49A7F" w14:textId="77777777" w:rsidR="0065073E" w:rsidRDefault="000A0998">
      <w:pPr>
        <w:spacing w:before="120" w:after="120" w:line="240" w:lineRule="auto"/>
        <w:jc w:val="both"/>
        <w:rPr>
          <w:rStyle w:val="eop"/>
          <w:rFonts w:ascii="Times New Roman" w:hAnsi="Times New Roman" w:cs="Times New Roman"/>
          <w:noProof/>
          <w:sz w:val="24"/>
          <w:shd w:val="clear" w:color="auto" w:fill="FFFFFF"/>
        </w:rPr>
      </w:pPr>
      <w:r>
        <w:rPr>
          <w:rStyle w:val="normaltextrun"/>
          <w:rFonts w:ascii="Times New Roman" w:hAnsi="Times New Roman"/>
          <w:b/>
          <w:noProof/>
          <w:sz w:val="24"/>
          <w:u w:val="single"/>
        </w:rPr>
        <w:t>K</w:t>
      </w:r>
      <w:r>
        <w:rPr>
          <w:rStyle w:val="normaltextrun"/>
          <w:rFonts w:ascii="Times New Roman" w:hAnsi="Times New Roman"/>
          <w:b/>
          <w:noProof/>
          <w:sz w:val="24"/>
          <w:u w:val="single"/>
          <w:shd w:val="clear" w:color="auto" w:fill="FFFFFF"/>
        </w:rPr>
        <w:t>.3. Lainatukeen liittyvien uudistusten ja investointien kuvaus</w:t>
      </w:r>
    </w:p>
    <w:p w14:paraId="28630AE6" w14:textId="77777777" w:rsidR="0065073E" w:rsidRDefault="000A0998">
      <w:pPr>
        <w:pStyle w:val="P68B1DB1-Normal5"/>
        <w:spacing w:before="120" w:after="120" w:line="240" w:lineRule="auto"/>
        <w:jc w:val="both"/>
        <w:rPr>
          <w:rFonts w:cs="Times New Roman"/>
          <w:noProof/>
        </w:rPr>
      </w:pPr>
      <w:r>
        <w:rPr>
          <w:noProof/>
        </w:rPr>
        <w:t>Investointi 6 (C11.I6) – Kyberturvallisuutta ja häiriönsietokykyä sekä turvallisuutta koskevat välineet</w:t>
      </w:r>
    </w:p>
    <w:p w14:paraId="7AA5F2B7" w14:textId="77777777" w:rsidR="0065073E" w:rsidRDefault="000A0998">
      <w:pPr>
        <w:pStyle w:val="P68B1DB1-Normal4"/>
        <w:spacing w:before="120" w:after="120" w:line="240" w:lineRule="auto"/>
        <w:jc w:val="both"/>
        <w:rPr>
          <w:rFonts w:eastAsia="Times New Roman" w:cs="Times New Roman"/>
          <w:noProof/>
        </w:rPr>
      </w:pPr>
      <w:r>
        <w:rPr>
          <w:noProof/>
        </w:rPr>
        <w:t>Tähän toimenpiteeseen sisältyy kaksi keskeistä investointia: I) kyberturvallisuusohjelma, jolla vahvistetaan julkishallinnon kyberturvallisuusvalmiuksia kyberuhkien ehkäisemisen, suojelun, havaitsemisen ja niihin reagoimisen alalla; ja ii) ”Resilienssi- ja turvallisuusrahasto”, jolla edistetään tuottavia investointeja ja tuotantokapasiteetin lisäämistä Espanjan alueella turvallisuus-, puolustus-, ilmailu- ja avaruusaloilla.</w:t>
      </w:r>
    </w:p>
    <w:p w14:paraId="4B5D5C87" w14:textId="77777777" w:rsidR="0065073E" w:rsidRDefault="000A0998">
      <w:pPr>
        <w:pStyle w:val="P68B1DB1-Normal17"/>
        <w:rPr>
          <w:rFonts w:cs="Times New Roman"/>
          <w:noProof/>
        </w:rPr>
      </w:pPr>
      <w:r>
        <w:rPr>
          <w:noProof/>
        </w:rPr>
        <w:t>Kyberturvallisuusohjelma</w:t>
      </w:r>
    </w:p>
    <w:p w14:paraId="57B37F3C" w14:textId="64869168" w:rsidR="0065073E" w:rsidRDefault="000A0998">
      <w:pPr>
        <w:pStyle w:val="P68B1DB1-Normal4"/>
        <w:spacing w:before="120" w:after="120" w:line="240" w:lineRule="auto"/>
        <w:jc w:val="both"/>
        <w:rPr>
          <w:rFonts w:eastAsia="Times New Roman" w:cs="Times New Roman"/>
          <w:noProof/>
        </w:rPr>
      </w:pPr>
      <w:r>
        <w:rPr>
          <w:noProof/>
        </w:rPr>
        <w:t>Tämä toimenpiteen osa koostuu kyberturvallisuusohjelman mukaisten hankkeiden täytäntöönpanosta, jolla edistetään I) valmiuksien kehittäminen kyberuhkien torjumiseksi; II) strategisten voimavarojen turvallisuuden ja häiriönsietokyvyn varmistaminen; III) vahvistaa kyberrikollisuuden tutkinta- ja syytevalmiuksia; parannetaan kansalaisten ja yritysten kyberturvallisuutta; v) kyberturvallisuusalan edistäminen; ja vi) kyberturvallisuuskulttuurin kehittäminen.</w:t>
      </w:r>
    </w:p>
    <w:p w14:paraId="5532C259" w14:textId="6F6CC342" w:rsidR="0065073E" w:rsidRDefault="000A0998">
      <w:pPr>
        <w:pStyle w:val="P68B1DB1-Normal4"/>
        <w:spacing w:before="120" w:after="120" w:line="240" w:lineRule="auto"/>
        <w:jc w:val="both"/>
        <w:rPr>
          <w:rFonts w:eastAsia="Times New Roman" w:cs="Times New Roman"/>
          <w:noProof/>
        </w:rPr>
      </w:pPr>
      <w:r>
        <w:rPr>
          <w:noProof/>
        </w:rPr>
        <w:t>Kyberturvallisuusohjelman täytäntöönpano on saatettava päätökseen 30 päivään kesäkuuta 2026 mennessä.</w:t>
      </w:r>
    </w:p>
    <w:p w14:paraId="1C24F29F" w14:textId="77777777" w:rsidR="0065073E" w:rsidRDefault="000A0998">
      <w:pPr>
        <w:pStyle w:val="P68B1DB1-Normal17"/>
        <w:rPr>
          <w:rFonts w:eastAsia="Times New Roman" w:cs="Times New Roman"/>
          <w:noProof/>
        </w:rPr>
      </w:pPr>
      <w:r>
        <w:rPr>
          <w:noProof/>
        </w:rPr>
        <w:t>Turvallisuus- ja palautumisrahasto</w:t>
      </w:r>
    </w:p>
    <w:p w14:paraId="507C7EB9" w14:textId="7B87C380"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Tämä toimenpiteen osa koostuu julkisesta investoinnista välineeseen, turvallisuus- ja palautumistukirahastoon, jotta voidaan </w:t>
      </w:r>
      <w:bookmarkStart w:id="19" w:name="_Hlk145601028"/>
      <w:r>
        <w:rPr>
          <w:rStyle w:val="normaltextrun"/>
          <w:rFonts w:ascii="Times New Roman" w:hAnsi="Times New Roman"/>
          <w:noProof/>
          <w:sz w:val="24"/>
          <w:shd w:val="clear" w:color="auto" w:fill="FFFFFF"/>
        </w:rPr>
        <w:t xml:space="preserve">kannustaa yksityisiä investointeja ja parantaa rahoituksen saantia </w:t>
      </w:r>
      <w:bookmarkEnd w:id="19"/>
      <w:r>
        <w:rPr>
          <w:rStyle w:val="normaltextrun"/>
          <w:rFonts w:ascii="Times New Roman" w:hAnsi="Times New Roman"/>
          <w:noProof/>
          <w:sz w:val="24"/>
          <w:shd w:val="clear" w:color="auto" w:fill="FFFFFF"/>
        </w:rPr>
        <w:t>Espanjan turvallisuus-, puolustus-</w:t>
      </w:r>
      <w:r>
        <w:rPr>
          <w:rFonts w:ascii="Times New Roman" w:hAnsi="Times New Roman"/>
          <w:noProof/>
          <w:sz w:val="24"/>
        </w:rPr>
        <w:t xml:space="preserve">, ilmailu- </w:t>
      </w:r>
      <w:r>
        <w:rPr>
          <w:rStyle w:val="normaltextrun"/>
          <w:rFonts w:ascii="Times New Roman" w:hAnsi="Times New Roman"/>
          <w:noProof/>
          <w:sz w:val="24"/>
          <w:shd w:val="clear" w:color="auto" w:fill="FFFFFF"/>
        </w:rPr>
        <w:t>ja avaruusaloilla sekä kehittää pääomamarkkinoita näillä aloilla. Lainajärjestely toimii tarjoamalla lainoja, oman pääoman ehtoisia ja oman pääoman luonteisia sijoituksia joko suoraan tai välittäjien kautta yksityiselle sektorille sekä vastaavaa toimintaa harjoittaville julkisyhteisöille ja julkisoikeudellisille laitoksille.  Elpymis- ja palautumistukivälineen investointien perusteella tukivälineestä on alun perin tarkoitus myöntää rahoitusta vähintään 1000000000 euroa.</w:t>
      </w:r>
    </w:p>
    <w:p w14:paraId="53166B8D" w14:textId="4ED87A3F"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Tukivälinettä hallinnoi </w:t>
      </w:r>
      <w:r>
        <w:rPr>
          <w:rFonts w:ascii="Times New Roman" w:hAnsi="Times New Roman"/>
          <w:noProof/>
          <w:sz w:val="24"/>
        </w:rPr>
        <w:t xml:space="preserve">Sociedad Estatal de Participaciones Industriales Desarrollo Empresarial (SEPIDES) </w:t>
      </w:r>
      <w:r>
        <w:rPr>
          <w:rStyle w:val="normaltextrun"/>
          <w:rFonts w:ascii="Times New Roman" w:hAnsi="Times New Roman"/>
          <w:noProof/>
          <w:sz w:val="24"/>
          <w:shd w:val="clear" w:color="auto" w:fill="FFFFFF"/>
        </w:rPr>
        <w:t xml:space="preserve">toteutuskumppanina. Investointikehyksen on sisällettävä seuraavat kaksi tuotelinjaa: </w:t>
      </w:r>
    </w:p>
    <w:p w14:paraId="1E28F317" w14:textId="23405C19" w:rsidR="0065073E" w:rsidRDefault="000A0998">
      <w:pPr>
        <w:pStyle w:val="P68B1DB1-ListParagraph6"/>
        <w:numPr>
          <w:ilvl w:val="0"/>
          <w:numId w:val="447"/>
        </w:numPr>
        <w:spacing w:before="120" w:after="120" w:line="240" w:lineRule="auto"/>
        <w:jc w:val="both"/>
        <w:rPr>
          <w:rStyle w:val="normaltextrun"/>
          <w:rFonts w:eastAsia="Times New Roman" w:cs="Times New Roman"/>
          <w:noProof/>
        </w:rPr>
      </w:pPr>
      <w:r>
        <w:rPr>
          <w:noProof/>
        </w:rPr>
        <w:t>Ohivalinta: Lainajärjestelyn on investoitava suoraan yrityksiin, jotka ovat sitoutuneet toteuttamaan uusia hankkeita kohdealoilla, mukaan lukien käynnissä oleviin kehitysohjelmiin sisältyvät uudet hankkeet.  Investointikehyksen on voitava sijoittaa käyttämällä lainoja, oman pääoman ehtoisia ja oman pääoman luonteisia välineitä. Rahaston oman pääoman ehtoiset sijoitukset eivät saa johtaa siihen, että julkisessa omistuksessa olevan pääoman osuus lopullisesta tuensaajasta ylittää 49 prosenttia koko pääomasta.</w:t>
      </w:r>
    </w:p>
    <w:p w14:paraId="24F7DD89" w14:textId="03462FBA" w:rsidR="0065073E" w:rsidRDefault="000A0998">
      <w:pPr>
        <w:pStyle w:val="ListParagraph"/>
        <w:numPr>
          <w:ilvl w:val="0"/>
          <w:numId w:val="614"/>
        </w:numPr>
        <w:rPr>
          <w:rFonts w:ascii="Times New Roman" w:hAnsi="Times New Roman" w:cs="Times New Roman"/>
          <w:noProof/>
          <w:sz w:val="24"/>
        </w:rPr>
      </w:pPr>
      <w:r>
        <w:rPr>
          <w:rFonts w:ascii="Times New Roman" w:hAnsi="Times New Roman"/>
          <w:noProof/>
          <w:sz w:val="24"/>
        </w:rPr>
        <w:t>Välillinen viiva: Lainajärjestelyn on investoitava olemassa oleviin rahastoihin, jotka investoivat tukivälineen kohteena oleville aloille. Lainajärjestelyn enimmäisosuus saa olla enintään 49 prosenttia rahastosta tai muusta sijoitusvälineestä.</w:t>
      </w:r>
      <w:r>
        <w:rPr>
          <w:noProof/>
        </w:rPr>
        <w:t xml:space="preserve"> </w:t>
      </w:r>
      <w:r>
        <w:rPr>
          <w:rFonts w:ascii="Times New Roman" w:hAnsi="Times New Roman"/>
          <w:noProof/>
          <w:sz w:val="24"/>
        </w:rPr>
        <w:t>Rahastojen osakesijoitukset eivät saa johtaa siihen, että julkisessa omistuksessa olevan pääoman osuus rahastossa tai sijoitusvälineessä ylittää 49 prosenttia koko pääomasta.</w:t>
      </w:r>
    </w:p>
    <w:p w14:paraId="0EB3BAEC" w14:textId="531C94A7" w:rsidR="0065073E" w:rsidRDefault="000A0998">
      <w:pPr>
        <w:pStyle w:val="P68B1DB1-Normal4"/>
        <w:spacing w:before="120" w:after="120" w:line="240" w:lineRule="auto"/>
        <w:jc w:val="both"/>
        <w:rPr>
          <w:rFonts w:eastAsia="Times New Roman" w:cs="Times New Roman"/>
          <w:noProof/>
        </w:rPr>
      </w:pPr>
      <w:r>
        <w:rPr>
          <w:noProof/>
        </w:rPr>
        <w:t xml:space="preserve">Investointivälineeseen tehtävän investoinnin toteuttamiseksi Espanjan on hyväksyttävä tukivälineen perustamista ja hallinnointia koskeva asetus ja kaikki siihen liittyvät asiakirjat, joiden sisältö on seuraava:  </w:t>
      </w:r>
    </w:p>
    <w:p w14:paraId="6E600765" w14:textId="38BE4A50" w:rsidR="0065073E" w:rsidRDefault="000A0998">
      <w:pPr>
        <w:pStyle w:val="P68B1DB1-ListParagraph6"/>
        <w:numPr>
          <w:ilvl w:val="0"/>
          <w:numId w:val="734"/>
        </w:numPr>
        <w:spacing w:line="240" w:lineRule="auto"/>
        <w:contextualSpacing w:val="0"/>
        <w:jc w:val="both"/>
        <w:rPr>
          <w:rFonts w:eastAsia="Times New Roman" w:cs="Times New Roman"/>
          <w:noProof/>
        </w:rPr>
      </w:pPr>
      <w:r>
        <w:rPr>
          <w:noProof/>
        </w:rPr>
        <w:t>Tukivälineen päätöksentekoprosessin kuvaus:  Investointikehyksen alkuperäisen investointipäätöksen tekee investointikomitea tai muu vastaava hallintoelin, ja se hyväksytään Espanjan hallituksesta riippumattomien jäsenten äänten enemmistöllä. Investointikehyksen lopullinen investointipäätös rajoittuu investointikomitean tai vastaavan hallintoelimen ehdottaman investointipäätöksen hyväksymiseen (ilman muutoksia) tai veto-oikeuden käyttämiseen. Välitettyjen sijoitusten osalta välittäjien on tehtävä lopullinen sijoituspäätös. Välittäjän ehdottamaa sijoituspäätöstä koskevaa veto-oikeutta voidaan käyttää kansalliseen turvallisuuteen liittyvistä syistä.</w:t>
      </w:r>
    </w:p>
    <w:p w14:paraId="49221D99" w14:textId="16873181" w:rsidR="0065073E" w:rsidRDefault="000A0998">
      <w:pPr>
        <w:pStyle w:val="P68B1DB1-ListParagraph6"/>
        <w:numPr>
          <w:ilvl w:val="0"/>
          <w:numId w:val="734"/>
        </w:numPr>
        <w:spacing w:line="240" w:lineRule="auto"/>
        <w:jc w:val="both"/>
        <w:rPr>
          <w:rFonts w:eastAsia="Times New Roman" w:cs="Times New Roman"/>
          <w:noProof/>
        </w:rPr>
      </w:pPr>
      <w:r>
        <w:rPr>
          <w:noProof/>
        </w:rPr>
        <w:t>Asiaan liittyvän sijoituspolitiikan keskeiset vaatimukset, joihin on sisällyttävä</w:t>
      </w:r>
    </w:p>
    <w:p w14:paraId="205E8354" w14:textId="36A196FD" w:rsidR="0065073E" w:rsidRDefault="000A0998">
      <w:pPr>
        <w:pStyle w:val="ListParagraph"/>
        <w:numPr>
          <w:ilvl w:val="1"/>
          <w:numId w:val="734"/>
        </w:numPr>
        <w:spacing w:line="240" w:lineRule="auto"/>
        <w:jc w:val="both"/>
        <w:rPr>
          <w:rFonts w:ascii="Times New Roman" w:eastAsia="Times New Roman" w:hAnsi="Times New Roman" w:cs="Times New Roman"/>
          <w:noProof/>
          <w:sz w:val="24"/>
        </w:rPr>
      </w:pPr>
      <w:r>
        <w:rPr>
          <w:rFonts w:ascii="Times New Roman" w:hAnsi="Times New Roman"/>
          <w:noProof/>
          <w:sz w:val="24"/>
        </w:rPr>
        <w:t>Kuvaus rahoitustuotteista ja tukikelpoisista lopullisista tuensaajista toimenpiteen kuvauksen mukaisesti.  Strategisiin investointeihin eli Euroopan puolustusrahaston vuotuisessa työohjelmassa yksilöityihin puolustusteknologioihin ja -tuotteisiin; avaruusinvestoinnit atomikelloihin, strategisiin kantoraketteihin; ja avaruustuotteet;  ja investoinnit, joissa keskitytään yksinomaan kyberturvallisuusvälineiden ja -ratkaisujen kehittämiseen ja käyttöönottoon, myös silloin, kun ne ovat osa digitaalisten verkkojen ja datainfrastruktuurin käyttöönottoa tai parantamista; lopulliset tuensaajat eivät saa olla kolmannen maan tai kolmansien maiden yhteisöjen määräysvallassa, ja niiden toimeenpaneva johto on unionissa, lukuun ottamatta alle 10000000 euron investointeja. Jos lopullinen tuensaaja osallistuu 5G-yhteyksien alan strategiseen investointiin, 5G-kyberturvallisuusvälineistön mukaisia toimenpiteitä ja riskinhallintasuunnitelmia</w:t>
      </w:r>
      <w:r>
        <w:rPr>
          <w:rStyle w:val="FootnoteReference"/>
          <w:rFonts w:ascii="Times New Roman" w:eastAsia="Times New Roman" w:hAnsi="Times New Roman" w:cs="Times New Roman"/>
          <w:noProof/>
          <w:sz w:val="24"/>
        </w:rPr>
        <w:footnoteReference w:id="21"/>
      </w:r>
      <w:r>
        <w:rPr>
          <w:rFonts w:ascii="Times New Roman" w:hAnsi="Times New Roman"/>
          <w:noProof/>
          <w:sz w:val="24"/>
        </w:rPr>
        <w:t xml:space="preserve"> sovelletaan myös sen toimittajiin. Tällaisia toimittajia ovat erityisesti televiestintälaitteiden myyjät ja valmistajat sekä muut ulkopuoliset toimittajat, kuten pilvi-infrastruktuurin tarjoajat, hallintapalvelujen tarjoajat, järjestelmäintegroijat, turvallisuudesta ja ylläpidosta vastaavat toimeksisaajat sekä siirtojärjestelmien valmistajat. Jos lopullinen tuensaaja osallistuu puolustusalan strategiseen investointiin, tätä rajoitusta sovelletaan myös sen tavarantoimittajiin ja alihankkijoihin. Edellä olevissa kolmessa kohdassa vahvistettuja rajoituksia, jotka koskevat kolmannen maan tai kolmannen maan yhteisön määräysvallan puuttumista, ei sovelleta tiettyyn rahoitus- ja investointitoimeen, jos lopullinen tuensaaja voi osoittaa, että se on oikeussubjekti, johon se on sijoittautunut, on hyväksynyt takauksen Euroopan puolustusrahastoa, jäljempänä ’EKR’, koskevan asetuksen asiaa koskevissa säännöksissä vahvistettujen tukikelpoisia yhteisöjä koskevien periaatteiden mukaisesti</w:t>
      </w:r>
      <w:r>
        <w:rPr>
          <w:rStyle w:val="FootnoteReference"/>
          <w:rFonts w:ascii="Times New Roman" w:eastAsia="Times New Roman" w:hAnsi="Times New Roman" w:cs="Times New Roman"/>
          <w:noProof/>
          <w:sz w:val="24"/>
        </w:rPr>
        <w:footnoteReference w:id="22"/>
      </w:r>
      <w:r>
        <w:rPr>
          <w:rFonts w:ascii="Times New Roman" w:hAnsi="Times New Roman"/>
          <w:noProof/>
          <w:sz w:val="24"/>
        </w:rPr>
        <w:t xml:space="preserve"> tai avaruusasetuksen asiaa koskevissa säännöksissä vahvistettujen, tukikelpoisia yhteisöjä koskevien komission poikkeusluvan periaatteiden mukaisesti</w:t>
      </w:r>
      <w:r>
        <w:rPr>
          <w:rStyle w:val="FootnoteReference"/>
          <w:rFonts w:ascii="Times New Roman" w:eastAsia="Times New Roman" w:hAnsi="Times New Roman" w:cs="Times New Roman"/>
          <w:noProof/>
          <w:sz w:val="24"/>
        </w:rPr>
        <w:footnoteReference w:id="23"/>
      </w:r>
      <w:r>
        <w:rPr>
          <w:rFonts w:ascii="Times New Roman" w:hAnsi="Times New Roman"/>
          <w:noProof/>
          <w:sz w:val="24"/>
        </w:rPr>
        <w:t xml:space="preserve">. Toteutuskumppanin on ilmoitettava hallitukselle kaikista rajoituksista myönnetyistä poikkeuksista.   </w:t>
      </w:r>
    </w:p>
    <w:p w14:paraId="2EFD2C81" w14:textId="51BC5F71" w:rsidR="0065073E" w:rsidRDefault="000A0998">
      <w:pPr>
        <w:pStyle w:val="P68B1DB1-ListParagraph6"/>
        <w:numPr>
          <w:ilvl w:val="1"/>
          <w:numId w:val="734"/>
        </w:numPr>
        <w:spacing w:line="240" w:lineRule="auto"/>
        <w:jc w:val="both"/>
        <w:rPr>
          <w:rFonts w:eastAsia="Times New Roman" w:cs="Times New Roman"/>
          <w:noProof/>
        </w:rPr>
      </w:pPr>
      <w:r>
        <w:rPr>
          <w:noProof/>
        </w:rPr>
        <w:t>Vaatimus, jonka mukaan kaikkien tuettujen investointien on oltava taloudellisesti kannattavia.</w:t>
      </w:r>
    </w:p>
    <w:p w14:paraId="563AF7F0" w14:textId="0EB49510" w:rsidR="0065073E" w:rsidRDefault="000A0998">
      <w:pPr>
        <w:pStyle w:val="P68B1DB1-ListParagraph6"/>
        <w:numPr>
          <w:ilvl w:val="1"/>
          <w:numId w:val="734"/>
        </w:numPr>
        <w:spacing w:line="240" w:lineRule="auto"/>
        <w:jc w:val="both"/>
        <w:rPr>
          <w:rFonts w:eastAsia="Times New Roman" w:cs="Times New Roman"/>
          <w:noProof/>
        </w:rPr>
      </w:pPr>
      <w:r>
        <w:rPr>
          <w:noProof/>
        </w:rPr>
        <w:t xml:space="preserve">Kielto jälleenrahoittaa kaikkia jäljellä olevia lainoja.  </w:t>
      </w:r>
    </w:p>
    <w:p w14:paraId="0A322070" w14:textId="022667E5" w:rsidR="0065073E" w:rsidRDefault="000A0998">
      <w:pPr>
        <w:pStyle w:val="P68B1DB1-ListParagraph6"/>
        <w:numPr>
          <w:ilvl w:val="1"/>
          <w:numId w:val="734"/>
        </w:numPr>
        <w:spacing w:line="240" w:lineRule="auto"/>
        <w:jc w:val="both"/>
        <w:rPr>
          <w:rFonts w:eastAsia="Times New Roman" w:cs="Times New Roman"/>
          <w:noProof/>
        </w:rPr>
      </w:pPr>
      <w:r>
        <w:rPr>
          <w:noProof/>
        </w:rPr>
        <w:t xml:space="preserve">Vaatimus noudattaa ”ei merkittävää haittaa” -periaatetta, sellaisena kuin se on vahvistettu ”ei merkittävää haittaa” -periaatetta (2021/C58/01), erityisesti: </w:t>
      </w:r>
      <w:bookmarkStart w:id="20" w:name="_Hlk145599269"/>
    </w:p>
    <w:p w14:paraId="257C51EC" w14:textId="41476553" w:rsidR="0065073E" w:rsidRDefault="000A0998">
      <w:pPr>
        <w:pStyle w:val="ListParagraph"/>
        <w:numPr>
          <w:ilvl w:val="2"/>
          <w:numId w:val="734"/>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24"/>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25"/>
      </w:r>
      <w:r>
        <w:rPr>
          <w:rFonts w:ascii="Times New Roman" w:hAnsi="Times New Roman"/>
          <w:noProof/>
          <w:sz w:val="24"/>
        </w:rPr>
        <w:t xml:space="preserve"> </w:t>
      </w:r>
      <w:bookmarkStart w:id="21" w:name="_Hlk145696282"/>
      <w:r>
        <w:rPr>
          <w:rFonts w:ascii="Times New Roman" w:hAnsi="Times New Roman"/>
          <w:noProof/>
          <w:sz w:val="24"/>
        </w:rPr>
        <w:t xml:space="preserve">iii) jätteen kaatopaikkoihin, polttolaitoksiin ja mekaanisiin biologisiin </w:t>
      </w:r>
      <w:r>
        <w:rPr>
          <w:rFonts w:ascii="Times New Roman" w:hAnsi="Times New Roman"/>
          <w:noProof/>
        </w:rPr>
        <w:t>käsittelylaitoksiin liittyvät toiminnot</w:t>
      </w:r>
      <w:r>
        <w:rPr>
          <w:rStyle w:val="FootnoteReference"/>
          <w:rFonts w:ascii="Times New Roman" w:eastAsia="Times New Roman" w:hAnsi="Times New Roman" w:cs="Times New Roman"/>
          <w:noProof/>
          <w:sz w:val="24"/>
        </w:rPr>
        <w:footnoteReference w:id="26"/>
      </w:r>
      <w:r>
        <w:rPr>
          <w:rFonts w:ascii="Times New Roman" w:hAnsi="Times New Roman"/>
          <w:noProof/>
        </w:rPr>
        <w:t xml:space="preserve"> ja omaisuuserät</w:t>
      </w:r>
      <w:r>
        <w:rPr>
          <w:rStyle w:val="FootnoteReference"/>
          <w:rFonts w:ascii="Times New Roman" w:hAnsi="Times New Roman" w:cs="Times New Roman"/>
          <w:noProof/>
        </w:rPr>
        <w:footnoteReference w:id="27"/>
      </w:r>
      <w:r>
        <w:rPr>
          <w:rFonts w:ascii="Times New Roman" w:hAnsi="Times New Roman"/>
          <w:noProof/>
        </w:rPr>
        <w:t xml:space="preserve">. </w:t>
      </w:r>
      <w:bookmarkEnd w:id="21"/>
    </w:p>
    <w:p w14:paraId="62379C76" w14:textId="3AE7FE1B" w:rsidR="0065073E" w:rsidRDefault="000A0998">
      <w:pPr>
        <w:pStyle w:val="ListParagraph"/>
        <w:numPr>
          <w:ilvl w:val="2"/>
          <w:numId w:val="734"/>
        </w:numPr>
        <w:jc w:val="both"/>
        <w:rPr>
          <w:rFonts w:ascii="Times New Roman" w:eastAsia="Times New Roman" w:hAnsi="Times New Roman" w:cs="Times New Roman"/>
          <w:noProof/>
          <w:sz w:val="24"/>
        </w:rPr>
      </w:pPr>
      <w:bookmarkStart w:id="22" w:name="_Hlk145612965"/>
      <w:r>
        <w:rPr>
          <w:rFonts w:ascii="Times New Roman" w:hAnsi="Times New Roman"/>
          <w:noProof/>
          <w:sz w:val="24"/>
        </w:rPr>
        <w:t>Oman pääoman ehtoisten, oman pääoman luonteisten, yritysten joukkovelkakirjalainojen tai vastaavien instrumenttien osalta: sijoituspolitiikassa on edellytettävä, että yritykset hyväksyvät vihreää siirtymää koskevat suunnitelmat direktiivin 2013/34/EU 19 a artiklan 2 kohdan a alakohdan iii alakohdassa esitetyn määritelmän mukaisesti,</w:t>
      </w:r>
      <w:r>
        <w:rPr>
          <w:rStyle w:val="FootnoteReference"/>
          <w:rFonts w:ascii="Times New Roman" w:eastAsia="Times New Roman" w:hAnsi="Times New Roman" w:cs="Times New Roman"/>
          <w:noProof/>
          <w:sz w:val="24"/>
        </w:rPr>
        <w:footnoteReference w:id="28"/>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29"/>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30"/>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31"/>
      </w:r>
      <w:r>
        <w:rPr>
          <w:rFonts w:ascii="Times New Roman" w:hAnsi="Times New Roman"/>
          <w:noProof/>
          <w:sz w:val="24"/>
        </w:rPr>
        <w:t xml:space="preserve"> ja omaisuuserät</w:t>
      </w:r>
      <w:r>
        <w:rPr>
          <w:rStyle w:val="FootnoteReference"/>
          <w:rFonts w:ascii="Times New Roman" w:eastAsia="Times New Roman" w:hAnsi="Times New Roman" w:cs="Times New Roman"/>
          <w:noProof/>
          <w:sz w:val="24"/>
        </w:rPr>
        <w:footnoteReference w:id="32"/>
      </w:r>
      <w:r>
        <w:rPr>
          <w:rFonts w:ascii="Times New Roman" w:hAnsi="Times New Roman"/>
          <w:noProof/>
          <w:sz w:val="24"/>
        </w:rPr>
        <w:t xml:space="preserve">. </w:t>
      </w:r>
    </w:p>
    <w:bookmarkEnd w:id="22"/>
    <w:p w14:paraId="77963A6E" w14:textId="2BC8F4B7" w:rsidR="0065073E" w:rsidRDefault="000A0998">
      <w:pPr>
        <w:pStyle w:val="P68B1DB1-ListParagraph6"/>
        <w:numPr>
          <w:ilvl w:val="2"/>
          <w:numId w:val="734"/>
        </w:numPr>
        <w:rPr>
          <w:rFonts w:eastAsia="Times New Roman" w:cs="Times New Roman"/>
          <w:noProof/>
        </w:rPr>
      </w:pPr>
      <w:r>
        <w:rPr>
          <w:noProof/>
        </w:rPr>
        <w:t>Lisäksi investointipolitiikassa on edellytettävä, että tukivälineen lopulliset edunsaajat noudattavat asiaankuuluvaa EU:n ja kansallista ympäristölainsäädäntöä.</w:t>
      </w:r>
    </w:p>
    <w:p w14:paraId="5AFDB985" w14:textId="2BC8F4B7" w:rsidR="0065073E" w:rsidRDefault="000A0998">
      <w:pPr>
        <w:pStyle w:val="P68B1DB1-ListParagraph6"/>
        <w:numPr>
          <w:ilvl w:val="1"/>
          <w:numId w:val="734"/>
        </w:numPr>
        <w:rPr>
          <w:rFonts w:eastAsia="Times New Roman" w:cs="Times New Roman"/>
          <w:noProof/>
        </w:rPr>
      </w:pPr>
      <w:r>
        <w:rPr>
          <w:noProof/>
        </w:rPr>
        <w:t>Vaatimus, jonka mukaan lainajärjestelyn lopulliset edunsaajat eivät saa saada tukea muista unionin välineistä samojen kustannusten kattamiseksi.</w:t>
      </w:r>
    </w:p>
    <w:p w14:paraId="412A05D5" w14:textId="50E0CC3A" w:rsidR="0065073E" w:rsidRDefault="000A0998">
      <w:pPr>
        <w:pStyle w:val="P68B1DB1-ListParagraph6"/>
        <w:numPr>
          <w:ilvl w:val="0"/>
          <w:numId w:val="734"/>
        </w:numPr>
        <w:rPr>
          <w:rFonts w:eastAsia="Times New Roman" w:cs="Times New Roman"/>
          <w:noProof/>
        </w:rPr>
      </w:pPr>
      <w:r>
        <w:rPr>
          <w:noProof/>
        </w:rPr>
        <w:t>Asetuksen ja siihen liittyvien tukivälineen perustamista koskevien asiakirjojen kattama määrä, toteutuskumppanin maksurakenne ja vaatimus sijoittaa takaisin saadut varat tukivälineen investointipolitiikan mukaisesti, paitsi jos niitä käytetään elpymis- ja palautumistukivälineen lainojen takaisinmaksuun.</w:t>
      </w:r>
    </w:p>
    <w:p w14:paraId="042E9FE3" w14:textId="2BC8F4B7" w:rsidR="0065073E" w:rsidRDefault="000A0998">
      <w:pPr>
        <w:pStyle w:val="P68B1DB1-ListParagraph6"/>
        <w:numPr>
          <w:ilvl w:val="0"/>
          <w:numId w:val="734"/>
        </w:numPr>
        <w:rPr>
          <w:rFonts w:eastAsia="Times New Roman" w:cs="Times New Roman"/>
          <w:noProof/>
        </w:rPr>
      </w:pPr>
      <w:r>
        <w:rPr>
          <w:noProof/>
        </w:rPr>
        <w:t>Seuranta-, auditointi- ja valvontavaatimukset, mukaan lukien</w:t>
      </w:r>
    </w:p>
    <w:p w14:paraId="0BB88356" w14:textId="2BC8F4B7" w:rsidR="0065073E" w:rsidRDefault="000A0998">
      <w:pPr>
        <w:pStyle w:val="P68B1DB1-ListParagraph6"/>
        <w:numPr>
          <w:ilvl w:val="1"/>
          <w:numId w:val="734"/>
        </w:numPr>
        <w:rPr>
          <w:rFonts w:eastAsia="Times New Roman" w:cs="Times New Roman"/>
          <w:noProof/>
        </w:rPr>
      </w:pPr>
      <w:r>
        <w:rPr>
          <w:noProof/>
        </w:rPr>
        <w:t>Kuvaus toteutuskumppanin seurantajärjestelmästä, jolla raportoidaan käyttöön otetuista investoinneista.</w:t>
      </w:r>
    </w:p>
    <w:p w14:paraId="409332BD" w14:textId="1D181889" w:rsidR="0065073E" w:rsidRDefault="000A0998">
      <w:pPr>
        <w:pStyle w:val="P68B1DB1-ListParagraph6"/>
        <w:numPr>
          <w:ilvl w:val="1"/>
          <w:numId w:val="734"/>
        </w:numPr>
        <w:rPr>
          <w:rFonts w:eastAsia="Times New Roman" w:cs="Times New Roman"/>
          <w:noProof/>
        </w:rPr>
      </w:pPr>
      <w:r>
        <w:rPr>
          <w:noProof/>
        </w:rPr>
        <w:t xml:space="preserve">Kuvaus toteutuskumppanin menettelyistä, joilla varmistetaan petosten, lahjonnan ja eturistiriitojen ehkäiseminen, havaitseminen ja korjaaminen. </w:t>
      </w:r>
    </w:p>
    <w:p w14:paraId="6A0E54D9" w14:textId="2BC8F4B7" w:rsidR="0065073E" w:rsidRDefault="000A0998">
      <w:pPr>
        <w:pStyle w:val="P68B1DB1-ListParagraph6"/>
        <w:numPr>
          <w:ilvl w:val="1"/>
          <w:numId w:val="734"/>
        </w:numPr>
        <w:rPr>
          <w:rFonts w:eastAsia="Times New Roman" w:cs="Times New Roman"/>
          <w:noProof/>
        </w:rPr>
      </w:pPr>
      <w:r>
        <w:rPr>
          <w:noProof/>
        </w:rPr>
        <w:t>Velvollisuus tarkistaa jokaisen toimen tukikelpoisuus täytäntöönpanosopimuksessa vahvistettujen vaatimusten mukaisesti ennen kuin sitoudutaan rahoittamaan toimi.</w:t>
      </w:r>
    </w:p>
    <w:p w14:paraId="42DA0104" w14:textId="56D387C0" w:rsidR="0065073E" w:rsidRDefault="000A0998">
      <w:pPr>
        <w:pStyle w:val="P68B1DB1-ListParagraph6"/>
        <w:numPr>
          <w:ilvl w:val="1"/>
          <w:numId w:val="734"/>
        </w:numPr>
        <w:rPr>
          <w:rFonts w:eastAsia="Times New Roman" w:cs="Times New Roman"/>
          <w:noProof/>
        </w:rPr>
      </w:pPr>
      <w:r>
        <w:rPr>
          <w:noProof/>
        </w:rPr>
        <w:t xml:space="preserve">Velvoite suorittaa riskiperusteisia jälkitarkastuksia SEPIDESin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asetuksen ja siihen liittyvien tukivälineen perustamisasiakirjojen ja rahoitussopimusten ehtoja noudatetaan. </w:t>
      </w:r>
    </w:p>
    <w:p w14:paraId="76700374" w14:textId="3A118CB2" w:rsidR="0065073E" w:rsidRDefault="000A0998">
      <w:pPr>
        <w:pStyle w:val="P68B1DB1-ListParagraph6"/>
        <w:numPr>
          <w:ilvl w:val="0"/>
          <w:numId w:val="734"/>
        </w:numPr>
        <w:rPr>
          <w:rFonts w:eastAsia="Times New Roman" w:cs="Times New Roman"/>
          <w:noProof/>
        </w:rPr>
      </w:pPr>
      <w:r>
        <w:rPr>
          <w:noProof/>
        </w:rPr>
        <w:t xml:space="preserve">Rahoituksen välittäjien valintaa koskevat vaatimukset: SEPIDES-järjestelmä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64409DA5" w14:textId="4096CEFE" w:rsidR="0065073E" w:rsidRDefault="000A0998">
      <w:pPr>
        <w:pStyle w:val="P68B1DB1-ListParagraph6"/>
        <w:numPr>
          <w:ilvl w:val="0"/>
          <w:numId w:val="734"/>
        </w:numPr>
        <w:rPr>
          <w:rFonts w:eastAsia="Times New Roman" w:cs="Times New Roman"/>
          <w:noProof/>
        </w:rPr>
      </w:pPr>
      <w:r>
        <w:rPr>
          <w:noProof/>
        </w:rPr>
        <w:t xml:space="preserve">Vaatimus rahoitussopimusten allekirjoittamisesta: </w:t>
      </w:r>
      <w:bookmarkStart w:id="23" w:name="_Hlk145660075"/>
      <w:r>
        <w:rPr>
          <w:noProof/>
        </w:rPr>
        <w:t>SEPIDES allekirjoittaa rahoitussopimukset rahoituksen välittäjien kanssa niiden keskeisten vaatimusten mukaisesti, jotka on esitettävä osana rahaston perustamisasiakirjoja.</w:t>
      </w:r>
      <w:bookmarkEnd w:id="23"/>
      <w:r>
        <w:rPr>
          <w:noProof/>
        </w:rPr>
        <w:t xml:space="preserve"> Rahoitussopimuksen keskeisiin vaatimuksiin on sisällyttävä kaikki rahaston toimintaa koskevat vaatimukset, mukaan lukien seuraavat:  </w:t>
      </w:r>
    </w:p>
    <w:p w14:paraId="1989935B" w14:textId="2BC8F4B7" w:rsidR="0065073E" w:rsidRDefault="000A0998">
      <w:pPr>
        <w:pStyle w:val="P68B1DB1-ListParagraph6"/>
        <w:numPr>
          <w:ilvl w:val="1"/>
          <w:numId w:val="734"/>
        </w:numPr>
        <w:rPr>
          <w:rFonts w:eastAsia="Times New Roman"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 </w:t>
      </w:r>
    </w:p>
    <w:p w14:paraId="6539DE4B" w14:textId="2BC8F4B7" w:rsidR="0065073E" w:rsidRDefault="000A0998">
      <w:pPr>
        <w:pStyle w:val="P68B1DB1-ListParagraph6"/>
        <w:numPr>
          <w:ilvl w:val="1"/>
          <w:numId w:val="734"/>
        </w:numPr>
        <w:rPr>
          <w:rFonts w:eastAsia="Times New Roman"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41DA3C74" w14:textId="544F9D56" w:rsidR="0065073E" w:rsidRDefault="000A0998">
      <w:pPr>
        <w:pStyle w:val="P68B1DB1-ListParagraph6"/>
        <w:ind w:left="0"/>
        <w:rPr>
          <w:rFonts w:eastAsia="Times New Roman" w:cs="Times New Roman"/>
          <w:noProof/>
        </w:rPr>
      </w:pPr>
      <w:r>
        <w:rPr>
          <w:noProof/>
        </w:rPr>
        <w:t>Toimenpiteen täytäntöönpano on saatettava päätökseen 31 päivään elokuuta 2026 mennessä.</w:t>
      </w:r>
    </w:p>
    <w:bookmarkEnd w:id="20"/>
    <w:p w14:paraId="524E8F38" w14:textId="77777777" w:rsidR="0065073E" w:rsidRDefault="000A0998">
      <w:pPr>
        <w:spacing w:line="240" w:lineRule="auto"/>
        <w:ind w:left="720"/>
        <w:rPr>
          <w:rFonts w:ascii="Times New Roman" w:hAnsi="Times New Roman" w:cs="Times New Roman"/>
          <w:b/>
          <w:noProof/>
          <w:sz w:val="24"/>
          <w:u w:val="single"/>
        </w:rPr>
      </w:pPr>
      <w:r>
        <w:rPr>
          <w:rFonts w:ascii="Times New Roman" w:hAnsi="Times New Roman"/>
          <w:b/>
          <w:noProof/>
          <w:sz w:val="24"/>
          <w:u w:val="single"/>
        </w:rPr>
        <w:t xml:space="preserve">K.4 </w:t>
      </w:r>
      <w:r>
        <w:rPr>
          <w:noProof/>
        </w:rPr>
        <w:t xml:space="preserve"> </w:t>
      </w:r>
      <w:r>
        <w:rPr>
          <w:rFonts w:ascii="Times New Roman" w:hAnsi="Times New Roman"/>
          <w:b/>
          <w:noProof/>
          <w:sz w:val="24"/>
          <w:u w:val="single"/>
        </w:rPr>
        <w:t>Lainatuen seurannan ja täytäntöönpanon välitavoitteet, tavoitteet, indikaattorit ja aikataulu</w:t>
      </w:r>
    </w:p>
    <w:p w14:paraId="2AD937C7" w14:textId="418509D2" w:rsidR="0065073E" w:rsidRDefault="000A0998">
      <w:pPr>
        <w:pStyle w:val="P68B1DB1-Normal17"/>
        <w:spacing w:line="240" w:lineRule="auto"/>
        <w:rPr>
          <w:rFonts w:cs="Times New Roman"/>
          <w:noProof/>
        </w:rPr>
      </w:pPr>
      <w:r>
        <w:rPr>
          <w:noProof/>
        </w:rPr>
        <w:t xml:space="preserve">Ks. taulukko jäljempänä. Kaikkien indikaattoreiden perustason päivämäärä on 1. helmikuuta 2020, ellei toimen kuvauksessa toisin mainita. Taulukkoon L17 liittyvät määrät eivät sisällä arvonlisäveroa. </w:t>
      </w:r>
    </w:p>
    <w:p w14:paraId="6A3D9E5D" w14:textId="77777777" w:rsidR="0065073E" w:rsidRDefault="0065073E">
      <w:pPr>
        <w:spacing w:before="120" w:after="120" w:line="240" w:lineRule="auto"/>
        <w:jc w:val="both"/>
        <w:rPr>
          <w:rStyle w:val="eop"/>
          <w:rFonts w:ascii="Times New Roman" w:hAnsi="Times New Roman" w:cs="Times New Roman"/>
          <w:noProof/>
          <w:shd w:val="clear" w:color="auto" w:fill="FFFFFF"/>
        </w:rPr>
        <w:sectPr w:rsidR="0065073E" w:rsidSect="00B511EF">
          <w:headerReference w:type="even" r:id="rId258"/>
          <w:headerReference w:type="default" r:id="rId259"/>
          <w:footerReference w:type="even" r:id="rId260"/>
          <w:footerReference w:type="default" r:id="rId261"/>
          <w:headerReference w:type="first" r:id="rId262"/>
          <w:footerReference w:type="first" r:id="rId263"/>
          <w:pgSz w:w="11907" w:h="16839"/>
          <w:pgMar w:top="1134" w:right="1134" w:bottom="1134" w:left="1134" w:header="567" w:footer="567"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822"/>
        <w:gridCol w:w="821"/>
        <w:gridCol w:w="2633"/>
        <w:gridCol w:w="1332"/>
        <w:gridCol w:w="686"/>
        <w:gridCol w:w="974"/>
        <w:gridCol w:w="896"/>
        <w:gridCol w:w="412"/>
        <w:gridCol w:w="812"/>
        <w:gridCol w:w="5063"/>
      </w:tblGrid>
      <w:tr w:rsidR="0065073E" w14:paraId="2616F5E1" w14:textId="77777777">
        <w:trPr>
          <w:trHeight w:val="309"/>
          <w:tblHeader/>
        </w:trPr>
        <w:tc>
          <w:tcPr>
            <w:tcW w:w="837" w:type="dxa"/>
            <w:vMerge w:val="restart"/>
            <w:shd w:val="clear" w:color="auto" w:fill="C6D9F1" w:themeFill="text2" w:themeFillTint="33"/>
            <w:noWrap/>
            <w:vAlign w:val="center"/>
          </w:tcPr>
          <w:p w14:paraId="3AD07B5D" w14:textId="77777777" w:rsidR="0065073E" w:rsidRDefault="000A0998">
            <w:pPr>
              <w:pStyle w:val="P68B1DB1-Normal8"/>
              <w:spacing w:after="0" w:line="240" w:lineRule="auto"/>
              <w:jc w:val="center"/>
              <w:rPr>
                <w:rFonts w:cs="Times New Roman"/>
                <w:noProof/>
              </w:rPr>
            </w:pPr>
            <w:r>
              <w:rPr>
                <w:noProof/>
              </w:rPr>
              <w:t>Määrä</w:t>
            </w:r>
          </w:p>
        </w:tc>
        <w:tc>
          <w:tcPr>
            <w:tcW w:w="837" w:type="dxa"/>
            <w:vMerge w:val="restart"/>
            <w:shd w:val="clear" w:color="auto" w:fill="C6D9F1" w:themeFill="text2" w:themeFillTint="33"/>
            <w:noWrap/>
            <w:vAlign w:val="center"/>
          </w:tcPr>
          <w:p w14:paraId="6B19678A" w14:textId="77777777" w:rsidR="0065073E" w:rsidRDefault="000A0998">
            <w:pPr>
              <w:pStyle w:val="P68B1DB1-Normal8"/>
              <w:spacing w:after="0" w:line="240" w:lineRule="auto"/>
              <w:jc w:val="center"/>
              <w:rPr>
                <w:rFonts w:cs="Times New Roman"/>
                <w:noProof/>
              </w:rPr>
            </w:pPr>
            <w:r>
              <w:rPr>
                <w:noProof/>
              </w:rPr>
              <w:t>Toimenpide</w:t>
            </w:r>
          </w:p>
        </w:tc>
        <w:tc>
          <w:tcPr>
            <w:tcW w:w="836" w:type="dxa"/>
            <w:vMerge w:val="restart"/>
            <w:shd w:val="clear" w:color="auto" w:fill="C6D9F1" w:themeFill="text2" w:themeFillTint="33"/>
            <w:noWrap/>
            <w:vAlign w:val="center"/>
          </w:tcPr>
          <w:p w14:paraId="48A60148"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85" w:type="dxa"/>
            <w:vMerge w:val="restart"/>
            <w:shd w:val="clear" w:color="auto" w:fill="C6D9F1" w:themeFill="text2" w:themeFillTint="33"/>
            <w:noWrap/>
            <w:vAlign w:val="center"/>
          </w:tcPr>
          <w:p w14:paraId="238C1394" w14:textId="77777777" w:rsidR="0065073E" w:rsidRDefault="000A0998">
            <w:pPr>
              <w:pStyle w:val="P68B1DB1-Normal8"/>
              <w:spacing w:after="0" w:line="240" w:lineRule="auto"/>
              <w:jc w:val="center"/>
              <w:rPr>
                <w:rFonts w:cs="Times New Roman"/>
                <w:noProof/>
              </w:rPr>
            </w:pPr>
            <w:r>
              <w:rPr>
                <w:noProof/>
              </w:rPr>
              <w:t>Nimi</w:t>
            </w:r>
          </w:p>
        </w:tc>
        <w:tc>
          <w:tcPr>
            <w:tcW w:w="1358" w:type="dxa"/>
            <w:vMerge w:val="restart"/>
            <w:shd w:val="clear" w:color="auto" w:fill="C6D9F1" w:themeFill="text2" w:themeFillTint="33"/>
            <w:noWrap/>
            <w:vAlign w:val="center"/>
          </w:tcPr>
          <w:p w14:paraId="4FD7E83C"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09" w:type="dxa"/>
            <w:gridSpan w:val="3"/>
            <w:shd w:val="clear" w:color="auto" w:fill="C6D9F1" w:themeFill="text2" w:themeFillTint="33"/>
            <w:noWrap/>
            <w:vAlign w:val="center"/>
          </w:tcPr>
          <w:p w14:paraId="28F52CFA"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246" w:type="dxa"/>
            <w:gridSpan w:val="2"/>
            <w:shd w:val="clear" w:color="auto" w:fill="C6D9F1" w:themeFill="text2" w:themeFillTint="33"/>
            <w:noWrap/>
            <w:vAlign w:val="center"/>
          </w:tcPr>
          <w:p w14:paraId="60CB2ADD" w14:textId="77777777" w:rsidR="0065073E" w:rsidRDefault="000A0998">
            <w:pPr>
              <w:pStyle w:val="P68B1DB1-Normal8"/>
              <w:spacing w:after="0" w:line="240" w:lineRule="auto"/>
              <w:jc w:val="center"/>
              <w:rPr>
                <w:rFonts w:cs="Times New Roman"/>
                <w:noProof/>
              </w:rPr>
            </w:pPr>
            <w:r>
              <w:rPr>
                <w:noProof/>
              </w:rPr>
              <w:t>Aika</w:t>
            </w:r>
          </w:p>
        </w:tc>
        <w:tc>
          <w:tcPr>
            <w:tcW w:w="5165" w:type="dxa"/>
            <w:vMerge w:val="restart"/>
            <w:shd w:val="clear" w:color="auto" w:fill="C6D9F1" w:themeFill="text2" w:themeFillTint="33"/>
            <w:noWrap/>
            <w:vAlign w:val="center"/>
          </w:tcPr>
          <w:p w14:paraId="6D385B64"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E7F24D4" w14:textId="77777777">
        <w:trPr>
          <w:trHeight w:val="309"/>
          <w:tblHeader/>
        </w:trPr>
        <w:tc>
          <w:tcPr>
            <w:tcW w:w="837" w:type="dxa"/>
            <w:vMerge/>
            <w:shd w:val="clear" w:color="auto" w:fill="C6D9F1" w:themeFill="text2" w:themeFillTint="33"/>
            <w:noWrap/>
          </w:tcPr>
          <w:p w14:paraId="59E3779A" w14:textId="77777777" w:rsidR="0065073E" w:rsidRDefault="0065073E">
            <w:pPr>
              <w:spacing w:after="0" w:line="240" w:lineRule="auto"/>
              <w:jc w:val="center"/>
              <w:rPr>
                <w:rFonts w:ascii="Times New Roman" w:hAnsi="Times New Roman" w:cs="Times New Roman"/>
                <w:b/>
                <w:noProof/>
                <w:sz w:val="18"/>
              </w:rPr>
            </w:pPr>
          </w:p>
        </w:tc>
        <w:tc>
          <w:tcPr>
            <w:tcW w:w="837" w:type="dxa"/>
            <w:vMerge/>
            <w:shd w:val="clear" w:color="auto" w:fill="C6D9F1" w:themeFill="text2" w:themeFillTint="33"/>
            <w:noWrap/>
          </w:tcPr>
          <w:p w14:paraId="06703800" w14:textId="77777777" w:rsidR="0065073E" w:rsidRDefault="0065073E">
            <w:pPr>
              <w:spacing w:after="0" w:line="240" w:lineRule="auto"/>
              <w:jc w:val="center"/>
              <w:rPr>
                <w:rFonts w:ascii="Times New Roman" w:hAnsi="Times New Roman" w:cs="Times New Roman"/>
                <w:b/>
                <w:noProof/>
                <w:sz w:val="18"/>
              </w:rPr>
            </w:pPr>
          </w:p>
        </w:tc>
        <w:tc>
          <w:tcPr>
            <w:tcW w:w="836" w:type="dxa"/>
            <w:vMerge/>
            <w:shd w:val="clear" w:color="auto" w:fill="C6D9F1" w:themeFill="text2" w:themeFillTint="33"/>
            <w:noWrap/>
          </w:tcPr>
          <w:p w14:paraId="1A20FE71" w14:textId="77777777" w:rsidR="0065073E" w:rsidRDefault="0065073E">
            <w:pPr>
              <w:spacing w:after="0" w:line="240" w:lineRule="auto"/>
              <w:jc w:val="center"/>
              <w:rPr>
                <w:rFonts w:ascii="Times New Roman" w:hAnsi="Times New Roman" w:cs="Times New Roman"/>
                <w:b/>
                <w:noProof/>
                <w:sz w:val="18"/>
              </w:rPr>
            </w:pPr>
          </w:p>
        </w:tc>
        <w:tc>
          <w:tcPr>
            <w:tcW w:w="2685" w:type="dxa"/>
            <w:vMerge/>
            <w:shd w:val="clear" w:color="auto" w:fill="C6D9F1" w:themeFill="text2" w:themeFillTint="33"/>
            <w:noWrap/>
          </w:tcPr>
          <w:p w14:paraId="7ECDEF7E" w14:textId="77777777" w:rsidR="0065073E" w:rsidRDefault="0065073E">
            <w:pPr>
              <w:spacing w:after="0" w:line="240" w:lineRule="auto"/>
              <w:rPr>
                <w:rFonts w:ascii="Times New Roman" w:hAnsi="Times New Roman" w:cs="Times New Roman"/>
                <w:b/>
                <w:noProof/>
                <w:sz w:val="18"/>
              </w:rPr>
            </w:pPr>
          </w:p>
        </w:tc>
        <w:tc>
          <w:tcPr>
            <w:tcW w:w="1358" w:type="dxa"/>
            <w:vMerge/>
            <w:shd w:val="clear" w:color="auto" w:fill="C6D9F1" w:themeFill="text2" w:themeFillTint="33"/>
            <w:noWrap/>
          </w:tcPr>
          <w:p w14:paraId="3D69A8B0" w14:textId="77777777" w:rsidR="0065073E" w:rsidRDefault="0065073E">
            <w:pPr>
              <w:spacing w:after="0" w:line="240" w:lineRule="auto"/>
              <w:jc w:val="center"/>
              <w:rPr>
                <w:rFonts w:ascii="Times New Roman" w:hAnsi="Times New Roman" w:cs="Times New Roman"/>
                <w:b/>
                <w:noProof/>
                <w:sz w:val="18"/>
              </w:rPr>
            </w:pPr>
          </w:p>
        </w:tc>
        <w:tc>
          <w:tcPr>
            <w:tcW w:w="698" w:type="dxa"/>
            <w:shd w:val="clear" w:color="auto" w:fill="C6D9F1" w:themeFill="text2" w:themeFillTint="33"/>
            <w:noWrap/>
            <w:vAlign w:val="center"/>
          </w:tcPr>
          <w:p w14:paraId="197941C7"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vAlign w:val="center"/>
          </w:tcPr>
          <w:p w14:paraId="5BDD40F7" w14:textId="7596D4CD" w:rsidR="0065073E" w:rsidRDefault="000A0998">
            <w:pPr>
              <w:pStyle w:val="P68B1DB1-Normal8"/>
              <w:spacing w:after="0" w:line="240" w:lineRule="auto"/>
              <w:jc w:val="center"/>
              <w:rPr>
                <w:rFonts w:cs="Times New Roman"/>
                <w:noProof/>
              </w:rPr>
            </w:pPr>
            <w:r>
              <w:rPr>
                <w:noProof/>
              </w:rPr>
              <w:t>Lähtötaso</w:t>
            </w:r>
          </w:p>
        </w:tc>
        <w:tc>
          <w:tcPr>
            <w:tcW w:w="913" w:type="dxa"/>
            <w:shd w:val="clear" w:color="auto" w:fill="C6D9F1" w:themeFill="text2" w:themeFillTint="33"/>
            <w:noWrap/>
            <w:vAlign w:val="center"/>
          </w:tcPr>
          <w:p w14:paraId="52121D1F" w14:textId="77777777" w:rsidR="0065073E" w:rsidRDefault="000A0998">
            <w:pPr>
              <w:pStyle w:val="P68B1DB1-Normal8"/>
              <w:spacing w:after="0" w:line="240" w:lineRule="auto"/>
              <w:jc w:val="center"/>
              <w:rPr>
                <w:rFonts w:cs="Times New Roman"/>
                <w:noProof/>
              </w:rPr>
            </w:pPr>
            <w:r>
              <w:rPr>
                <w:noProof/>
              </w:rPr>
              <w:t>Päämäärä</w:t>
            </w:r>
          </w:p>
        </w:tc>
        <w:tc>
          <w:tcPr>
            <w:tcW w:w="419" w:type="dxa"/>
            <w:shd w:val="clear" w:color="auto" w:fill="C6D9F1" w:themeFill="text2" w:themeFillTint="33"/>
            <w:noWrap/>
            <w:vAlign w:val="center"/>
          </w:tcPr>
          <w:p w14:paraId="1BF3FC7D" w14:textId="77777777" w:rsidR="0065073E" w:rsidRDefault="000A0998">
            <w:pPr>
              <w:pStyle w:val="P68B1DB1-Normal8"/>
              <w:spacing w:after="0" w:line="240" w:lineRule="auto"/>
              <w:jc w:val="center"/>
              <w:rPr>
                <w:rFonts w:cs="Times New Roman"/>
                <w:noProof/>
              </w:rPr>
            </w:pPr>
            <w:r>
              <w:rPr>
                <w:noProof/>
              </w:rPr>
              <w:t>Q</w:t>
            </w:r>
          </w:p>
        </w:tc>
        <w:tc>
          <w:tcPr>
            <w:tcW w:w="827" w:type="dxa"/>
            <w:shd w:val="clear" w:color="auto" w:fill="C6D9F1" w:themeFill="text2" w:themeFillTint="33"/>
            <w:noWrap/>
            <w:vAlign w:val="center"/>
          </w:tcPr>
          <w:p w14:paraId="7A2A1329" w14:textId="77777777" w:rsidR="0065073E" w:rsidRDefault="000A0998">
            <w:pPr>
              <w:pStyle w:val="P68B1DB1-Normal8"/>
              <w:spacing w:after="0" w:line="240" w:lineRule="auto"/>
              <w:jc w:val="center"/>
              <w:rPr>
                <w:rFonts w:cs="Times New Roman"/>
                <w:noProof/>
              </w:rPr>
            </w:pPr>
            <w:r>
              <w:rPr>
                <w:noProof/>
              </w:rPr>
              <w:t>Vuosi</w:t>
            </w:r>
          </w:p>
        </w:tc>
        <w:tc>
          <w:tcPr>
            <w:tcW w:w="5165" w:type="dxa"/>
            <w:vMerge/>
            <w:shd w:val="clear" w:color="auto" w:fill="C6D9F1" w:themeFill="text2" w:themeFillTint="33"/>
            <w:noWrap/>
          </w:tcPr>
          <w:p w14:paraId="3B2DFE3C" w14:textId="77777777" w:rsidR="0065073E" w:rsidRDefault="0065073E">
            <w:pPr>
              <w:spacing w:after="0" w:line="240" w:lineRule="auto"/>
              <w:rPr>
                <w:rFonts w:ascii="Times New Roman" w:hAnsi="Times New Roman" w:cs="Times New Roman"/>
                <w:b/>
                <w:noProof/>
                <w:sz w:val="18"/>
              </w:rPr>
            </w:pPr>
          </w:p>
        </w:tc>
      </w:tr>
      <w:tr w:rsidR="0065073E" w14:paraId="563278B1" w14:textId="77777777">
        <w:trPr>
          <w:trHeight w:val="309"/>
        </w:trPr>
        <w:tc>
          <w:tcPr>
            <w:tcW w:w="837" w:type="dxa"/>
            <w:shd w:val="clear" w:color="auto" w:fill="C6EFCE"/>
            <w:noWrap/>
          </w:tcPr>
          <w:p w14:paraId="1EB4BB79" w14:textId="69640D2E" w:rsidR="0065073E" w:rsidRDefault="000A0998">
            <w:pPr>
              <w:pStyle w:val="P68B1DB1-Normal12"/>
              <w:spacing w:after="0" w:line="240" w:lineRule="auto"/>
              <w:jc w:val="center"/>
              <w:rPr>
                <w:rFonts w:eastAsia="Times New Roman" w:cs="Times New Roman"/>
                <w:noProof/>
              </w:rPr>
            </w:pPr>
            <w:r>
              <w:rPr>
                <w:noProof/>
              </w:rPr>
              <w:t>L89</w:t>
            </w:r>
          </w:p>
        </w:tc>
        <w:tc>
          <w:tcPr>
            <w:tcW w:w="837" w:type="dxa"/>
            <w:shd w:val="clear" w:color="auto" w:fill="C6EFCE"/>
            <w:noWrap/>
          </w:tcPr>
          <w:p w14:paraId="1688DE83" w14:textId="3E5A978B" w:rsidR="0065073E" w:rsidRDefault="000A0998">
            <w:pPr>
              <w:pStyle w:val="P68B1DB1-Normal12"/>
              <w:spacing w:after="0" w:line="240" w:lineRule="auto"/>
              <w:jc w:val="center"/>
              <w:rPr>
                <w:rFonts w:eastAsia="Times New Roman" w:cs="Times New Roman"/>
                <w:noProof/>
              </w:rPr>
            </w:pPr>
            <w:r>
              <w:rPr>
                <w:noProof/>
              </w:rPr>
              <w:t>C11.I6</w:t>
            </w:r>
          </w:p>
        </w:tc>
        <w:tc>
          <w:tcPr>
            <w:tcW w:w="836" w:type="dxa"/>
            <w:shd w:val="clear" w:color="auto" w:fill="C6EFCE"/>
            <w:noWrap/>
          </w:tcPr>
          <w:p w14:paraId="1BCCFAFE" w14:textId="347496AC"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21C5ACFB" w14:textId="77C522E4" w:rsidR="0065073E" w:rsidRDefault="000A0998">
            <w:pPr>
              <w:pStyle w:val="P68B1DB1-Normal12"/>
              <w:spacing w:after="0" w:line="240" w:lineRule="auto"/>
              <w:rPr>
                <w:rFonts w:eastAsia="Times New Roman" w:cs="Times New Roman"/>
                <w:noProof/>
              </w:rPr>
            </w:pPr>
            <w:r>
              <w:rPr>
                <w:noProof/>
              </w:rPr>
              <w:t>Sellaisten hankkeiden myöntäminen, joilla vahvistetaan julkishallinnon kyberturvallisuusvalmiuksia kyberuhkien ehkäisemisen, suojelun, havaitsemisen ja niihin reagoimisen alalla (kyberturvallisuusohjelma)</w:t>
            </w:r>
          </w:p>
        </w:tc>
        <w:tc>
          <w:tcPr>
            <w:tcW w:w="1358" w:type="dxa"/>
            <w:shd w:val="clear" w:color="auto" w:fill="C6EFCE"/>
            <w:noWrap/>
          </w:tcPr>
          <w:p w14:paraId="3789D055" w14:textId="055709F3" w:rsidR="0065073E" w:rsidRDefault="000A0998">
            <w:pPr>
              <w:pStyle w:val="P68B1DB1-Normal12"/>
              <w:spacing w:after="0" w:line="240" w:lineRule="auto"/>
              <w:jc w:val="center"/>
              <w:rPr>
                <w:rFonts w:eastAsia="Times New Roman" w:cs="Times New Roman"/>
                <w:noProof/>
              </w:rPr>
            </w:pPr>
            <w:r>
              <w:rPr>
                <w:noProof/>
              </w:rPr>
              <w:t>Julkaiseminen virallisessa lehdessä tai julkisten hankintojen foorumissa</w:t>
            </w:r>
          </w:p>
        </w:tc>
        <w:tc>
          <w:tcPr>
            <w:tcW w:w="698" w:type="dxa"/>
            <w:shd w:val="clear" w:color="auto" w:fill="C6EFCE"/>
            <w:noWrap/>
          </w:tcPr>
          <w:p w14:paraId="3D0A1ABB" w14:textId="77256AEB" w:rsidR="0065073E" w:rsidRDefault="000A0998">
            <w:pPr>
              <w:pStyle w:val="P68B1DB1-Normal12"/>
              <w:spacing w:after="0" w:line="240" w:lineRule="auto"/>
              <w:jc w:val="right"/>
              <w:rPr>
                <w:rFonts w:eastAsia="Times New Roman" w:cs="Times New Roman"/>
                <w:noProof/>
              </w:rPr>
            </w:pPr>
            <w:r>
              <w:rPr>
                <w:noProof/>
              </w:rPr>
              <w:t>Miljoonaa euroa</w:t>
            </w:r>
          </w:p>
        </w:tc>
        <w:tc>
          <w:tcPr>
            <w:tcW w:w="992" w:type="dxa"/>
            <w:shd w:val="clear" w:color="auto" w:fill="C6EFCE"/>
            <w:noWrap/>
          </w:tcPr>
          <w:p w14:paraId="47B04735" w14:textId="7183A9B0" w:rsidR="0065073E" w:rsidRDefault="000A0998">
            <w:pPr>
              <w:pStyle w:val="P68B1DB1-Normal12"/>
              <w:spacing w:after="0" w:line="240" w:lineRule="auto"/>
              <w:jc w:val="right"/>
              <w:rPr>
                <w:rFonts w:eastAsia="Times New Roman" w:cs="Times New Roman"/>
                <w:noProof/>
              </w:rPr>
            </w:pPr>
            <w:r>
              <w:rPr>
                <w:noProof/>
              </w:rPr>
              <w:t>0</w:t>
            </w:r>
          </w:p>
        </w:tc>
        <w:tc>
          <w:tcPr>
            <w:tcW w:w="913" w:type="dxa"/>
            <w:shd w:val="clear" w:color="auto" w:fill="C6EFCE"/>
            <w:noWrap/>
          </w:tcPr>
          <w:p w14:paraId="50A89CD6" w14:textId="71D776DD" w:rsidR="0065073E" w:rsidRDefault="000A0998">
            <w:pPr>
              <w:pStyle w:val="P68B1DB1-Normal12"/>
              <w:spacing w:after="0" w:line="240" w:lineRule="auto"/>
              <w:jc w:val="right"/>
              <w:rPr>
                <w:rFonts w:eastAsia="Times New Roman" w:cs="Times New Roman"/>
                <w:noProof/>
              </w:rPr>
            </w:pPr>
            <w:r>
              <w:rPr>
                <w:noProof/>
              </w:rPr>
              <w:t>1 041</w:t>
            </w:r>
          </w:p>
        </w:tc>
        <w:tc>
          <w:tcPr>
            <w:tcW w:w="419" w:type="dxa"/>
            <w:shd w:val="clear" w:color="auto" w:fill="C6EFCE"/>
            <w:noWrap/>
          </w:tcPr>
          <w:p w14:paraId="6F959CC0" w14:textId="37A2F76B"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27" w:type="dxa"/>
            <w:shd w:val="clear" w:color="auto" w:fill="C6EFCE"/>
            <w:noWrap/>
          </w:tcPr>
          <w:p w14:paraId="59AB57E0" w14:textId="01FA9240" w:rsidR="0065073E" w:rsidRDefault="000A0998">
            <w:pPr>
              <w:pStyle w:val="P68B1DB1-Normal12"/>
              <w:spacing w:after="0" w:line="240" w:lineRule="auto"/>
              <w:jc w:val="center"/>
              <w:rPr>
                <w:rFonts w:eastAsia="Times New Roman" w:cs="Times New Roman"/>
                <w:noProof/>
              </w:rPr>
            </w:pPr>
            <w:r>
              <w:rPr>
                <w:noProof/>
              </w:rPr>
              <w:t>2025</w:t>
            </w:r>
          </w:p>
        </w:tc>
        <w:tc>
          <w:tcPr>
            <w:tcW w:w="5165" w:type="dxa"/>
            <w:shd w:val="clear" w:color="auto" w:fill="C6EFCE"/>
            <w:noWrap/>
          </w:tcPr>
          <w:p w14:paraId="31E9175F" w14:textId="10028EF8" w:rsidR="0065073E" w:rsidRDefault="000A0998">
            <w:pPr>
              <w:pStyle w:val="P68B1DB1-Normal12"/>
              <w:spacing w:after="0" w:line="240" w:lineRule="auto"/>
              <w:rPr>
                <w:rFonts w:eastAsia="Times New Roman" w:cs="Times New Roman"/>
                <w:noProof/>
              </w:rPr>
            </w:pPr>
            <w:r>
              <w:rPr>
                <w:noProof/>
              </w:rPr>
              <w:t>Julkaistaan Euroopan unionin virallisessa lehdessä tai julkisten hankintojen alustalla vähintään 1041525000 euron arvosta hankkeita, joilla vahvistetaan julkishallinnon kyberturvallisuusvalmiuksia kyberuhkien ehkäisemisen, suojelun, havaitsemisen ja niihin reagoimisen aloilla. Näillä hankkeilla edistetään yhtä tai useampaa seuraavista tavoitteista: I) valmiuksien kehittäminen kyberuhkien torjumiseksi; II) strategisten voimavarojen turvallisuuden ja häiriönsietokyvyn varmistaminen; III) vahvistaa kyberrikollisuuden tutkinta- ja syytevalmiuksia; parannetaan kansalaisten ja yritysten kyberturvallisuutta; v) kyberturvallisuusalan edistäminen; ja vi) kyberturvallisuuskulttuurin kehittäminen.</w:t>
            </w:r>
          </w:p>
        </w:tc>
      </w:tr>
      <w:tr w:rsidR="0065073E" w14:paraId="748067CB" w14:textId="77777777">
        <w:trPr>
          <w:trHeight w:val="309"/>
        </w:trPr>
        <w:tc>
          <w:tcPr>
            <w:tcW w:w="837" w:type="dxa"/>
            <w:shd w:val="clear" w:color="auto" w:fill="C6EFCE"/>
            <w:noWrap/>
          </w:tcPr>
          <w:p w14:paraId="30DF82E4" w14:textId="143F7966" w:rsidR="0065073E" w:rsidRDefault="000A0998">
            <w:pPr>
              <w:pStyle w:val="P68B1DB1-Normal12"/>
              <w:spacing w:after="0" w:line="240" w:lineRule="auto"/>
              <w:jc w:val="center"/>
              <w:rPr>
                <w:rFonts w:eastAsia="Times New Roman" w:cs="Times New Roman"/>
                <w:noProof/>
              </w:rPr>
            </w:pPr>
            <w:r>
              <w:rPr>
                <w:noProof/>
              </w:rPr>
              <w:t>L17</w:t>
            </w:r>
          </w:p>
        </w:tc>
        <w:tc>
          <w:tcPr>
            <w:tcW w:w="837" w:type="dxa"/>
            <w:shd w:val="clear" w:color="auto" w:fill="C6EFCE"/>
            <w:noWrap/>
          </w:tcPr>
          <w:p w14:paraId="09AD2858" w14:textId="6220FCC5" w:rsidR="0065073E" w:rsidRDefault="000A0998">
            <w:pPr>
              <w:pStyle w:val="P68B1DB1-Normal12"/>
              <w:spacing w:after="0" w:line="240" w:lineRule="auto"/>
              <w:jc w:val="center"/>
              <w:rPr>
                <w:rFonts w:eastAsia="Times New Roman" w:cs="Times New Roman"/>
                <w:noProof/>
              </w:rPr>
            </w:pPr>
            <w:r>
              <w:rPr>
                <w:noProof/>
              </w:rPr>
              <w:t>C11.I6</w:t>
            </w:r>
          </w:p>
        </w:tc>
        <w:tc>
          <w:tcPr>
            <w:tcW w:w="836" w:type="dxa"/>
            <w:shd w:val="clear" w:color="auto" w:fill="C6EFCE"/>
            <w:noWrap/>
          </w:tcPr>
          <w:p w14:paraId="52F15E55" w14:textId="268DECAE"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10BCBCB9" w14:textId="2DBDA442" w:rsidR="0065073E" w:rsidRDefault="000A0998">
            <w:pPr>
              <w:pStyle w:val="P68B1DB1-Normal12"/>
              <w:spacing w:after="0" w:line="240" w:lineRule="auto"/>
              <w:rPr>
                <w:rFonts w:eastAsia="Times New Roman" w:cs="Times New Roman"/>
                <w:noProof/>
              </w:rPr>
            </w:pPr>
            <w:r>
              <w:rPr>
                <w:noProof/>
              </w:rPr>
              <w:t>Sellaisten hankkeiden loppuun saattaminen, joilla vahvistetaan julkishallinnon kyberturvallisuusvalmiuksia kyberuhkien ehkäisemisen, suojelun, havaitsemisen ja niihin reagoimisen alalla (kyberturvallisuusohjelma)</w:t>
            </w:r>
          </w:p>
        </w:tc>
        <w:tc>
          <w:tcPr>
            <w:tcW w:w="1358" w:type="dxa"/>
            <w:shd w:val="clear" w:color="auto" w:fill="C6EFCE"/>
            <w:noWrap/>
          </w:tcPr>
          <w:p w14:paraId="33A0B084" w14:textId="77777777" w:rsidR="0065073E" w:rsidRDefault="0065073E">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36A09158" w14:textId="5F5331AB" w:rsidR="0065073E" w:rsidRDefault="000A0998">
            <w:pPr>
              <w:pStyle w:val="P68B1DB1-Normal12"/>
              <w:spacing w:after="0" w:line="240" w:lineRule="auto"/>
              <w:jc w:val="right"/>
              <w:rPr>
                <w:rFonts w:eastAsia="Times New Roman" w:cs="Times New Roman"/>
                <w:noProof/>
              </w:rPr>
            </w:pPr>
            <w:r>
              <w:rPr>
                <w:noProof/>
              </w:rPr>
              <w:t>Miljoonaa euroa</w:t>
            </w:r>
          </w:p>
        </w:tc>
        <w:tc>
          <w:tcPr>
            <w:tcW w:w="992" w:type="dxa"/>
            <w:shd w:val="clear" w:color="auto" w:fill="C6EFCE"/>
            <w:noWrap/>
          </w:tcPr>
          <w:p w14:paraId="48F4AB32" w14:textId="15A56815" w:rsidR="0065073E" w:rsidRDefault="000A0998">
            <w:pPr>
              <w:pStyle w:val="P68B1DB1-Normal12"/>
              <w:spacing w:after="0" w:line="240" w:lineRule="auto"/>
              <w:jc w:val="right"/>
              <w:rPr>
                <w:rFonts w:eastAsia="Times New Roman" w:cs="Times New Roman"/>
                <w:noProof/>
              </w:rPr>
            </w:pPr>
            <w:r>
              <w:rPr>
                <w:noProof/>
              </w:rPr>
              <w:t>0</w:t>
            </w:r>
          </w:p>
        </w:tc>
        <w:tc>
          <w:tcPr>
            <w:tcW w:w="913" w:type="dxa"/>
            <w:shd w:val="clear" w:color="auto" w:fill="C6EFCE"/>
            <w:noWrap/>
          </w:tcPr>
          <w:p w14:paraId="6D5868EA" w14:textId="3E874266" w:rsidR="0065073E" w:rsidRDefault="000A0998">
            <w:pPr>
              <w:pStyle w:val="P68B1DB1-Normal12"/>
              <w:spacing w:after="0" w:line="240" w:lineRule="auto"/>
              <w:jc w:val="right"/>
              <w:rPr>
                <w:rFonts w:eastAsia="Times New Roman" w:cs="Times New Roman"/>
                <w:noProof/>
              </w:rPr>
            </w:pPr>
            <w:r>
              <w:rPr>
                <w:noProof/>
              </w:rPr>
              <w:t>1 041</w:t>
            </w:r>
          </w:p>
        </w:tc>
        <w:tc>
          <w:tcPr>
            <w:tcW w:w="419" w:type="dxa"/>
            <w:shd w:val="clear" w:color="auto" w:fill="C6EFCE"/>
            <w:noWrap/>
          </w:tcPr>
          <w:p w14:paraId="73BDCB58" w14:textId="7F19B5B1"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27" w:type="dxa"/>
            <w:shd w:val="clear" w:color="auto" w:fill="C6EFCE"/>
            <w:noWrap/>
          </w:tcPr>
          <w:p w14:paraId="532EF65D" w14:textId="185C4808" w:rsidR="0065073E" w:rsidRDefault="000A0998">
            <w:pPr>
              <w:pStyle w:val="P68B1DB1-Normal12"/>
              <w:spacing w:after="0" w:line="240" w:lineRule="auto"/>
              <w:jc w:val="center"/>
              <w:rPr>
                <w:rFonts w:eastAsia="Times New Roman" w:cs="Times New Roman"/>
                <w:noProof/>
              </w:rPr>
            </w:pPr>
            <w:r>
              <w:rPr>
                <w:noProof/>
              </w:rPr>
              <w:t>2026</w:t>
            </w:r>
          </w:p>
        </w:tc>
        <w:tc>
          <w:tcPr>
            <w:tcW w:w="5165" w:type="dxa"/>
            <w:shd w:val="clear" w:color="auto" w:fill="C6EFCE"/>
            <w:noWrap/>
          </w:tcPr>
          <w:p w14:paraId="274410C8" w14:textId="77777777" w:rsidR="0065073E" w:rsidRDefault="000A0998">
            <w:pPr>
              <w:pStyle w:val="P68B1DB1-Normal12"/>
              <w:spacing w:after="0" w:line="240" w:lineRule="auto"/>
              <w:rPr>
                <w:rFonts w:eastAsia="Times New Roman" w:cs="Times New Roman"/>
                <w:noProof/>
              </w:rPr>
            </w:pPr>
            <w:r>
              <w:rPr>
                <w:noProof/>
              </w:rPr>
              <w:t>Sellaisten hankkeiden loppuun saattaminen, joilla vahvistetaan julkishallinnon kyberturvallisuusvalmiuksia kyberuhkien ehkäisemisen, suojelun, havaitsemisen ja niihin reagoimisen alalla, vähintään 1041525000 euroa. Näillä hankkeilla edistetään yhtä tai useampaa seuraavista tavoitteista: I) valmiuksien kehittäminen kyberuhkien torjumiseksi; II) strategisten voimavarojen turvallisuuden ja häiriönsietokyvyn varmistaminen; III) vahvistaa kyberrikollisuuden tutkinta- ja syytevalmiuksia; parannetaan kansalaisten ja yritysten kyberturvallisuutta; v) kyberturvallisuusalan edistäminen; ja vi) kyberturvallisuuskulttuurin kehittäminen.</w:t>
            </w:r>
          </w:p>
          <w:p w14:paraId="4BAE3051" w14:textId="77777777" w:rsidR="0065073E" w:rsidRDefault="0065073E">
            <w:pPr>
              <w:spacing w:after="0" w:line="240" w:lineRule="auto"/>
              <w:rPr>
                <w:rFonts w:ascii="Times New Roman" w:eastAsia="Times New Roman" w:hAnsi="Times New Roman" w:cs="Times New Roman"/>
                <w:noProof/>
                <w:sz w:val="18"/>
              </w:rPr>
            </w:pPr>
          </w:p>
        </w:tc>
      </w:tr>
      <w:tr w:rsidR="0065073E" w14:paraId="300EF90E" w14:textId="77777777">
        <w:trPr>
          <w:trHeight w:val="309"/>
        </w:trPr>
        <w:tc>
          <w:tcPr>
            <w:tcW w:w="837" w:type="dxa"/>
            <w:shd w:val="clear" w:color="auto" w:fill="C6EFCE"/>
            <w:noWrap/>
          </w:tcPr>
          <w:p w14:paraId="694D0EB1" w14:textId="1628BA02" w:rsidR="0065073E" w:rsidRDefault="000A0998">
            <w:pPr>
              <w:pStyle w:val="P68B1DB1-Normal12"/>
              <w:spacing w:after="0" w:line="240" w:lineRule="auto"/>
              <w:jc w:val="center"/>
              <w:rPr>
                <w:rFonts w:eastAsia="Times New Roman" w:cs="Times New Roman"/>
                <w:noProof/>
              </w:rPr>
            </w:pPr>
            <w:r>
              <w:rPr>
                <w:noProof/>
              </w:rPr>
              <w:t>L18</w:t>
            </w:r>
          </w:p>
        </w:tc>
        <w:tc>
          <w:tcPr>
            <w:tcW w:w="837" w:type="dxa"/>
            <w:shd w:val="clear" w:color="auto" w:fill="C6EFCE"/>
            <w:noWrap/>
          </w:tcPr>
          <w:p w14:paraId="4C3987D3" w14:textId="77777777" w:rsidR="0065073E" w:rsidRDefault="000A0998">
            <w:pPr>
              <w:pStyle w:val="P68B1DB1-Normal12"/>
              <w:spacing w:after="0" w:line="240" w:lineRule="auto"/>
              <w:jc w:val="center"/>
              <w:rPr>
                <w:rFonts w:eastAsia="Times New Roman" w:cs="Times New Roman"/>
                <w:noProof/>
              </w:rPr>
            </w:pPr>
            <w:r>
              <w:rPr>
                <w:noProof/>
              </w:rPr>
              <w:t>C11.I6</w:t>
            </w:r>
          </w:p>
        </w:tc>
        <w:tc>
          <w:tcPr>
            <w:tcW w:w="836" w:type="dxa"/>
            <w:shd w:val="clear" w:color="auto" w:fill="C6EFCE"/>
            <w:noWrap/>
          </w:tcPr>
          <w:p w14:paraId="561C763A" w14:textId="77777777" w:rsidR="0065073E" w:rsidRDefault="000A0998">
            <w:pPr>
              <w:pStyle w:val="P68B1DB1-Normal12"/>
              <w:spacing w:after="0" w:line="240" w:lineRule="auto"/>
              <w:jc w:val="center"/>
              <w:rPr>
                <w:rFonts w:eastAsia="Times New Roman" w:cs="Times New Roman"/>
                <w:noProof/>
              </w:rPr>
            </w:pPr>
            <w:r>
              <w:rPr>
                <w:noProof/>
              </w:rPr>
              <w:t>M</w:t>
            </w:r>
          </w:p>
        </w:tc>
        <w:tc>
          <w:tcPr>
            <w:tcW w:w="2685" w:type="dxa"/>
            <w:shd w:val="clear" w:color="auto" w:fill="C6EFCE"/>
            <w:noWrap/>
          </w:tcPr>
          <w:p w14:paraId="1CF08157" w14:textId="18A48FCA" w:rsidR="0065073E" w:rsidRDefault="000A0998">
            <w:pPr>
              <w:pStyle w:val="P68B1DB1-Normal12"/>
              <w:spacing w:after="0" w:line="240" w:lineRule="auto"/>
              <w:rPr>
                <w:rFonts w:eastAsia="Times New Roman" w:cs="Times New Roman"/>
                <w:noProof/>
              </w:rPr>
            </w:pPr>
            <w:r>
              <w:rPr>
                <w:noProof/>
              </w:rPr>
              <w:t>Asetus turvallisuus- ja palautumisrahaston perustamisesta </w:t>
            </w:r>
          </w:p>
        </w:tc>
        <w:tc>
          <w:tcPr>
            <w:tcW w:w="1358" w:type="dxa"/>
            <w:shd w:val="clear" w:color="auto" w:fill="C6EFCE"/>
            <w:noWrap/>
          </w:tcPr>
          <w:p w14:paraId="2250FE67" w14:textId="72E0A992" w:rsidR="0065073E" w:rsidRDefault="000A0998">
            <w:pPr>
              <w:pStyle w:val="P68B1DB1-Normal12"/>
              <w:spacing w:after="0" w:line="240" w:lineRule="auto"/>
              <w:jc w:val="center"/>
              <w:rPr>
                <w:rFonts w:eastAsia="Times New Roman" w:cs="Times New Roman"/>
                <w:noProof/>
              </w:rPr>
            </w:pPr>
            <w:r>
              <w:rPr>
                <w:noProof/>
              </w:rPr>
              <w:t>Asetuksen voimaantulo</w:t>
            </w:r>
          </w:p>
          <w:p w14:paraId="519E9A28" w14:textId="7D0E2291" w:rsidR="0065073E" w:rsidRDefault="0065073E">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4C8CC92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500E7241"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3" w:type="dxa"/>
            <w:shd w:val="clear" w:color="auto" w:fill="C6EFCE"/>
            <w:noWrap/>
          </w:tcPr>
          <w:p w14:paraId="5541F63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9" w:type="dxa"/>
            <w:shd w:val="clear" w:color="auto" w:fill="C6EFCE"/>
            <w:noWrap/>
          </w:tcPr>
          <w:p w14:paraId="5E8F6436" w14:textId="7537AC60" w:rsidR="0065073E" w:rsidRDefault="000A0998">
            <w:pPr>
              <w:pStyle w:val="P68B1DB1-Normal12"/>
              <w:spacing w:after="0" w:line="240" w:lineRule="auto"/>
              <w:jc w:val="center"/>
              <w:rPr>
                <w:rFonts w:eastAsia="Times New Roman" w:cs="Times New Roman"/>
                <w:noProof/>
              </w:rPr>
            </w:pPr>
            <w:r>
              <w:rPr>
                <w:noProof/>
              </w:rPr>
              <w:t>TOINEN VUOSINELJÄNNES </w:t>
            </w:r>
          </w:p>
        </w:tc>
        <w:tc>
          <w:tcPr>
            <w:tcW w:w="827" w:type="dxa"/>
            <w:shd w:val="clear" w:color="auto" w:fill="C6EFCE"/>
            <w:noWrap/>
          </w:tcPr>
          <w:p w14:paraId="3E04495A" w14:textId="73DCC945" w:rsidR="0065073E" w:rsidRDefault="000A0998">
            <w:pPr>
              <w:pStyle w:val="P68B1DB1-Normal12"/>
              <w:spacing w:after="0" w:line="240" w:lineRule="auto"/>
              <w:jc w:val="center"/>
              <w:rPr>
                <w:rFonts w:eastAsia="Times New Roman" w:cs="Times New Roman"/>
                <w:noProof/>
              </w:rPr>
            </w:pPr>
            <w:r>
              <w:rPr>
                <w:noProof/>
              </w:rPr>
              <w:t>2024</w:t>
            </w:r>
          </w:p>
        </w:tc>
        <w:tc>
          <w:tcPr>
            <w:tcW w:w="5165" w:type="dxa"/>
            <w:shd w:val="clear" w:color="auto" w:fill="C6EFCE"/>
            <w:noWrap/>
          </w:tcPr>
          <w:p w14:paraId="457EE473" w14:textId="3E1B2FB3" w:rsidR="0065073E" w:rsidRDefault="000A0998">
            <w:pPr>
              <w:pStyle w:val="P68B1DB1-Normal12"/>
              <w:spacing w:after="0" w:line="240" w:lineRule="auto"/>
              <w:rPr>
                <w:rFonts w:eastAsia="Times New Roman" w:cs="Times New Roman"/>
                <w:noProof/>
              </w:rPr>
            </w:pPr>
            <w:r>
              <w:rPr>
                <w:noProof/>
              </w:rPr>
              <w:t>Rahaston perustamista koskevan asetuksen ja siihen liittyvien asiakirjojen voimaantulo.</w:t>
            </w:r>
          </w:p>
        </w:tc>
      </w:tr>
      <w:tr w:rsidR="0065073E" w14:paraId="5298DA75" w14:textId="77777777">
        <w:trPr>
          <w:trHeight w:val="309"/>
        </w:trPr>
        <w:tc>
          <w:tcPr>
            <w:tcW w:w="837" w:type="dxa"/>
            <w:shd w:val="clear" w:color="auto" w:fill="C6EFCE"/>
            <w:noWrap/>
          </w:tcPr>
          <w:p w14:paraId="4975496E" w14:textId="7B7A06DD" w:rsidR="0065073E" w:rsidRDefault="000A0998">
            <w:pPr>
              <w:pStyle w:val="P68B1DB1-Normal12"/>
              <w:spacing w:after="0" w:line="240" w:lineRule="auto"/>
              <w:jc w:val="center"/>
              <w:rPr>
                <w:rFonts w:cs="Times New Roman"/>
                <w:noProof/>
              </w:rPr>
            </w:pPr>
            <w:r>
              <w:rPr>
                <w:noProof/>
              </w:rPr>
              <w:t>L19</w:t>
            </w:r>
          </w:p>
        </w:tc>
        <w:tc>
          <w:tcPr>
            <w:tcW w:w="837" w:type="dxa"/>
            <w:shd w:val="clear" w:color="auto" w:fill="C6EFCE"/>
            <w:noWrap/>
          </w:tcPr>
          <w:p w14:paraId="338ED568" w14:textId="77777777" w:rsidR="0065073E" w:rsidRDefault="000A0998">
            <w:pPr>
              <w:pStyle w:val="P68B1DB1-Normal12"/>
              <w:spacing w:after="0" w:line="240" w:lineRule="auto"/>
              <w:jc w:val="center"/>
              <w:rPr>
                <w:rFonts w:cs="Times New Roman"/>
                <w:noProof/>
              </w:rPr>
            </w:pPr>
            <w:r>
              <w:rPr>
                <w:noProof/>
              </w:rPr>
              <w:t>C11.I6</w:t>
            </w:r>
          </w:p>
        </w:tc>
        <w:tc>
          <w:tcPr>
            <w:tcW w:w="836" w:type="dxa"/>
            <w:shd w:val="clear" w:color="auto" w:fill="C6EFCE"/>
            <w:noWrap/>
          </w:tcPr>
          <w:p w14:paraId="099DC576" w14:textId="77777777" w:rsidR="0065073E" w:rsidRDefault="000A0998">
            <w:pPr>
              <w:pStyle w:val="P68B1DB1-Normal12"/>
              <w:spacing w:after="0" w:line="240" w:lineRule="auto"/>
              <w:jc w:val="center"/>
              <w:rPr>
                <w:rFonts w:cs="Times New Roman"/>
                <w:noProof/>
              </w:rPr>
            </w:pPr>
            <w:r>
              <w:rPr>
                <w:noProof/>
              </w:rPr>
              <w:t>T</w:t>
            </w:r>
          </w:p>
        </w:tc>
        <w:tc>
          <w:tcPr>
            <w:tcW w:w="2685" w:type="dxa"/>
            <w:shd w:val="clear" w:color="auto" w:fill="C6EFCE"/>
            <w:noWrap/>
          </w:tcPr>
          <w:p w14:paraId="04ACE8B5" w14:textId="4B2C7BE1" w:rsidR="0065073E" w:rsidRDefault="000A0998">
            <w:pPr>
              <w:pStyle w:val="P68B1DB1-Normal12"/>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w:t>
            </w:r>
          </w:p>
        </w:tc>
        <w:tc>
          <w:tcPr>
            <w:tcW w:w="1358" w:type="dxa"/>
            <w:shd w:val="clear" w:color="auto" w:fill="C6EFCE"/>
            <w:noWrap/>
          </w:tcPr>
          <w:p w14:paraId="78681B00" w14:textId="13ECC24E" w:rsidR="0065073E" w:rsidRDefault="0065073E">
            <w:pPr>
              <w:spacing w:after="0" w:line="240" w:lineRule="auto"/>
              <w:jc w:val="center"/>
              <w:rPr>
                <w:rFonts w:ascii="Times New Roman" w:hAnsi="Times New Roman" w:cs="Times New Roman"/>
                <w:noProof/>
                <w:sz w:val="18"/>
              </w:rPr>
            </w:pPr>
          </w:p>
        </w:tc>
        <w:tc>
          <w:tcPr>
            <w:tcW w:w="698" w:type="dxa"/>
            <w:shd w:val="clear" w:color="auto" w:fill="C6EFCE"/>
            <w:noWrap/>
          </w:tcPr>
          <w:p w14:paraId="4CE0D87E" w14:textId="49602E9D"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68DE3F99" w14:textId="58EED0E9" w:rsidR="0065073E" w:rsidRDefault="0065073E">
            <w:pPr>
              <w:spacing w:after="0" w:line="240" w:lineRule="auto"/>
              <w:jc w:val="right"/>
              <w:rPr>
                <w:rFonts w:ascii="Times New Roman" w:hAnsi="Times New Roman" w:cs="Times New Roman"/>
                <w:noProof/>
                <w:sz w:val="18"/>
              </w:rPr>
            </w:pPr>
          </w:p>
        </w:tc>
        <w:tc>
          <w:tcPr>
            <w:tcW w:w="913" w:type="dxa"/>
            <w:shd w:val="clear" w:color="auto" w:fill="C6EFCE"/>
            <w:noWrap/>
          </w:tcPr>
          <w:p w14:paraId="313ACB04" w14:textId="1DE92BFA" w:rsidR="0065073E" w:rsidRDefault="000A0998">
            <w:pPr>
              <w:pStyle w:val="P68B1DB1-Normal12"/>
              <w:spacing w:after="0" w:line="240" w:lineRule="auto"/>
              <w:jc w:val="right"/>
              <w:rPr>
                <w:rFonts w:cs="Times New Roman"/>
                <w:noProof/>
              </w:rPr>
            </w:pPr>
            <w:r>
              <w:rPr>
                <w:noProof/>
              </w:rPr>
              <w:t>35 %</w:t>
            </w:r>
          </w:p>
        </w:tc>
        <w:tc>
          <w:tcPr>
            <w:tcW w:w="419" w:type="dxa"/>
            <w:shd w:val="clear" w:color="auto" w:fill="C6EFCE"/>
            <w:noWrap/>
          </w:tcPr>
          <w:p w14:paraId="378B2AA6" w14:textId="77777777" w:rsidR="0065073E" w:rsidRDefault="000A0998">
            <w:pPr>
              <w:pStyle w:val="P68B1DB1-Normal12"/>
              <w:spacing w:after="0" w:line="240" w:lineRule="auto"/>
              <w:jc w:val="center"/>
              <w:rPr>
                <w:rFonts w:cs="Times New Roman"/>
                <w:noProof/>
              </w:rPr>
            </w:pPr>
            <w:r>
              <w:rPr>
                <w:noProof/>
              </w:rPr>
              <w:t>TOINEN VUOSINELJÄNNES</w:t>
            </w:r>
          </w:p>
        </w:tc>
        <w:tc>
          <w:tcPr>
            <w:tcW w:w="827" w:type="dxa"/>
            <w:shd w:val="clear" w:color="auto" w:fill="C6EFCE"/>
            <w:noWrap/>
          </w:tcPr>
          <w:p w14:paraId="70F0061B" w14:textId="77777777" w:rsidR="0065073E" w:rsidRDefault="000A0998">
            <w:pPr>
              <w:pStyle w:val="P68B1DB1-Normal12"/>
              <w:spacing w:after="0" w:line="240" w:lineRule="auto"/>
              <w:jc w:val="center"/>
              <w:rPr>
                <w:rFonts w:cs="Times New Roman"/>
                <w:noProof/>
              </w:rPr>
            </w:pPr>
            <w:r>
              <w:rPr>
                <w:noProof/>
              </w:rPr>
              <w:t>2025</w:t>
            </w:r>
          </w:p>
        </w:tc>
        <w:tc>
          <w:tcPr>
            <w:tcW w:w="5165" w:type="dxa"/>
            <w:shd w:val="clear" w:color="auto" w:fill="C6EFCE"/>
            <w:noWrap/>
          </w:tcPr>
          <w:p w14:paraId="432737EA" w14:textId="27FA2BC2" w:rsidR="0065073E" w:rsidRDefault="000A0998">
            <w:pPr>
              <w:pStyle w:val="P68B1DB1-Normal12"/>
              <w:spacing w:after="0" w:line="240" w:lineRule="auto"/>
              <w:rPr>
                <w:rFonts w:cs="Times New Roman"/>
                <w:noProof/>
              </w:rPr>
            </w:pPr>
            <w:r>
              <w:rPr>
                <w:noProof/>
              </w:rPr>
              <w:t>Tukiväline ja mahdolliset SEPIDESin valitsemat välittäjät ovat tehneet lopullisten edunsaajien (mukaan lukien pääomarahastot) kanssa oikeudellisia rahoitussopimuksia, joiden määrä on tarpeen, jotta vähintään 35 prosenttia elpymis- ja palautumistukivälineen investoinneista voidaan käyttää tukivälineeseen (ottaen huomioon hallinnointipalkkiot). Vähintään 10 prosenttia rahoituksesta vastaa pääomarahastojen kanssa allekirjoitettuja rahoitussopimuksia ja vähintään 40 prosenttia lopullisten edunsaajien kanssa allekirjoitettuja rahoitussopimuksia, jotka koskevat kaikkia muita sijoitustuotteita (mukaan lukien toteutuskumppanin suorat pääomasijoitukset).</w:t>
            </w:r>
          </w:p>
        </w:tc>
      </w:tr>
      <w:tr w:rsidR="0065073E" w14:paraId="03767160" w14:textId="77777777">
        <w:trPr>
          <w:trHeight w:val="309"/>
        </w:trPr>
        <w:tc>
          <w:tcPr>
            <w:tcW w:w="837" w:type="dxa"/>
            <w:shd w:val="clear" w:color="auto" w:fill="C6EFCE"/>
            <w:noWrap/>
          </w:tcPr>
          <w:p w14:paraId="4D019B29" w14:textId="6F85AC87" w:rsidR="0065073E" w:rsidRDefault="000A0998">
            <w:pPr>
              <w:pStyle w:val="P68B1DB1-Normal12"/>
              <w:spacing w:after="0" w:line="240" w:lineRule="auto"/>
              <w:jc w:val="center"/>
              <w:rPr>
                <w:rFonts w:eastAsia="Times New Roman" w:cs="Times New Roman"/>
                <w:noProof/>
              </w:rPr>
            </w:pPr>
            <w:r>
              <w:rPr>
                <w:noProof/>
              </w:rPr>
              <w:t>L20</w:t>
            </w:r>
          </w:p>
        </w:tc>
        <w:tc>
          <w:tcPr>
            <w:tcW w:w="837" w:type="dxa"/>
            <w:shd w:val="clear" w:color="auto" w:fill="C6EFCE"/>
            <w:noWrap/>
          </w:tcPr>
          <w:p w14:paraId="51AA59DF" w14:textId="77777777" w:rsidR="0065073E" w:rsidRDefault="000A0998">
            <w:pPr>
              <w:pStyle w:val="P68B1DB1-Normal12"/>
              <w:spacing w:after="0" w:line="240" w:lineRule="auto"/>
              <w:jc w:val="center"/>
              <w:rPr>
                <w:rFonts w:cs="Times New Roman"/>
                <w:noProof/>
              </w:rPr>
            </w:pPr>
            <w:r>
              <w:rPr>
                <w:noProof/>
              </w:rPr>
              <w:t>C11.I6</w:t>
            </w:r>
          </w:p>
        </w:tc>
        <w:tc>
          <w:tcPr>
            <w:tcW w:w="836" w:type="dxa"/>
            <w:shd w:val="clear" w:color="auto" w:fill="C6EFCE"/>
            <w:noWrap/>
          </w:tcPr>
          <w:p w14:paraId="0F46A205" w14:textId="77777777" w:rsidR="0065073E" w:rsidRDefault="000A0998">
            <w:pPr>
              <w:pStyle w:val="P68B1DB1-Normal12"/>
              <w:spacing w:after="0" w:line="240" w:lineRule="auto"/>
              <w:jc w:val="center"/>
              <w:rPr>
                <w:rFonts w:cs="Times New Roman"/>
                <w:noProof/>
              </w:rPr>
            </w:pPr>
            <w:r>
              <w:rPr>
                <w:noProof/>
              </w:rPr>
              <w:t>T</w:t>
            </w:r>
          </w:p>
        </w:tc>
        <w:tc>
          <w:tcPr>
            <w:tcW w:w="2685" w:type="dxa"/>
            <w:shd w:val="clear" w:color="auto" w:fill="C6EFCE"/>
            <w:noWrap/>
          </w:tcPr>
          <w:p w14:paraId="23C263C6" w14:textId="34B4572C" w:rsidR="0065073E" w:rsidRDefault="000A0998">
            <w:pPr>
              <w:pStyle w:val="P68B1DB1-Normal12"/>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(II)</w:t>
            </w:r>
          </w:p>
        </w:tc>
        <w:tc>
          <w:tcPr>
            <w:tcW w:w="1358" w:type="dxa"/>
            <w:shd w:val="clear" w:color="auto" w:fill="C6EFCE"/>
            <w:noWrap/>
          </w:tcPr>
          <w:p w14:paraId="737A611E" w14:textId="0662E0A0" w:rsidR="0065073E" w:rsidRDefault="0065073E">
            <w:pPr>
              <w:spacing w:after="0" w:line="240" w:lineRule="auto"/>
              <w:jc w:val="center"/>
              <w:rPr>
                <w:rFonts w:ascii="Times New Roman" w:hAnsi="Times New Roman" w:cs="Times New Roman"/>
                <w:noProof/>
                <w:sz w:val="18"/>
              </w:rPr>
            </w:pPr>
          </w:p>
        </w:tc>
        <w:tc>
          <w:tcPr>
            <w:tcW w:w="698" w:type="dxa"/>
            <w:shd w:val="clear" w:color="auto" w:fill="C6EFCE"/>
            <w:noWrap/>
          </w:tcPr>
          <w:p w14:paraId="38ECB2F6" w14:textId="6BDE6811"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6B9A52F8" w14:textId="1F37611B" w:rsidR="0065073E" w:rsidRDefault="0065073E">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03176944" w14:textId="13FDD322" w:rsidR="0065073E" w:rsidRDefault="000A0998">
            <w:pPr>
              <w:pStyle w:val="P68B1DB1-Normal12"/>
              <w:spacing w:after="0" w:line="240" w:lineRule="auto"/>
              <w:jc w:val="right"/>
              <w:rPr>
                <w:rFonts w:eastAsia="Times New Roman" w:cs="Times New Roman"/>
                <w:noProof/>
              </w:rPr>
            </w:pPr>
            <w:r>
              <w:rPr>
                <w:noProof/>
              </w:rPr>
              <w:t>100 %</w:t>
            </w:r>
          </w:p>
        </w:tc>
        <w:tc>
          <w:tcPr>
            <w:tcW w:w="419" w:type="dxa"/>
            <w:shd w:val="clear" w:color="auto" w:fill="C6EFCE"/>
            <w:noWrap/>
          </w:tcPr>
          <w:p w14:paraId="342E031C" w14:textId="086BA1AB" w:rsidR="0065073E" w:rsidRDefault="000A0998">
            <w:pPr>
              <w:pStyle w:val="P68B1DB1-Normal12"/>
              <w:spacing w:after="0" w:line="240" w:lineRule="auto"/>
              <w:jc w:val="center"/>
              <w:rPr>
                <w:rFonts w:eastAsia="Times New Roman" w:cs="Times New Roman"/>
                <w:noProof/>
              </w:rPr>
            </w:pPr>
            <w:r>
              <w:rPr>
                <w:noProof/>
              </w:rPr>
              <w:t>Q3</w:t>
            </w:r>
          </w:p>
        </w:tc>
        <w:tc>
          <w:tcPr>
            <w:tcW w:w="827" w:type="dxa"/>
            <w:shd w:val="clear" w:color="auto" w:fill="C6EFCE"/>
            <w:noWrap/>
          </w:tcPr>
          <w:p w14:paraId="643A25DC" w14:textId="77777777" w:rsidR="0065073E" w:rsidRDefault="000A0998">
            <w:pPr>
              <w:pStyle w:val="P68B1DB1-Normal12"/>
              <w:spacing w:after="0" w:line="240" w:lineRule="auto"/>
              <w:jc w:val="center"/>
              <w:rPr>
                <w:rFonts w:eastAsia="Times New Roman" w:cs="Times New Roman"/>
                <w:noProof/>
              </w:rPr>
            </w:pPr>
            <w:r>
              <w:rPr>
                <w:noProof/>
              </w:rPr>
              <w:t>2026</w:t>
            </w:r>
          </w:p>
        </w:tc>
        <w:tc>
          <w:tcPr>
            <w:tcW w:w="5165" w:type="dxa"/>
            <w:shd w:val="clear" w:color="auto" w:fill="C6EFCE"/>
            <w:noWrap/>
          </w:tcPr>
          <w:p w14:paraId="25CB4DDA" w14:textId="0D8B68F6" w:rsidR="0065073E" w:rsidRDefault="000A0998">
            <w:pPr>
              <w:pStyle w:val="P68B1DB1-Normal12"/>
              <w:spacing w:after="0" w:line="240" w:lineRule="auto"/>
              <w:rPr>
                <w:rFonts w:eastAsia="Times New Roman" w:cs="Times New Roman"/>
                <w:noProof/>
              </w:rPr>
            </w:pPr>
            <w:r>
              <w:rPr>
                <w:noProof/>
              </w:rPr>
              <w:t>Tukiväline ja mahdolliset SEPIDESin valitsemat välittäjät ovat tehneet lopullisten edunsaajien (myös oman pääoman ehtoisten rahastojen) kanssa oikeudellisia rahoitussopimuksia, jotka ovat tarpeen, jotta 100 prosenttia elpymis- ja palautumistukivälineen investoinneista voidaan käyttää tukivälineeseen (ottaen huomioon hallinnointipalkkiot). Vähintään 10 prosenttia rahoituksesta vastaa pääomarahastojen kanssa allekirjoitettuja rahoitussopimuksia ja vähintään 40 prosenttia lopullisten edunsaajien kanssa allekirjoitettuja rahoitussopimuksia, jotka koskevat kaikkia muita sijoitustuotteita (mukaan lukien toteutuskumppanin suorat pääomasijoitukset).</w:t>
            </w:r>
          </w:p>
        </w:tc>
      </w:tr>
      <w:tr w:rsidR="0065073E" w14:paraId="43BFD388" w14:textId="77777777">
        <w:trPr>
          <w:trHeight w:val="309"/>
        </w:trPr>
        <w:tc>
          <w:tcPr>
            <w:tcW w:w="837" w:type="dxa"/>
            <w:shd w:val="clear" w:color="auto" w:fill="C6EFCE"/>
            <w:noWrap/>
          </w:tcPr>
          <w:p w14:paraId="71E826CB" w14:textId="6FDBF7F5" w:rsidR="0065073E" w:rsidRDefault="000A0998">
            <w:pPr>
              <w:pStyle w:val="P68B1DB1-Normal12"/>
              <w:spacing w:after="0" w:line="240" w:lineRule="auto"/>
              <w:jc w:val="center"/>
              <w:rPr>
                <w:rFonts w:eastAsia="Times New Roman" w:cs="Times New Roman"/>
                <w:noProof/>
              </w:rPr>
            </w:pPr>
            <w:r>
              <w:rPr>
                <w:noProof/>
              </w:rPr>
              <w:t>L21</w:t>
            </w:r>
          </w:p>
        </w:tc>
        <w:tc>
          <w:tcPr>
            <w:tcW w:w="837" w:type="dxa"/>
            <w:shd w:val="clear" w:color="auto" w:fill="C6EFCE"/>
            <w:noWrap/>
          </w:tcPr>
          <w:p w14:paraId="72253F6A" w14:textId="77777777" w:rsidR="0065073E" w:rsidRDefault="000A0998">
            <w:pPr>
              <w:pStyle w:val="P68B1DB1-Normal12"/>
              <w:spacing w:after="0" w:line="240" w:lineRule="auto"/>
              <w:jc w:val="center"/>
              <w:rPr>
                <w:rFonts w:cs="Times New Roman"/>
                <w:noProof/>
              </w:rPr>
            </w:pPr>
            <w:r>
              <w:rPr>
                <w:noProof/>
              </w:rPr>
              <w:t>C11.I6</w:t>
            </w:r>
          </w:p>
        </w:tc>
        <w:tc>
          <w:tcPr>
            <w:tcW w:w="836" w:type="dxa"/>
            <w:shd w:val="clear" w:color="auto" w:fill="C6EFCE"/>
            <w:noWrap/>
          </w:tcPr>
          <w:p w14:paraId="19FEC783" w14:textId="69F4304C" w:rsidR="0065073E" w:rsidRDefault="000A0998">
            <w:pPr>
              <w:pStyle w:val="P68B1DB1-Normal12"/>
              <w:spacing w:after="0" w:line="240" w:lineRule="auto"/>
              <w:jc w:val="center"/>
              <w:rPr>
                <w:rFonts w:cs="Times New Roman"/>
                <w:noProof/>
              </w:rPr>
            </w:pPr>
            <w:r>
              <w:rPr>
                <w:noProof/>
              </w:rPr>
              <w:t>M</w:t>
            </w:r>
          </w:p>
        </w:tc>
        <w:tc>
          <w:tcPr>
            <w:tcW w:w="2685" w:type="dxa"/>
            <w:shd w:val="clear" w:color="auto" w:fill="C6EFCE"/>
            <w:noWrap/>
          </w:tcPr>
          <w:p w14:paraId="5E38A5C2" w14:textId="26CAFEB0" w:rsidR="0065073E" w:rsidRDefault="000A0998">
            <w:pPr>
              <w:pStyle w:val="P68B1DB1-Normal12"/>
              <w:spacing w:after="0" w:line="240" w:lineRule="auto"/>
              <w:rPr>
                <w:rFonts w:eastAsia="Times New Roman" w:cs="Times New Roman"/>
                <w:noProof/>
              </w:rPr>
            </w:pPr>
            <w:r>
              <w:rPr>
                <w:noProof/>
              </w:rPr>
              <w:t>Turvallisuus- ja palautumisrahasto: Ministeriö on saanut investoinnin päätökseen</w:t>
            </w:r>
          </w:p>
        </w:tc>
        <w:tc>
          <w:tcPr>
            <w:tcW w:w="1358" w:type="dxa"/>
            <w:shd w:val="clear" w:color="auto" w:fill="C6EFCE"/>
            <w:noWrap/>
          </w:tcPr>
          <w:p w14:paraId="3E3BF405" w14:textId="737AC62E" w:rsidR="0065073E" w:rsidRDefault="000A0998">
            <w:pPr>
              <w:pStyle w:val="P68B1DB1-Normal12"/>
              <w:spacing w:after="0" w:line="240" w:lineRule="auto"/>
              <w:jc w:val="center"/>
              <w:rPr>
                <w:rFonts w:cs="Times New Roman"/>
                <w:noProof/>
              </w:rPr>
            </w:pPr>
            <w:r>
              <w:rPr>
                <w:noProof/>
              </w:rPr>
              <w:t>Siirtotodistus</w:t>
            </w:r>
          </w:p>
        </w:tc>
        <w:tc>
          <w:tcPr>
            <w:tcW w:w="698" w:type="dxa"/>
            <w:shd w:val="clear" w:color="auto" w:fill="C6EFCE"/>
            <w:noWrap/>
          </w:tcPr>
          <w:p w14:paraId="1D0D36EA" w14:textId="58AF3D04" w:rsidR="0065073E" w:rsidRDefault="0065073E">
            <w:pPr>
              <w:spacing w:after="0" w:line="240" w:lineRule="auto"/>
              <w:jc w:val="right"/>
              <w:rPr>
                <w:rFonts w:ascii="Times New Roman" w:hAnsi="Times New Roman" w:cs="Times New Roman"/>
                <w:noProof/>
                <w:sz w:val="18"/>
              </w:rPr>
            </w:pPr>
          </w:p>
        </w:tc>
        <w:tc>
          <w:tcPr>
            <w:tcW w:w="992" w:type="dxa"/>
            <w:shd w:val="clear" w:color="auto" w:fill="C6EFCE"/>
            <w:noWrap/>
          </w:tcPr>
          <w:p w14:paraId="1F007358" w14:textId="411739BF" w:rsidR="0065073E" w:rsidRDefault="0065073E">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6F55C39E" w14:textId="1D41CAA6" w:rsidR="0065073E" w:rsidRDefault="0065073E">
            <w:pPr>
              <w:spacing w:after="0" w:line="240" w:lineRule="auto"/>
              <w:jc w:val="right"/>
              <w:rPr>
                <w:rFonts w:ascii="Times New Roman" w:eastAsia="Times New Roman" w:hAnsi="Times New Roman" w:cs="Times New Roman"/>
                <w:noProof/>
                <w:sz w:val="18"/>
              </w:rPr>
            </w:pPr>
          </w:p>
        </w:tc>
        <w:tc>
          <w:tcPr>
            <w:tcW w:w="419" w:type="dxa"/>
            <w:shd w:val="clear" w:color="auto" w:fill="C6EFCE"/>
            <w:noWrap/>
          </w:tcPr>
          <w:p w14:paraId="483E7DA2" w14:textId="2425D8D7" w:rsidR="0065073E" w:rsidRDefault="000A0998">
            <w:pPr>
              <w:pStyle w:val="P68B1DB1-Normal12"/>
              <w:spacing w:after="0" w:line="240" w:lineRule="auto"/>
              <w:jc w:val="center"/>
              <w:rPr>
                <w:rFonts w:eastAsia="Times New Roman" w:cs="Times New Roman"/>
                <w:noProof/>
              </w:rPr>
            </w:pPr>
            <w:r>
              <w:rPr>
                <w:noProof/>
              </w:rPr>
              <w:t>Q3</w:t>
            </w:r>
          </w:p>
        </w:tc>
        <w:tc>
          <w:tcPr>
            <w:tcW w:w="827" w:type="dxa"/>
            <w:shd w:val="clear" w:color="auto" w:fill="C6EFCE"/>
            <w:noWrap/>
          </w:tcPr>
          <w:p w14:paraId="206685CC" w14:textId="77777777" w:rsidR="0065073E" w:rsidRDefault="000A0998">
            <w:pPr>
              <w:pStyle w:val="P68B1DB1-Normal12"/>
              <w:spacing w:after="0" w:line="240" w:lineRule="auto"/>
              <w:jc w:val="center"/>
              <w:rPr>
                <w:rFonts w:eastAsia="Times New Roman" w:cs="Times New Roman"/>
                <w:noProof/>
              </w:rPr>
            </w:pPr>
            <w:r>
              <w:rPr>
                <w:noProof/>
              </w:rPr>
              <w:t>2026</w:t>
            </w:r>
          </w:p>
        </w:tc>
        <w:tc>
          <w:tcPr>
            <w:tcW w:w="5165" w:type="dxa"/>
            <w:shd w:val="clear" w:color="auto" w:fill="C6EFCE"/>
            <w:noWrap/>
          </w:tcPr>
          <w:p w14:paraId="1827A3B3" w14:textId="7A7DC374" w:rsidR="0065073E" w:rsidRDefault="000A0998">
            <w:pPr>
              <w:pStyle w:val="P68B1DB1-Normal12"/>
              <w:spacing w:after="0" w:line="240" w:lineRule="auto"/>
              <w:rPr>
                <w:rFonts w:eastAsia="Times New Roman" w:cs="Times New Roman"/>
                <w:noProof/>
              </w:rPr>
            </w:pPr>
            <w:r>
              <w:rPr>
                <w:noProof/>
              </w:rPr>
              <w:t>Espanjan on siirrettävä 1000000000 euroa lainajärjestelyyn.</w:t>
            </w:r>
          </w:p>
        </w:tc>
      </w:tr>
    </w:tbl>
    <w:p w14:paraId="23653004" w14:textId="77777777" w:rsidR="0065073E" w:rsidRDefault="0065073E">
      <w:pPr>
        <w:pStyle w:val="Heading1"/>
        <w:jc w:val="left"/>
        <w:rPr>
          <w:rFonts w:ascii="Times New Roman" w:hAnsi="Times New Roman" w:cs="Times New Roman"/>
          <w:noProof/>
          <w:sz w:val="24"/>
        </w:rPr>
        <w:sectPr w:rsidR="0065073E" w:rsidSect="00B511EF">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134" w:right="1134" w:bottom="1134" w:left="1134" w:header="567" w:footer="567" w:gutter="0"/>
          <w:cols w:space="720"/>
          <w:docGrid w:linePitch="360"/>
        </w:sectPr>
      </w:pPr>
    </w:p>
    <w:p w14:paraId="3A744280" w14:textId="77777777" w:rsidR="0065073E" w:rsidRDefault="000A0998">
      <w:pPr>
        <w:pStyle w:val="P68B1DB1-Heading12"/>
        <w:rPr>
          <w:rFonts w:cs="Times New Roman"/>
          <w:noProof/>
        </w:rPr>
      </w:pPr>
      <w:r>
        <w:rPr>
          <w:noProof/>
        </w:rPr>
        <w:t>L. OSA 12: Teollisuuspolitiikka</w:t>
      </w:r>
    </w:p>
    <w:p w14:paraId="1927F800" w14:textId="77777777" w:rsidR="0065073E" w:rsidRDefault="000A0998">
      <w:pPr>
        <w:pStyle w:val="P68B1DB1-Normal4"/>
        <w:spacing w:before="120" w:after="120" w:line="240" w:lineRule="auto"/>
        <w:jc w:val="both"/>
        <w:rPr>
          <w:rFonts w:cs="Times New Roman"/>
          <w:noProof/>
        </w:rPr>
      </w:pPr>
      <w:r>
        <w:rPr>
          <w:noProof/>
        </w:rPr>
        <w:t>Espanjan elpymis- ja palautumissuunnitelman osatekijän 12 tavoitteena on edistää Espanjan teollisuus- ja palveluekosysteemin nykyaikaistamista ja tuottavuutta nopeuttamalla digitaalista ja vihreää siirtymää.</w:t>
      </w:r>
    </w:p>
    <w:p w14:paraId="2D61E720" w14:textId="751A43F5"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Tämä Espanjan elpymis- ja palautumissuunnitelman komponentti edistää innovointiin ja energiatehokkuuteen tehtävien investointien edistämistä koskevan maakohtaisen suosituksen 3 2019 täytäntöönpanoa. Se on myös yhdenmukainen maakohtaisen suosituksen 3 2020 kanssa (edistämällä julkisia ja yksityisiä investointeja ja edistämällä vihreää siirtymää). Komponentista on myös apua yritysten ja koulutuksen välisen yhteistyön edistämisestä työmarkkinoiden kannalta merkityksellisten taitojen tarjoamiseksi annetun maakohtaisen suosituksen 2 2019 ja terveydenhuoltojärjestelmän häiriönsietokyvyn vahvistamisesta annetun maakohtaisen suosituksen 1/2020 noudattamisessa. Komponentilla edistetään myös vuoden 2022 maakohtaisen suosituksen 3 noudattamista kierrätysasteen nostamisesta EU:n tavoitteiden saavuttamiseksi ja kiertotalouden edistämiseksi tehostamalla koordinointia hallinnon kaikkien tasojen välillä ja tekemällä lisäinvestointeja jätteen erilliskeräystä ja kierrätystä koskevien velvoitteiden täyttämiseksi.</w:t>
      </w:r>
      <w:r>
        <w:rPr>
          <w:noProof/>
        </w:rPr>
        <w:t xml:space="preserve"> </w:t>
      </w:r>
      <w:r>
        <w:rPr>
          <w:rFonts w:ascii="Times New Roman" w:hAnsi="Times New Roman"/>
          <w:noProof/>
          <w:sz w:val="24"/>
        </w:rPr>
        <w:t>Komponentilla edistetään myös maakohtaista suositusta 3 2023, jolla pyritään vähentämään riippuvuutta fossiilisista polttoaineista, nopeuttamaan uusiutuvan energian käyttöönottoa ja sähköisen liikkuvuuden yleistymistä.</w:t>
      </w:r>
    </w:p>
    <w:p w14:paraId="1FEC8946" w14:textId="69A8A817" w:rsidR="0065073E" w:rsidRDefault="000A0998">
      <w:pPr>
        <w:pStyle w:val="P68B1DB1-Normal4"/>
        <w:spacing w:before="120" w:after="120" w:line="240" w:lineRule="auto"/>
        <w:jc w:val="both"/>
        <w:rPr>
          <w:rFonts w:cs="Times New Roman"/>
          <w:noProof/>
        </w:rPr>
      </w:pPr>
      <w:r>
        <w:rPr>
          <w:noProof/>
        </w:rPr>
        <w:t>Yksi osa-alueeseen sisältyvien toimenpiteiden tavoitteista on helpottaa espanjalaisten yritysten osallistumista suunniteltuun Euroopan yhteistä etua koskevaan tärkeään hankkeeseen (IPCEI).</w:t>
      </w:r>
    </w:p>
    <w:p w14:paraId="505B0351"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E9B1FCE" w14:textId="77777777" w:rsidR="0065073E" w:rsidRDefault="000A0998">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L.1 </w:t>
      </w:r>
      <w:r>
        <w:rPr>
          <w:noProof/>
        </w:rPr>
        <w:t xml:space="preserve"> </w:t>
      </w:r>
      <w:r>
        <w:rPr>
          <w:rFonts w:ascii="Times New Roman" w:hAnsi="Times New Roman"/>
          <w:b/>
          <w:noProof/>
          <w:sz w:val="24"/>
          <w:u w:val="single"/>
        </w:rPr>
        <w:t>Kuvaus uudistuksista ja investoinneista, joita rahoitetaan rahoitustuella, jota ei makseta takaisin</w:t>
      </w:r>
    </w:p>
    <w:p w14:paraId="301FF276" w14:textId="77777777" w:rsidR="0065073E" w:rsidRDefault="000A0998">
      <w:pPr>
        <w:pStyle w:val="P68B1DB1-Normal5"/>
        <w:spacing w:before="120" w:after="120" w:line="240" w:lineRule="auto"/>
        <w:jc w:val="both"/>
        <w:rPr>
          <w:rFonts w:cs="Times New Roman"/>
          <w:noProof/>
        </w:rPr>
      </w:pPr>
      <w:r>
        <w:rPr>
          <w:noProof/>
        </w:rPr>
        <w:t>Uudistus 1 (C12.R1) – Espanjan strategia teollisuuden vauhdittamiseksi 2030</w:t>
      </w:r>
    </w:p>
    <w:p w14:paraId="54A55D6D"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Espanjan vuoteen 2030 ulottuvan teollisuuden vauhdittamista koskevan strategian tavoitteena on mukauttaa sääntelykehystä, jotta teollisuutta voidaan auttaa vastaamaan haasteisiin, joita ovat muun muassa postitus, digitalisaatio, ympäristön kestävyys ja kiertotalous. Strategiaan sisältyy erityisesti vuonna 1992 annetun teollisuuslain uudistus. Toimenpiteen tavoitteena on parantaa eri hallintotasojen välisiä koordinointimekanismeja teollisuuspolitiikan alalla ja parantaa teollisuuden laatua ja turvallisuutta vahvistamalla markkinavalvontajärjestelmää markkinavalvonnasta ja tuotteiden vaatimustenmukaisuudesta sekä direktiivin 2004/42/EY ja asetusten (EY) N:o 765/2008 ja (EU) N:o 305/2011 muuttamisesta 20 päivänä kesäkuuta 2019 annetun Euroopan parlamentin ja neuvoston asetuksen (EU) 2019/1020 mukaisesti</w:t>
      </w:r>
      <w:r>
        <w:rPr>
          <w:rStyle w:val="FootnoteReference"/>
          <w:rFonts w:ascii="Times New Roman" w:hAnsi="Times New Roman" w:cs="Times New Roman"/>
          <w:noProof/>
          <w:sz w:val="24"/>
        </w:rPr>
        <w:footnoteReference w:id="33"/>
      </w:r>
      <w:r>
        <w:rPr>
          <w:rFonts w:ascii="Times New Roman" w:hAnsi="Times New Roman"/>
          <w:noProof/>
          <w:sz w:val="24"/>
        </w:rPr>
        <w:t>. Lopuksi teollisuuspolitiikan rikkomusten määritelmää tarkistetaan ja mahdollisesti sovellettavien seuraamusten tasoa päivitetään.</w:t>
      </w:r>
    </w:p>
    <w:p w14:paraId="66FE0027" w14:textId="52714F8C"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3958C50A" w14:textId="77777777" w:rsidR="0065073E" w:rsidRDefault="000A0998">
      <w:pPr>
        <w:pStyle w:val="P68B1DB1-Normal5"/>
        <w:spacing w:before="120" w:after="120" w:line="240" w:lineRule="auto"/>
        <w:jc w:val="both"/>
        <w:rPr>
          <w:rFonts w:cs="Times New Roman"/>
          <w:noProof/>
        </w:rPr>
      </w:pPr>
      <w:r>
        <w:rPr>
          <w:noProof/>
        </w:rPr>
        <w:t>Uudistus 2 (C12.R2) – Jätepolitiikka ja kiertotalouden edistäminen</w:t>
      </w:r>
    </w:p>
    <w:p w14:paraId="1D8BE78D" w14:textId="77777777" w:rsidR="0065073E" w:rsidRDefault="000A0998">
      <w:pPr>
        <w:pStyle w:val="P68B1DB1-Normal4"/>
        <w:spacing w:before="120" w:after="120" w:line="240" w:lineRule="auto"/>
        <w:jc w:val="both"/>
        <w:rPr>
          <w:rFonts w:cs="Times New Roman"/>
          <w:noProof/>
        </w:rPr>
      </w:pPr>
      <w:r>
        <w:rPr>
          <w:noProof/>
        </w:rPr>
        <w:t>Toimenpiteen tavoitteena on edistää tuotanto- ja kulutusmalleja, jotka pitävät tuotteet, materiaalit ja luonnonvarat taloudessa mahdollisimman pitkään. Tavoitteena on minimoida jätteen syntyminen ja varmistaa jätteen täysimittainen hyödyntäminen, jota ei ehkä voida välttää. Uudistukseen sisältyy Espanjan kiertotalousstrategian hyväksyminen kesäkuussa 2020 kiertotaloutta koskevien EU:n toimintasuunnitelmien mukaisesti.</w:t>
      </w:r>
    </w:p>
    <w:p w14:paraId="1B3EDAAD" w14:textId="77777777" w:rsidR="0065073E" w:rsidRDefault="000A0998">
      <w:pPr>
        <w:pStyle w:val="P68B1DB1-Normal4"/>
        <w:spacing w:before="120" w:after="120" w:line="240" w:lineRule="auto"/>
        <w:jc w:val="both"/>
        <w:rPr>
          <w:rFonts w:cs="Times New Roman"/>
          <w:noProof/>
        </w:rPr>
      </w:pPr>
      <w:r>
        <w:rPr>
          <w:noProof/>
        </w:rPr>
        <w:t>Toimenpiteeseen on sisällyttävä myös kiertotaloutta koskeva säädöspaketti, jolla säännellään jätteiden siirtoa ja loppukäsittelyä ja käsitellään käytöstä poistettuja renkaita, sekä romuajoneuvoja koskevia toimenpiteitä. Tätä varten hyväksyttiin 2. kesäkuuta 2020, 646/2020, 7. heinäkuuta 2020 annetut kuninkaalliset asetukset 553/2020, 4 päivänä elokuuta 2020 annetut kuninkaalliset asetukset 731/2020 sekä 13. huhtikuuta annetut kuninkaan asetukset 27/2021, 19. tammikuuta 2021 ja 265/2021. Lisäksi uudistukseen sisällytetään pakkauksia ja pakkausjätettä koskevien sääntelytoimenpiteiden hyväksyminen ministerineuvostossa vuonna 2022.</w:t>
      </w:r>
    </w:p>
    <w:p w14:paraId="5557D924" w14:textId="46C75789" w:rsidR="0065073E" w:rsidRDefault="000A0998">
      <w:pPr>
        <w:pStyle w:val="P68B1DB1-Normal4"/>
        <w:spacing w:before="120" w:after="120" w:line="240" w:lineRule="auto"/>
        <w:jc w:val="both"/>
        <w:rPr>
          <w:rFonts w:cs="Times New Roman"/>
          <w:noProof/>
        </w:rPr>
      </w:pPr>
      <w:r>
        <w:rPr>
          <w:noProof/>
        </w:rPr>
        <w:t xml:space="preserve">Lisäksi toimenpiteeseen on sisällyttävä jätteitä ja pilaantunutta maaperää koskevan uuden lain voimaantulo 31 päivään joulukuuta 2022 mennessä. Laissa säädetään seuraavaa: </w:t>
      </w:r>
    </w:p>
    <w:p w14:paraId="2632200F" w14:textId="77777777" w:rsidR="0065073E" w:rsidRDefault="000A0998">
      <w:pPr>
        <w:pStyle w:val="P68B1DB1-Normal4"/>
        <w:numPr>
          <w:ilvl w:val="0"/>
          <w:numId w:val="110"/>
        </w:numPr>
        <w:spacing w:before="120" w:after="120" w:line="240" w:lineRule="auto"/>
        <w:jc w:val="both"/>
        <w:rPr>
          <w:rFonts w:cs="Times New Roman"/>
          <w:noProof/>
        </w:rPr>
      </w:pPr>
      <w:r>
        <w:rPr>
          <w:noProof/>
        </w:rPr>
        <w:t xml:space="preserve">Jätepuitedirektiivin ja kertakäyttömuoveja koskevan direktiivin täytäntöönpano sekä Espanjan lainsäädännön mukauttaminen viimeisten kymmenen vuoden kokemusten perusteella; </w:t>
      </w:r>
    </w:p>
    <w:p w14:paraId="6C049B17" w14:textId="77777777" w:rsidR="0065073E" w:rsidRDefault="000A0998">
      <w:pPr>
        <w:pStyle w:val="P68B1DB1-Normal4"/>
        <w:numPr>
          <w:ilvl w:val="0"/>
          <w:numId w:val="110"/>
        </w:numPr>
        <w:spacing w:before="120" w:after="120" w:line="240" w:lineRule="auto"/>
        <w:jc w:val="both"/>
        <w:rPr>
          <w:rFonts w:cs="Times New Roman"/>
          <w:noProof/>
        </w:rPr>
      </w:pPr>
      <w:r>
        <w:rPr>
          <w:noProof/>
        </w:rPr>
        <w:t>Otetaan käyttöön jätteitä koskevat EU:n tavoitteet ja EU:n lainsäädännöstä johtuvat erilliskeräystä koskevat velvoitteet ennakoiden niiden täytäntöönpanoa yli 5000 asukkaan kunnissa. Lisäksi toimenpiteellä otetaan käyttöön erilliskeräysvelvoitteita, jotka menevät unionin lainsäädännössä vahvistettuja vaatimuksia pidemmälle;</w:t>
      </w:r>
    </w:p>
    <w:p w14:paraId="07BEB1AD" w14:textId="77777777" w:rsidR="0065073E" w:rsidRDefault="000A0998">
      <w:pPr>
        <w:pStyle w:val="P68B1DB1-Normal4"/>
        <w:numPr>
          <w:ilvl w:val="0"/>
          <w:numId w:val="110"/>
        </w:numPr>
        <w:spacing w:before="120" w:after="120" w:line="240" w:lineRule="auto"/>
        <w:jc w:val="both"/>
        <w:rPr>
          <w:rFonts w:cs="Times New Roman"/>
          <w:noProof/>
        </w:rPr>
      </w:pPr>
      <w:r>
        <w:rPr>
          <w:noProof/>
        </w:rPr>
        <w:t>Laajennettua tuottajan vastuuta koskevan asetuksen uudelleentarkastelu ja uuden sääntelykehyksen luominen (jota edellytetään EU:n asetuksissa ja muissa asetuksissa) ja</w:t>
      </w:r>
    </w:p>
    <w:p w14:paraId="39B2F81D" w14:textId="77777777" w:rsidR="0065073E" w:rsidRDefault="000A0998">
      <w:pPr>
        <w:pStyle w:val="P68B1DB1-Normal4"/>
        <w:numPr>
          <w:ilvl w:val="0"/>
          <w:numId w:val="110"/>
        </w:numPr>
        <w:spacing w:before="120" w:after="120" w:line="240" w:lineRule="auto"/>
        <w:jc w:val="both"/>
        <w:rPr>
          <w:rFonts w:cs="Times New Roman"/>
          <w:noProof/>
        </w:rPr>
      </w:pPr>
      <w:r>
        <w:rPr>
          <w:noProof/>
        </w:rPr>
        <w:t>Valtiollisen jätteen verotuksen käyttöönotto (mukaan lukien kaatopaikalle sijoittamisesta, polttamisesta ja rinnakkaispoltosta sekä kertakäyttöisistä muovisäiliöistä).</w:t>
      </w:r>
    </w:p>
    <w:p w14:paraId="21E54834" w14:textId="77777777" w:rsidR="0065073E" w:rsidRDefault="000A0998">
      <w:pPr>
        <w:pStyle w:val="P68B1DB1-Normal4"/>
        <w:spacing w:line="240" w:lineRule="auto"/>
        <w:jc w:val="both"/>
        <w:rPr>
          <w:rFonts w:eastAsia="Times New Roman" w:cs="Times New Roman"/>
          <w:noProof/>
        </w:rPr>
      </w:pPr>
      <w:r>
        <w:rPr>
          <w:noProof/>
        </w:rPr>
        <w:t xml:space="preserve">Lisäksi uudistuksella edistetään eri organisaatiotasojen ja jätehuollon eri tasojen välistä koordinointia, jotta voidaan parantaa lainsäädännön täytäntöönpanoa ja viime kädessä vähentää jätteen syntymistä ja parantaa sellaisten jätteiden käsittelyä, joiden syntymistä ei voida välttää, jotta voidaan saavuttaa uudelleenkäyttöön valmistelua ja kierrätystä koskevat tavoitteet. </w:t>
      </w:r>
    </w:p>
    <w:p w14:paraId="740FBA4B" w14:textId="77777777" w:rsidR="0065073E" w:rsidRDefault="000A0998">
      <w:pPr>
        <w:pStyle w:val="P68B1DB1-Normal4"/>
        <w:spacing w:line="240" w:lineRule="auto"/>
        <w:jc w:val="both"/>
        <w:rPr>
          <w:rFonts w:eastAsia="Times New Roman" w:cs="Times New Roman"/>
          <w:noProof/>
        </w:rPr>
      </w:pPr>
      <w:r>
        <w:rPr>
          <w:noProof/>
        </w:rPr>
        <w:t>Tätä varten uudistus sisältää seuraavat:</w:t>
      </w:r>
    </w:p>
    <w:p w14:paraId="1A6AD36C" w14:textId="6C8AD484" w:rsidR="0065073E" w:rsidRDefault="000A0998">
      <w:pPr>
        <w:pStyle w:val="P68B1DB1-ListParagraph23"/>
        <w:numPr>
          <w:ilvl w:val="0"/>
          <w:numId w:val="332"/>
        </w:numPr>
        <w:spacing w:line="240" w:lineRule="auto"/>
        <w:jc w:val="both"/>
        <w:rPr>
          <w:rFonts w:eastAsia="Times New Roman" w:cs="Times New Roman"/>
          <w:noProof/>
          <w:sz w:val="24"/>
        </w:rPr>
      </w:pPr>
      <w:r>
        <w:rPr>
          <w:noProof/>
          <w:sz w:val="24"/>
        </w:rPr>
        <w:t>Perustetaan jätteiden koordinointikomiteaan työryhmä seuraamaan jätelainsäädännön täytäntöönpanoa ja hyväksytään erityistoimenpiteitä,</w:t>
      </w:r>
      <w:r>
        <w:rPr>
          <w:noProof/>
        </w:rPr>
        <w:t xml:space="preserve"> </w:t>
      </w:r>
      <w:r>
        <w:rPr>
          <w:noProof/>
          <w:sz w:val="24"/>
        </w:rPr>
        <w:t xml:space="preserve">joilla helpotetaan yhdenmukaistetun kansallisen jätehuoltolainsäädännön noudattamista. Sovitut toimenpiteet julkaistaan ministeriön verkkosivustolla. </w:t>
      </w:r>
    </w:p>
    <w:p w14:paraId="0F3D9999" w14:textId="062F2E1C" w:rsidR="0065073E" w:rsidRDefault="000A0998">
      <w:pPr>
        <w:pStyle w:val="P68B1DB1-ListParagraph6"/>
        <w:numPr>
          <w:ilvl w:val="0"/>
          <w:numId w:val="332"/>
        </w:numPr>
        <w:spacing w:line="240" w:lineRule="auto"/>
        <w:jc w:val="both"/>
        <w:rPr>
          <w:rFonts w:eastAsia="Times New Roman" w:cs="Times New Roman"/>
          <w:noProof/>
        </w:rPr>
      </w:pPr>
      <w:r>
        <w:rPr>
          <w:noProof/>
        </w:rPr>
        <w:t>Hyväksytään toinen kiertotaloutta koskeva säädöspaketti, jolla pannaan täytäntöön seuraavat näkökohdat:</w:t>
      </w:r>
    </w:p>
    <w:p w14:paraId="493A415F" w14:textId="68964B62" w:rsidR="0065073E" w:rsidRDefault="000A0998">
      <w:pPr>
        <w:pStyle w:val="P68B1DB1-ListParagraph6"/>
        <w:numPr>
          <w:ilvl w:val="1"/>
          <w:numId w:val="332"/>
        </w:numPr>
        <w:spacing w:line="240" w:lineRule="auto"/>
        <w:jc w:val="both"/>
        <w:rPr>
          <w:rFonts w:eastAsia="Times New Roman" w:cs="Times New Roman"/>
          <w:noProof/>
        </w:rPr>
      </w:pPr>
      <w:r>
        <w:rPr>
          <w:noProof/>
        </w:rPr>
        <w:t xml:space="preserve">Asetus tietyiltä tuottajilta ja jätehuollosta vastaavilta tahoilta vaadittavista taloudellisista vakuuksista siten, että nämä vakuudet lasketaan samojen perusteiden mukaisesti kaikilla alueilla </w:t>
      </w:r>
    </w:p>
    <w:p w14:paraId="5AEABB97" w14:textId="23EDEF5E" w:rsidR="0065073E" w:rsidRDefault="000A0998">
      <w:pPr>
        <w:pStyle w:val="P68B1DB1-ListParagraph6"/>
        <w:numPr>
          <w:ilvl w:val="1"/>
          <w:numId w:val="332"/>
        </w:numPr>
        <w:spacing w:line="240" w:lineRule="auto"/>
        <w:jc w:val="both"/>
        <w:rPr>
          <w:rFonts w:eastAsia="Times New Roman" w:cs="Times New Roman"/>
          <w:noProof/>
        </w:rPr>
      </w:pPr>
      <w:r>
        <w:rPr>
          <w:noProof/>
        </w:rPr>
        <w:t>Asetus suodattimilla ja suodattimilla varustetuista tupakkatuotteista, joita pidetään kaupan käytettäväksi yhdessä tupakkatuotteiden kanssa.</w:t>
      </w:r>
      <w:bookmarkStart w:id="24" w:name="_Hlk141089476"/>
      <w:r>
        <w:rPr>
          <w:noProof/>
        </w:rPr>
        <w:t xml:space="preserve"> Asetuksessa on erityisesti</w:t>
      </w:r>
    </w:p>
    <w:p w14:paraId="7A2B8723" w14:textId="63C8439F" w:rsidR="0065073E" w:rsidRDefault="000A0998">
      <w:pPr>
        <w:pStyle w:val="P68B1DB1-ListParagraph6"/>
        <w:numPr>
          <w:ilvl w:val="2"/>
          <w:numId w:val="332"/>
        </w:numPr>
        <w:spacing w:line="240" w:lineRule="auto"/>
        <w:jc w:val="both"/>
        <w:rPr>
          <w:rFonts w:eastAsia="Times New Roman" w:cs="Times New Roman"/>
          <w:noProof/>
        </w:rPr>
      </w:pPr>
      <w:r>
        <w:rPr>
          <w:noProof/>
        </w:rPr>
        <w:t xml:space="preserve">Velvoitetaan valmistelemaan ennalta ehkäiseviä ohjelmia tuottajille, jotka saattavat tietyn määrän tuotteita kansallisille markkinoille; </w:t>
      </w:r>
    </w:p>
    <w:p w14:paraId="72EC5082" w14:textId="685C1BD7" w:rsidR="0065073E" w:rsidRDefault="000A0998">
      <w:pPr>
        <w:pStyle w:val="P68B1DB1-ListParagraph6"/>
        <w:numPr>
          <w:ilvl w:val="2"/>
          <w:numId w:val="332"/>
        </w:numPr>
        <w:spacing w:line="240" w:lineRule="auto"/>
        <w:jc w:val="both"/>
        <w:rPr>
          <w:rFonts w:eastAsia="Times New Roman" w:cs="Times New Roman"/>
          <w:noProof/>
        </w:rPr>
      </w:pPr>
      <w:r>
        <w:rPr>
          <w:noProof/>
        </w:rPr>
        <w:t xml:space="preserve">Asetetaan velvoite julkisiin keräysjärjestelmiin kuuluville säiliöille ja erityisinfrastruktuurille, joka mahdollistaa tupakkatuotejätteen erilliskeräyksen suodattimilla ja suodattimilla; </w:t>
      </w:r>
    </w:p>
    <w:p w14:paraId="6ED982BC" w14:textId="46230736" w:rsidR="0065073E" w:rsidRDefault="000A0998">
      <w:pPr>
        <w:pStyle w:val="P68B1DB1-ListParagraph6"/>
        <w:numPr>
          <w:ilvl w:val="2"/>
          <w:numId w:val="332"/>
        </w:numPr>
        <w:spacing w:line="240" w:lineRule="auto"/>
        <w:jc w:val="both"/>
        <w:rPr>
          <w:rFonts w:eastAsia="Times New Roman" w:cs="Times New Roman"/>
          <w:noProof/>
        </w:rPr>
      </w:pPr>
      <w:r>
        <w:rPr>
          <w:noProof/>
        </w:rPr>
        <w:t>Sisällytetään mahdollisuus vahvistaa ennaltaehkäisyä ja erilliskeräystä koskevat tavoitteet saavutettujen tulosten mukaisesti;</w:t>
      </w:r>
    </w:p>
    <w:p w14:paraId="29795BB6" w14:textId="7A04C05D" w:rsidR="0065073E" w:rsidRDefault="000A0998">
      <w:pPr>
        <w:pStyle w:val="P68B1DB1-ListParagraph6"/>
        <w:numPr>
          <w:ilvl w:val="2"/>
          <w:numId w:val="332"/>
        </w:numPr>
        <w:spacing w:line="240" w:lineRule="auto"/>
        <w:jc w:val="both"/>
        <w:rPr>
          <w:rFonts w:eastAsia="Times New Roman" w:cs="Times New Roman"/>
          <w:noProof/>
        </w:rPr>
      </w:pPr>
      <w:r>
        <w:rPr>
          <w:noProof/>
        </w:rPr>
        <w:t>Perustaa rekisterin tupakkatuotteiden tuottajista suodattimilla ja suodattimilla;</w:t>
      </w:r>
      <w:bookmarkEnd w:id="24"/>
    </w:p>
    <w:p w14:paraId="2FC020DF" w14:textId="4EEAEDF5" w:rsidR="0065073E" w:rsidRDefault="000A0998">
      <w:pPr>
        <w:pStyle w:val="P68B1DB1-ListParagraph6"/>
        <w:numPr>
          <w:ilvl w:val="1"/>
          <w:numId w:val="332"/>
        </w:numPr>
        <w:spacing w:line="240" w:lineRule="auto"/>
        <w:jc w:val="both"/>
        <w:rPr>
          <w:rFonts w:eastAsia="Times New Roman" w:cs="Times New Roman"/>
          <w:noProof/>
        </w:rPr>
      </w:pPr>
      <w:r>
        <w:rPr>
          <w:noProof/>
        </w:rPr>
        <w:t>Teollisuuden jäteöljyjä koskeva asetus, jotta sääntelykehys saataisiin vastaamaan uuden jätelain säännöksiä, joihin sisältyy teollisuuden jäteöljyjä koskeva säännös;</w:t>
      </w:r>
    </w:p>
    <w:p w14:paraId="78B9D6FC" w14:textId="598CA2E2" w:rsidR="0065073E" w:rsidRDefault="000A0998">
      <w:pPr>
        <w:pStyle w:val="P68B1DB1-ListParagraph6"/>
        <w:numPr>
          <w:ilvl w:val="1"/>
          <w:numId w:val="332"/>
        </w:numPr>
        <w:spacing w:line="240" w:lineRule="auto"/>
        <w:jc w:val="both"/>
        <w:rPr>
          <w:rFonts w:eastAsia="Times New Roman" w:cs="Times New Roman"/>
          <w:noProof/>
        </w:rPr>
      </w:pPr>
      <w:r>
        <w:rPr>
          <w:noProof/>
        </w:rPr>
        <w:t>Käytöstä poistettuja renkaita koskeva asetus vuonna 2020 toteutetun nykyisen standardin osittaisen ja oikea-aikaisen tarkistuksen jälkeen; ja</w:t>
      </w:r>
    </w:p>
    <w:p w14:paraId="0C7988CC" w14:textId="0351A93F" w:rsidR="0065073E" w:rsidRDefault="000A0998">
      <w:pPr>
        <w:pStyle w:val="P68B1DB1-ListParagraph6"/>
        <w:numPr>
          <w:ilvl w:val="1"/>
          <w:numId w:val="332"/>
        </w:numPr>
        <w:spacing w:line="240" w:lineRule="auto"/>
        <w:jc w:val="both"/>
        <w:rPr>
          <w:rFonts w:eastAsia="Times New Roman" w:cs="Times New Roman"/>
          <w:noProof/>
        </w:rPr>
      </w:pPr>
      <w:r>
        <w:rPr>
          <w:noProof/>
        </w:rPr>
        <w:t>Ministeriön päätös yhdyskuntajätteen käsittelyn vähimmäisvaatimuksista ennen kaatopaikalle sijoittamista.</w:t>
      </w:r>
    </w:p>
    <w:p w14:paraId="2D81A857" w14:textId="77777777" w:rsidR="0065073E" w:rsidRDefault="000A0998">
      <w:pPr>
        <w:pStyle w:val="P68B1DB1-Normal4"/>
        <w:spacing w:before="120" w:after="120" w:line="240" w:lineRule="auto"/>
        <w:jc w:val="both"/>
        <w:rPr>
          <w:rFonts w:eastAsia="Times New Roman" w:cs="Times New Roman"/>
          <w:noProof/>
        </w:rPr>
      </w:pPr>
      <w:r>
        <w:rPr>
          <w:noProof/>
        </w:rPr>
        <w:t xml:space="preserve">Näillä asetuksilla on varmistettava koordinoitu hallinnointi kaikilla alueilla sekä laajennettua tuottajan vastuuta koskevan järjestelmän täytäntöönpano. </w:t>
      </w:r>
    </w:p>
    <w:p w14:paraId="6223EE37" w14:textId="77777777" w:rsidR="0065073E" w:rsidRDefault="000A0998">
      <w:pPr>
        <w:pStyle w:val="P68B1DB1-Normal4"/>
        <w:spacing w:before="120" w:after="120" w:line="240" w:lineRule="auto"/>
        <w:jc w:val="both"/>
        <w:rPr>
          <w:rFonts w:eastAsia="Times New Roman" w:cs="Times New Roman"/>
          <w:noProof/>
          <w:shd w:val="clear" w:color="auto" w:fill="E6E6E6"/>
        </w:rPr>
      </w:pPr>
      <w:r>
        <w:rPr>
          <w:noProof/>
        </w:rPr>
        <w:t>Lisäksi uudistuksessa hyväksytään toinen kiertotaloutta koskeva toimintasuunnitelma, joka pannaan täytäntöön vuosina 2024–2026 osana Espanjan kiertotalousstrategiaa. Toisessa toimintasuunnitelmassa käsitellään ensimmäisen suunnitelman täytäntöönpanon aikana havaittuja kysymyksiä sekä aloja, joilla on tarpeen keskittää aloitteita valtiotasolla.</w:t>
      </w:r>
    </w:p>
    <w:p w14:paraId="1776A14E" w14:textId="75E6A396" w:rsidR="0065073E" w:rsidRDefault="000A0998">
      <w:pPr>
        <w:pStyle w:val="P68B1DB1-Normal4"/>
        <w:spacing w:before="120" w:after="120" w:line="240" w:lineRule="auto"/>
        <w:jc w:val="both"/>
        <w:rPr>
          <w:rFonts w:cs="Times New Roman"/>
          <w:noProof/>
        </w:rPr>
      </w:pPr>
      <w:r>
        <w:rPr>
          <w:noProof/>
        </w:rPr>
        <w:t>Toimenpiteen täytäntöönpano on määrä saattaa päätökseen 31. joulukuuta 2025 mennessä.</w:t>
      </w:r>
    </w:p>
    <w:p w14:paraId="3D16E156" w14:textId="77777777" w:rsidR="0065073E" w:rsidRDefault="000A0998">
      <w:pPr>
        <w:pStyle w:val="P68B1DB1-Normal5"/>
        <w:spacing w:before="120" w:after="120" w:line="240" w:lineRule="auto"/>
        <w:jc w:val="both"/>
        <w:rPr>
          <w:rFonts w:cs="Times New Roman"/>
          <w:noProof/>
        </w:rPr>
      </w:pPr>
      <w:r>
        <w:rPr>
          <w:noProof/>
        </w:rPr>
        <w:t xml:space="preserve">Investoinnit (C12.I1) – Alakohtaiset data-avaruudet strategisten tuotantoalojen digitalisoimiseksi </w:t>
      </w:r>
    </w:p>
    <w:p w14:paraId="31CF7C55"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luoda turvallisia ja laajoja data-avaruuksia strategisille teollisuudenaloille, kuten maatalouselintarvikealalle, kestävälle liikkuvuudelle, terveydenhuollolle ja kaupalliselle sektorille. Innovointia, tehokkuutta ja mittakaavaetuja edistetään kehittämällä yhteisiä komponentteja (rakenneosia) ja jakamalla yhteisiä infrastruktuureja ja dataa (pilvialustat, suurteholaskenta- ja tallennusverkot, massadata-analytiikka ja tekoäly). </w:t>
      </w:r>
    </w:p>
    <w:p w14:paraId="7FE1856B" w14:textId="1A0E4136"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Hallintorakenteita on vahvistettava julkisen ja yksityisen sektorin yhteistyön niveltämiseksi data-avaruuksien kehittämiseen. Lisäksi on määriteltävä mekanismit yhteentoimivuuden varmistamiseksi ja kehitettävä asianmukaisia sääntöjä ja mekanismeja, joilla edistetään datan jakamista yritysten välillä. Investointi on toteutettava noudattaen Euroopan komission tiedonantoa ”Euroopan datastrategia”</w:t>
      </w:r>
      <w:r>
        <w:rPr>
          <w:rStyle w:val="FootnoteReference"/>
          <w:rFonts w:ascii="Times New Roman" w:hAnsi="Times New Roman" w:cs="Times New Roman"/>
          <w:noProof/>
          <w:sz w:val="24"/>
        </w:rPr>
        <w:footnoteReference w:id="34"/>
      </w:r>
      <w:r>
        <w:rPr>
          <w:rFonts w:ascii="Times New Roman" w:hAnsi="Times New Roman"/>
          <w:noProof/>
          <w:sz w:val="24"/>
        </w:rPr>
        <w:t xml:space="preserve"> ja siinä säädettyjä toimia, erityisesti tulevaa datasäädöstä ja</w:t>
      </w:r>
      <w:r>
        <w:rPr>
          <w:rStyle w:val="FootnoteReference"/>
          <w:rFonts w:ascii="Times New Roman" w:hAnsi="Times New Roman" w:cs="Times New Roman"/>
          <w:noProof/>
          <w:sz w:val="24"/>
        </w:rPr>
        <w:footnoteReference w:id="35"/>
      </w:r>
      <w:r>
        <w:rPr>
          <w:rFonts w:ascii="Times New Roman" w:hAnsi="Times New Roman"/>
          <w:noProof/>
          <w:sz w:val="24"/>
        </w:rPr>
        <w:t>-hallintoasetusta, sekä EU:n pilvipalveluliittoa. Synergioilla varmistetaan täydentävyys Digitaalinen Eurooppa -ohjelman kanssa</w:t>
      </w:r>
      <w:r>
        <w:rPr>
          <w:rStyle w:val="FootnoteReference"/>
          <w:rFonts w:ascii="Times New Roman" w:hAnsi="Times New Roman" w:cs="Times New Roman"/>
          <w:noProof/>
          <w:sz w:val="24"/>
        </w:rPr>
        <w:footnoteReference w:id="36"/>
      </w:r>
      <w:r>
        <w:rPr>
          <w:rFonts w:ascii="Times New Roman" w:hAnsi="Times New Roman"/>
          <w:noProof/>
          <w:sz w:val="24"/>
        </w:rPr>
        <w:t>. Investointi on myös mukautettava tärkeimpiin viitetietoihin ja standardeihin, kuten kansainvälisen data-avaruusjärjestön (IDS) edistämiin standardeihin ja standardeihin.</w:t>
      </w:r>
    </w:p>
    <w:p w14:paraId="09C85116" w14:textId="77777777" w:rsidR="0065073E" w:rsidRDefault="000A0998">
      <w:pPr>
        <w:pStyle w:val="P68B1DB1-Normal4"/>
        <w:spacing w:before="120" w:after="120" w:line="240" w:lineRule="auto"/>
        <w:jc w:val="both"/>
        <w:rPr>
          <w:rFonts w:cs="Times New Roman"/>
          <w:noProof/>
        </w:rPr>
      </w:pPr>
      <w:r>
        <w:rPr>
          <w:noProof/>
        </w:rPr>
        <w:t>Maatalouselintarvikealalla, kestävän liikkuvuuden alalla, terveydenhuoltoalalla ja kaupan alalla on tuettava vähintään neljää arvokasta alakohtaista ja yhteentoimivaa data-avaruutta 31 päivään joulukuuta 2023 mennessä.</w:t>
      </w:r>
    </w:p>
    <w:p w14:paraId="64DB6C2B" w14:textId="77777777" w:rsidR="0065073E" w:rsidRDefault="000A0998">
      <w:pPr>
        <w:pStyle w:val="P68B1DB1-Normal4"/>
        <w:spacing w:before="120" w:after="120" w:line="240" w:lineRule="auto"/>
        <w:jc w:val="both"/>
        <w:rPr>
          <w:rFonts w:cs="Times New Roman"/>
          <w:noProof/>
        </w:rPr>
      </w:pPr>
      <w:r>
        <w:rPr>
          <w:noProof/>
        </w:rPr>
        <w:t xml:space="preserve">Investoinnin toteutus on saatettava päätökseen 30 päivään kesäkuuta 2026 mennessä. </w:t>
      </w:r>
    </w:p>
    <w:p w14:paraId="50D189C8" w14:textId="77777777" w:rsidR="0065073E" w:rsidRDefault="000A0998">
      <w:pPr>
        <w:pStyle w:val="P68B1DB1-Normal5"/>
        <w:keepNext/>
        <w:spacing w:before="120" w:after="120" w:line="240" w:lineRule="auto"/>
        <w:jc w:val="both"/>
        <w:rPr>
          <w:rFonts w:cs="Times New Roman"/>
          <w:noProof/>
        </w:rPr>
      </w:pPr>
      <w:r>
        <w:rPr>
          <w:noProof/>
        </w:rPr>
        <w:t xml:space="preserve">Investointi 2 (C12.I2) – Kilpailukykyä ja teollisuuden kestävyyttä edistävä ohjelma </w:t>
      </w:r>
    </w:p>
    <w:p w14:paraId="119FA788" w14:textId="77777777" w:rsidR="0065073E" w:rsidRDefault="000A0998">
      <w:pPr>
        <w:pStyle w:val="P68B1DB1-Normal4"/>
        <w:keepNext/>
        <w:spacing w:before="120" w:after="120" w:line="240" w:lineRule="auto"/>
        <w:jc w:val="both"/>
        <w:rPr>
          <w:rFonts w:cs="Times New Roman"/>
          <w:noProof/>
        </w:rPr>
      </w:pPr>
      <w:r>
        <w:rPr>
          <w:noProof/>
        </w:rPr>
        <w:t xml:space="preserve">Tämän toimenpiteen tavoitteena on edistää Espanjan teollisen siirtymän kannalta keskeisten strategisten alojen, kuten autoteollisuuden ja sähköajoneuvojen, maatalouselintarvikealan, terveydenhuollon, ilmailu- ja meriliikenteen alojen, uusiutuviin energialähteisiin liittyvien teollisuudenalojen sekä prosessorien ja puolijohdeteknologioiden suunnittelu- ja tuotantovalmiuksien muutosta. Tästä toimesta tuetaan vähintään kolmea strategista hanketta (ns. PERTE-hankkeet), jotka kattavat asianomaisen alan koko arvoketjun ja joihin sisältyy pk-yritysten tukeminen. </w:t>
      </w:r>
    </w:p>
    <w:p w14:paraId="34EAD922" w14:textId="77777777" w:rsidR="0065073E" w:rsidRDefault="000A0998">
      <w:pPr>
        <w:pStyle w:val="P68B1DB1-Normal4"/>
        <w:spacing w:before="120" w:after="120" w:line="240" w:lineRule="auto"/>
        <w:jc w:val="both"/>
        <w:rPr>
          <w:rFonts w:cs="Times New Roman"/>
          <w:noProof/>
        </w:rPr>
      </w:pPr>
      <w:r>
        <w:rPr>
          <w:noProof/>
        </w:rPr>
        <w:t>Tästä toimenpiteestä rahoitetaan myös pienempiä hankkeita, kuten teollisia simulaatioita, kehittyneitä materiaaleja, virtuaalitodellisuutta sekä yhteistyöhön perustuvaa ja kognitiivista robotiikkaa. Toimenpiteellä tuetaan edelleen kestäviä teollisuusinfrastruktuureja, kuten teollisuuspuistoja tai logistiikka-alueita. Osana toimenpiteen tätä osaa Espanjan elpymis- ja palautumissuunnitelmasta on rahoitettava vähintään 78 innovatiivista hanketta, joihin liittyy merkittävää teollista muutosta energiatehokkuuden, kestävyyden ja digitalisaation kannalta.</w:t>
      </w:r>
    </w:p>
    <w:p w14:paraId="3098C731" w14:textId="77777777" w:rsidR="0065073E" w:rsidRDefault="000A0998">
      <w:pPr>
        <w:pStyle w:val="P68B1DB1-Normal4"/>
        <w:spacing w:before="120" w:after="120" w:line="240" w:lineRule="auto"/>
        <w:jc w:val="both"/>
        <w:rPr>
          <w:rFonts w:cs="Times New Roman"/>
          <w:noProof/>
        </w:rPr>
      </w:pPr>
      <w:r>
        <w:rPr>
          <w:noProof/>
        </w:rPr>
        <w:t xml:space="preserve">Kun ministerineuvosto on hyväksynyt PERTE-järjestelmän, asianomainen ministeriö käynnistää tarjouskilpailun, jonka tarkoituksena on saada hyväksytyn PERTE-järjestelmän puitteissa laadittavia ehdotuksia. Tukitoimenpiteitä, jotka voivat olla SEUT-sopimuksen 107 artiklan mukaista valtiontukea ja jotka voivat edellyttää ennakkoilmoitusta komissiolle, ei saa toteuttaa ennen kuin Espanja on saanut komissiolta valtiontuen hyväksynnän. </w:t>
      </w:r>
    </w:p>
    <w:p w14:paraId="701E7478" w14:textId="77777777" w:rsidR="0065073E" w:rsidRDefault="000A0998">
      <w:pPr>
        <w:pStyle w:val="Text1"/>
        <w:ind w:left="0"/>
        <w:rPr>
          <w:rFonts w:ascii="Times New Roman" w:hAnsi="Times New Roman" w:cs="Times New Roman"/>
          <w:noProof/>
        </w:rPr>
      </w:pPr>
      <w:r>
        <w:rPr>
          <w:rFonts w:ascii="Times New Roman" w:hAnsi="Times New Roman"/>
          <w:noProof/>
        </w:rPr>
        <w:t>Ministerineuvoston päätös PERTE-järjestelmän hyväksymisestä sisältää yksityiskohtaiset valintaperusteet, joilla varmistetaan ”ei merkittävää haittaa” -periaatteen mukaisten teknisten ohjeiden (2021/C58/01) noudattaminen. 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37"/>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38"/>
      </w:r>
      <w:r>
        <w:rPr>
          <w:rFonts w:ascii="Times New Roman" w:hAnsi="Times New Roman"/>
          <w:noProof/>
        </w:rPr>
        <w:t>; III) päästökauppajärjestelmän välillisten kustannusten korvaaminen; IV) jätteen kaatopaikkoihin, polttolaitoksiin</w:t>
      </w:r>
      <w:r>
        <w:rPr>
          <w:rStyle w:val="FootnoteReference"/>
          <w:rFonts w:ascii="Times New Roman" w:hAnsi="Times New Roman" w:cs="Times New Roman"/>
          <w:noProof/>
        </w:rPr>
        <w:footnoteReference w:id="39"/>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40"/>
      </w:r>
      <w:r>
        <w:rPr>
          <w:rFonts w:ascii="Times New Roman" w:hAnsi="Times New Roman"/>
          <w:noProof/>
        </w:rPr>
        <w:t xml:space="preserve">; ja v) toimet, joissa jätteistä huolehtiminen pitkällä aikavälillä voi aiheuttaa haittaa ympäristölle. Tehtävänkuvauksessa edellytetään lisäksi, että voidaan valita ainoastaan toimintoja, jotka ovat asiaa koskevan EU:n ja kansallisen ympäristölainsäädännön mukaisia. </w:t>
      </w:r>
    </w:p>
    <w:p w14:paraId="5B671F58" w14:textId="77777777" w:rsidR="0065073E" w:rsidRDefault="000A0998">
      <w:pPr>
        <w:pStyle w:val="P68B1DB1-Text118"/>
        <w:ind w:left="0"/>
        <w:rPr>
          <w:rFonts w:cs="Times New Roman"/>
          <w:noProof/>
          <w:highlight w:val="green"/>
        </w:rPr>
      </w:pPr>
      <w:r>
        <w:rPr>
          <w:noProof/>
        </w:rPr>
        <w:t>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w:t>
      </w:r>
    </w:p>
    <w:p w14:paraId="1E2A67A2" w14:textId="052CED05"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Valintaperusteilla varmistetaan, että vähintään 455000000 eurolla edistetään ilmastonmuutostavoitteita, joiden ilmastokerroin on 100 prosenttia ja vähintään 1 5 00 000 000 euroa ja ilmastokerroin 40 prosenttia, elpymis- ja palautumistukivälineen perustamisesta 12 päivänä helmikuuta 2021 annetun Euroopan parlamentin ja neuvoston asetuksen (EU) 2021/241[] liitteen VI mukaisesti.</w:t>
      </w:r>
      <w:r>
        <w:rPr>
          <w:rStyle w:val="FootnoteReference"/>
          <w:rFonts w:ascii="Times New Roman" w:hAnsi="Times New Roman" w:cs="Times New Roman"/>
          <w:noProof/>
          <w:sz w:val="24"/>
        </w:rPr>
        <w:footnoteReference w:id="41"/>
      </w:r>
      <w:r>
        <w:rPr>
          <w:rFonts w:ascii="Times New Roman" w:hAnsi="Times New Roman"/>
          <w:noProof/>
          <w:sz w:val="24"/>
        </w:rPr>
        <w:t xml:space="preserve"> Vaihtoehtoisesti, jos se on hyvin perusteltua selittämällä syyt, joiden vuoksi vaihtoehtoinen lähestymistapa ei ehkä ole toteuttamiskelpoinen, valintakriteereillä on varmistettava, että vähintään 2531500000 eurolla</w:t>
      </w:r>
      <w:r>
        <w:rPr>
          <w:rFonts w:ascii="Times New Roman" w:hAnsi="Times New Roman"/>
          <w:noProof/>
          <w:sz w:val="24"/>
          <w:shd w:val="clear" w:color="auto" w:fill="E6E6E6"/>
        </w:rPr>
        <w:t xml:space="preserve"> </w:t>
      </w:r>
      <w:r>
        <w:rPr>
          <w:rFonts w:ascii="Times New Roman" w:hAnsi="Times New Roman"/>
          <w:noProof/>
          <w:sz w:val="24"/>
        </w:rPr>
        <w:t>edistetään ilmastonmuutostavoitteita siten, että ilmastokerroin on keskimäärin vähintään 40 prosenttia asetuksen (EU) 2021/241 liitteen VI mukaisesti.</w:t>
      </w:r>
    </w:p>
    <w:p w14:paraId="5BD68492" w14:textId="77777777"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4FA8C342" w14:textId="77777777" w:rsidR="0065073E" w:rsidRDefault="000A0998">
      <w:pPr>
        <w:pStyle w:val="P68B1DB1-Normal5"/>
        <w:keepNext/>
        <w:spacing w:before="120" w:after="120" w:line="240" w:lineRule="auto"/>
        <w:jc w:val="both"/>
        <w:rPr>
          <w:rFonts w:cs="Times New Roman"/>
          <w:noProof/>
        </w:rPr>
      </w:pPr>
      <w:r>
        <w:rPr>
          <w:noProof/>
        </w:rPr>
        <w:t>Investointi 3 (C12.I3) – Suunnitelma jätelainsäädännön täytäntöönpanon ja kiertotalouden edistämisen tukemiseksi</w:t>
      </w:r>
    </w:p>
    <w:p w14:paraId="18579C3C" w14:textId="77777777" w:rsidR="0065073E" w:rsidRDefault="000A0998">
      <w:pPr>
        <w:pStyle w:val="P68B1DB1-Normal4"/>
        <w:keepNext/>
        <w:spacing w:before="120" w:after="120" w:line="240" w:lineRule="auto"/>
        <w:jc w:val="both"/>
        <w:rPr>
          <w:rFonts w:cs="Times New Roman"/>
          <w:noProof/>
        </w:rPr>
      </w:pPr>
      <w:r>
        <w:rPr>
          <w:noProof/>
        </w:rPr>
        <w:t xml:space="preserve">Tämän toimenpiteen tavoitteena on edistää kiertotaloutta Espanjassa rahoittamalla hankkeita, joiden tarkoituksena on panna täytäntöön kansallinen jätealan sääntelykehys ja saavuttaa EU:n tavoitteet jätealalla, sekä innovatiivisia kiertotaloushankkeita yksityisellä sektorilla kiertotalouteen siirtymisen helpottamiseksi.  </w:t>
      </w:r>
    </w:p>
    <w:p w14:paraId="74117ACB" w14:textId="50485F89"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Toimenpiteellä tuetaan olemassa olevien jätteen erilliskeräysjärjestelmien parantamista ja keräyspisteisiin tehtäviä investointeja kierrätyksen lisäämiseksi, uusien jätteenkäsittelylaitosten rakentamista ja resurssitehokkuuden parantamista olemassa olevissa mekaanisissa biologisissa käsittelylaitoksissa lisäämättä niiden elinikää tai kapasiteettia (todennetaan laitostasolla). Toimenpiteen tavoitteen on katettava myös alan digitaaliset ratkaisut ja kiertotalouden edistäminen yritystasolla. Ehdotetuna tavoitteena on, että vähintään 30 suunnitellusta hankkeesta on saatu päätökseen. Toimenpiteen avulla</w:t>
      </w:r>
      <w:r>
        <w:rPr>
          <w:noProof/>
        </w:rPr>
        <w:t xml:space="preserve"> on rakennettava uusi erilliskerätyn yhdyskuntajätteen käsittelykapasiteetti, joka on vähintään 1500000 tonnia vuodessa. </w:t>
      </w:r>
      <w:r>
        <w:rPr>
          <w:rFonts w:ascii="Times New Roman" w:hAnsi="Times New Roman"/>
          <w:noProof/>
          <w:sz w:val="24"/>
        </w:rPr>
        <w:t xml:space="preserve"> </w:t>
      </w:r>
    </w:p>
    <w:p w14:paraId="5DA0A525" w14:textId="2980A241" w:rsidR="0065073E" w:rsidRDefault="000A0998">
      <w:pPr>
        <w:pStyle w:val="P68B1DB1-Normal4"/>
        <w:spacing w:before="120" w:after="120" w:line="240" w:lineRule="auto"/>
        <w:jc w:val="both"/>
        <w:rPr>
          <w:rFonts w:cs="Times New Roman"/>
          <w:noProof/>
        </w:rPr>
      </w:pPr>
      <w:r>
        <w:rPr>
          <w:noProof/>
        </w:rPr>
        <w:t>Toimenpiteeseen sisältyy myös varojen jakaminen itsehallintoalueille jätelainsäädännön täytäntöönpanoa koskeviin hankkeisiin, joista sovitaan ja hyväksytään alakohtaisessa konferenssissa tai tukia koskevan yleisen lain 38/2003 mukaisella suoralla avustuksella vuoden 2024 loppuun mennessä.</w:t>
      </w:r>
    </w:p>
    <w:p w14:paraId="76EC6FC1"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42"/>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43"/>
      </w:r>
      <w:r>
        <w:rPr>
          <w:rFonts w:ascii="Times New Roman" w:hAnsi="Times New Roman"/>
          <w:noProof/>
        </w:rPr>
        <w:t>; III) jätteen kaatopaikkoihin, polttolaitoksiin</w:t>
      </w:r>
      <w:r>
        <w:rPr>
          <w:rStyle w:val="FootnoteReference"/>
          <w:rFonts w:ascii="Times New Roman" w:hAnsi="Times New Roman" w:cs="Times New Roman"/>
          <w:noProof/>
        </w:rPr>
        <w:footnoteReference w:id="4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45"/>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67882DDB" w14:textId="2988A829"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6E541661" w14:textId="34B2B521" w:rsidR="0065073E" w:rsidRDefault="000A0998">
      <w:pPr>
        <w:pStyle w:val="P68B1DB1-Normal5"/>
        <w:spacing w:before="120" w:after="120" w:line="240" w:lineRule="auto"/>
        <w:jc w:val="both"/>
        <w:rPr>
          <w:rFonts w:cs="Times New Roman"/>
          <w:noProof/>
        </w:rPr>
      </w:pPr>
      <w:r>
        <w:rPr>
          <w:noProof/>
        </w:rPr>
        <w:t>Investointi 4 (C12.I4) – Puolijohteiden arvoketjun teollisuuden vahvistaminen</w:t>
      </w:r>
    </w:p>
    <w:p w14:paraId="2AEB6FB1" w14:textId="7BF88EAA" w:rsidR="0065073E" w:rsidRDefault="000A0998">
      <w:pPr>
        <w:pStyle w:val="P68B1DB1-Normal4"/>
        <w:spacing w:before="120" w:after="120" w:line="240" w:lineRule="auto"/>
        <w:jc w:val="both"/>
        <w:rPr>
          <w:rFonts w:eastAsia="Times New Roman" w:cs="Times New Roman"/>
          <w:noProof/>
        </w:rPr>
      </w:pPr>
      <w:r>
        <w:rPr>
          <w:noProof/>
        </w:rPr>
        <w:t xml:space="preserve">Investoinnin tavoitteena on tukea avustuksilla puolijohteiden arvoketjuun liittyviä hankkeita, jotta voidaan vahvistaa kansallista mikroelektroniikan ekosysteemiä ja laajentaa espanjalaisten yritysten osallistumista mikroelektroniikkaa ja viestintäteknologiaa koskevaan IPCEI-hankkeeseen (IPCEI ME-TC). Tällä tuella parannetaan puolijohdeteollisuuden suunnittelu- ja valmistuskapasiteettia Espanjassa. </w:t>
      </w:r>
    </w:p>
    <w:p w14:paraId="252894DF" w14:textId="22BBE09C" w:rsidR="0065073E" w:rsidRDefault="000A0998">
      <w:pPr>
        <w:pStyle w:val="P68B1DB1-Normal4"/>
        <w:spacing w:before="120" w:after="120" w:line="240" w:lineRule="auto"/>
        <w:jc w:val="both"/>
        <w:rPr>
          <w:rFonts w:eastAsia="Times New Roman" w:cs="Times New Roman"/>
          <w:noProof/>
        </w:rPr>
      </w:pPr>
      <w:r>
        <w:rPr>
          <w:noProof/>
        </w:rPr>
        <w:t>Tämä toimenpide pannaan täytäntöön kahdentyyppisillä välineillä:</w:t>
      </w:r>
    </w:p>
    <w:p w14:paraId="20E3F200" w14:textId="098613EF" w:rsidR="0065073E" w:rsidRDefault="000A0998">
      <w:pPr>
        <w:pStyle w:val="P68B1DB1-ListParagraph6"/>
        <w:numPr>
          <w:ilvl w:val="0"/>
          <w:numId w:val="306"/>
        </w:numPr>
        <w:spacing w:after="0" w:line="240" w:lineRule="auto"/>
        <w:jc w:val="both"/>
        <w:rPr>
          <w:rFonts w:eastAsia="Times New Roman" w:cs="Times New Roman"/>
          <w:noProof/>
        </w:rPr>
      </w:pPr>
      <w:r>
        <w:rPr>
          <w:noProof/>
        </w:rPr>
        <w:t>Ensimmäisellä täydennetään tarvittavaa rahoitusta, jolla tuetaan espanjalaisten yritysten osallistumista Euroopan komission hyväksymään IPCEI-MCE-hankkeeseen.</w:t>
      </w:r>
    </w:p>
    <w:p w14:paraId="7E2A4962" w14:textId="1A1CEB12" w:rsidR="0065073E" w:rsidRDefault="000A0998">
      <w:pPr>
        <w:pStyle w:val="P68B1DB1-ListParagraph6"/>
        <w:numPr>
          <w:ilvl w:val="0"/>
          <w:numId w:val="306"/>
        </w:numPr>
        <w:spacing w:after="0" w:line="240" w:lineRule="auto"/>
        <w:jc w:val="both"/>
        <w:rPr>
          <w:rFonts w:eastAsia="Times New Roman" w:cs="Times New Roman"/>
          <w:noProof/>
        </w:rPr>
      </w:pPr>
      <w:r>
        <w:rPr>
          <w:noProof/>
        </w:rPr>
        <w:t>Toisessa, kansallisessa ehdotuspyynnössä keskitytään rahoituksen tarjoamiseen muille puolijohdeteollisuuden arvoketjuun kuuluvien yritysten kehittämille hankkeille.</w:t>
      </w:r>
    </w:p>
    <w:p w14:paraId="374E2A04" w14:textId="77777777" w:rsidR="0065073E" w:rsidRDefault="000A0998">
      <w:pPr>
        <w:pStyle w:val="P68B1DB1-Normal4"/>
        <w:spacing w:before="120" w:after="120" w:line="240" w:lineRule="auto"/>
        <w:jc w:val="both"/>
        <w:rPr>
          <w:rFonts w:cs="Times New Roman"/>
          <w:noProof/>
        </w:rPr>
      </w:pPr>
      <w:r>
        <w:rPr>
          <w:noProof/>
        </w:rPr>
        <w:t>Investointi on saatettava päätökseen viimeistään 31 päivänä elokuuta 2026.</w:t>
      </w:r>
    </w:p>
    <w:p w14:paraId="6351683B" w14:textId="43F82796" w:rsidR="0065073E" w:rsidRDefault="000A0998">
      <w:pPr>
        <w:pStyle w:val="P68B1DB1-Normal5"/>
        <w:spacing w:before="120" w:after="120" w:line="240" w:lineRule="auto"/>
        <w:jc w:val="both"/>
        <w:rPr>
          <w:rFonts w:cs="Times New Roman"/>
          <w:noProof/>
        </w:rPr>
      </w:pPr>
      <w:r>
        <w:rPr>
          <w:noProof/>
        </w:rPr>
        <w:t>Investointi 5 (C12.I5) – Kiertotaloutta tukeva tukijärjestelmä</w:t>
      </w:r>
    </w:p>
    <w:p w14:paraId="45188051" w14:textId="77B77B2F" w:rsidR="0065073E" w:rsidRDefault="000A0998">
      <w:pPr>
        <w:spacing w:before="120" w:after="120" w:line="240" w:lineRule="auto"/>
        <w:jc w:val="both"/>
        <w:textAlignment w:val="baseline"/>
        <w:rPr>
          <w:rFonts w:ascii="Times New Roman" w:hAnsi="Times New Roman" w:cs="Times New Roman"/>
          <w:noProof/>
        </w:rPr>
      </w:pPr>
      <w:bookmarkStart w:id="25" w:name="_Hlk145498671"/>
      <w:r>
        <w:rPr>
          <w:rStyle w:val="normaltextrun"/>
          <w:rFonts w:ascii="Times New Roman" w:hAnsi="Times New Roman"/>
          <w:noProof/>
          <w:sz w:val="24"/>
        </w:rPr>
        <w:t xml:space="preserve">Tämä toimenpide koostuu julkisista investoinneista tukijärjestelmään, jolla kannustetaan yksityisiä investointeja ja tuetaan kiertotalouden edistämistä yritystasolla kolmella Espanjan talouden keskeisellä alalla: tekstiili- ja muotialalla, muovialalla sekä uusiutuvan energian laitteiden alalla. Ohjelman on toimittava tarjoamalla taloudellisia kannustimia myöntämällä yksityiselle sektorille avustuksia tai pääomasijoituksia, riskipääoma- ja pääomarahastot mukaan luettuina. Elpymis- ja palautumistukivälineen investointien perusteella järjestelmän tavoitteena on tarjota aluksi vähintään 300 miljoonaa euroa rahoitusta. </w:t>
      </w:r>
    </w:p>
    <w:p w14:paraId="1118D082" w14:textId="666D102B" w:rsidR="0065073E" w:rsidRDefault="000A0998">
      <w:pPr>
        <w:pStyle w:val="paragraph"/>
        <w:spacing w:before="0" w:beforeAutospacing="0" w:after="0" w:afterAutospacing="0"/>
        <w:jc w:val="both"/>
        <w:textAlignment w:val="baseline"/>
        <w:rPr>
          <w:rFonts w:ascii="Times New Roman" w:hAnsi="Times New Roman" w:cs="Times New Roman"/>
          <w:noProof/>
        </w:rPr>
      </w:pPr>
      <w:r>
        <w:rPr>
          <w:rStyle w:val="normaltextrun"/>
          <w:rFonts w:ascii="Times New Roman" w:hAnsi="Times New Roman"/>
          <w:noProof/>
        </w:rPr>
        <w:t>Ohjelmaa hallinnoivat toteutuskumppaneina Instituto de Diversificación y Ahorro de la Energía (IDAE) ja Fundacion Biodiversidad. Hallituksen on järjestelmään sijoittamisen toteuttamiseksi hyväksyttävä yksi tai useampi oikeudellinen väline</w:t>
      </w:r>
      <w:r>
        <w:rPr>
          <w:rStyle w:val="normaltextrun"/>
          <w:rFonts w:ascii="Times New Roman"/>
          <w:noProof/>
        </w:rPr>
        <w:t>(kun on kyse p</w:t>
      </w:r>
      <w:r>
        <w:rPr>
          <w:rStyle w:val="normaltextrun"/>
          <w:rFonts w:ascii="Times New Roman"/>
          <w:noProof/>
        </w:rPr>
        <w:t></w:t>
      </w:r>
      <w:r>
        <w:rPr>
          <w:rStyle w:val="normaltextrun"/>
          <w:rFonts w:ascii="Times New Roman"/>
          <w:noProof/>
        </w:rPr>
        <w:t></w:t>
      </w:r>
      <w:r>
        <w:rPr>
          <w:rStyle w:val="normaltextrun"/>
          <w:rFonts w:ascii="Times New Roman"/>
          <w:noProof/>
        </w:rPr>
        <w:t>omasijoituksista, t</w:t>
      </w:r>
      <w:r>
        <w:rPr>
          <w:rStyle w:val="normaltextrun"/>
          <w:rFonts w:ascii="Times New Roman"/>
          <w:noProof/>
        </w:rPr>
        <w:t></w:t>
      </w:r>
      <w:r>
        <w:rPr>
          <w:rStyle w:val="normaltextrun"/>
          <w:rFonts w:ascii="Times New Roman"/>
          <w:noProof/>
        </w:rPr>
        <w:t>m</w:t>
      </w:r>
      <w:r>
        <w:rPr>
          <w:rStyle w:val="normaltextrun"/>
          <w:rFonts w:ascii="Times New Roman"/>
          <w:noProof/>
        </w:rPr>
        <w:t></w:t>
      </w:r>
      <w:r>
        <w:rPr>
          <w:rStyle w:val="normaltextrun"/>
          <w:rFonts w:ascii="Times New Roman"/>
          <w:noProof/>
        </w:rPr>
        <w:t xml:space="preserve"> v</w:t>
      </w:r>
      <w:r>
        <w:rPr>
          <w:rStyle w:val="normaltextrun"/>
          <w:rFonts w:ascii="Times New Roman"/>
          <w:noProof/>
        </w:rPr>
        <w:t></w:t>
      </w:r>
      <w:r>
        <w:rPr>
          <w:rStyle w:val="normaltextrun"/>
          <w:rFonts w:ascii="Times New Roman"/>
          <w:noProof/>
        </w:rPr>
        <w:t>line olisi IDAE:n hyv</w:t>
      </w:r>
      <w:r>
        <w:rPr>
          <w:rStyle w:val="normaltextrun"/>
          <w:rFonts w:ascii="Times New Roman"/>
          <w:noProof/>
        </w:rPr>
        <w:t></w:t>
      </w:r>
      <w:r>
        <w:rPr>
          <w:rStyle w:val="normaltextrun"/>
          <w:rFonts w:ascii="Times New Roman"/>
          <w:noProof/>
        </w:rPr>
        <w:t>ksym</w:t>
      </w:r>
      <w:r>
        <w:rPr>
          <w:rStyle w:val="normaltextrun"/>
          <w:rFonts w:ascii="Times New Roman"/>
          <w:noProof/>
        </w:rPr>
        <w:t></w:t>
      </w:r>
      <w:r>
        <w:rPr>
          <w:rStyle w:val="normaltextrun"/>
          <w:rFonts w:ascii="Times New Roman"/>
          <w:noProof/>
        </w:rPr>
        <w:t xml:space="preserve"> sijoituspolitiikka), jolla perustetaan j</w:t>
      </w:r>
      <w:r>
        <w:rPr>
          <w:rStyle w:val="normaltextrun"/>
          <w:rFonts w:ascii="Times New Roman"/>
          <w:noProof/>
        </w:rPr>
        <w:t></w:t>
      </w:r>
      <w:r>
        <w:rPr>
          <w:rStyle w:val="normaltextrun"/>
          <w:rFonts w:ascii="Times New Roman"/>
          <w:noProof/>
        </w:rPr>
        <w:t>rjestelm</w:t>
      </w:r>
      <w:r>
        <w:rPr>
          <w:rStyle w:val="normaltextrun"/>
          <w:rFonts w:ascii="Times New Roman"/>
          <w:noProof/>
        </w:rPr>
        <w:t></w:t>
      </w:r>
      <w:r>
        <w:rPr>
          <w:rStyle w:val="normaltextrun"/>
          <w:rFonts w:ascii="Times New Roman"/>
          <w:noProof/>
        </w:rPr>
        <w:t>, joka sis</w:t>
      </w:r>
      <w:r>
        <w:rPr>
          <w:rStyle w:val="normaltextrun"/>
          <w:rFonts w:ascii="Times New Roman"/>
          <w:noProof/>
        </w:rPr>
        <w:t></w:t>
      </w:r>
      <w:r>
        <w:rPr>
          <w:rStyle w:val="normaltextrun"/>
          <w:rFonts w:ascii="Times New Roman"/>
          <w:noProof/>
        </w:rPr>
        <w:t>lt</w:t>
      </w:r>
      <w:r>
        <w:rPr>
          <w:rStyle w:val="normaltextrun"/>
          <w:rFonts w:ascii="Times New Roman"/>
          <w:noProof/>
        </w:rPr>
        <w:t></w:t>
      </w:r>
      <w:r>
        <w:rPr>
          <w:rStyle w:val="normaltextrun"/>
          <w:rFonts w:ascii="Times New Roman"/>
          <w:noProof/>
        </w:rPr>
        <w:t></w:t>
      </w:r>
      <w:r>
        <w:rPr>
          <w:rStyle w:val="normaltextrun"/>
          <w:rFonts w:ascii="Times New Roman"/>
          <w:noProof/>
        </w:rPr>
        <w:t xml:space="preserve"> seuraavat osatekij</w:t>
      </w:r>
      <w:r>
        <w:rPr>
          <w:rStyle w:val="normaltextrun"/>
          <w:rFonts w:ascii="Times New Roman"/>
          <w:noProof/>
        </w:rPr>
        <w:t></w:t>
      </w:r>
      <w:r>
        <w:rPr>
          <w:rStyle w:val="normaltextrun"/>
          <w:rFonts w:ascii="Times New Roman"/>
          <w:noProof/>
        </w:rPr>
        <w:t>t:</w:t>
      </w:r>
    </w:p>
    <w:p w14:paraId="5707E25A" w14:textId="77777777" w:rsidR="0065073E" w:rsidRDefault="0065073E">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6ED69400" w:rsidR="0065073E" w:rsidRDefault="000A0998">
      <w:pPr>
        <w:pStyle w:val="P68B1DB1-paragraph24"/>
        <w:numPr>
          <w:ilvl w:val="0"/>
          <w:numId w:val="726"/>
        </w:numPr>
        <w:spacing w:before="0" w:beforeAutospacing="0" w:after="0" w:afterAutospacing="0"/>
        <w:jc w:val="both"/>
        <w:textAlignment w:val="baseline"/>
        <w:rPr>
          <w:rFonts w:cs="Times New Roman"/>
          <w:noProof/>
        </w:rPr>
      </w:pPr>
      <w:r>
        <w:rPr>
          <w:noProof/>
        </w:rPr>
        <w:t>Kuvaus järjestelmän päätöksentekoprosessista. Arviointielin arvioi hakemukset ja valitsee tuensaajat, jotka otetaan huomioon lopullisissa myöntämispäätöksissä tai investointipäätöksissä, ja ne hyväksytään Espanjan hallituksesta riippumattomien jäsenten äänten enemmistöllä, mikä tarkoittaa, että heidän on oltava joko toteutuskumppaneiden palveluksessa olevaa henkilöstöä ja/tai muita riippumattomia asiantuntijoita. Ohjelman lopullinen investointipäätös rajoittuu investointikomitean tai vastaavan hallintoelimen ehdottaman sijoituspäätöksen hyväksymiseen (ilman muutoksia) tai veto-oikeuden käyttämiseen. Jos IDAE osallistuu johonkin hakijoista ja kyseisen ehdotuspyynnön määrärahat eivät riitä kattamaan kaikkia vastaanotettuja hakemuksia, arviointiprosessi on tarkastettava ulkoisesti IDAE:n ”Plan de Mitigación de Potenciales Confictos de Interés en Sociedades Participadas” -julkaisun mukaisesti.</w:t>
      </w:r>
    </w:p>
    <w:p w14:paraId="71B3B126" w14:textId="4AE06E6F" w:rsidR="0065073E" w:rsidRDefault="000A0998">
      <w:pPr>
        <w:pStyle w:val="P68B1DB1-paragraph24"/>
        <w:numPr>
          <w:ilvl w:val="0"/>
          <w:numId w:val="726"/>
        </w:numPr>
        <w:spacing w:before="0" w:beforeAutospacing="0" w:after="0" w:afterAutospacing="0"/>
        <w:jc w:val="both"/>
        <w:textAlignment w:val="baseline"/>
        <w:rPr>
          <w:rFonts w:cs="Times New Roman"/>
          <w:noProof/>
        </w:rPr>
      </w:pPr>
      <w:r>
        <w:rPr>
          <w:noProof/>
        </w:rPr>
        <w:t xml:space="preserve">Tukikelpoisten toimien luettelo, joka on seuraava: </w:t>
      </w:r>
    </w:p>
    <w:p w14:paraId="66B23614" w14:textId="2F82F780" w:rsidR="0065073E" w:rsidRDefault="000A0998">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Pr>
          <w:rStyle w:val="normaltextrun"/>
          <w:rFonts w:ascii="Times New Roman" w:hAnsi="Times New Roman"/>
          <w:noProof/>
        </w:rPr>
        <w:t>Tekstiilit, muoti ja muovi (vähintään 200000000 euroa, joita hallinnoi Fundación Biodiversidad): infrastruktuuriin, teknologioihin sekä tutkimukseen, kehitykseen ja innovointiin tehtävät investoinnit materiaalien vähentämisen, uudelleenkäytön ja kierrätyksen ja/tai uudelleenarvostuksen helpottamiseksi.</w:t>
      </w:r>
    </w:p>
    <w:p w14:paraId="5DD17CA6" w14:textId="6756D3E7" w:rsidR="0065073E" w:rsidRDefault="000A0998">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Pr>
          <w:rStyle w:val="normaltextrun"/>
          <w:rFonts w:ascii="Times New Roman" w:hAnsi="Times New Roman"/>
          <w:noProof/>
        </w:rPr>
        <w:t>Uusiutuvan energian laitteet (vähintään 100000000 euroa, joita hallinnoi IDAE): investoinnit ekologiseen suunnitteluun, infrastruktuuriin, teknologiaan, T &amp; K &amp; I-toimintaan ja/tai laitosten ja järjestelmien kehittämiseen materiaalien vähentämisen, uudelleenkäytön ja kierrätyksen ja/tai uudelleenarvostuksen helpottamiseksi.</w:t>
      </w:r>
    </w:p>
    <w:p w14:paraId="2B1296E5" w14:textId="702A2607" w:rsidR="0065073E" w:rsidRDefault="000A0998">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6" w:name="_Hlk145500540"/>
      <w:r>
        <w:rPr>
          <w:rStyle w:val="normaltextrun"/>
          <w:rFonts w:ascii="Times New Roman" w:hAnsi="Times New Roman"/>
          <w:noProof/>
        </w:rPr>
        <w:t>Vaatimus noudattaa ”ei merkittävää haittaa” -periaatetta elpymis- ja palautumistukivälineen puitteissa (2021/C58/01) esitetyn ”ei merkittävää haittaa” -periaatteen mukaisesti. Oikeudellisessa välineessä (säädöksissä) suljetaan pois erityisesti seuraavat toimet: I) fossiilisiin polttoaineisiin liittyvät toimet, mukaan lukien loppupään käyttö</w:t>
      </w:r>
      <w:r>
        <w:rPr>
          <w:rStyle w:val="FootnoteReference"/>
          <w:rFonts w:ascii="Times New Roman" w:eastAsiaTheme="minorHAnsi" w:hAnsi="Times New Roman" w:cs="Times New Roman"/>
          <w:noProof/>
        </w:rPr>
        <w:footnoteReference w:id="46"/>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eastAsiaTheme="minorHAnsi" w:hAnsi="Times New Roman" w:cs="Times New Roman"/>
          <w:noProof/>
        </w:rPr>
        <w:footnoteReference w:id="47"/>
      </w:r>
      <w:r>
        <w:rPr>
          <w:rFonts w:ascii="Times New Roman" w:hAnsi="Times New Roman"/>
          <w:noProof/>
        </w:rPr>
        <w:t>; ja iii) jätteiden kaatopaikkoihin, polttolaitoksiin</w:t>
      </w:r>
      <w:r>
        <w:rPr>
          <w:rStyle w:val="FootnoteReference"/>
          <w:rFonts w:ascii="Times New Roman" w:eastAsiaTheme="minorHAnsi" w:hAnsi="Times New Roman" w:cs="Times New Roman"/>
          <w:noProof/>
        </w:rPr>
        <w:footnoteReference w:id="48"/>
      </w:r>
      <w:r>
        <w:rPr>
          <w:rFonts w:ascii="Times New Roman" w:hAnsi="Times New Roman"/>
          <w:noProof/>
        </w:rPr>
        <w:t xml:space="preserve"> ja mekaanisiin biologisiin käsittelylaitoksiin liittyvät toimet</w:t>
      </w:r>
      <w:r>
        <w:rPr>
          <w:rStyle w:val="FootnoteReference"/>
          <w:rFonts w:ascii="Times New Roman" w:eastAsiaTheme="minorHAnsi" w:hAnsi="Times New Roman" w:cs="Times New Roman"/>
          <w:noProof/>
        </w:rPr>
        <w:footnoteReference w:id="49"/>
      </w:r>
      <w:r>
        <w:rPr>
          <w:rFonts w:ascii="Times New Roman" w:hAnsi="Times New Roman"/>
          <w:noProof/>
        </w:rPr>
        <w:t>. Kun on kyse yleisestä tuesta yrityksille (mukaan lukien oman pääoman ehtoinen pääoma ja riskipääoma), oikeudellisen välineen tai oikeudellisten välineiden ulkopuolelle jäävät yritykset,</w:t>
      </w:r>
      <w:r>
        <w:rPr>
          <w:rFonts w:ascii="Times New Roman" w:hAnsi="Times New Roman"/>
          <w:noProof/>
        </w:rPr>
        <w:footnoteReference w:id="50"/>
      </w:r>
      <w:r>
        <w:rPr>
          <w:rFonts w:ascii="Times New Roman" w:hAnsi="Times New Roman"/>
          <w:noProof/>
        </w:rPr>
        <w:t xml:space="preserve"> jotka keskittyvät erityisesti seuraaviin aloihin: I) fossiilisiin polttoaineisiin perustuva energiantuotanto ja siihen liittyvä toiminta</w:t>
      </w:r>
      <w:r>
        <w:rPr>
          <w:rFonts w:ascii="Times New Roman" w:hAnsi="Times New Roman"/>
          <w:noProof/>
        </w:rPr>
        <w:footnoteReference w:id="51"/>
      </w:r>
      <w:r>
        <w:rPr>
          <w:rFonts w:ascii="Times New Roman" w:hAnsi="Times New Roman"/>
          <w:noProof/>
        </w:rPr>
        <w:t>; II) energiaintensiiviset ja/tai paljon hiilidioksidipäästöjä aiheuttavat teollisuudenalat</w:t>
      </w:r>
      <w:r>
        <w:rPr>
          <w:rFonts w:ascii="Times New Roman" w:hAnsi="Times New Roman"/>
          <w:noProof/>
        </w:rPr>
        <w:footnoteReference w:id="52"/>
      </w:r>
      <w:r>
        <w:rPr>
          <w:rFonts w:ascii="Times New Roman" w:hAnsi="Times New Roman"/>
          <w:noProof/>
        </w:rPr>
        <w:t>; saastuttavien ajoneuvojen tuotanto, vuokraus tai myynti</w:t>
      </w:r>
      <w:r>
        <w:rPr>
          <w:rFonts w:ascii="Times New Roman" w:hAnsi="Times New Roman"/>
          <w:noProof/>
        </w:rPr>
        <w:footnoteReference w:id="53"/>
      </w:r>
      <w:r>
        <w:rPr>
          <w:rFonts w:ascii="Times New Roman" w:hAnsi="Times New Roman"/>
          <w:noProof/>
        </w:rPr>
        <w:t>; IV) jätteiden keruu, käsittely ja</w:t>
      </w:r>
      <w:r>
        <w:rPr>
          <w:rFonts w:ascii="Times New Roman" w:hAnsi="Times New Roman"/>
          <w:noProof/>
        </w:rPr>
        <w:footnoteReference w:id="54"/>
      </w:r>
      <w:r>
        <w:rPr>
          <w:rFonts w:ascii="Times New Roman" w:hAnsi="Times New Roman"/>
          <w:noProof/>
        </w:rPr>
        <w:t>loppusijoitus, v) ydinpolttoaineen käsittely, ydinenergian tuotanto. Lisäksi oikeudellisissa välineissä on edellytettävä, että tukijärjestelmien lopulliset edunsaajat noudattavat asiaankuuluvaa EU:n ja kansallista ympäristölainsäädäntöä.</w:t>
      </w:r>
    </w:p>
    <w:p w14:paraId="60464F34" w14:textId="66B7E8FD" w:rsidR="0065073E" w:rsidRDefault="000A0998">
      <w:pPr>
        <w:pStyle w:val="P68B1DB1-paragraph24"/>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7" w:name="_Hlk145500550"/>
      <w:bookmarkEnd w:id="26"/>
      <w:r>
        <w:rPr>
          <w:noProof/>
        </w:rPr>
        <w:t>Vaatimus, jonka mukaan tukijärjestelmien lopulliset edunsaajat eivät saa saada tukea muista unionin välineistä samojen kustannusten kattamiseksi</w:t>
      </w:r>
      <w:bookmarkEnd w:id="27"/>
      <w:r>
        <w:rPr>
          <w:noProof/>
        </w:rPr>
        <w:t>.</w:t>
      </w:r>
    </w:p>
    <w:p w14:paraId="7CC63F0B" w14:textId="389D6619" w:rsidR="0065073E" w:rsidRDefault="000A0998">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Järjestelmän kattama määrä ja vaatimus, jonka mukaan tukijärjestelmästä mahdollisesti saatavat käyttämättömät tulot on investoitava uudelleen edellä lueteltuihin toimintoihin, myös vuoden 2026 jälkeen.</w:t>
      </w:r>
    </w:p>
    <w:p w14:paraId="6CFD6B63" w14:textId="7190A871" w:rsidR="0065073E" w:rsidRDefault="000A0998">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Ilmastoinvestointeja koskevat raportointivaatimukset tukijärjestelmien osalta</w:t>
      </w:r>
      <w:r>
        <w:rPr>
          <w:rStyle w:val="FootnoteReference"/>
          <w:rFonts w:ascii="Times New Roman" w:eastAsiaTheme="majorEastAsia" w:hAnsi="Times New Roman" w:cs="Times New Roman"/>
          <w:noProof/>
          <w:sz w:val="24"/>
        </w:rPr>
        <w:footnoteReference w:id="55"/>
      </w:r>
      <w:r>
        <w:rPr>
          <w:rStyle w:val="normaltextrun"/>
          <w:rFonts w:ascii="Times New Roman" w:hAnsi="Times New Roman"/>
          <w:noProof/>
          <w:sz w:val="24"/>
        </w:rPr>
        <w:t>.</w:t>
      </w:r>
    </w:p>
    <w:p w14:paraId="228CA13B" w14:textId="6D76C95E" w:rsidR="0065073E" w:rsidRDefault="000A0998">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Kun on kyse oman pääoman ehtoisista sijoituksista, mukaan lukien riskipääoma, sijoituspolitiikan keskeisiin vaatimuksiin, jotka koskevat varojen mahdollista myöntämistä, kuuluvat  </w:t>
      </w:r>
    </w:p>
    <w:p w14:paraId="0812194C" w14:textId="6D76C95E" w:rsidR="0065073E" w:rsidRDefault="000A0998">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Rahoitustuotteita koskevien budjettikohtien ja tukikelpoisten lopullisten tuensaajien kuvaus </w:t>
      </w:r>
    </w:p>
    <w:p w14:paraId="39612950" w14:textId="5E85E411" w:rsidR="0065073E" w:rsidRDefault="000A0998">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Vaatimus, jonka mukaan kaikkien tuettujen investointien on oltava taloudellisesti kannattavia.  </w:t>
      </w:r>
    </w:p>
    <w:p w14:paraId="3735BC1C" w14:textId="0610D4D4" w:rsidR="0065073E" w:rsidRDefault="000A0998">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Pääomasijoitusten, myös riskipääoman, osalta seuraavat seuranta-, tilintarkastus- ja valvontavaatimukset, mukaan lukien: </w:t>
      </w:r>
    </w:p>
    <w:p w14:paraId="5813F73D" w14:textId="21990745" w:rsidR="0065073E" w:rsidRDefault="000A0998">
      <w:pPr>
        <w:pStyle w:val="P68B1DB1-Normal4"/>
        <w:numPr>
          <w:ilvl w:val="1"/>
          <w:numId w:val="726"/>
        </w:numPr>
        <w:spacing w:after="0" w:line="240" w:lineRule="auto"/>
        <w:jc w:val="both"/>
        <w:rPr>
          <w:rFonts w:cs="Times New Roman"/>
          <w:noProof/>
        </w:rPr>
      </w:pPr>
      <w:r>
        <w:rPr>
          <w:noProof/>
        </w:rPr>
        <w:t>Kuvaus IDAE:n seurantajärjestelmästä, jolla raportoidaan käyttöön otetuista investoinneista.</w:t>
      </w:r>
    </w:p>
    <w:p w14:paraId="530565DC" w14:textId="77278F4C" w:rsidR="0065073E" w:rsidRDefault="000A0998">
      <w:pPr>
        <w:pStyle w:val="P68B1DB1-paragraph24"/>
        <w:numPr>
          <w:ilvl w:val="1"/>
          <w:numId w:val="726"/>
        </w:numPr>
        <w:spacing w:before="0" w:beforeAutospacing="0" w:after="0" w:afterAutospacing="0"/>
        <w:jc w:val="both"/>
        <w:textAlignment w:val="baseline"/>
        <w:rPr>
          <w:rFonts w:eastAsiaTheme="majorEastAsia" w:cs="Times New Roman"/>
          <w:noProof/>
        </w:rPr>
      </w:pPr>
      <w:r>
        <w:rPr>
          <w:noProof/>
        </w:rPr>
        <w:t>Kuvaus IDAE:n menettelyistä, joilla varmistetaan petosten, lahjonnan ja eturistiriitojen ehkäiseminen, havaitseminen ja korjaaminen.</w:t>
      </w:r>
    </w:p>
    <w:p w14:paraId="6576DF5B" w14:textId="18EBFB24" w:rsidR="0065073E" w:rsidRDefault="000A0998">
      <w:pPr>
        <w:pStyle w:val="ListParagraph"/>
        <w:numPr>
          <w:ilvl w:val="1"/>
          <w:numId w:val="726"/>
        </w:numPr>
        <w:rPr>
          <w:rStyle w:val="normaltextrun"/>
          <w:rFonts w:ascii="Times New Roman" w:eastAsiaTheme="majorEastAsia" w:hAnsi="Times New Roman" w:cs="Times New Roman"/>
          <w:noProof/>
          <w:sz w:val="24"/>
        </w:rPr>
      </w:pPr>
      <w:r>
        <w:rPr>
          <w:rStyle w:val="normaltextrun"/>
          <w:rFonts w:ascii="Times New Roman" w:hAnsi="Times New Roman"/>
          <w:noProof/>
          <w:sz w:val="24"/>
        </w:rPr>
        <w:t>Velvollisuus tarkistaa jokaisen toimen tukikelpoisuus täytäntöönpanosopimuksessa vahvistettujen vaatimusten mukaisesti ennen kuin sitoudutaan rahoittamaan toimi.</w:t>
      </w:r>
    </w:p>
    <w:p w14:paraId="68FA448A" w14:textId="1F736C94" w:rsidR="0065073E" w:rsidRDefault="000A0998">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Velvoite suorittaa riskiperusteisia jälkitarkastuksia IDAE:n tarkastussuunnitelman mukaisesti. Näillä tarkastuksilla todennetaan i) valvontajärjestelmien tehokkuus, mukaan lukien petosten, korruption ja eturistiriitojen havaitseminen; II) ”ei merkittävää haittaa” -periaatteen, valtiontukisääntöjen ja ilmastotavoitteita koskevien vaatimusten noudattaminen; ja iii) noudatetaan vaatimusta, jonka mukaan IDEAn on todennettava, että lopullinen tuensaaja esittää vastuullisen ilmoituksen sen tarkastamiseksi, katetaanko samat kustannukset jostakin muusta unionin välineestä. Tarkastuksissa on myös todennettava toimien laillisuus ja se, että järjestelmän perustamista koskevan yhden tai useamman sovellettavan oikeudellisen välineen tai investointipolitiikan ehtoja noudatetaan.</w:t>
      </w:r>
    </w:p>
    <w:p w14:paraId="2DF7F196" w14:textId="4A64BF29" w:rsidR="0065073E" w:rsidRDefault="000A0998">
      <w:pPr>
        <w:pStyle w:val="P68B1DB1-paragraph24"/>
        <w:spacing w:before="120" w:beforeAutospacing="0" w:after="120" w:afterAutospacing="0"/>
        <w:jc w:val="both"/>
        <w:textAlignment w:val="baseline"/>
        <w:rPr>
          <w:rFonts w:cs="Times New Roman"/>
          <w:noProof/>
        </w:rPr>
      </w:pPr>
      <w:bookmarkStart w:id="28" w:name="_Hlk145498759"/>
      <w:bookmarkEnd w:id="25"/>
      <w:r>
        <w:rPr>
          <w:noProof/>
        </w:rPr>
        <w:t xml:space="preserve">Investoinnin toteutus on saatettava päätökseen 31 päivään elokuuta 2026 mennessä. </w:t>
      </w:r>
      <w:bookmarkEnd w:id="28"/>
    </w:p>
    <w:p w14:paraId="2B161184" w14:textId="2BD7C09D" w:rsidR="0065073E" w:rsidRDefault="000A0998">
      <w:pPr>
        <w:pStyle w:val="P68B1DB1-paragraph25"/>
        <w:spacing w:before="120" w:after="120"/>
        <w:jc w:val="both"/>
        <w:textAlignment w:val="baseline"/>
        <w:rPr>
          <w:rFonts w:cs="Times New Roman"/>
          <w:noProof/>
        </w:rPr>
      </w:pPr>
      <w:r>
        <w:rPr>
          <w:noProof/>
        </w:rPr>
        <w:t>Investointi 6 (C12.I6) – Avustusjärjestelmä, jolla tuetaan strategisia hankkeita sähköautojen arvoketjussa (avustukset)</w:t>
      </w:r>
    </w:p>
    <w:p w14:paraId="08AAB58C" w14:textId="4985C9D0" w:rsidR="0065073E" w:rsidRDefault="000A0998">
      <w:pPr>
        <w:pStyle w:val="P68B1DB1-paragraph24"/>
        <w:spacing w:before="120" w:after="120"/>
        <w:jc w:val="both"/>
        <w:textAlignment w:val="baseline"/>
        <w:rPr>
          <w:rFonts w:cs="Times New Roman"/>
          <w:noProof/>
        </w:rPr>
      </w:pPr>
      <w:r>
        <w:rPr>
          <w:noProof/>
        </w:rPr>
        <w:t>Tämä toimenpide koostuu julkisesta investoinnista tukijärjestelmään, jolla kannustetaan yksityisiä investointeja sähköautojen arvoketjuun avustuksilla. Järjestelmällä edistetään strategisten alojen, kuten autoteollisuuden ja sähköajoneuvojen, muutosta myöntämällä avustuksia yksityiselle sektorille ministerineuvoston hyväksymien strategisten hankkeiden tai PERTE-hankkeiden puitteissa. Elpymis- ja palautumistukivälineen investointien perusteella tukiohjelmalla pyritään alun perin tarjoamaan rahoitusta vähintään 250000000 euroa.</w:t>
      </w:r>
    </w:p>
    <w:p w14:paraId="18037602" w14:textId="555AC385" w:rsidR="0065073E" w:rsidRDefault="000A0998">
      <w:pPr>
        <w:pStyle w:val="P68B1DB1-paragraph24"/>
        <w:spacing w:before="120" w:after="120"/>
        <w:jc w:val="both"/>
        <w:textAlignment w:val="baseline"/>
        <w:rPr>
          <w:rFonts w:cs="Times New Roman"/>
          <w:noProof/>
        </w:rPr>
      </w:pPr>
      <w:r>
        <w:rPr>
          <w:noProof/>
        </w:rPr>
        <w:t>SEPIDES hallinnoi järjestelmää toteutuskumppanina. Asiaa koskevalla säädöksellä SEPIDES muutetaan julkiseksi yritykseksi tämän investoinnin toteuttamiseksi (tämä on Espanjan elpymis- ja palautumissuunnitelman osan 31 investoinnin 6 välitavoite).</w:t>
      </w:r>
    </w:p>
    <w:p w14:paraId="57D2DC67" w14:textId="4241956F" w:rsidR="0065073E" w:rsidRDefault="000A0998">
      <w:pPr>
        <w:pStyle w:val="P68B1DB1-paragraph24"/>
        <w:spacing w:before="120" w:after="120"/>
        <w:jc w:val="both"/>
        <w:textAlignment w:val="baseline"/>
        <w:rPr>
          <w:rFonts w:cs="Times New Roman"/>
          <w:noProof/>
        </w:rPr>
      </w:pPr>
      <w:r>
        <w:rPr>
          <w:noProof/>
        </w:rPr>
        <w:t xml:space="preserve">Hallituksen on järjestelmään tehtävän investoinnin toteuttamiseksi hyväksyttävä yksi tai useampi oikeudellinen väline, jolla järjestelmä perustetaan ja joihin on sisällyttävä seuraavat osatekijät:  </w:t>
      </w:r>
    </w:p>
    <w:p w14:paraId="71E4313C" w14:textId="1106F10F" w:rsidR="0065073E" w:rsidRDefault="000A0998">
      <w:pPr>
        <w:pStyle w:val="P68B1DB1-paragraph24"/>
        <w:numPr>
          <w:ilvl w:val="0"/>
          <w:numId w:val="763"/>
        </w:numPr>
        <w:spacing w:before="120" w:after="120"/>
        <w:jc w:val="both"/>
        <w:textAlignment w:val="baseline"/>
        <w:rPr>
          <w:rFonts w:cs="Times New Roman"/>
          <w:noProof/>
        </w:rPr>
      </w:pPr>
      <w:r>
        <w:rPr>
          <w:noProof/>
        </w:rPr>
        <w:t>Järjestelmän päätöksentekoprosessin kuvaus: Hakemukset arvioidaan arviointikomiteassa tai muussa vastaavassa hallintoelimessä ja hyväksytään Espanjan hallituksesta riippumattomien jäsenten äänten enemmistöllä, mikä tarkoittaa joko SEPIDESin palveluksessa olevaa henkilöstöä ja/tai muita riippumattomia asiantuntijoita. Ohjelman lopullinen investointipäätös rajoittuu arviointikomitean tai vastaavan hallintoelimen ehdottaman investointipäätöksen hyväksymiseen (ilman muutoksia) tai veto-oikeuden käyttämiseen.</w:t>
      </w:r>
    </w:p>
    <w:p w14:paraId="70E00AA1" w14:textId="48F9DA2C" w:rsidR="0065073E" w:rsidRDefault="000A0998">
      <w:pPr>
        <w:pStyle w:val="P68B1DB1-paragraph24"/>
        <w:numPr>
          <w:ilvl w:val="0"/>
          <w:numId w:val="763"/>
        </w:numPr>
        <w:spacing w:before="120" w:after="120"/>
        <w:jc w:val="both"/>
        <w:textAlignment w:val="baseline"/>
        <w:rPr>
          <w:rFonts w:cs="Times New Roman"/>
          <w:noProof/>
        </w:rPr>
      </w:pPr>
      <w:r>
        <w:rPr>
          <w:noProof/>
        </w:rPr>
        <w:t>Tukikelpoisten alojen vihreään ja digitaaliseen muutokseen liittyvien toimien luettelo, jonka määrä on vähintään 250000000 euroa. Toimenpiteellä tuetaan innovatiivisia hankkeita, joihin liittyy merkittävää teollista muutosta alan energiatehokkuuden, kestävyyden ja digitalisaation kannalta.</w:t>
      </w:r>
    </w:p>
    <w:p w14:paraId="68E02A32" w14:textId="55F7B6E0" w:rsidR="0065073E" w:rsidRDefault="000A0998">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Vaatimus noudattaa ”ei merkittävää haittaa” -periaatetta elpymis- ja palautumistukivälineen puitteissa (2021/C58/01) esitetyn ”ei merkittävää haittaa” -periaatteen mukaisesti. Oikeudellisessa välineessä (säädöksissä) suljetaan pois erityisesti seuraavat toimet: I) fossiilisiin polttoaineisiin liittyvät toimet, mukaan lukien loppupään käyttö</w:t>
      </w:r>
      <w:r>
        <w:rPr>
          <w:rStyle w:val="FootnoteReference"/>
          <w:rFonts w:ascii="Times New Roman" w:eastAsiaTheme="minorHAnsi" w:hAnsi="Times New Roman" w:cs="Times New Roman"/>
          <w:noProof/>
        </w:rPr>
        <w:footnoteReference w:id="56"/>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eastAsiaTheme="minorHAnsi" w:hAnsi="Times New Roman" w:cs="Times New Roman"/>
          <w:noProof/>
        </w:rPr>
        <w:footnoteReference w:id="57"/>
      </w:r>
      <w:r>
        <w:rPr>
          <w:rFonts w:ascii="Times New Roman" w:hAnsi="Times New Roman"/>
          <w:noProof/>
        </w:rPr>
        <w:t>; ja iii) jätteiden kaatopaikkoihin, polttolaitoksiin</w:t>
      </w:r>
      <w:r>
        <w:rPr>
          <w:rStyle w:val="FootnoteReference"/>
          <w:rFonts w:ascii="Times New Roman" w:eastAsiaTheme="minorHAnsi" w:hAnsi="Times New Roman" w:cs="Times New Roman"/>
          <w:noProof/>
        </w:rPr>
        <w:footnoteReference w:id="58"/>
      </w:r>
      <w:r>
        <w:rPr>
          <w:rFonts w:ascii="Times New Roman" w:hAnsi="Times New Roman"/>
          <w:noProof/>
        </w:rPr>
        <w:t xml:space="preserve"> ja mekaanisiin biologisiin käsittelylaitoksiin liittyvät toimet</w:t>
      </w:r>
      <w:r>
        <w:rPr>
          <w:rStyle w:val="FootnoteReference"/>
          <w:rFonts w:ascii="Times New Roman" w:eastAsiaTheme="minorHAnsi" w:hAnsi="Times New Roman" w:cs="Times New Roman"/>
          <w:noProof/>
        </w:rPr>
        <w:footnoteReference w:id="59"/>
      </w:r>
      <w:r>
        <w:rPr>
          <w:rFonts w:ascii="Times New Roman" w:hAnsi="Times New Roman"/>
          <w:noProof/>
        </w:rPr>
        <w:t xml:space="preserve">.  Lisäksi oikeudellisissa välineissä on edellytettävä, että tukijärjestelmien lopulliset edunsaajat noudattavat asiaankuuluvaa EU:n ja kansallista ympäristölainsäädäntöä. 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w:t>
      </w:r>
    </w:p>
    <w:p w14:paraId="59D67AB0" w14:textId="7980C0D2" w:rsidR="0065073E" w:rsidRDefault="000A0998">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SEPIDESin toteuttamia ilmastoinvestointeja koskevat vaatimukset: vähintään 100000000 eurolla elpymis- ja palautumistukivälineestä järjestelmään tehtävällä investoinnilla on edistettävä ilmastonmuutosta koskevia tavoitteita elpymis- ja palautumistukivälinettä koskevan asetuksen liitteen VI mukaisesti.</w:t>
      </w:r>
      <w:r>
        <w:rPr>
          <w:rStyle w:val="FootnoteReference"/>
          <w:rFonts w:ascii="Times New Roman" w:hAnsi="Times New Roman" w:cs="Times New Roman"/>
          <w:noProof/>
        </w:rPr>
        <w:footnoteReference w:id="60"/>
      </w:r>
      <w:r>
        <w:rPr>
          <w:rFonts w:ascii="Times New Roman" w:hAnsi="Times New Roman"/>
          <w:noProof/>
        </w:rPr>
        <w:t xml:space="preserve"> </w:t>
      </w:r>
    </w:p>
    <w:p w14:paraId="4F5E45AA" w14:textId="7FBD7822" w:rsidR="0065073E" w:rsidRDefault="000A0998">
      <w:pPr>
        <w:pStyle w:val="P68B1DB1-paragraph24"/>
        <w:numPr>
          <w:ilvl w:val="0"/>
          <w:numId w:val="763"/>
        </w:numPr>
        <w:spacing w:before="120" w:after="120"/>
        <w:jc w:val="both"/>
        <w:textAlignment w:val="baseline"/>
        <w:rPr>
          <w:rFonts w:cs="Times New Roman"/>
          <w:noProof/>
        </w:rPr>
      </w:pPr>
      <w:r>
        <w:rPr>
          <w:noProof/>
        </w:rPr>
        <w:t>Vaatimus, jonka mukaan tukijärjestelmän lopulliset edunsaajat eivät saa saada tukea muista unionin välineistä samojen kustannusten kattamiseksi.</w:t>
      </w:r>
    </w:p>
    <w:p w14:paraId="61C4B048" w14:textId="6D76C95E" w:rsidR="0065073E" w:rsidRDefault="000A0998">
      <w:pPr>
        <w:pStyle w:val="P68B1DB1-paragraph24"/>
        <w:numPr>
          <w:ilvl w:val="0"/>
          <w:numId w:val="763"/>
        </w:numPr>
        <w:spacing w:before="120" w:after="120"/>
        <w:jc w:val="both"/>
        <w:textAlignment w:val="baseline"/>
        <w:rPr>
          <w:rFonts w:cs="Times New Roman"/>
          <w:noProof/>
        </w:rPr>
      </w:pPr>
      <w:r>
        <w:rPr>
          <w:noProof/>
        </w:rPr>
        <w:t>Järjestelmän kattama määrä ja vaatimus, jonka mukaan tukijärjestelmästä mahdollisesti saatavat käyttämättömät tulot on investoitava uudelleen edellä lueteltuihin toimintoihin, myös vuoden 2026 jälkeen.</w:t>
      </w:r>
    </w:p>
    <w:p w14:paraId="30FD7CD7" w14:textId="36DF14D3" w:rsidR="0065073E" w:rsidRDefault="000A0998">
      <w:pPr>
        <w:pStyle w:val="P68B1DB1-paragraph24"/>
        <w:spacing w:before="120" w:beforeAutospacing="0" w:after="120" w:afterAutospacing="0"/>
        <w:jc w:val="both"/>
        <w:textAlignment w:val="baseline"/>
        <w:rPr>
          <w:rFonts w:cs="Times New Roman"/>
          <w:noProof/>
        </w:rPr>
      </w:pPr>
      <w:r>
        <w:rPr>
          <w:noProof/>
        </w:rPr>
        <w:t>Investoinnin toteutus on saatettava päätökseen 31 päivään elokuuta 2026 mennessä.</w:t>
      </w:r>
    </w:p>
    <w:p w14:paraId="6F9695D0" w14:textId="77777777" w:rsidR="0065073E" w:rsidRDefault="0065073E">
      <w:pPr>
        <w:spacing w:before="120" w:after="120" w:line="240" w:lineRule="auto"/>
        <w:jc w:val="both"/>
        <w:rPr>
          <w:rFonts w:ascii="Times New Roman" w:hAnsi="Times New Roman" w:cs="Times New Roman"/>
          <w:noProof/>
          <w:sz w:val="24"/>
        </w:rPr>
      </w:pPr>
    </w:p>
    <w:p w14:paraId="7EFE469E"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L.2.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BE8178D" w14:textId="554A4523" w:rsidR="0065073E" w:rsidRDefault="000A0998">
      <w:pPr>
        <w:pStyle w:val="P68B1DB1-Normal4"/>
        <w:spacing w:before="120" w:after="120" w:line="240" w:lineRule="auto"/>
        <w:jc w:val="both"/>
        <w:rPr>
          <w:rFonts w:cs="Times New Roman"/>
          <w:noProof/>
          <w:u w:val="single"/>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11DC7BAE" w14:textId="77777777" w:rsidR="0065073E" w:rsidRDefault="0065073E">
      <w:pPr>
        <w:spacing w:before="120" w:after="120" w:line="240" w:lineRule="auto"/>
        <w:ind w:left="709"/>
        <w:jc w:val="both"/>
        <w:rPr>
          <w:rFonts w:ascii="Times New Roman" w:hAnsi="Times New Roman" w:cs="Times New Roman"/>
          <w:noProof/>
          <w:sz w:val="24"/>
        </w:rPr>
      </w:pPr>
    </w:p>
    <w:p w14:paraId="67D31997" w14:textId="77777777" w:rsidR="0065073E" w:rsidRDefault="0065073E">
      <w:pPr>
        <w:spacing w:after="0" w:line="240" w:lineRule="auto"/>
        <w:jc w:val="both"/>
        <w:rPr>
          <w:rFonts w:ascii="Times New Roman" w:hAnsi="Times New Roman" w:cs="Times New Roman"/>
          <w:noProof/>
          <w:sz w:val="24"/>
        </w:rPr>
        <w:sectPr w:rsidR="0065073E" w:rsidSect="00B511EF">
          <w:headerReference w:type="even" r:id="rId270"/>
          <w:headerReference w:type="default" r:id="rId271"/>
          <w:footerReference w:type="even" r:id="rId272"/>
          <w:footerReference w:type="default" r:id="rId273"/>
          <w:headerReference w:type="first" r:id="rId274"/>
          <w:footerReference w:type="first" r:id="rId275"/>
          <w:pgSz w:w="11907" w:h="16839"/>
          <w:pgMar w:top="1134" w:right="1134" w:bottom="1134" w:left="1134" w:header="567" w:footer="567" w:gutter="0"/>
          <w:cols w:space="720"/>
          <w:docGrid w:linePitch="360"/>
        </w:sectPr>
      </w:pPr>
    </w:p>
    <w:tbl>
      <w:tblPr>
        <w:tblW w:w="1541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2"/>
        <w:gridCol w:w="850"/>
        <w:gridCol w:w="942"/>
        <w:gridCol w:w="1220"/>
        <w:gridCol w:w="1003"/>
        <w:gridCol w:w="790"/>
        <w:gridCol w:w="919"/>
        <w:gridCol w:w="945"/>
        <w:gridCol w:w="396"/>
        <w:gridCol w:w="527"/>
        <w:gridCol w:w="6975"/>
      </w:tblGrid>
      <w:tr w:rsidR="0065073E" w14:paraId="393CB269" w14:textId="77777777">
        <w:trPr>
          <w:trHeight w:val="309"/>
          <w:tblHeader/>
        </w:trPr>
        <w:tc>
          <w:tcPr>
            <w:tcW w:w="85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65073E" w:rsidRDefault="000A0998">
            <w:pPr>
              <w:pStyle w:val="P68B1DB1-Normal8"/>
              <w:spacing w:after="0" w:line="240" w:lineRule="auto"/>
              <w:jc w:val="both"/>
              <w:rPr>
                <w:rFonts w:cs="Times New Roman"/>
                <w:noProof/>
              </w:rPr>
            </w:pPr>
            <w:r>
              <w:rPr>
                <w:noProof/>
              </w:rPr>
              <w:t>Määrä</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65073E" w:rsidRDefault="000A0998">
            <w:pPr>
              <w:pStyle w:val="P68B1DB1-Normal8"/>
              <w:spacing w:after="0" w:line="240" w:lineRule="auto"/>
              <w:jc w:val="center"/>
              <w:rPr>
                <w:rFonts w:cs="Times New Roman"/>
                <w:noProof/>
              </w:rPr>
            </w:pPr>
            <w:r>
              <w:rPr>
                <w:noProof/>
              </w:rPr>
              <w:t>Toimenpide</w:t>
            </w:r>
          </w:p>
        </w:tc>
        <w:tc>
          <w:tcPr>
            <w:tcW w:w="94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7777777" w:rsidR="0065073E" w:rsidRDefault="000A0998">
            <w:pPr>
              <w:spacing w:after="0" w:line="240" w:lineRule="auto"/>
              <w:jc w:val="center"/>
              <w:rPr>
                <w:rFonts w:ascii="Times New Roman" w:hAnsi="Times New Roman" w:cs="Times New Roman"/>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22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65073E" w:rsidRDefault="000A0998">
            <w:pPr>
              <w:pStyle w:val="P68B1DB1-Normal8"/>
              <w:spacing w:after="0" w:line="240" w:lineRule="auto"/>
              <w:jc w:val="center"/>
              <w:rPr>
                <w:rFonts w:cs="Times New Roman"/>
                <w:noProof/>
              </w:rPr>
            </w:pPr>
            <w:r>
              <w:rPr>
                <w:noProof/>
              </w:rPr>
              <w:t>Nimi</w:t>
            </w:r>
          </w:p>
        </w:tc>
        <w:tc>
          <w:tcPr>
            <w:tcW w:w="100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65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2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65073E" w:rsidRDefault="000A0998">
            <w:pPr>
              <w:pStyle w:val="P68B1DB1-Normal8"/>
              <w:spacing w:after="0" w:line="240" w:lineRule="auto"/>
              <w:jc w:val="center"/>
              <w:rPr>
                <w:rFonts w:cs="Times New Roman"/>
                <w:noProof/>
              </w:rPr>
            </w:pPr>
            <w:r>
              <w:rPr>
                <w:noProof/>
              </w:rPr>
              <w:t>Aika</w:t>
            </w:r>
          </w:p>
        </w:tc>
        <w:tc>
          <w:tcPr>
            <w:tcW w:w="69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65073E" w:rsidRDefault="0065073E">
            <w:pPr>
              <w:spacing w:after="0" w:line="240" w:lineRule="auto"/>
              <w:jc w:val="center"/>
              <w:rPr>
                <w:rFonts w:ascii="Times New Roman" w:hAnsi="Times New Roman" w:cs="Times New Roman"/>
                <w:noProof/>
                <w:sz w:val="18"/>
              </w:rPr>
            </w:pPr>
          </w:p>
          <w:p w14:paraId="5FBE2520" w14:textId="77777777" w:rsidR="0065073E" w:rsidRDefault="000A0998">
            <w:pPr>
              <w:pStyle w:val="P68B1DB1-Normal8"/>
              <w:spacing w:after="0" w:line="240" w:lineRule="auto"/>
              <w:jc w:val="center"/>
              <w:rPr>
                <w:rFonts w:cs="Times New Roman"/>
                <w:noProof/>
              </w:rPr>
            </w:pPr>
            <w:r>
              <w:rPr>
                <w:noProof/>
              </w:rPr>
              <w:t>Kunkin välitavoitteen ja tavoitteen kuvaus</w:t>
            </w:r>
          </w:p>
          <w:p w14:paraId="1CA3212E" w14:textId="77777777" w:rsidR="0065073E" w:rsidRDefault="000A0998">
            <w:pPr>
              <w:tabs>
                <w:tab w:val="left" w:pos="737"/>
              </w:tabs>
              <w:spacing w:after="0" w:line="240" w:lineRule="auto"/>
              <w:rPr>
                <w:rFonts w:ascii="Times New Roman" w:hAnsi="Times New Roman" w:cs="Times New Roman"/>
                <w:noProof/>
                <w:sz w:val="18"/>
              </w:rPr>
            </w:pPr>
            <w:r>
              <w:rPr>
                <w:noProof/>
              </w:rPr>
              <w:tab/>
            </w:r>
          </w:p>
        </w:tc>
      </w:tr>
      <w:tr w:rsidR="0065073E" w14:paraId="78B59B52" w14:textId="77777777">
        <w:trPr>
          <w:trHeight w:val="309"/>
          <w:tblHeader/>
        </w:trPr>
        <w:tc>
          <w:tcPr>
            <w:tcW w:w="852" w:type="dxa"/>
            <w:vMerge/>
            <w:noWrap/>
          </w:tcPr>
          <w:p w14:paraId="689531AC" w14:textId="77777777" w:rsidR="0065073E" w:rsidRDefault="0065073E">
            <w:pPr>
              <w:spacing w:after="0" w:line="240" w:lineRule="auto"/>
              <w:jc w:val="center"/>
              <w:rPr>
                <w:rFonts w:ascii="Times New Roman" w:hAnsi="Times New Roman" w:cs="Times New Roman"/>
                <w:noProof/>
                <w:sz w:val="18"/>
              </w:rPr>
            </w:pPr>
          </w:p>
        </w:tc>
        <w:tc>
          <w:tcPr>
            <w:tcW w:w="850" w:type="dxa"/>
            <w:vMerge/>
            <w:noWrap/>
          </w:tcPr>
          <w:p w14:paraId="3E9F70EC" w14:textId="77777777" w:rsidR="0065073E" w:rsidRDefault="0065073E">
            <w:pPr>
              <w:spacing w:after="0" w:line="240" w:lineRule="auto"/>
              <w:jc w:val="center"/>
              <w:rPr>
                <w:rFonts w:ascii="Times New Roman" w:hAnsi="Times New Roman" w:cs="Times New Roman"/>
                <w:noProof/>
                <w:sz w:val="18"/>
              </w:rPr>
            </w:pPr>
          </w:p>
        </w:tc>
        <w:tc>
          <w:tcPr>
            <w:tcW w:w="942" w:type="dxa"/>
            <w:vMerge/>
            <w:noWrap/>
          </w:tcPr>
          <w:p w14:paraId="05BBD49F" w14:textId="77777777" w:rsidR="0065073E" w:rsidRDefault="0065073E">
            <w:pPr>
              <w:spacing w:after="0" w:line="240" w:lineRule="auto"/>
              <w:jc w:val="center"/>
              <w:rPr>
                <w:rFonts w:ascii="Times New Roman" w:hAnsi="Times New Roman" w:cs="Times New Roman"/>
                <w:noProof/>
                <w:sz w:val="18"/>
              </w:rPr>
            </w:pPr>
          </w:p>
        </w:tc>
        <w:tc>
          <w:tcPr>
            <w:tcW w:w="1220" w:type="dxa"/>
            <w:vMerge/>
            <w:noWrap/>
          </w:tcPr>
          <w:p w14:paraId="11D884CC" w14:textId="77777777" w:rsidR="0065073E" w:rsidRDefault="0065073E">
            <w:pPr>
              <w:spacing w:after="0" w:line="240" w:lineRule="auto"/>
              <w:jc w:val="center"/>
              <w:rPr>
                <w:rFonts w:ascii="Times New Roman" w:hAnsi="Times New Roman" w:cs="Times New Roman"/>
                <w:noProof/>
                <w:sz w:val="18"/>
              </w:rPr>
            </w:pPr>
          </w:p>
        </w:tc>
        <w:tc>
          <w:tcPr>
            <w:tcW w:w="1003" w:type="dxa"/>
            <w:vMerge/>
            <w:noWrap/>
            <w:vAlign w:val="center"/>
          </w:tcPr>
          <w:p w14:paraId="3A6B3FF4" w14:textId="77777777" w:rsidR="0065073E" w:rsidRDefault="0065073E">
            <w:pPr>
              <w:spacing w:after="0" w:line="240" w:lineRule="auto"/>
              <w:jc w:val="center"/>
              <w:rPr>
                <w:rFonts w:ascii="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65073E" w:rsidRDefault="000A0998">
            <w:pPr>
              <w:pStyle w:val="P68B1DB1-Normal8"/>
              <w:spacing w:after="0" w:line="240" w:lineRule="auto"/>
              <w:jc w:val="center"/>
              <w:rPr>
                <w:rFonts w:cs="Times New Roman"/>
                <w:noProof/>
              </w:rPr>
            </w:pPr>
            <w:r>
              <w:rPr>
                <w:noProof/>
              </w:rPr>
              <w:t>Yksikkö</w:t>
            </w:r>
          </w:p>
        </w:tc>
        <w:tc>
          <w:tcPr>
            <w:tcW w:w="9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351E430E" w:rsidR="0065073E" w:rsidRDefault="000A0998">
            <w:pPr>
              <w:pStyle w:val="P68B1DB1-Normal8"/>
              <w:spacing w:after="0" w:line="240" w:lineRule="auto"/>
              <w:jc w:val="center"/>
              <w:rPr>
                <w:rFonts w:cs="Times New Roman"/>
                <w:noProof/>
              </w:rPr>
            </w:pPr>
            <w:r>
              <w:rPr>
                <w:noProof/>
              </w:rPr>
              <w:t>Lähtötaso</w:t>
            </w:r>
          </w:p>
        </w:tc>
        <w:tc>
          <w:tcPr>
            <w:tcW w:w="94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65073E" w:rsidRDefault="000A0998">
            <w:pPr>
              <w:pStyle w:val="P68B1DB1-Normal8"/>
              <w:spacing w:after="0" w:line="240" w:lineRule="auto"/>
              <w:jc w:val="center"/>
              <w:rPr>
                <w:rFonts w:cs="Times New Roman"/>
                <w:noProof/>
              </w:rPr>
            </w:pPr>
            <w:r>
              <w:rPr>
                <w:noProof/>
              </w:rPr>
              <w:t>Päämäärä</w:t>
            </w:r>
          </w:p>
        </w:tc>
        <w:tc>
          <w:tcPr>
            <w:tcW w:w="3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65073E" w:rsidRDefault="000A0998">
            <w:pPr>
              <w:pStyle w:val="P68B1DB1-Normal8"/>
              <w:spacing w:after="0" w:line="240" w:lineRule="auto"/>
              <w:jc w:val="center"/>
              <w:rPr>
                <w:rFonts w:cs="Times New Roman"/>
                <w:noProof/>
              </w:rPr>
            </w:pPr>
            <w:r>
              <w:rPr>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65073E" w:rsidRDefault="000A0998">
            <w:pPr>
              <w:pStyle w:val="P68B1DB1-Normal8"/>
              <w:spacing w:after="0" w:line="240" w:lineRule="auto"/>
              <w:jc w:val="center"/>
              <w:rPr>
                <w:rFonts w:cs="Times New Roman"/>
                <w:noProof/>
              </w:rPr>
            </w:pPr>
            <w:r>
              <w:rPr>
                <w:noProof/>
              </w:rPr>
              <w:t>Vuosi</w:t>
            </w:r>
          </w:p>
        </w:tc>
        <w:tc>
          <w:tcPr>
            <w:tcW w:w="6975" w:type="dxa"/>
            <w:vMerge/>
            <w:noWrap/>
          </w:tcPr>
          <w:p w14:paraId="4FE75506" w14:textId="77777777" w:rsidR="0065073E" w:rsidRDefault="0065073E">
            <w:pPr>
              <w:tabs>
                <w:tab w:val="left" w:pos="737"/>
              </w:tabs>
              <w:spacing w:after="0" w:line="240" w:lineRule="auto"/>
              <w:rPr>
                <w:rFonts w:ascii="Times New Roman" w:hAnsi="Times New Roman" w:cs="Times New Roman"/>
                <w:noProof/>
                <w:sz w:val="18"/>
              </w:rPr>
            </w:pPr>
          </w:p>
        </w:tc>
      </w:tr>
      <w:tr w:rsidR="0065073E" w14:paraId="31788039"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65073E" w:rsidRDefault="000A0998">
            <w:pPr>
              <w:pStyle w:val="P68B1DB1-Normal12"/>
              <w:spacing w:after="0" w:line="240" w:lineRule="auto"/>
              <w:jc w:val="center"/>
              <w:rPr>
                <w:rFonts w:cs="Times New Roman"/>
                <w:noProof/>
              </w:rPr>
            </w:pPr>
            <w:r>
              <w:rPr>
                <w:noProof/>
              </w:rPr>
              <w:t>176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65073E" w:rsidRDefault="000A0998">
            <w:pPr>
              <w:pStyle w:val="P68B1DB1-Normal12"/>
              <w:spacing w:after="0" w:line="240" w:lineRule="auto"/>
              <w:jc w:val="center"/>
              <w:rPr>
                <w:rFonts w:cs="Times New Roman"/>
                <w:noProof/>
              </w:rPr>
            </w:pPr>
            <w:r>
              <w:rPr>
                <w:noProof/>
              </w:rPr>
              <w:t>C12.R1</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65073E" w:rsidRDefault="000A0998">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67BB68E8" w:rsidR="0065073E" w:rsidRDefault="000A0998">
            <w:pPr>
              <w:pStyle w:val="P68B1DB1-Normal12"/>
              <w:spacing w:after="0" w:line="240" w:lineRule="auto"/>
              <w:rPr>
                <w:rFonts w:cs="Times New Roman"/>
                <w:noProof/>
              </w:rPr>
            </w:pPr>
            <w:r>
              <w:rPr>
                <w:noProof/>
              </w:rPr>
              <w:t>Teollisuuslain voimaantulo</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65073E" w:rsidRDefault="000A0998">
            <w:pPr>
              <w:pStyle w:val="P68B1DB1-Normal12"/>
              <w:spacing w:after="0" w:line="240" w:lineRule="auto"/>
              <w:jc w:val="center"/>
              <w:rPr>
                <w:rFonts w:cs="Times New Roman"/>
                <w:noProof/>
              </w:rPr>
            </w:pPr>
            <w:r>
              <w:rPr>
                <w:noProof/>
              </w:rPr>
              <w:t>Lain voimaantuloon viittaava säännös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65073E" w:rsidRDefault="000A0998">
            <w:pPr>
              <w:pStyle w:val="P68B1DB1-Normal12"/>
              <w:spacing w:after="0" w:line="240" w:lineRule="auto"/>
              <w:jc w:val="right"/>
              <w:rPr>
                <w:rFonts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65073E" w:rsidRDefault="000A0998">
            <w:pPr>
              <w:pStyle w:val="P68B1DB1-Normal12"/>
              <w:spacing w:after="0" w:line="240" w:lineRule="auto"/>
              <w:jc w:val="right"/>
              <w:rPr>
                <w:rFonts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65073E" w:rsidRDefault="000A0998">
            <w:pPr>
              <w:pStyle w:val="P68B1DB1-Normal12"/>
              <w:spacing w:after="0" w:line="240" w:lineRule="auto"/>
              <w:jc w:val="right"/>
              <w:rPr>
                <w:rFonts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65073E" w:rsidRDefault="000A0998">
            <w:pPr>
              <w:pStyle w:val="P68B1DB1-Normal12"/>
              <w:spacing w:after="0" w:line="240" w:lineRule="auto"/>
              <w:jc w:val="center"/>
              <w:rPr>
                <w:rFonts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65073E" w:rsidRDefault="000A0998">
            <w:pPr>
              <w:pStyle w:val="P68B1DB1-Normal12"/>
              <w:spacing w:after="0" w:line="240" w:lineRule="auto"/>
              <w:jc w:val="center"/>
              <w:rPr>
                <w:rFonts w:cs="Times New Roman"/>
                <w:noProof/>
              </w:rPr>
            </w:pPr>
            <w:r>
              <w:rPr>
                <w:noProof/>
              </w:rPr>
              <w:t>2023</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65073E" w:rsidRDefault="000A0998">
            <w:pPr>
              <w:pStyle w:val="P68B1DB1-Normal12"/>
              <w:spacing w:after="0" w:line="240" w:lineRule="auto"/>
              <w:rPr>
                <w:rFonts w:cs="Times New Roman"/>
                <w:noProof/>
              </w:rPr>
            </w:pPr>
            <w:r>
              <w:rPr>
                <w:noProof/>
              </w:rPr>
              <w:t>Lain tavoitteena on parantaa teollisuuspolitiikan eri hallintotasojen välisiä koordinointimekanismeja ja parantaa teollisuuden laatua ja turvallisuutta vahvistamalla markkinavalvontajärjestelmää markkinavalvonnasta ja tuotteiden vaatimustenmukaisuudesta sekä direktiivin 2004/42/EY ja asetusten (EY) N:o 765/2008 ja (EU) N:o 305/2011 muuttamisesta 20 päivänä kesäkuuta 2019 annetun Euroopan parlamentin ja neuvoston asetuksen (EU) 2019/1020 mukaisesti. Lopuksi on tarkistettava rikkomusten määritelmää alueella ja saatettava sovellettavien seuraamusten taso ajan tasalle.</w:t>
            </w:r>
          </w:p>
        </w:tc>
      </w:tr>
      <w:tr w:rsidR="0065073E" w14:paraId="30E8B3C3"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65073E" w:rsidRDefault="000A0998">
            <w:pPr>
              <w:pStyle w:val="P68B1DB1-Normal12"/>
              <w:spacing w:after="0" w:line="240" w:lineRule="auto"/>
              <w:jc w:val="center"/>
              <w:rPr>
                <w:rFonts w:eastAsia="Times New Roman" w:cs="Times New Roman"/>
                <w:noProof/>
              </w:rPr>
            </w:pPr>
            <w:r>
              <w:rPr>
                <w:noProof/>
              </w:rPr>
              <w:t>177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65073E" w:rsidRDefault="000A0998">
            <w:pPr>
              <w:pStyle w:val="P68B1DB1-Normal12"/>
              <w:spacing w:after="0" w:line="240" w:lineRule="auto"/>
              <w:jc w:val="center"/>
              <w:rPr>
                <w:rFonts w:eastAsia="Times New Roman" w:cs="Times New Roman"/>
                <w:noProof/>
              </w:rPr>
            </w:pPr>
            <w:r>
              <w:rPr>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77777777" w:rsidR="0065073E" w:rsidRDefault="000A0998">
            <w:pPr>
              <w:pStyle w:val="P68B1DB1-Normal12"/>
              <w:spacing w:after="0" w:line="240" w:lineRule="auto"/>
              <w:rPr>
                <w:rFonts w:eastAsia="Times New Roman" w:cs="Times New Roman"/>
                <w:noProof/>
              </w:rPr>
            </w:pPr>
            <w:r>
              <w:rPr>
                <w:noProof/>
              </w:rPr>
              <w:t>Espanjan kiertotalousstrategia (EEEC)</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65073E" w:rsidRDefault="000A0998">
            <w:pPr>
              <w:pStyle w:val="P68B1DB1-Normal12"/>
              <w:spacing w:after="0" w:line="240" w:lineRule="auto"/>
              <w:jc w:val="center"/>
              <w:rPr>
                <w:rFonts w:eastAsia="Times New Roman" w:cs="Times New Roman"/>
                <w:noProof/>
              </w:rPr>
            </w:pPr>
            <w:r>
              <w:rPr>
                <w:noProof/>
              </w:rPr>
              <w:t>Ministerineuvoston hyväksyntä:</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65073E" w:rsidRDefault="000A0998">
            <w:pPr>
              <w:pStyle w:val="P68B1DB1-Normal12"/>
              <w:spacing w:after="0" w:line="240" w:lineRule="auto"/>
              <w:jc w:val="center"/>
              <w:rPr>
                <w:rFonts w:eastAsia="Times New Roman" w:cs="Times New Roman"/>
                <w:noProof/>
              </w:rPr>
            </w:pPr>
            <w:r>
              <w:rPr>
                <w:noProof/>
              </w:rPr>
              <w:t>2020</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65073E" w:rsidRDefault="000A0998">
            <w:pPr>
              <w:pStyle w:val="P68B1DB1-Normal12"/>
              <w:spacing w:after="0" w:line="240" w:lineRule="auto"/>
              <w:rPr>
                <w:rFonts w:eastAsia="Times New Roman" w:cs="Times New Roman"/>
                <w:noProof/>
              </w:rPr>
            </w:pPr>
            <w:r>
              <w:rPr>
                <w:noProof/>
              </w:rPr>
              <w:t>Espanjan kiertotalousstrategian hyväksyminen. Se luo perustan sellaisen uuden tuotanto- ja kulutusmallin edistämiselle, jossa tuotteiden, materiaalien ja resurssien arvo säilyy mahdollisimman pitkään, jossa jätteen syntyminen minimoidaan ja vältettävissä oleva jäte hyödynnetään täysimääräisesti.</w:t>
            </w:r>
          </w:p>
        </w:tc>
      </w:tr>
      <w:tr w:rsidR="0065073E" w14:paraId="7EF1EA25"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65073E" w:rsidRDefault="000A0998">
            <w:pPr>
              <w:pStyle w:val="P68B1DB1-Normal12"/>
              <w:spacing w:after="0" w:line="240" w:lineRule="auto"/>
              <w:jc w:val="center"/>
              <w:rPr>
                <w:rFonts w:eastAsia="Times New Roman" w:cs="Times New Roman"/>
                <w:noProof/>
              </w:rPr>
            </w:pPr>
            <w:r>
              <w:rPr>
                <w:noProof/>
              </w:rPr>
              <w:t>178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65073E" w:rsidRDefault="000A0998">
            <w:pPr>
              <w:pStyle w:val="P68B1DB1-Normal12"/>
              <w:spacing w:after="0" w:line="240" w:lineRule="auto"/>
              <w:jc w:val="center"/>
              <w:rPr>
                <w:rFonts w:eastAsia="Times New Roman" w:cs="Times New Roman"/>
                <w:noProof/>
              </w:rPr>
            </w:pPr>
            <w:r>
              <w:rPr>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77777777" w:rsidR="0065073E" w:rsidRDefault="000A0998">
            <w:pPr>
              <w:pStyle w:val="P68B1DB1-Normal12"/>
              <w:spacing w:after="0" w:line="240" w:lineRule="auto"/>
              <w:rPr>
                <w:rFonts w:eastAsia="Times New Roman" w:cs="Times New Roman"/>
                <w:noProof/>
              </w:rPr>
            </w:pPr>
            <w:r>
              <w:rPr>
                <w:noProof/>
              </w:rPr>
              <w:t>Kiertotalouspakettiin kuuluvien säädösten voimaantulo</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77777777" w:rsidR="0065073E" w:rsidRDefault="000A0998">
            <w:pPr>
              <w:pStyle w:val="P68B1DB1-Normal12"/>
              <w:spacing w:after="0" w:line="240" w:lineRule="auto"/>
              <w:jc w:val="center"/>
              <w:rPr>
                <w:rFonts w:eastAsia="Times New Roman" w:cs="Times New Roman"/>
                <w:noProof/>
              </w:rPr>
            </w:pPr>
            <w:r>
              <w:rPr>
                <w:noProof/>
              </w:rPr>
              <w:t>Kuninkaallisten asetusten säännökset lakien voimaantulosta</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Kiertotaloutta koskevaan toimintapoliittiseen pakettiin sisältyy</w:t>
            </w:r>
            <w:r>
              <w:rPr>
                <w:noProof/>
              </w:rPr>
              <w:t xml:space="preserve"> </w:t>
            </w:r>
            <w:r>
              <w:rPr>
                <w:noProof/>
              </w:rPr>
              <w:br/>
            </w:r>
            <w:r>
              <w:rPr>
                <w:rFonts w:ascii="Times New Roman" w:hAnsi="Times New Roman"/>
                <w:noProof/>
                <w:sz w:val="18"/>
              </w:rPr>
              <w:t>Kuninkaallinen asetus 731/2020, annettu 4 päivänä elokuuta 2020, käytöstä poistettujen renkaiden hallinnasta 30 päivänä joulukuuta 2005 annetun kuninkaan asetuksen 1619/2005 muuttamisesta.</w:t>
            </w:r>
            <w:r>
              <w:rPr>
                <w:noProof/>
              </w:rPr>
              <w:t xml:space="preserve"> </w:t>
            </w:r>
            <w:r>
              <w:rPr>
                <w:noProof/>
              </w:rPr>
              <w:br/>
            </w:r>
            <w:r>
              <w:rPr>
                <w:rFonts w:ascii="Times New Roman" w:hAnsi="Times New Roman"/>
                <w:noProof/>
                <w:sz w:val="18"/>
              </w:rPr>
              <w:t>Kuninkaan asetus 646/2020, annettu 7 päivänä heinäkuuta 2020, jätteiden sijoittamisesta kaatopaikoille.</w:t>
            </w:r>
            <w:r>
              <w:rPr>
                <w:noProof/>
              </w:rPr>
              <w:t xml:space="preserve"> </w:t>
            </w:r>
            <w:r>
              <w:rPr>
                <w:noProof/>
              </w:rPr>
              <w:br/>
            </w:r>
            <w:r>
              <w:rPr>
                <w:rFonts w:ascii="Times New Roman" w:hAnsi="Times New Roman"/>
                <w:noProof/>
                <w:sz w:val="18"/>
              </w:rPr>
              <w:t>Kuninkaan asetus 553/2020, annettu 2 päivänä kesäkuuta 2020, jätteiden siirrosta valtion alueella.</w:t>
            </w:r>
            <w:r>
              <w:rPr>
                <w:noProof/>
              </w:rPr>
              <w:t xml:space="preserve"> </w:t>
            </w:r>
            <w:r>
              <w:rPr>
                <w:noProof/>
              </w:rPr>
              <w:br/>
            </w:r>
            <w:r>
              <w:rPr>
                <w:rFonts w:ascii="Times New Roman" w:hAnsi="Times New Roman"/>
                <w:noProof/>
                <w:sz w:val="18"/>
              </w:rPr>
              <w:t>Kuninkaan asetukset 27/2021, annettu 19. tammikuuta ja 265/2021, annettu 13. huhtikuuta.</w:t>
            </w:r>
            <w:r>
              <w:rPr>
                <w:noProof/>
              </w:rPr>
              <w:t xml:space="preserve"> </w:t>
            </w:r>
            <w:r>
              <w:rPr>
                <w:noProof/>
              </w:rPr>
              <w:br/>
            </w:r>
            <w:r>
              <w:rPr>
                <w:rFonts w:ascii="Times New Roman" w:hAnsi="Times New Roman"/>
                <w:noProof/>
                <w:sz w:val="18"/>
              </w:rPr>
              <w:t>Ministerineuvosto hyväksyy pakkauksia ja pakkausjätettä koskevat sääntelytoimenpiteet vuoden 2022 aikana.</w:t>
            </w:r>
          </w:p>
        </w:tc>
      </w:tr>
      <w:tr w:rsidR="0065073E" w14:paraId="11D87B12"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65073E" w:rsidRDefault="000A0998">
            <w:pPr>
              <w:pStyle w:val="P68B1DB1-Normal12"/>
              <w:spacing w:after="0" w:line="240" w:lineRule="auto"/>
              <w:jc w:val="center"/>
              <w:rPr>
                <w:rFonts w:eastAsia="Times New Roman" w:cs="Times New Roman"/>
                <w:noProof/>
              </w:rPr>
            </w:pPr>
            <w:r>
              <w:rPr>
                <w:noProof/>
              </w:rPr>
              <w:t>179</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65073E" w:rsidRDefault="000A0998">
            <w:pPr>
              <w:pStyle w:val="P68B1DB1-Normal12"/>
              <w:spacing w:after="0" w:line="240" w:lineRule="auto"/>
              <w:jc w:val="center"/>
              <w:rPr>
                <w:rFonts w:eastAsia="Times New Roman" w:cs="Times New Roman"/>
                <w:noProof/>
              </w:rPr>
            </w:pPr>
            <w:r>
              <w:rPr>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65073E" w:rsidRDefault="000A0998">
            <w:pPr>
              <w:pStyle w:val="P68B1DB1-Normal12"/>
              <w:spacing w:after="0" w:line="240" w:lineRule="auto"/>
              <w:rPr>
                <w:rFonts w:eastAsia="Times New Roman" w:cs="Times New Roman"/>
                <w:noProof/>
              </w:rPr>
            </w:pPr>
            <w:r>
              <w:rPr>
                <w:noProof/>
              </w:rPr>
              <w:t xml:space="preserve">Jätteistä ja pilaantuneesta maaperästä annetun lain voimaantulo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65073E" w:rsidRDefault="000A0998">
            <w:pPr>
              <w:pStyle w:val="P68B1DB1-Normal12"/>
              <w:spacing w:after="0" w:line="240" w:lineRule="auto"/>
              <w:jc w:val="center"/>
              <w:rPr>
                <w:rFonts w:eastAsia="Times New Roman" w:cs="Times New Roman"/>
                <w:noProof/>
              </w:rPr>
            </w:pPr>
            <w:r>
              <w:rPr>
                <w:noProof/>
              </w:rPr>
              <w:t xml:space="preserve"> Lain voimaantuloon viittaava säännös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Laissa säädetään seuraavaa: </w:t>
            </w:r>
            <w:r>
              <w:rPr>
                <w:noProof/>
              </w:rPr>
              <w:t xml:space="preserve"> </w:t>
            </w:r>
            <w:r>
              <w:rPr>
                <w:noProof/>
              </w:rPr>
              <w:br/>
            </w:r>
            <w:r>
              <w:rPr>
                <w:rFonts w:ascii="Times New Roman" w:hAnsi="Times New Roman"/>
                <w:noProof/>
                <w:sz w:val="18"/>
              </w:rPr>
              <w:t xml:space="preserve">I) Jätteitä koskevan puitedirektiivin ja kertakäyttöisiä muoveja koskevan direktiivin täytäntöönpano sekä Espanjan lainsäädännön päivittäminen viimeisten kymmenen vuoden kokemusten perusteella; </w:t>
            </w:r>
            <w:r>
              <w:rPr>
                <w:noProof/>
              </w:rPr>
              <w:t xml:space="preserve"> </w:t>
            </w:r>
            <w:r>
              <w:rPr>
                <w:noProof/>
              </w:rPr>
              <w:br/>
            </w:r>
            <w:r>
              <w:rPr>
                <w:rFonts w:ascii="Times New Roman" w:hAnsi="Times New Roman"/>
                <w:noProof/>
                <w:sz w:val="18"/>
              </w:rPr>
              <w:t>II) Jätteitä koskevien EU:n tavoitteiden käyttöönotto ja EU:n asetuksista johtuvat erilliskeräystä koskevat velvoitteet ennakoiden niiden täytäntöönpanoa yli 5000 asukkaan kunnissa.  Lisäksi toimenpiteellä otetaan käyttöön erilliskeräysvelvoitteita, jotka menevät unionin lainsäädännössä vahvistettuja vaatimuksia pidemmälle;</w:t>
            </w:r>
            <w:r>
              <w:rPr>
                <w:noProof/>
              </w:rPr>
              <w:t xml:space="preserve"> </w:t>
            </w:r>
            <w:r>
              <w:rPr>
                <w:noProof/>
              </w:rPr>
              <w:br/>
            </w:r>
            <w:r>
              <w:rPr>
                <w:rFonts w:ascii="Times New Roman" w:hAnsi="Times New Roman"/>
                <w:noProof/>
                <w:sz w:val="18"/>
              </w:rPr>
              <w:t>III) laajennettua tuottajan vastuuta koskevan asetuksen tarkistaminen ottamalla käyttöön uusia sääntöjä, jotka menevät pidemmälle kuin unionin lainsäädännössä edellytetään;</w:t>
            </w:r>
            <w:r>
              <w:rPr>
                <w:noProof/>
              </w:rPr>
              <w:t xml:space="preserve"> </w:t>
            </w:r>
            <w:r>
              <w:rPr>
                <w:noProof/>
              </w:rPr>
              <w:br/>
            </w:r>
            <w:r>
              <w:rPr>
                <w:rFonts w:ascii="Times New Roman" w:hAnsi="Times New Roman"/>
                <w:noProof/>
                <w:sz w:val="18"/>
              </w:rPr>
              <w:t>IV) Jätteiden (mukaan lukien kaatopaikka-, poltto- ja rinnakkaispoltto sekä kertakäyttöisten muovipakkausten) verotus.</w:t>
            </w:r>
          </w:p>
        </w:tc>
      </w:tr>
      <w:tr w:rsidR="0065073E" w14:paraId="36D9C0F6"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65073E" w:rsidRDefault="000A0998">
            <w:pPr>
              <w:pStyle w:val="P68B1DB1-Normal12"/>
              <w:spacing w:after="0" w:line="240" w:lineRule="auto"/>
              <w:jc w:val="center"/>
              <w:rPr>
                <w:rFonts w:eastAsia="Times New Roman" w:cs="Times New Roman"/>
                <w:noProof/>
              </w:rPr>
            </w:pPr>
            <w:r>
              <w:rPr>
                <w:noProof/>
              </w:rPr>
              <w:t>180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65073E" w:rsidRDefault="000A0998">
            <w:pPr>
              <w:pStyle w:val="P68B1DB1-Normal12"/>
              <w:spacing w:after="0" w:line="240" w:lineRule="auto"/>
              <w:jc w:val="center"/>
              <w:rPr>
                <w:rFonts w:eastAsia="Times New Roman" w:cs="Times New Roman"/>
                <w:noProof/>
              </w:rPr>
            </w:pPr>
            <w:r>
              <w:rPr>
                <w:noProof/>
              </w:rPr>
              <w:t>C12.I1</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65073E" w:rsidRDefault="000A0998">
            <w:pPr>
              <w:pStyle w:val="P68B1DB1-Normal12"/>
              <w:spacing w:after="0" w:line="240" w:lineRule="auto"/>
              <w:rPr>
                <w:rFonts w:eastAsia="Times New Roman" w:cs="Times New Roman"/>
                <w:noProof/>
              </w:rPr>
            </w:pPr>
            <w:r>
              <w:rPr>
                <w:noProof/>
              </w:rPr>
              <w:t>Korkean lisäarvon alakohtaiset ja yhteentoimivat data-avaruudet</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65073E" w:rsidRDefault="000A0998">
            <w:pPr>
              <w:pStyle w:val="P68B1DB1-Normal12"/>
              <w:spacing w:after="0" w:line="240" w:lineRule="auto"/>
              <w:jc w:val="center"/>
              <w:rPr>
                <w:rFonts w:eastAsia="Times New Roman"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65073E" w:rsidRDefault="000A0998">
            <w:pPr>
              <w:pStyle w:val="P68B1DB1-Normal12"/>
              <w:spacing w:after="0" w:line="240" w:lineRule="auto"/>
              <w:jc w:val="right"/>
              <w:rPr>
                <w:rFonts w:eastAsia="Times New Roman" w:cs="Times New Roman"/>
                <w:noProof/>
              </w:rPr>
            </w:pPr>
            <w:r>
              <w:rPr>
                <w:noProof/>
              </w:rPr>
              <w:t>Määrä</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65073E" w:rsidRDefault="000A0998">
            <w:pPr>
              <w:pStyle w:val="P68B1DB1-Normal12"/>
              <w:spacing w:after="0" w:line="240" w:lineRule="auto"/>
              <w:jc w:val="right"/>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65073E" w:rsidRDefault="000A0998">
            <w:pPr>
              <w:pStyle w:val="P68B1DB1-Normal12"/>
              <w:spacing w:after="0" w:line="240" w:lineRule="auto"/>
              <w:jc w:val="right"/>
              <w:rPr>
                <w:rFonts w:eastAsia="Times New Roman" w:cs="Times New Roman"/>
                <w:noProof/>
              </w:rPr>
            </w:pPr>
            <w:r>
              <w:rPr>
                <w:noProof/>
              </w:rPr>
              <w:t>4</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65073E" w:rsidRDefault="000A0998">
            <w:pPr>
              <w:pStyle w:val="P68B1DB1-Normal12"/>
              <w:spacing w:after="0" w:line="240" w:lineRule="auto"/>
              <w:rPr>
                <w:rFonts w:eastAsia="Times New Roman" w:cs="Times New Roman"/>
                <w:noProof/>
              </w:rPr>
            </w:pPr>
            <w:r>
              <w:rPr>
                <w:noProof/>
              </w:rPr>
              <w:t xml:space="preserve">Strategisille aloille luodut suuret arvokkaat alakohtaiset ja yhteentoimivat data-avaruudet. Vähintään neljä maatalouselintarvikealaa, kestävän liikkuvuuden alaa, terveydenhuoltoalaa ja kauppaa koskevien teknisten ohjeiden (2021/C58/01) mukaisesti käyttämällä poissulkemisluetteloa ja vaatimusta asiaa koskevan EU:n ja kansallisen ympäristölainsäädännön noudattamisesta. Tätä varten käyttöön otettavan talousarvion toteuttamisen määrä on vähintään 400000000 euroa. </w:t>
            </w:r>
          </w:p>
        </w:tc>
      </w:tr>
      <w:tr w:rsidR="0065073E" w14:paraId="49B378B6"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65073E" w:rsidRDefault="000A0998">
            <w:pPr>
              <w:pStyle w:val="P68B1DB1-Normal12"/>
              <w:spacing w:after="0" w:line="240" w:lineRule="auto"/>
              <w:jc w:val="center"/>
              <w:rPr>
                <w:rFonts w:eastAsia="Times New Roman" w:cs="Times New Roman"/>
                <w:noProof/>
              </w:rPr>
            </w:pPr>
            <w:r>
              <w:rPr>
                <w:noProof/>
              </w:rPr>
              <w:t>181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7777777" w:rsidR="0065073E" w:rsidRDefault="000A0998">
            <w:pPr>
              <w:pStyle w:val="P68B1DB1-Normal12"/>
              <w:spacing w:after="0" w:line="240" w:lineRule="auto"/>
              <w:rPr>
                <w:rFonts w:eastAsia="Times New Roman" w:cs="Times New Roman"/>
                <w:noProof/>
              </w:rPr>
            </w:pPr>
            <w:r>
              <w:rPr>
                <w:noProof/>
              </w:rPr>
              <w:t>Suunnitelma edistää autoteollisuuden arvoketjua kohti kestävää ja yhteenliitettyä liikkuvuutta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65073E" w:rsidRDefault="000A0998">
            <w:pPr>
              <w:pStyle w:val="P68B1DB1-Normal12"/>
              <w:spacing w:after="0" w:line="240" w:lineRule="auto"/>
              <w:jc w:val="center"/>
              <w:rPr>
                <w:rFonts w:eastAsia="Times New Roman" w:cs="Times New Roman"/>
                <w:noProof/>
              </w:rPr>
            </w:pPr>
            <w:r>
              <w:rPr>
                <w:noProof/>
              </w:rPr>
              <w:t>Ministerineuvoston hyväksyntä:</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65073E" w:rsidRDefault="000A0998">
            <w:pPr>
              <w:pStyle w:val="P68B1DB1-Normal12"/>
              <w:spacing w:after="0" w:line="240" w:lineRule="auto"/>
              <w:jc w:val="center"/>
              <w:rPr>
                <w:rFonts w:eastAsia="Times New Roman" w:cs="Times New Roman"/>
                <w:noProof/>
              </w:rPr>
            </w:pPr>
            <w:r>
              <w:rPr>
                <w:noProof/>
              </w:rPr>
              <w:t>2020</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65073E" w:rsidRDefault="000A0998">
            <w:pPr>
              <w:pStyle w:val="P68B1DB1-Normal12"/>
              <w:spacing w:after="0" w:line="240" w:lineRule="auto"/>
              <w:rPr>
                <w:rFonts w:eastAsia="Times New Roman" w:cs="Times New Roman"/>
                <w:noProof/>
              </w:rPr>
            </w:pPr>
            <w:r>
              <w:rPr>
                <w:noProof/>
              </w:rPr>
              <w:t xml:space="preserve">Ministerineuvosto hyväksyy suunnitelman autoteollisuuden arvoketjun edistämiseksi kohti kestävää ja yhteenliitettyä liikkuvuutta. </w:t>
            </w:r>
          </w:p>
        </w:tc>
      </w:tr>
      <w:tr w:rsidR="0065073E" w14:paraId="17F7E0DC"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65073E" w:rsidRDefault="000A0998">
            <w:pPr>
              <w:pStyle w:val="P68B1DB1-Normal12"/>
              <w:spacing w:after="0" w:line="240" w:lineRule="auto"/>
              <w:jc w:val="center"/>
              <w:rPr>
                <w:rFonts w:eastAsia="Times New Roman" w:cs="Times New Roman"/>
                <w:noProof/>
              </w:rPr>
            </w:pPr>
            <w:r>
              <w:rPr>
                <w:noProof/>
              </w:rPr>
              <w:t>182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77777777" w:rsidR="0065073E" w:rsidRDefault="000A0998">
            <w:pPr>
              <w:pStyle w:val="P68B1DB1-Normal12"/>
              <w:spacing w:after="0" w:line="240" w:lineRule="auto"/>
              <w:rPr>
                <w:rFonts w:eastAsia="Times New Roman" w:cs="Times New Roman"/>
                <w:noProof/>
              </w:rPr>
            </w:pPr>
            <w:r>
              <w:rPr>
                <w:noProof/>
              </w:rPr>
              <w:t>Sähköajoneuvojen alalla toimiva PERTE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65073E" w:rsidRDefault="000A0998">
            <w:pPr>
              <w:pStyle w:val="P68B1DB1-Normal12"/>
              <w:spacing w:after="0" w:line="240" w:lineRule="auto"/>
              <w:jc w:val="center"/>
              <w:rPr>
                <w:rFonts w:eastAsia="Times New Roman" w:cs="Times New Roman"/>
                <w:noProof/>
              </w:rPr>
            </w:pPr>
            <w:r>
              <w:rPr>
                <w:noProof/>
              </w:rPr>
              <w:t>Ministerineuvoston hyväksyntä:</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65073E" w:rsidRDefault="0065073E">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65073E" w:rsidRDefault="000A0998">
            <w:pPr>
              <w:pStyle w:val="P68B1DB1-Normal12"/>
              <w:spacing w:after="0" w:line="240" w:lineRule="auto"/>
              <w:jc w:val="center"/>
              <w:rPr>
                <w:rFonts w:eastAsia="Times New Roman" w:cs="Times New Roman"/>
                <w:noProof/>
              </w:rPr>
            </w:pPr>
            <w:r>
              <w:rPr>
                <w:noProof/>
              </w:rPr>
              <w:t>Q3</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65073E" w:rsidRDefault="000A0998">
            <w:pPr>
              <w:pStyle w:val="P68B1DB1-Normal12"/>
              <w:spacing w:after="0" w:line="240" w:lineRule="auto"/>
              <w:rPr>
                <w:rFonts w:eastAsia="Times New Roman" w:cs="Times New Roman"/>
                <w:noProof/>
              </w:rPr>
            </w:pPr>
            <w:r>
              <w:rPr>
                <w:noProof/>
              </w:rPr>
              <w:t>Ministerineuvoston hyväksyntä talouden elpymistä ja muutosta koskevalle strategiselle hankkeelle (PERTE) sähköajoneuvojen strategisella alalla ja vähintään 400000000 euron tukibudjetti. PERTE-hyväksyntäpäätöksen on sisällettävä yksityiskohtaiset valintaperusteet, joilla varmistetaan ”ei merkittävää haittaa” -periaatteen mukaisten teknisten ohjeiden (2021/C58/01) noudattaminen käyttämällä poissulkemisluetteloa ja vaatimusta asiaa koskevan EU:n ja kansallisen ympäristölainsäädännön noudattamisesta. Valintaperusteissa on lisäksi otettava huomioon ilmastonmuutostavoitteisiin sovellettavien toiminta-alojen vaatimukset elpymis- ja palautumistukivälineen perustamisesta 12 päivänä helmikuuta 2021 annetun Euroopan parlamentin ja neuvoston asetuksen (EU) 2021/241 liitteen VI mukaisesti.</w:t>
            </w:r>
          </w:p>
        </w:tc>
      </w:tr>
      <w:tr w:rsidR="0065073E" w14:paraId="1FF85CB4"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65073E" w:rsidRDefault="000A0998">
            <w:pPr>
              <w:pStyle w:val="P68B1DB1-Normal12"/>
              <w:spacing w:after="0" w:line="240" w:lineRule="auto"/>
              <w:jc w:val="center"/>
              <w:rPr>
                <w:rFonts w:eastAsia="Times New Roman" w:cs="Times New Roman"/>
                <w:noProof/>
              </w:rPr>
            </w:pPr>
            <w:r>
              <w:rPr>
                <w:noProof/>
              </w:rPr>
              <w:t>183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65073E" w:rsidRDefault="000A0998">
            <w:pPr>
              <w:pStyle w:val="P68B1DB1-Normal12"/>
              <w:spacing w:after="0" w:line="240" w:lineRule="auto"/>
              <w:rPr>
                <w:rFonts w:eastAsia="Times New Roman" w:cs="Times New Roman"/>
                <w:noProof/>
              </w:rPr>
            </w:pPr>
            <w:r>
              <w:rPr>
                <w:noProof/>
              </w:rPr>
              <w:t xml:space="preserve">PERTE-hankkeet suunnitelmassa määritellyillä strategisilla aloilla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65073E" w:rsidRDefault="000A0998">
            <w:pPr>
              <w:pStyle w:val="P68B1DB1-Normal12"/>
              <w:spacing w:after="0" w:line="240" w:lineRule="auto"/>
              <w:jc w:val="center"/>
              <w:rPr>
                <w:rFonts w:eastAsia="Times New Roman" w:cs="Times New Roman"/>
                <w:noProof/>
              </w:rPr>
            </w:pPr>
            <w:r>
              <w:rPr>
                <w:noProof/>
              </w:rPr>
              <w:t>Ministerineuvoston hyväksyntä:</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65073E" w:rsidRDefault="0065073E">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65073E" w:rsidRDefault="000A0998">
            <w:pPr>
              <w:pStyle w:val="P68B1DB1-Normal12"/>
              <w:spacing w:after="0" w:line="240" w:lineRule="auto"/>
              <w:rPr>
                <w:rFonts w:eastAsia="Times New Roman" w:cs="Times New Roman"/>
                <w:noProof/>
              </w:rPr>
            </w:pPr>
            <w:r>
              <w:rPr>
                <w:noProof/>
              </w:rPr>
              <w:t xml:space="preserve">Ministerineuvosto hyväksyy vähintään kaksi PERTE-hanketta ja osoittaa yhteensä vähintään 800000000 euron määrärahat tukeen muilla strategisilla aloilla, kuten maatalouselintarvikealalla, terveydenhuollossa, ilmailu- ja meriliikenteessä sekä uusiutuviin energialähteisiin liittyvillä teollisuudenaloilla, sekä prosessorien ja puolijohdeteknologioiden suunnittelu- ja tuotantovalmiuksiin. PERTE-hyväksyntäpäätöksen on sisällettävä yksityiskohtaiset valintaperusteet, joilla varmistetaan ”ei merkittävää haittaa” -periaatteen mukaisten teknisten ohjeiden (2021/C58/01) noudattaminen käyttämällä poissulkemisluetteloa ja vaatimusta asiaa koskevan EU:n ja kansallisen ympäristölainsäädännön noudattamisesta. Valintaperusteissa on lisäksi otettava huomioon ilmastonmuutostavoitteisiin sovellettavien toiminta-alojen vaatimukset elpymis- ja palautumistukivälineen perustamisesta 12 päivänä helmikuuta 2021 annetun Euroopan parlamentin ja neuvoston asetuksen (EU) 2021/241 liitteen VI mukaisesti. </w:t>
            </w:r>
          </w:p>
        </w:tc>
      </w:tr>
      <w:tr w:rsidR="0065073E" w14:paraId="466C1B6D"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65073E" w:rsidRDefault="000A0998">
            <w:pPr>
              <w:pStyle w:val="P68B1DB1-Normal12"/>
              <w:spacing w:after="0" w:line="240" w:lineRule="auto"/>
              <w:jc w:val="center"/>
              <w:rPr>
                <w:rFonts w:eastAsia="Times New Roman" w:cs="Times New Roman"/>
                <w:noProof/>
              </w:rPr>
            </w:pPr>
            <w:r>
              <w:rPr>
                <w:noProof/>
              </w:rPr>
              <w:t>184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77777777" w:rsidR="0065073E" w:rsidRDefault="000A0998">
            <w:pPr>
              <w:pStyle w:val="P68B1DB1-Normal12"/>
              <w:spacing w:after="0" w:line="240" w:lineRule="auto"/>
              <w:rPr>
                <w:rFonts w:eastAsia="Times New Roman" w:cs="Times New Roman"/>
                <w:noProof/>
              </w:rPr>
            </w:pPr>
            <w:r>
              <w:rPr>
                <w:noProof/>
              </w:rPr>
              <w:t xml:space="preserve">Innovatiiviset hankkeet teollisuuden muuttamiseksi energiatehokkuuden, kestävyyden ja digitalisaation osalta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65073E" w:rsidRDefault="000A0998">
            <w:pPr>
              <w:pStyle w:val="P68B1DB1-Normal12"/>
              <w:spacing w:after="0" w:line="240" w:lineRule="auto"/>
              <w:jc w:val="center"/>
              <w:rPr>
                <w:rFonts w:eastAsia="Times New Roman"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65073E" w:rsidRDefault="000A0998">
            <w:pPr>
              <w:pStyle w:val="P68B1DB1-Normal12"/>
              <w:spacing w:after="0" w:line="240" w:lineRule="auto"/>
              <w:jc w:val="right"/>
              <w:rPr>
                <w:rFonts w:eastAsia="Times New Roman" w:cs="Times New Roman"/>
                <w:noProof/>
              </w:rPr>
            </w:pPr>
            <w:r>
              <w:rPr>
                <w:noProof/>
              </w:rPr>
              <w:t>Määrä</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65073E" w:rsidRDefault="000A0998">
            <w:pPr>
              <w:pStyle w:val="P68B1DB1-Normal12"/>
              <w:spacing w:after="0" w:line="240" w:lineRule="auto"/>
              <w:jc w:val="center"/>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65073E" w:rsidRDefault="000A0998">
            <w:pPr>
              <w:pStyle w:val="P68B1DB1-Normal12"/>
              <w:spacing w:after="0" w:line="240" w:lineRule="auto"/>
              <w:jc w:val="center"/>
              <w:rPr>
                <w:rFonts w:eastAsia="Times New Roman" w:cs="Times New Roman"/>
                <w:noProof/>
              </w:rPr>
            </w:pPr>
            <w:r>
              <w:rPr>
                <w:noProof/>
              </w:rPr>
              <w:t>78</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65073E" w:rsidRDefault="000A0998">
            <w:pPr>
              <w:pStyle w:val="P68B1DB1-Normal12"/>
              <w:spacing w:after="0" w:line="240" w:lineRule="auto"/>
              <w:jc w:val="center"/>
              <w:rPr>
                <w:rFonts w:eastAsia="Times New Roman" w:cs="Times New Roman"/>
                <w:noProof/>
              </w:rPr>
            </w:pPr>
            <w:r>
              <w:rPr>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608FEA68" w:rsidR="0065073E" w:rsidRDefault="000A0998">
            <w:pPr>
              <w:pStyle w:val="P68B1DB1-Normal12"/>
              <w:spacing w:after="0" w:line="240" w:lineRule="auto"/>
              <w:rPr>
                <w:rFonts w:eastAsia="Times New Roman" w:cs="Times New Roman"/>
                <w:noProof/>
              </w:rPr>
            </w:pPr>
            <w:r>
              <w:rPr>
                <w:noProof/>
              </w:rPr>
              <w:t xml:space="preserve">Teollisuusministeri myöntää vähintään 1200000000 euroa vähintään 78 innovatiiviselle hankkeelle, mukaan lukien hyväksyttyihin PERTE-hankkeisiin liittyvät hankkeet (vähintään kolme), joihin liittyy teollisuuden merkittävä muutos energiatehokkuuden, kestävyyden ja digitalisaation osalta. Hankkeiden valinta Euroopan unionin virallisessa lehdessä julkaistun ehdotuspyynnön perusteella ja ”ei merkittävää haittaa” -periaatetta koskevien teknisten ohjeiden (2021/C58/01) noudattamista koskevien valintaperusteiden perusteella käyttämällä poissulkemisluetteloa ja vaatimusta asiaa koskevan EU:n ja kansallisen ympäristölainsäädännön noudattamisesta. Valintaperusteissa on lisäksi otettava huomioon ilmastonmuutostavoitteisiin sovellettavien toiminta-alojen vaatimukset elpymis- ja palautumistukivälineen perustamisesta 12 päivänä helmikuuta 2021 annetun Euroopan parlamentin ja neuvoston asetuksen (EU) 2021/241 liitteen VI mukaisesti. </w:t>
            </w:r>
          </w:p>
        </w:tc>
      </w:tr>
      <w:tr w:rsidR="0065073E" w14:paraId="52430A1A"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65073E" w:rsidRDefault="000A0998">
            <w:pPr>
              <w:pStyle w:val="P68B1DB1-Normal12"/>
              <w:spacing w:after="0" w:line="240" w:lineRule="auto"/>
              <w:jc w:val="center"/>
              <w:rPr>
                <w:rFonts w:eastAsia="Times New Roman" w:cs="Times New Roman"/>
                <w:noProof/>
              </w:rPr>
            </w:pPr>
            <w:r>
              <w:rPr>
                <w:noProof/>
              </w:rPr>
              <w:t>185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65073E" w:rsidRDefault="000A0998">
            <w:pPr>
              <w:pStyle w:val="P68B1DB1-Normal12"/>
              <w:spacing w:after="0" w:line="240" w:lineRule="auto"/>
              <w:rPr>
                <w:rFonts w:eastAsia="Times New Roman" w:cs="Times New Roman"/>
                <w:noProof/>
              </w:rPr>
            </w:pPr>
            <w:r>
              <w:rPr>
                <w:noProof/>
              </w:rPr>
              <w:t xml:space="preserve">ERTES-ohjelman ja teollisuuden muutosta koskevien innovatiivisten hankkeiden talousarvion toteuttaminen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65073E" w:rsidRDefault="000A0998">
            <w:pPr>
              <w:pStyle w:val="P68B1DB1-Normal12"/>
              <w:spacing w:after="0" w:line="240" w:lineRule="auto"/>
              <w:jc w:val="center"/>
              <w:rPr>
                <w:rFonts w:eastAsia="Times New Roman"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65073E" w:rsidRDefault="000A0998">
            <w:pPr>
              <w:pStyle w:val="P68B1DB1-Normal12"/>
              <w:spacing w:after="0" w:line="240" w:lineRule="auto"/>
              <w:jc w:val="right"/>
              <w:rPr>
                <w:rFonts w:eastAsia="Times New Roman" w:cs="Times New Roman"/>
                <w:noProof/>
              </w:rPr>
            </w:pPr>
            <w:r>
              <w:rPr>
                <w:noProof/>
              </w:rPr>
              <w:t xml:space="preserve">EUR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65073E" w:rsidRDefault="000A0998">
            <w:pPr>
              <w:pStyle w:val="P68B1DB1-Normal12"/>
              <w:spacing w:after="0" w:line="240" w:lineRule="auto"/>
              <w:jc w:val="center"/>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65073E" w:rsidRDefault="000A0998">
            <w:pPr>
              <w:pStyle w:val="P68B1DB1-Normal12"/>
              <w:spacing w:after="0" w:line="240" w:lineRule="auto"/>
              <w:jc w:val="center"/>
              <w:rPr>
                <w:rFonts w:eastAsia="Times New Roman" w:cs="Times New Roman"/>
                <w:noProof/>
              </w:rPr>
            </w:pPr>
            <w:r>
              <w:rPr>
                <w:noProof/>
              </w:rPr>
              <w:t>2 531 500 000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65073E" w:rsidRDefault="000A0998">
            <w:pPr>
              <w:pStyle w:val="P68B1DB1-Normal12"/>
              <w:spacing w:after="0" w:line="240" w:lineRule="auto"/>
              <w:jc w:val="center"/>
              <w:rPr>
                <w:rFonts w:eastAsia="Times New Roman" w:cs="Times New Roman"/>
                <w:noProof/>
              </w:rPr>
            </w:pPr>
            <w:r>
              <w:rPr>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65073E" w:rsidRDefault="000A0998">
            <w:pPr>
              <w:pStyle w:val="P68B1DB1-Normal12"/>
              <w:spacing w:after="0" w:line="240" w:lineRule="auto"/>
              <w:rPr>
                <w:rFonts w:eastAsia="Times New Roman" w:cs="Times New Roman"/>
                <w:noProof/>
              </w:rPr>
            </w:pPr>
            <w:r>
              <w:rPr>
                <w:noProof/>
              </w:rPr>
              <w:t>Vähintään 2531500000 euron talousarvion toteuttaminen vähintään 210 innovatiivisessa hankkeessa, mukaan lukien hyväksyttyihin PERTE-hankkeisiin liittyvät hankkeet (vähintään kolme), joihin liittyy teollisuuden todellinen muutos energiatehokkuuden, kestävyyden ja digitalisaation osalta ”ei merkittävää haittaa” -periaatetta koskevien teknisten ohjeiden (2021/C58/01) mukaisesti käyttämällä poissulkemisluetteloa ja vaatimusta asiaa koskevan EU:n ja kansallisen ympäristölainsäädännön noudattamisesta. Valintaperusteilla varmistetaan, että vähintään 455000000 eurolla edistetään ilmastonmuutostavoitteita, joiden ilmastokerroin on 100 prosenttia ja vähintään 1500000000 euroa ja ilmastokerroin 40 prosenttia, elpymis- ja palautumistukivälineen perustamisesta 12 päivänä helmikuuta 2021 annetun Euroopan parlamentin ja neuvoston asetuksen (EU) 2021/241 liitteen VI mukaisesti. Vaihtoehtoisesti, jos se on hyvin perusteltua selittämällä syyt, joiden vuoksi vaihtoehtoinen lähestymistapa ei ehkä ole toteuttamiskelpoinen, valintakriteereillä on varmistettava, että vähintään 2531500000 eurolla edistetään ilmastonmuutostavoitteita siten, että ilmastokerroin on keskimäärin vähintään 40 prosenttia elpymis- ja palautumistukivälineen perustamisesta 12 päivänä helmikuuta 2021 annetun Euroopan parlamentin ja neuvoston asetuksen (EU) 2021/241 liitteen VI mukaisesti. Elpymis- ja palautumistukivälineen varoista on otettava käyttöön vähintään 3800000000 euroa yksityisiä investointeja, myös ”ei merkittävää haittaa” -periaatetta koskevien teknisten ohjeiden (2021/C58/01) mukaisesti käyttämällä poissulkemisluetteloa ja vaatimusta asiaa koskevan EU:n ja kansallisen ympäristölainsäädännön noudattamisesta. Tätä tavoitetta ei katsota saavutetuksi, jos jokin toimenpiteistä, joiden talousarvio on sidottu, on SEUT-sopimuksen 107 artiklan mukaista valtiontukea, josta on ilmoitettava komissiolle eikä komissio ole hyväksynyt sitä 31 päivään joulukuuta 2024 mennessä.</w:t>
            </w:r>
          </w:p>
        </w:tc>
      </w:tr>
      <w:tr w:rsidR="0065073E" w14:paraId="07D1830A"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65073E" w:rsidRDefault="000A0998">
            <w:pPr>
              <w:pStyle w:val="P68B1DB1-Normal12"/>
              <w:spacing w:after="0" w:line="240" w:lineRule="auto"/>
              <w:jc w:val="center"/>
              <w:rPr>
                <w:rFonts w:eastAsia="Times New Roman" w:cs="Times New Roman"/>
                <w:noProof/>
              </w:rPr>
            </w:pPr>
            <w:r>
              <w:rPr>
                <w:noProof/>
              </w:rPr>
              <w:t>186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65073E" w:rsidRDefault="000A0998">
            <w:pPr>
              <w:pStyle w:val="P68B1DB1-Normal12"/>
              <w:spacing w:after="0" w:line="240" w:lineRule="auto"/>
              <w:jc w:val="center"/>
              <w:rPr>
                <w:rFonts w:eastAsia="Times New Roman" w:cs="Times New Roman"/>
                <w:noProof/>
              </w:rPr>
            </w:pPr>
            <w:r>
              <w:rPr>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65073E" w:rsidRDefault="000A0998">
            <w:pPr>
              <w:pStyle w:val="P68B1DB1-Normal12"/>
              <w:spacing w:after="0" w:line="240" w:lineRule="auto"/>
              <w:rPr>
                <w:rFonts w:eastAsia="Times New Roman" w:cs="Times New Roman"/>
                <w:noProof/>
              </w:rPr>
            </w:pPr>
            <w:r>
              <w:rPr>
                <w:noProof/>
              </w:rPr>
              <w:t>PERTE-hankkeiden ja teollisuuden muutosta koskevien innovatiivisten hankkeiden loppuun saattaminen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65073E" w:rsidRDefault="000A0998">
            <w:pPr>
              <w:pStyle w:val="P68B1DB1-Normal12"/>
              <w:spacing w:after="0" w:line="240" w:lineRule="auto"/>
              <w:jc w:val="center"/>
              <w:rPr>
                <w:rFonts w:eastAsia="Times New Roman"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65073E" w:rsidRDefault="000A0998">
            <w:pPr>
              <w:pStyle w:val="P68B1DB1-Normal12"/>
              <w:spacing w:after="0" w:line="240" w:lineRule="auto"/>
              <w:jc w:val="right"/>
              <w:rPr>
                <w:rFonts w:eastAsia="Times New Roman" w:cs="Times New Roman"/>
                <w:noProof/>
              </w:rPr>
            </w:pPr>
            <w:r>
              <w:rPr>
                <w:noProof/>
              </w:rPr>
              <w:t xml:space="preserve">Määrä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65073E" w:rsidRDefault="000A0998">
            <w:pPr>
              <w:pStyle w:val="P68B1DB1-Normal12"/>
              <w:spacing w:after="0" w:line="240" w:lineRule="auto"/>
              <w:jc w:val="center"/>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65073E" w:rsidRDefault="000A0998">
            <w:pPr>
              <w:pStyle w:val="P68B1DB1-Normal12"/>
              <w:spacing w:after="0" w:line="240" w:lineRule="auto"/>
              <w:jc w:val="center"/>
              <w:rPr>
                <w:rFonts w:eastAsia="Times New Roman" w:cs="Times New Roman"/>
                <w:noProof/>
              </w:rPr>
            </w:pPr>
            <w:r>
              <w:rPr>
                <w:noProof/>
              </w:rPr>
              <w:t>3</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65073E" w:rsidRDefault="000A0998">
            <w:pPr>
              <w:pStyle w:val="P68B1DB1-Normal12"/>
              <w:spacing w:after="0" w:line="240" w:lineRule="auto"/>
              <w:rPr>
                <w:rFonts w:eastAsia="Times New Roman" w:cs="Times New Roman"/>
                <w:noProof/>
              </w:rPr>
            </w:pPr>
            <w:r>
              <w:rPr>
                <w:noProof/>
              </w:rPr>
              <w:t>Saatetaan päätökseen vähintään 210 innovatiivista hanketta, mukaan lukien hyväksyttyihin PERTE-hankkeisiin liittyvät hankkeet (vähintään kolme), joihin liittyy teollisuuden todellinen muutos energiatehokkuuden, kestävyyden ja digitalisaation osalta ”ei merkittävää haittaa” -periaatetta koskevien teknisten ohjeiden (2021/C58/01) mukaisesti käyttämällä poissulkemisluetteloa ja vaatimusta asiaa koskevan EU:n ja kansallisen ympäristölainsäädännön noudattamisesta.</w:t>
            </w:r>
          </w:p>
        </w:tc>
      </w:tr>
      <w:tr w:rsidR="0065073E" w14:paraId="5ACA68BD"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65073E" w:rsidRDefault="000A0998">
            <w:pPr>
              <w:pStyle w:val="P68B1DB1-Normal12"/>
              <w:spacing w:after="0" w:line="240" w:lineRule="auto"/>
              <w:jc w:val="center"/>
              <w:rPr>
                <w:rFonts w:eastAsia="Times New Roman" w:cs="Times New Roman"/>
                <w:noProof/>
              </w:rPr>
            </w:pPr>
            <w:r>
              <w:rPr>
                <w:noProof/>
              </w:rPr>
              <w:t>187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65073E" w:rsidRDefault="000A0998">
            <w:pPr>
              <w:pStyle w:val="P68B1DB1-Normal12"/>
              <w:spacing w:after="0" w:line="240" w:lineRule="auto"/>
              <w:jc w:val="center"/>
              <w:rPr>
                <w:rFonts w:eastAsia="Times New Roman" w:cs="Times New Roman"/>
                <w:noProof/>
              </w:rPr>
            </w:pPr>
            <w:r>
              <w:rPr>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77777777" w:rsidR="0065073E" w:rsidRDefault="000A0998">
            <w:pPr>
              <w:pStyle w:val="P68B1DB1-Normal12"/>
              <w:spacing w:after="0" w:line="240" w:lineRule="auto"/>
              <w:rPr>
                <w:rFonts w:eastAsia="Times New Roman" w:cs="Times New Roman"/>
                <w:noProof/>
              </w:rPr>
            </w:pPr>
            <w:r>
              <w:rPr>
                <w:noProof/>
              </w:rPr>
              <w:t>Jätelainsäädännön täytäntöönpanoa tukevien hankkeiden loppuun saattaminen ja kiertotalouden edistäminen yrityksissä</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65073E" w:rsidRDefault="000A0998">
            <w:pPr>
              <w:pStyle w:val="P68B1DB1-Normal12"/>
              <w:spacing w:after="0" w:line="240" w:lineRule="auto"/>
              <w:jc w:val="center"/>
              <w:rPr>
                <w:rFonts w:eastAsia="Times New Roman"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65073E" w:rsidRDefault="000A0998">
            <w:pPr>
              <w:pStyle w:val="P68B1DB1-Normal12"/>
              <w:spacing w:after="0" w:line="240" w:lineRule="auto"/>
              <w:jc w:val="right"/>
              <w:rPr>
                <w:rFonts w:eastAsia="Times New Roman" w:cs="Times New Roman"/>
                <w:noProof/>
              </w:rPr>
            </w:pPr>
            <w:r>
              <w:rPr>
                <w:noProof/>
              </w:rPr>
              <w:t>Määrä</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65073E" w:rsidRDefault="000A0998">
            <w:pPr>
              <w:pStyle w:val="P68B1DB1-Normal12"/>
              <w:spacing w:after="0" w:line="240" w:lineRule="auto"/>
              <w:jc w:val="center"/>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65073E" w:rsidRDefault="000A0998">
            <w:pPr>
              <w:pStyle w:val="P68B1DB1-Normal12"/>
              <w:spacing w:after="0" w:line="240" w:lineRule="auto"/>
              <w:jc w:val="center"/>
              <w:rPr>
                <w:rFonts w:eastAsia="Times New Roman" w:cs="Times New Roman"/>
                <w:noProof/>
              </w:rPr>
            </w:pPr>
            <w:r>
              <w:rPr>
                <w:noProof/>
              </w:rPr>
              <w:t>30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65073E" w:rsidRDefault="000A0998">
            <w:pPr>
              <w:pStyle w:val="P68B1DB1-Normal12"/>
              <w:spacing w:after="0" w:line="240" w:lineRule="auto"/>
              <w:rPr>
                <w:rFonts w:eastAsia="Times New Roman" w:cs="Times New Roman"/>
                <w:noProof/>
              </w:rPr>
            </w:pPr>
            <w:r>
              <w:rPr>
                <w:noProof/>
              </w:rPr>
              <w:t xml:space="preserve">Saatetaan päätökseen vähintään 30 MITERDin hyväksymää hanketta, joilla tuetaan jätelainsäädännön täytäntöönpanoa ja edistetään kiertotaloutta yrityksessä ”ei merkittävää haittaa” -periaatetta koskevien teknisten ohjeiden (2021/C58/01) mukaisesti käyttämällä poissulkemisluetteloa ja edellyttämällä asiaa koskevan EU:n ja kansallisen ympäristölainsäädännön noudattamista. Tämän investoinnin mukaisia toimia, jotka liittyvät mekaanisiin biologisiin käsittelylaitoksiin, voidaan toteuttaa ainoastaan olemassa olevissa mekaanisissa biologisissa käsittelylaitoksissa, jos tämän investoinnin mukaisilla toimilla pyritään lisäämään resurssitehokkuutta tai jälkiasentamaan erotetun jätteen kierrätystoimia biojätteen kompostoimiseksi ja biojätteen anaerobinen mädätys, edellyttäen, että tällaiset tämän investoinnin mukaiset toimet eivät johda laitosten jätteenkäsittelykapasiteetin lisääntymiseen tai laitosten käyttöiän pidentämiseen, mikä on todennettu laitostasolla. </w:t>
            </w:r>
          </w:p>
        </w:tc>
      </w:tr>
      <w:tr w:rsidR="0065073E" w14:paraId="41CA6781"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65073E" w:rsidRDefault="000A0998">
            <w:pPr>
              <w:pStyle w:val="P68B1DB1-Normal12"/>
              <w:spacing w:after="0" w:line="240" w:lineRule="auto"/>
              <w:jc w:val="center"/>
              <w:rPr>
                <w:rFonts w:cs="Times New Roman"/>
                <w:noProof/>
              </w:rPr>
            </w:pPr>
            <w:r>
              <w:rPr>
                <w:noProof/>
              </w:rPr>
              <w:t>188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65073E" w:rsidRDefault="000A0998">
            <w:pPr>
              <w:pStyle w:val="P68B1DB1-Normal12"/>
              <w:spacing w:after="0" w:line="240" w:lineRule="auto"/>
              <w:jc w:val="center"/>
              <w:rPr>
                <w:rFonts w:cs="Times New Roman"/>
                <w:noProof/>
              </w:rPr>
            </w:pPr>
            <w:r>
              <w:rPr>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65073E" w:rsidRDefault="000A0998">
            <w:pPr>
              <w:pStyle w:val="P68B1DB1-Normal12"/>
              <w:spacing w:after="0" w:line="240" w:lineRule="auto"/>
              <w:jc w:val="center"/>
              <w:rPr>
                <w:rFonts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65073E" w:rsidRDefault="000A0998">
            <w:pPr>
              <w:pStyle w:val="P68B1DB1-Normal12"/>
              <w:spacing w:after="0" w:line="240" w:lineRule="auto"/>
              <w:rPr>
                <w:rFonts w:cs="Times New Roman"/>
                <w:noProof/>
              </w:rPr>
            </w:pPr>
            <w:r>
              <w:rPr>
                <w:noProof/>
              </w:rPr>
              <w:t>Erilliskerätyn yhdyskuntajätteen lisääminen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65073E" w:rsidRDefault="000A0998">
            <w:pPr>
              <w:pStyle w:val="P68B1DB1-Normal12"/>
              <w:spacing w:after="0" w:line="240" w:lineRule="auto"/>
              <w:jc w:val="center"/>
              <w:rPr>
                <w:rFonts w:cs="Times New Roman"/>
                <w:noProof/>
              </w:rPr>
            </w:pPr>
            <w:r>
              <w:rPr>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CA2169E" w:rsidR="0065073E" w:rsidRDefault="000A0998">
            <w:pPr>
              <w:pStyle w:val="P68B1DB1-Normal12"/>
              <w:spacing w:after="0" w:line="240" w:lineRule="auto"/>
              <w:rPr>
                <w:noProof/>
              </w:rPr>
            </w:pPr>
            <w:r>
              <w:rPr>
                <w:noProof/>
              </w:rPr>
              <w:t>prosenttiosuus yhdyskuntajätteen erilliskeräyskapasiteetista vuodessa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14AA108" w:rsidR="0065073E" w:rsidRDefault="000A0998">
            <w:pPr>
              <w:pStyle w:val="P68B1DB1-Normal12"/>
              <w:spacing w:after="0" w:line="240" w:lineRule="auto"/>
              <w:jc w:val="center"/>
              <w:rPr>
                <w:rFonts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1092E985" w:rsidR="0065073E" w:rsidRDefault="000A0998">
            <w:pPr>
              <w:pStyle w:val="P68B1DB1-Normal12"/>
              <w:spacing w:after="0" w:line="240" w:lineRule="auto"/>
              <w:jc w:val="center"/>
              <w:rPr>
                <w:rFonts w:cs="Times New Roman"/>
                <w:noProof/>
              </w:rPr>
            </w:pPr>
            <w:r>
              <w:rPr>
                <w:noProof/>
              </w:rPr>
              <w:t>1.500.000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65073E" w:rsidRDefault="000A0998">
            <w:pPr>
              <w:pStyle w:val="P68B1DB1-Normal12"/>
              <w:spacing w:after="0" w:line="240" w:lineRule="auto"/>
              <w:jc w:val="center"/>
              <w:rPr>
                <w:rFonts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65073E" w:rsidRDefault="000A0998">
            <w:pPr>
              <w:pStyle w:val="P68B1DB1-Normal12"/>
              <w:spacing w:after="0" w:line="240" w:lineRule="auto"/>
              <w:jc w:val="center"/>
              <w:rPr>
                <w:rFonts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5329EF6D" w:rsidR="0065073E" w:rsidRDefault="000A0998">
            <w:pPr>
              <w:pStyle w:val="P68B1DB1-Normal12"/>
              <w:spacing w:after="0" w:line="240" w:lineRule="auto"/>
              <w:rPr>
                <w:rFonts w:cs="Times New Roman"/>
                <w:noProof/>
              </w:rPr>
            </w:pPr>
            <w:r>
              <w:rPr>
                <w:noProof/>
              </w:rPr>
              <w:t xml:space="preserve">Uuden käsittelykapasiteetin rakentaminen erilliskerätylle jätteelle, jonka määrä on vähintään 1500000 tonnia vuodessa. Erilliskeräyksellä tarkoitetaan keräystä, jossa jätevirta on pidettävä erillään tyypeittäin ja lajeittain tietyn käsittelyn helpottamiseksi. </w:t>
            </w:r>
          </w:p>
        </w:tc>
      </w:tr>
      <w:tr w:rsidR="0065073E" w14:paraId="25B72405"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65073E" w:rsidRDefault="000A0998">
            <w:pPr>
              <w:pStyle w:val="P68B1DB1-Normal12"/>
              <w:spacing w:after="0" w:line="240" w:lineRule="auto"/>
              <w:jc w:val="center"/>
              <w:rPr>
                <w:rFonts w:cs="Times New Roman"/>
                <w:noProof/>
              </w:rPr>
            </w:pPr>
            <w:r>
              <w:rPr>
                <w:noProof/>
              </w:rPr>
              <w:t>440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65073E" w:rsidRDefault="000A0998">
            <w:pPr>
              <w:pStyle w:val="P68B1DB1-Normal12"/>
              <w:spacing w:after="0" w:line="240" w:lineRule="auto"/>
              <w:jc w:val="center"/>
              <w:rPr>
                <w:rFonts w:cs="Times New Roman"/>
                <w:noProof/>
              </w:rPr>
            </w:pPr>
            <w:r>
              <w:rPr>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65073E" w:rsidRDefault="000A0998">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65073E" w:rsidRDefault="000A0998">
            <w:pPr>
              <w:pStyle w:val="P68B1DB1-Normal12"/>
              <w:spacing w:after="0" w:line="240" w:lineRule="auto"/>
              <w:rPr>
                <w:rFonts w:cs="Times New Roman"/>
                <w:noProof/>
              </w:rPr>
            </w:pPr>
            <w:r>
              <w:rPr>
                <w:noProof/>
              </w:rPr>
              <w:t>Jätealan koordinointikomission työryhmä, joka seuraa jätelainsäädännön noudattamista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65073E" w:rsidRDefault="000A0998">
            <w:pPr>
              <w:pStyle w:val="P68B1DB1-Normal12"/>
              <w:spacing w:after="0" w:line="240" w:lineRule="auto"/>
              <w:jc w:val="center"/>
              <w:rPr>
                <w:rFonts w:cs="Times New Roman"/>
                <w:noProof/>
              </w:rPr>
            </w:pPr>
            <w:r>
              <w:rPr>
                <w:noProof/>
              </w:rPr>
              <w:t>Jätteen koordinointikomitean hyväksyntä</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65073E" w:rsidRDefault="000A0998">
            <w:pPr>
              <w:pStyle w:val="P68B1DB1-Normal12"/>
              <w:spacing w:after="0" w:line="240" w:lineRule="auto"/>
              <w:jc w:val="center"/>
              <w:rPr>
                <w:rFonts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65073E" w:rsidRDefault="000A0998">
            <w:pPr>
              <w:pStyle w:val="P68B1DB1-Normal12"/>
              <w:spacing w:after="0" w:line="240" w:lineRule="auto"/>
              <w:jc w:val="center"/>
              <w:rPr>
                <w:rFonts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65073E" w:rsidRDefault="000A0998">
            <w:pPr>
              <w:pStyle w:val="P68B1DB1-Normal12"/>
              <w:spacing w:after="0" w:line="240" w:lineRule="auto"/>
              <w:jc w:val="center"/>
              <w:rPr>
                <w:rFonts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65073E" w:rsidRDefault="000A0998">
            <w:pPr>
              <w:pStyle w:val="P68B1DB1-Normal12"/>
              <w:spacing w:after="0" w:line="240" w:lineRule="auto"/>
              <w:jc w:val="center"/>
              <w:rPr>
                <w:rFonts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65073E" w:rsidRDefault="000A0998">
            <w:pPr>
              <w:pStyle w:val="P68B1DB1-Normal12"/>
              <w:spacing w:after="0" w:line="240" w:lineRule="auto"/>
              <w:jc w:val="center"/>
              <w:rPr>
                <w:rFonts w:cs="Times New Roman"/>
                <w:noProof/>
              </w:rPr>
            </w:pPr>
            <w:r>
              <w:rPr>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65073E" w:rsidRDefault="000A0998">
            <w:pPr>
              <w:pStyle w:val="P68B1DB1-Normal12"/>
              <w:rPr>
                <w:rFonts w:eastAsia="Times New Roman" w:cs="Times New Roman"/>
                <w:noProof/>
              </w:rPr>
            </w:pPr>
            <w:r>
              <w:rPr>
                <w:noProof/>
              </w:rPr>
              <w:t>Jätteen koordinointikomitea hyväksyy erityisen työryhmän perustamisen valvomaan jätelainsäädännön noudattamista ja vaatimusten noudattamista koskevien perusteiden yhdenmukaistamista sekä tätä helpottavien toimenpiteiden hyväksymistä.</w:t>
            </w:r>
          </w:p>
          <w:p w14:paraId="418BA7F4" w14:textId="77777777" w:rsidR="0065073E" w:rsidRDefault="0065073E">
            <w:pPr>
              <w:spacing w:after="0" w:line="240" w:lineRule="auto"/>
              <w:rPr>
                <w:rFonts w:ascii="Times New Roman" w:hAnsi="Times New Roman" w:cs="Times New Roman"/>
                <w:noProof/>
                <w:sz w:val="18"/>
              </w:rPr>
            </w:pPr>
          </w:p>
        </w:tc>
      </w:tr>
      <w:tr w:rsidR="0065073E" w14:paraId="07072F30"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65073E" w:rsidRDefault="000A0998">
            <w:pPr>
              <w:pStyle w:val="P68B1DB1-Normal12"/>
              <w:spacing w:after="0" w:line="240" w:lineRule="auto"/>
              <w:jc w:val="center"/>
              <w:rPr>
                <w:rFonts w:cs="Times New Roman"/>
                <w:noProof/>
              </w:rPr>
            </w:pPr>
            <w:r>
              <w:rPr>
                <w:noProof/>
              </w:rPr>
              <w:t>441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65073E" w:rsidRDefault="000A0998">
            <w:pPr>
              <w:pStyle w:val="P68B1DB1-Normal12"/>
              <w:spacing w:after="0" w:line="240" w:lineRule="auto"/>
              <w:jc w:val="center"/>
              <w:rPr>
                <w:rFonts w:cs="Times New Roman"/>
                <w:noProof/>
              </w:rPr>
            </w:pPr>
            <w:r>
              <w:rPr>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65073E" w:rsidRDefault="000A0998">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77777777" w:rsidR="0065073E" w:rsidRDefault="000A0998">
            <w:pPr>
              <w:pStyle w:val="P68B1DB1-Normal12"/>
              <w:spacing w:after="0" w:line="240" w:lineRule="auto"/>
              <w:rPr>
                <w:rFonts w:cs="Times New Roman"/>
                <w:noProof/>
              </w:rPr>
            </w:pPr>
            <w:r>
              <w:rPr>
                <w:noProof/>
              </w:rPr>
              <w:t>Toiseen kiertotalouspakettiin kuuluvien säädösten voimaantulo</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77777777" w:rsidR="0065073E" w:rsidRDefault="000A0998">
            <w:pPr>
              <w:pStyle w:val="P68B1DB1-Normal12"/>
              <w:spacing w:after="0" w:line="240" w:lineRule="auto"/>
              <w:jc w:val="center"/>
              <w:rPr>
                <w:rFonts w:cs="Times New Roman"/>
                <w:noProof/>
              </w:rPr>
            </w:pPr>
            <w:r>
              <w:rPr>
                <w:noProof/>
              </w:rPr>
              <w:t>Säädösten voimaantulosta annettujen kuninkaan asetusten säännökset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65073E" w:rsidRDefault="000A0998">
            <w:pPr>
              <w:pStyle w:val="P68B1DB1-Normal12"/>
              <w:spacing w:after="0" w:line="240" w:lineRule="auto"/>
              <w:jc w:val="center"/>
              <w:rPr>
                <w:rFonts w:cs="Times New Roman"/>
                <w:noProof/>
              </w:rPr>
            </w:pPr>
            <w:r>
              <w:rPr>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65073E" w:rsidRDefault="000A0998">
            <w:pPr>
              <w:pStyle w:val="P68B1DB1-Normal12"/>
              <w:spacing w:after="0" w:line="240" w:lineRule="auto"/>
              <w:jc w:val="center"/>
              <w:rPr>
                <w:rFonts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65073E" w:rsidRDefault="000A0998">
            <w:pPr>
              <w:pStyle w:val="P68B1DB1-Normal12"/>
              <w:spacing w:after="0" w:line="240" w:lineRule="auto"/>
              <w:jc w:val="center"/>
              <w:rPr>
                <w:rFonts w:cs="Times New Roman"/>
                <w:noProof/>
              </w:rPr>
            </w:pPr>
            <w:r>
              <w:rPr>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65073E" w:rsidRDefault="000A0998">
            <w:pPr>
              <w:pStyle w:val="P68B1DB1-Normal12"/>
              <w:spacing w:after="0" w:line="240" w:lineRule="auto"/>
              <w:jc w:val="center"/>
              <w:rPr>
                <w:rFonts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65073E" w:rsidRDefault="000A0998">
            <w:pPr>
              <w:pStyle w:val="P68B1DB1-Normal12"/>
              <w:spacing w:after="0" w:line="240" w:lineRule="auto"/>
              <w:jc w:val="center"/>
              <w:rPr>
                <w:rFonts w:cs="Times New Roman"/>
                <w:noProof/>
              </w:rPr>
            </w:pPr>
            <w:r>
              <w:rPr>
                <w:noProof/>
              </w:rPr>
              <w:t>2025</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65073E" w:rsidRDefault="000A0998">
            <w:pPr>
              <w:pStyle w:val="P68B1DB1-Normal12"/>
              <w:spacing w:after="0"/>
              <w:rPr>
                <w:rFonts w:eastAsia="Times New Roman" w:cs="Times New Roman"/>
                <w:noProof/>
              </w:rPr>
            </w:pPr>
            <w:r>
              <w:rPr>
                <w:noProof/>
              </w:rPr>
              <w:t xml:space="preserve">Toiseen kiertotalouden sääntelypakettiin on sisällyttävä </w:t>
            </w:r>
          </w:p>
          <w:p w14:paraId="4AA76FCA" w14:textId="55157F47" w:rsidR="0065073E" w:rsidRDefault="000A0998">
            <w:pPr>
              <w:pStyle w:val="P68B1DB1-ListParagraph13"/>
              <w:numPr>
                <w:ilvl w:val="0"/>
                <w:numId w:val="318"/>
              </w:numPr>
              <w:spacing w:after="0"/>
              <w:rPr>
                <w:rFonts w:eastAsia="Times New Roman" w:cs="Times New Roman"/>
                <w:noProof/>
              </w:rPr>
            </w:pPr>
            <w:r>
              <w:rPr>
                <w:noProof/>
              </w:rPr>
              <w:t>Kuninkaallinen asetus jätteentuottajia ja jätehuoltoa koskevista rahoitusvakuuksista</w:t>
            </w:r>
          </w:p>
          <w:p w14:paraId="14787F90" w14:textId="77777777" w:rsidR="0065073E" w:rsidRDefault="000A0998">
            <w:pPr>
              <w:pStyle w:val="P68B1DB1-ListParagraph13"/>
              <w:numPr>
                <w:ilvl w:val="0"/>
                <w:numId w:val="318"/>
              </w:numPr>
              <w:spacing w:after="0"/>
              <w:rPr>
                <w:rFonts w:eastAsia="Times New Roman" w:cs="Times New Roman"/>
                <w:noProof/>
              </w:rPr>
            </w:pPr>
            <w:r>
              <w:rPr>
                <w:noProof/>
              </w:rPr>
              <w:t>Kuninkaallinen asetus tupakkatuotteiden kanssa käytettäväksi markkinoitujen suodattimien ja suodattimien jätehuollosta</w:t>
            </w:r>
          </w:p>
          <w:p w14:paraId="6DC2865C" w14:textId="77777777" w:rsidR="0065073E" w:rsidRDefault="000A0998">
            <w:pPr>
              <w:pStyle w:val="P68B1DB1-ListParagraph13"/>
              <w:numPr>
                <w:ilvl w:val="0"/>
                <w:numId w:val="318"/>
              </w:numPr>
              <w:rPr>
                <w:rFonts w:eastAsia="Times New Roman" w:cs="Times New Roman"/>
                <w:noProof/>
              </w:rPr>
            </w:pPr>
            <w:r>
              <w:rPr>
                <w:noProof/>
              </w:rPr>
              <w:t>Kuninkaallinen asetus teollisuusjäteöljyhuollosta</w:t>
            </w:r>
          </w:p>
          <w:p w14:paraId="5AA96976" w14:textId="77777777" w:rsidR="0065073E" w:rsidRDefault="000A0998">
            <w:pPr>
              <w:pStyle w:val="P68B1DB1-ListParagraph13"/>
              <w:numPr>
                <w:ilvl w:val="0"/>
                <w:numId w:val="318"/>
              </w:numPr>
              <w:rPr>
                <w:rFonts w:eastAsia="Times New Roman" w:cs="Times New Roman"/>
                <w:noProof/>
              </w:rPr>
            </w:pPr>
            <w:r>
              <w:rPr>
                <w:noProof/>
              </w:rPr>
              <w:t xml:space="preserve">Kuninkaallinen asetus käytöstä poistettujen renkaiden käsittelystä. </w:t>
            </w:r>
          </w:p>
          <w:p w14:paraId="303FBF64" w14:textId="77777777" w:rsidR="0065073E" w:rsidRDefault="000A0998">
            <w:pPr>
              <w:pStyle w:val="P68B1DB1-ListParagraph13"/>
              <w:numPr>
                <w:ilvl w:val="0"/>
                <w:numId w:val="318"/>
              </w:numPr>
              <w:rPr>
                <w:rFonts w:eastAsia="Times New Roman" w:cs="Times New Roman"/>
                <w:noProof/>
              </w:rPr>
            </w:pPr>
            <w:r>
              <w:rPr>
                <w:noProof/>
              </w:rPr>
              <w:t>Ministeriön päätös yhdyskuntajätteen kaatopaikalle sijoittamista edeltävää käsittelyä koskevista vähimmäisvaatimuksista</w:t>
            </w:r>
          </w:p>
          <w:p w14:paraId="189E2BE8" w14:textId="77777777" w:rsidR="0065073E" w:rsidRDefault="000A0998">
            <w:pPr>
              <w:pStyle w:val="P68B1DB1-ListParagraph13"/>
              <w:numPr>
                <w:ilvl w:val="0"/>
                <w:numId w:val="318"/>
              </w:numPr>
              <w:rPr>
                <w:rFonts w:cs="Times New Roman"/>
                <w:noProof/>
              </w:rPr>
            </w:pPr>
            <w:r>
              <w:rPr>
                <w:noProof/>
              </w:rPr>
              <w:t>Toisen kiertotaloutta koskevan toimintasuunnitelman hyväksyminen</w:t>
            </w:r>
          </w:p>
        </w:tc>
      </w:tr>
      <w:tr w:rsidR="0065073E" w14:paraId="5164B366"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65073E" w:rsidRDefault="000A0998">
            <w:pPr>
              <w:pStyle w:val="P68B1DB1-Normal12"/>
              <w:spacing w:after="0" w:line="240" w:lineRule="auto"/>
              <w:jc w:val="center"/>
              <w:rPr>
                <w:rFonts w:eastAsia="Times New Roman" w:cs="Times New Roman"/>
                <w:noProof/>
              </w:rPr>
            </w:pPr>
            <w:r>
              <w:rPr>
                <w:noProof/>
              </w:rPr>
              <w:t>442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65073E" w:rsidRDefault="000A0998">
            <w:pPr>
              <w:pStyle w:val="P68B1DB1-Normal12"/>
              <w:spacing w:after="0" w:line="240" w:lineRule="auto"/>
              <w:jc w:val="center"/>
              <w:rPr>
                <w:rFonts w:eastAsia="Times New Roman" w:cs="Times New Roman"/>
                <w:noProof/>
              </w:rPr>
            </w:pPr>
            <w:r>
              <w:rPr>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77777777" w:rsidR="0065073E" w:rsidRDefault="000A0998">
            <w:pPr>
              <w:pStyle w:val="P68B1DB1-Normal12"/>
              <w:spacing w:after="0" w:line="240" w:lineRule="auto"/>
              <w:rPr>
                <w:rFonts w:eastAsia="Times New Roman" w:cs="Times New Roman"/>
                <w:noProof/>
              </w:rPr>
            </w:pPr>
            <w:r>
              <w:rPr>
                <w:noProof/>
              </w:rPr>
              <w:t>Jätteiden täytäntöönpanohankkeiden toteuttamiseen tarkoitettujen avustusten jakaminen.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65073E" w:rsidRDefault="0065073E">
            <w:pPr>
              <w:spacing w:after="0" w:line="240" w:lineRule="auto"/>
              <w:jc w:val="center"/>
              <w:rPr>
                <w:rFonts w:ascii="Times New Roman" w:eastAsia="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65073E" w:rsidRDefault="000A0998">
            <w:pPr>
              <w:pStyle w:val="P68B1DB1-Normal12"/>
              <w:spacing w:after="0" w:line="240" w:lineRule="auto"/>
              <w:jc w:val="center"/>
              <w:rPr>
                <w:rFonts w:eastAsia="Times New Roman" w:cs="Times New Roman"/>
                <w:noProof/>
              </w:rPr>
            </w:pPr>
            <w:r>
              <w:rPr>
                <w:noProof/>
              </w:rPr>
              <w:t>Miljoonaa euroa</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65073E" w:rsidRDefault="000A0998">
            <w:pPr>
              <w:pStyle w:val="P68B1DB1-Normal12"/>
              <w:spacing w:after="0" w:line="240" w:lineRule="auto"/>
              <w:jc w:val="center"/>
              <w:rPr>
                <w:rFonts w:eastAsia="Times New Roman"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65073E" w:rsidRDefault="000A0998">
            <w:pPr>
              <w:pStyle w:val="P68B1DB1-Normal12"/>
              <w:spacing w:after="0" w:line="240" w:lineRule="auto"/>
              <w:jc w:val="center"/>
              <w:rPr>
                <w:rFonts w:eastAsia="Times New Roman" w:cs="Times New Roman"/>
                <w:noProof/>
              </w:rPr>
            </w:pPr>
            <w:r>
              <w:rPr>
                <w:noProof/>
              </w:rPr>
              <w:t>300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65073E" w:rsidRDefault="000A0998">
            <w:pPr>
              <w:pStyle w:val="P68B1DB1-Normal12"/>
              <w:spacing w:after="0" w:line="240" w:lineRule="auto"/>
              <w:jc w:val="center"/>
              <w:rPr>
                <w:rFonts w:eastAsia="Times New Roman" w:cs="Times New Roman"/>
                <w:noProof/>
              </w:rPr>
            </w:pPr>
            <w:r>
              <w:rPr>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65073E" w:rsidRDefault="000A0998">
            <w:pPr>
              <w:pStyle w:val="P68B1DB1-Normal12"/>
              <w:spacing w:after="0" w:line="240" w:lineRule="auto"/>
              <w:rPr>
                <w:rFonts w:eastAsia="Times New Roman" w:cs="Times New Roman"/>
                <w:noProof/>
              </w:rPr>
            </w:pPr>
            <w:r>
              <w:rPr>
                <w:noProof/>
              </w:rPr>
              <w:t>Hyväksytään alakohtaisen ympäristökonferenssin sopimus, jolla hyväksytään avustusten myöntämisperusteet ja alueellinen jakautuminen, tai suorien avustusten hyväksyminen tukia koskevan yleisen lain 28/2003 mukaisesti, joka liittyy vuoden 2024 jätelainsäädännön täytäntöönpanoa tukevaan suunnitelmaan sellaisten hankkeiden rahoittamiseksi, joilla pyritään panemaan täytäntöön kansallinen jätealan sääntelykehys ja saavuttamaan EU:n tavoitteet.  Hankkeet koostuvat toimista, joilla pannaan täytäntöön ja parannetaan jätteen erilliskeräysjärjestelmiä, tehdään investointeja keräyspisteisiin kierrätyksen parantamiseksi ja uuden erilliskerätyn jätteen käsittelylaitoksen rakentamista.</w:t>
            </w:r>
          </w:p>
        </w:tc>
      </w:tr>
      <w:tr w:rsidR="0065073E" w14:paraId="7C60E430"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65073E" w:rsidRDefault="000A0998">
            <w:pPr>
              <w:pStyle w:val="P68B1DB1-Normal12"/>
              <w:spacing w:after="0" w:line="240" w:lineRule="auto"/>
              <w:jc w:val="center"/>
              <w:rPr>
                <w:rFonts w:eastAsia="Times New Roman" w:cs="Times New Roman"/>
                <w:noProof/>
              </w:rPr>
            </w:pPr>
            <w:r>
              <w:rPr>
                <w:noProof/>
              </w:rPr>
              <w:t>443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65073E" w:rsidRDefault="000A0998">
            <w:pPr>
              <w:pStyle w:val="P68B1DB1-Normal12"/>
              <w:spacing w:after="0" w:line="240" w:lineRule="auto"/>
              <w:jc w:val="center"/>
              <w:rPr>
                <w:rFonts w:eastAsia="Times New Roman" w:cs="Times New Roman"/>
                <w:noProof/>
              </w:rPr>
            </w:pPr>
            <w:r>
              <w:rPr>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77777777" w:rsidR="0065073E" w:rsidRDefault="000A0998">
            <w:pPr>
              <w:pStyle w:val="P68B1DB1-Normal12"/>
              <w:spacing w:after="0" w:line="240" w:lineRule="auto"/>
              <w:rPr>
                <w:rFonts w:eastAsia="Times New Roman" w:cs="Times New Roman"/>
                <w:noProof/>
              </w:rPr>
            </w:pPr>
            <w:r>
              <w:rPr>
                <w:noProof/>
              </w:rPr>
              <w:t>Jätehuoltohankkeiden loppuun saattaminen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65073E" w:rsidRDefault="0065073E">
            <w:pPr>
              <w:spacing w:after="0" w:line="240" w:lineRule="auto"/>
              <w:jc w:val="center"/>
              <w:rPr>
                <w:rFonts w:ascii="Times New Roman" w:eastAsia="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65073E" w:rsidRDefault="000A0998">
            <w:pPr>
              <w:pStyle w:val="P68B1DB1-Normal12"/>
              <w:spacing w:after="0" w:line="240" w:lineRule="auto"/>
              <w:jc w:val="center"/>
              <w:rPr>
                <w:rFonts w:eastAsia="Times New Roman" w:cs="Times New Roman"/>
                <w:noProof/>
              </w:rPr>
            </w:pPr>
            <w:r>
              <w:rPr>
                <w:noProof/>
              </w:rPr>
              <w:t xml:space="preserve">Miljoonaa euroa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65073E" w:rsidRDefault="000A0998">
            <w:pPr>
              <w:pStyle w:val="P68B1DB1-Normal12"/>
              <w:spacing w:after="0" w:line="240" w:lineRule="auto"/>
              <w:jc w:val="center"/>
              <w:rPr>
                <w:rFonts w:eastAsia="Times New Roman" w:cs="Times New Roman"/>
                <w:noProof/>
              </w:rPr>
            </w:pPr>
            <w:r>
              <w:rPr>
                <w:noProof/>
              </w:rPr>
              <w:t>270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65073E" w:rsidRDefault="000A0998">
            <w:pPr>
              <w:pStyle w:val="P68B1DB1-Normal12"/>
              <w:spacing w:after="0" w:line="240" w:lineRule="auto"/>
              <w:rPr>
                <w:rFonts w:eastAsia="Times New Roman" w:cs="Times New Roman"/>
                <w:noProof/>
              </w:rPr>
            </w:pPr>
            <w:r>
              <w:rPr>
                <w:noProof/>
              </w:rPr>
              <w:t>Sellaisten vähintään 270000000 euron hankkeiden loppuun saattaminen, jotka on myönnetty jätteen erilliskeräysjärjestelmien toteuttamiseen ja parantamiseen, kierrätystä parantaviin keräyspisteisiin tehtäviin investointeihin ja uusien erilliskerättyjen jätteenkäsittelylaitosten rakentamiseen.</w:t>
            </w:r>
          </w:p>
        </w:tc>
      </w:tr>
      <w:tr w:rsidR="0065073E" w14:paraId="758C3169"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65073E" w:rsidRDefault="000A0998">
            <w:pPr>
              <w:pStyle w:val="P68B1DB1-Normal12"/>
              <w:spacing w:after="0" w:line="240" w:lineRule="auto"/>
              <w:jc w:val="center"/>
              <w:rPr>
                <w:rFonts w:eastAsia="Times New Roman" w:cs="Times New Roman"/>
                <w:noProof/>
              </w:rPr>
            </w:pPr>
            <w:r>
              <w:rPr>
                <w:noProof/>
              </w:rPr>
              <w:t>444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65073E" w:rsidRDefault="000A0998">
            <w:pPr>
              <w:pStyle w:val="P68B1DB1-Normal12"/>
              <w:spacing w:after="0" w:line="240" w:lineRule="auto"/>
              <w:jc w:val="center"/>
              <w:rPr>
                <w:rFonts w:eastAsia="Times New Roman" w:cs="Times New Roman"/>
                <w:noProof/>
              </w:rPr>
            </w:pPr>
            <w:r>
              <w:rPr>
                <w:noProof/>
              </w:rPr>
              <w:t>C12.I4</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65073E" w:rsidRDefault="000A0998">
            <w:pPr>
              <w:pStyle w:val="P68B1DB1-Normal12"/>
              <w:spacing w:after="0" w:line="240" w:lineRule="auto"/>
              <w:rPr>
                <w:rFonts w:eastAsia="Times New Roman" w:cs="Times New Roman"/>
                <w:noProof/>
              </w:rPr>
            </w:pPr>
            <w:r>
              <w:rPr>
                <w:noProof/>
              </w:rPr>
              <w:t xml:space="preserve">PERTE-SIRU. Puolijohteiden arvoketjun vahvistaminen.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77777777" w:rsidR="0065073E" w:rsidRDefault="000A0998">
            <w:pPr>
              <w:pStyle w:val="P68B1DB1-Normal12"/>
              <w:spacing w:after="0" w:line="240" w:lineRule="auto"/>
              <w:jc w:val="center"/>
              <w:rPr>
                <w:rFonts w:eastAsia="Times New Roman" w:cs="Times New Roman"/>
                <w:noProof/>
              </w:rPr>
            </w:pPr>
            <w:r>
              <w:rPr>
                <w:noProof/>
              </w:rPr>
              <w:t xml:space="preserve">Julkaiseminen Euroopan unionin virallisessa lehdessä tai virallisella verkkosivustolla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65073E" w:rsidRDefault="000A0998">
            <w:pPr>
              <w:pStyle w:val="P68B1DB1-Normal12"/>
              <w:spacing w:after="0" w:line="240" w:lineRule="auto"/>
              <w:jc w:val="center"/>
              <w:rPr>
                <w:rFonts w:eastAsia="Times New Roman" w:cs="Times New Roman"/>
                <w:noProof/>
              </w:rPr>
            </w:pPr>
            <w:r>
              <w:rPr>
                <w:noProof/>
              </w:rPr>
              <w:t xml:space="preserve">Miljoonaa euroa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65073E" w:rsidRDefault="000A0998">
            <w:pPr>
              <w:pStyle w:val="P68B1DB1-Normal12"/>
              <w:spacing w:after="0" w:line="240" w:lineRule="auto"/>
              <w:jc w:val="center"/>
              <w:rPr>
                <w:rFonts w:eastAsia="Times New Roman" w:cs="Times New Roman"/>
                <w:noProof/>
              </w:rPr>
            </w:pPr>
            <w:r>
              <w:rPr>
                <w:noProof/>
              </w:rPr>
              <w:t xml:space="preserve">200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65073E" w:rsidRDefault="000A0998">
            <w:pPr>
              <w:pStyle w:val="P68B1DB1-Normal12"/>
              <w:spacing w:after="0" w:line="240" w:lineRule="auto"/>
              <w:jc w:val="center"/>
              <w:rPr>
                <w:rFonts w:eastAsia="Times New Roman" w:cs="Times New Roman"/>
                <w:noProof/>
              </w:rPr>
            </w:pPr>
            <w:r>
              <w:rPr>
                <w:noProof/>
              </w:rPr>
              <w:t>2025</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65073E" w:rsidRDefault="000A0998">
            <w:pPr>
              <w:pStyle w:val="P68B1DB1-Normal12"/>
              <w:spacing w:after="0" w:line="240" w:lineRule="auto"/>
              <w:rPr>
                <w:rFonts w:eastAsia="Times New Roman" w:cs="Times New Roman"/>
                <w:noProof/>
              </w:rPr>
            </w:pPr>
            <w:r>
              <w:rPr>
                <w:noProof/>
              </w:rPr>
              <w:t xml:space="preserve">200000000 euron oikeudellinen sitoumus lopullisille tuensaajille, jotka osallistuvat IPCEI-mikroelektroniikkaan ja yhteenliitettävyyteen, ja lopullisille tuensaajille, jotka saavat tukea Espanjan puolijohteiden ekosysteemille tutkimuksen, kehittämisen ja innovoinnin (T &amp; K &amp; I) ja teollisen käyttöönoton ensimmäisessä vaiheessa, lukuun ottamatta massatuotantoa ja kaupallista toimintaa. </w:t>
            </w:r>
          </w:p>
        </w:tc>
      </w:tr>
      <w:tr w:rsidR="0065073E" w14:paraId="63434339"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65073E" w:rsidRDefault="000A0998">
            <w:pPr>
              <w:pStyle w:val="P68B1DB1-Normal12"/>
              <w:spacing w:after="0" w:line="240" w:lineRule="auto"/>
              <w:jc w:val="center"/>
              <w:rPr>
                <w:rFonts w:eastAsia="Times New Roman" w:cs="Times New Roman"/>
                <w:noProof/>
              </w:rPr>
            </w:pPr>
            <w:r>
              <w:rPr>
                <w:noProof/>
              </w:rPr>
              <w:t>445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65073E" w:rsidRDefault="000A0998">
            <w:pPr>
              <w:pStyle w:val="P68B1DB1-Normal12"/>
              <w:spacing w:after="0" w:line="240" w:lineRule="auto"/>
              <w:jc w:val="center"/>
              <w:rPr>
                <w:rFonts w:eastAsia="Times New Roman" w:cs="Times New Roman"/>
                <w:noProof/>
              </w:rPr>
            </w:pPr>
            <w:r>
              <w:rPr>
                <w:noProof/>
              </w:rPr>
              <w:t>C12.I4</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65073E" w:rsidRDefault="000A0998">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77777777" w:rsidR="0065073E" w:rsidRDefault="000A0998">
            <w:pPr>
              <w:pStyle w:val="P68B1DB1-Normal12"/>
              <w:spacing w:after="0" w:line="240" w:lineRule="auto"/>
              <w:rPr>
                <w:rFonts w:eastAsia="Times New Roman" w:cs="Times New Roman"/>
                <w:noProof/>
              </w:rPr>
            </w:pPr>
            <w:r>
              <w:rPr>
                <w:noProof/>
              </w:rPr>
              <w:t xml:space="preserve">PERTE-SIRU. Puolijohteiden arvoketjun vahvistaminen (II).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65073E" w:rsidRDefault="000A0998">
            <w:pPr>
              <w:pStyle w:val="P68B1DB1-Normal12"/>
              <w:spacing w:after="0" w:line="240" w:lineRule="auto"/>
              <w:jc w:val="center"/>
              <w:rPr>
                <w:rFonts w:eastAsia="Times New Roman" w:cs="Times New Roman"/>
                <w:noProof/>
              </w:rPr>
            </w:pPr>
            <w:r>
              <w:rPr>
                <w:noProof/>
              </w:rPr>
              <w:t>Miljoonaa euroa</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65073E" w:rsidRDefault="000A0998">
            <w:pPr>
              <w:pStyle w:val="P68B1DB1-Normal12"/>
              <w:spacing w:after="0" w:line="240" w:lineRule="auto"/>
              <w:jc w:val="center"/>
              <w:rPr>
                <w:rFonts w:eastAsia="Times New Roman" w:cs="Times New Roman"/>
                <w:noProof/>
              </w:rPr>
            </w:pPr>
            <w:r>
              <w:rPr>
                <w:noProof/>
              </w:rPr>
              <w:t>180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65073E" w:rsidRDefault="000A0998">
            <w:pPr>
              <w:pStyle w:val="P68B1DB1-Normal12"/>
              <w:spacing w:after="0" w:line="240" w:lineRule="auto"/>
              <w:rPr>
                <w:rFonts w:eastAsia="Times New Roman" w:cs="Times New Roman"/>
                <w:noProof/>
              </w:rPr>
            </w:pPr>
            <w:r>
              <w:rPr>
                <w:noProof/>
              </w:rPr>
              <w:t>Mikroelektroniikkaa ja yhteyksiä koskevaan IPCEI-hankkeeseen osallistuville lopullisille tuensaajille on maksettu vähintään 180000000 euroa ja lopullisille tuensaajille, jotka saavat tukea Espanjan puolijohteiden ekosysteemille tutkimuksen, kehittämisen ja innovoinnin (T &amp; K &amp; I) ja teollisen käyttöönoton ensimmäisessä vaiheessa, lukuun ottamatta massatuotantoa ja kaupallista toimintaa.</w:t>
            </w:r>
          </w:p>
        </w:tc>
      </w:tr>
      <w:tr w:rsidR="0065073E" w14:paraId="724F5035"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65073E" w:rsidRDefault="000A0998">
            <w:pPr>
              <w:pStyle w:val="P68B1DB1-Normal12"/>
              <w:spacing w:after="0" w:line="240" w:lineRule="auto"/>
              <w:jc w:val="center"/>
              <w:rPr>
                <w:rFonts w:eastAsia="Times New Roman" w:cs="Times New Roman"/>
                <w:noProof/>
              </w:rPr>
            </w:pPr>
            <w:r>
              <w:rPr>
                <w:noProof/>
              </w:rPr>
              <w:t>448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65073E" w:rsidRDefault="000A0998">
            <w:pPr>
              <w:pStyle w:val="P68B1DB1-Normal12"/>
              <w:spacing w:after="0" w:line="240" w:lineRule="auto"/>
              <w:jc w:val="center"/>
              <w:rPr>
                <w:rFonts w:eastAsia="Times New Roman" w:cs="Times New Roman"/>
                <w:noProof/>
              </w:rPr>
            </w:pPr>
            <w:r>
              <w:rPr>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M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39BB5415" w:rsidR="0065073E" w:rsidRDefault="000A0998">
            <w:pPr>
              <w:pStyle w:val="P68B1DB1-Normal12"/>
              <w:spacing w:after="0" w:line="240" w:lineRule="auto"/>
              <w:rPr>
                <w:rFonts w:eastAsia="Times New Roman" w:cs="Times New Roman"/>
                <w:noProof/>
              </w:rPr>
            </w:pPr>
            <w:r>
              <w:rPr>
                <w:noProof/>
              </w:rPr>
              <w:t xml:space="preserve">Kiertotaloutta tukeva tukijärjestelmä: Ministeriö on saanut investoinnin päätökseen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Todistus maksusta toteutuskumppanille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65073E" w:rsidRDefault="0065073E">
            <w:pPr>
              <w:spacing w:after="0" w:line="240" w:lineRule="auto"/>
              <w:jc w:val="center"/>
              <w:rPr>
                <w:rFonts w:ascii="Times New Roman" w:eastAsia="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65073E" w:rsidRDefault="0065073E">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TOINEN VUOSINELJÄNNES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2024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65073E" w:rsidRDefault="000A0998">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Espanjan on siirrettävä 100000000 euroa IDAE:lle ja 200000000 euroa Fundación Biodiversidadille ohjelmaa varten.</w:t>
            </w:r>
          </w:p>
        </w:tc>
      </w:tr>
      <w:tr w:rsidR="0065073E" w14:paraId="6192F824"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65073E" w:rsidRDefault="000A0998">
            <w:pPr>
              <w:pStyle w:val="P68B1DB1-Normal12"/>
              <w:spacing w:after="0" w:line="240" w:lineRule="auto"/>
              <w:jc w:val="center"/>
              <w:rPr>
                <w:rFonts w:eastAsia="Times New Roman" w:cs="Times New Roman"/>
                <w:noProof/>
              </w:rPr>
            </w:pPr>
            <w:r>
              <w:rPr>
                <w:noProof/>
              </w:rPr>
              <w:t>446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65073E" w:rsidRDefault="000A0998">
            <w:pPr>
              <w:pStyle w:val="P68B1DB1-Normal12"/>
              <w:spacing w:after="0" w:line="240" w:lineRule="auto"/>
              <w:jc w:val="center"/>
              <w:rPr>
                <w:rFonts w:eastAsia="Times New Roman" w:cs="Times New Roman"/>
                <w:noProof/>
              </w:rPr>
            </w:pPr>
            <w:r>
              <w:rPr>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65073E" w:rsidRDefault="000A0998">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45DB8A9B" w:rsidR="0065073E" w:rsidRDefault="000A0998">
            <w:pPr>
              <w:pStyle w:val="P68B1DB1-Normal12"/>
              <w:spacing w:after="0" w:line="240" w:lineRule="auto"/>
              <w:rPr>
                <w:rFonts w:eastAsia="Times New Roman" w:cs="Times New Roman"/>
                <w:noProof/>
              </w:rPr>
            </w:pPr>
            <w:r>
              <w:rPr>
                <w:noProof/>
              </w:rPr>
              <w:t>Kiertotaloutta tukeva tukijärjestelmä: Tukijärjestelmän perustaminen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12612E5C" w:rsidR="0065073E" w:rsidRDefault="000A0998">
            <w:pPr>
              <w:pStyle w:val="P68B1DB1-Normal12"/>
              <w:spacing w:after="0" w:line="240" w:lineRule="auto"/>
              <w:jc w:val="center"/>
              <w:rPr>
                <w:rFonts w:eastAsia="Times New Roman" w:cs="Times New Roman"/>
                <w:noProof/>
              </w:rPr>
            </w:pPr>
            <w:r>
              <w:rPr>
                <w:noProof/>
              </w:rPr>
              <w:t>Tulee voimaan asiaa koskevan oikeudellisen välineen (-säädösten)</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65073E" w:rsidRDefault="0065073E">
            <w:pPr>
              <w:spacing w:after="0" w:line="240" w:lineRule="auto"/>
              <w:jc w:val="center"/>
              <w:rPr>
                <w:rFonts w:ascii="Times New Roman" w:eastAsia="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65073E" w:rsidRDefault="0065073E">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65073E" w:rsidRDefault="0065073E">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65073E" w:rsidRDefault="000A0998">
            <w:pPr>
              <w:pStyle w:val="P68B1DB1-Normal12"/>
              <w:spacing w:after="0" w:line="240" w:lineRule="auto"/>
              <w:jc w:val="center"/>
              <w:rPr>
                <w:rFonts w:eastAsia="Times New Roman" w:cs="Times New Roman"/>
                <w:noProof/>
              </w:rPr>
            </w:pPr>
            <w:r>
              <w:rPr>
                <w:noProof/>
              </w:rPr>
              <w:t>Q4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65073E" w:rsidRDefault="000A0998">
            <w:pPr>
              <w:pStyle w:val="P68B1DB1-Normal12"/>
              <w:spacing w:after="0" w:line="240" w:lineRule="auto"/>
              <w:jc w:val="center"/>
              <w:rPr>
                <w:rFonts w:eastAsia="Times New Roman" w:cs="Times New Roman"/>
                <w:noProof/>
              </w:rPr>
            </w:pPr>
            <w:r>
              <w:rPr>
                <w:noProof/>
              </w:rPr>
              <w:t>2024 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65073E" w:rsidRDefault="000A0998">
            <w:pPr>
              <w:pStyle w:val="P68B1DB1-Normal12"/>
              <w:spacing w:after="0" w:line="240" w:lineRule="auto"/>
              <w:rPr>
                <w:rFonts w:eastAsia="Times New Roman" w:cs="Times New Roman"/>
                <w:noProof/>
              </w:rPr>
            </w:pPr>
            <w:r>
              <w:rPr>
                <w:noProof/>
              </w:rPr>
              <w:t>Järjestelmän perustamista koskevan yhden tai useamman säädöksen voimaantulo toimenpiteen kuvauksessa täsmennettyjen vaatimusten mukaisesti.</w:t>
            </w:r>
          </w:p>
        </w:tc>
      </w:tr>
      <w:tr w:rsidR="0065073E" w14:paraId="193E4360"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65073E" w:rsidRDefault="000A0998">
            <w:pPr>
              <w:pStyle w:val="P68B1DB1-Normal12"/>
              <w:spacing w:after="0" w:line="240" w:lineRule="auto"/>
              <w:jc w:val="center"/>
              <w:rPr>
                <w:rFonts w:eastAsia="Times New Roman" w:cs="Times New Roman"/>
                <w:noProof/>
              </w:rPr>
            </w:pPr>
            <w:r>
              <w:rPr>
                <w:noProof/>
              </w:rPr>
              <w:t>447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65073E" w:rsidRDefault="000A0998">
            <w:pPr>
              <w:pStyle w:val="P68B1DB1-Normal12"/>
              <w:spacing w:after="0" w:line="240" w:lineRule="auto"/>
              <w:jc w:val="center"/>
              <w:rPr>
                <w:rFonts w:eastAsia="Times New Roman" w:cs="Times New Roman"/>
                <w:noProof/>
              </w:rPr>
            </w:pPr>
            <w:r>
              <w:rPr>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T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0E0CF4A4" w:rsidR="0065073E" w:rsidRDefault="000A0998">
            <w:pPr>
              <w:pStyle w:val="P68B1DB1-Normal12"/>
              <w:spacing w:after="0" w:line="240" w:lineRule="auto"/>
              <w:rPr>
                <w:rFonts w:eastAsia="Times New Roman" w:cs="Times New Roman"/>
                <w:noProof/>
              </w:rPr>
            </w:pPr>
            <w:r>
              <w:rPr>
                <w:noProof/>
              </w:rPr>
              <w:t>Kiertotaloutta tukeva tukijärjestelmä: Lopullisten edunsaajien kanssa allekirjoitetut oikeudelliset sopimukset tai lopulliset myöntämispäätökset julkaistu</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F67CFEA"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65073E" w:rsidRDefault="000A0998">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65073E" w:rsidRDefault="000A0998">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0 %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100 %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Q3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65073E" w:rsidRDefault="000A0998">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2025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4F4745A4" w:rsidR="0065073E" w:rsidRDefault="000A0998">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IDAE:n ja Fundación Biodiversidadin on julkaistava lopulliset myöntämispäätökset tai tehty oikeudellisia rahoitussopimuksia lopullisten edunsaajien kanssa määrästä, joka on tarpeen, jotta kaikki elpymis- ja palautumistukivälineen investoinnit (välilliset kustannukset mukaan luettuina) voidaan käyttää järjestelmään.</w:t>
            </w:r>
          </w:p>
        </w:tc>
      </w:tr>
      <w:tr w:rsidR="0065073E" w14:paraId="35C50EBE"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65073E" w:rsidRDefault="000A0998">
            <w:pPr>
              <w:pStyle w:val="P68B1DB1-Normal12"/>
              <w:spacing w:after="0" w:line="240" w:lineRule="auto"/>
              <w:jc w:val="center"/>
              <w:rPr>
                <w:rFonts w:eastAsia="Times New Roman" w:cs="Times New Roman"/>
                <w:noProof/>
              </w:rPr>
            </w:pPr>
            <w:r>
              <w:rPr>
                <w:noProof/>
              </w:rPr>
              <w:t>448a</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65073E" w:rsidRDefault="000A0998">
            <w:pPr>
              <w:pStyle w:val="P68B1DB1-Normal12"/>
              <w:spacing w:after="0" w:line="240" w:lineRule="auto"/>
              <w:jc w:val="center"/>
              <w:rPr>
                <w:rFonts w:cs="Times New Roman"/>
                <w:noProof/>
              </w:rPr>
            </w:pPr>
            <w:r>
              <w:rPr>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65073E" w:rsidRDefault="000A0998">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65073E" w:rsidRDefault="000A0998">
            <w:pPr>
              <w:pStyle w:val="P68B1DB1-Normal12"/>
              <w:spacing w:after="0" w:line="240" w:lineRule="auto"/>
              <w:rPr>
                <w:rFonts w:cs="Times New Roman"/>
                <w:noProof/>
              </w:rPr>
            </w:pPr>
            <w:r>
              <w:rPr>
                <w:noProof/>
              </w:rPr>
              <w:t>Sähköajoneuvoalan tukijärjestelmä (avustukset): Ministeriö on saanut investoinnin päätökseen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3E034B8D" w:rsidR="0065073E" w:rsidRDefault="000A0998">
            <w:pPr>
              <w:pStyle w:val="P68B1DB1-Normal12"/>
              <w:spacing w:after="0" w:line="240" w:lineRule="auto"/>
              <w:jc w:val="center"/>
              <w:rPr>
                <w:rFonts w:cs="Times New Roman"/>
                <w:noProof/>
              </w:rPr>
            </w:pPr>
            <w:r>
              <w:rPr>
                <w:noProof/>
              </w:rPr>
              <w:t>Todistus maksun suorittamisesta SEPIDES-järjestelmään</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65073E" w:rsidRDefault="0065073E">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65073E" w:rsidRDefault="0065073E">
            <w:pPr>
              <w:spacing w:after="0" w:line="240" w:lineRule="auto"/>
              <w:jc w:val="center"/>
              <w:rPr>
                <w:rStyle w:val="eop"/>
                <w:rFonts w:ascii="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65073E" w:rsidRDefault="0065073E">
            <w:pPr>
              <w:spacing w:after="0" w:line="240" w:lineRule="auto"/>
              <w:jc w:val="center"/>
              <w:rPr>
                <w:rStyle w:val="eop"/>
                <w:rFonts w:ascii="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65073E" w:rsidRDefault="000A0998">
            <w:pPr>
              <w:pStyle w:val="P68B1DB1-Normal12"/>
              <w:spacing w:after="0" w:line="240" w:lineRule="auto"/>
              <w:jc w:val="center"/>
              <w:rPr>
                <w:rFonts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65073E" w:rsidRDefault="000A0998">
            <w:pPr>
              <w:pStyle w:val="P68B1DB1-Normal12"/>
              <w:spacing w:after="0" w:line="240" w:lineRule="auto"/>
              <w:jc w:val="center"/>
              <w:rPr>
                <w:rFonts w:cs="Times New Roman"/>
                <w:noProof/>
              </w:rPr>
            </w:pPr>
            <w:r>
              <w:rPr>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F763AF7" w:rsidR="0065073E" w:rsidRDefault="000A0998">
            <w:pPr>
              <w:pStyle w:val="P68B1DB1-Normal12"/>
              <w:spacing w:after="0" w:line="240" w:lineRule="auto"/>
              <w:rPr>
                <w:rFonts w:cs="Times New Roman"/>
                <w:noProof/>
              </w:rPr>
            </w:pPr>
            <w:r>
              <w:rPr>
                <w:noProof/>
              </w:rPr>
              <w:t>Espanjan on siirrettävä SEPIDES-järjestelmään 250000000 euroa ohjelmaa varten.</w:t>
            </w:r>
          </w:p>
        </w:tc>
      </w:tr>
      <w:tr w:rsidR="0065073E" w14:paraId="0CF77885"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65073E" w:rsidRDefault="000A0998">
            <w:pPr>
              <w:pStyle w:val="P68B1DB1-Normal12"/>
              <w:spacing w:after="0" w:line="240" w:lineRule="auto"/>
              <w:jc w:val="center"/>
              <w:rPr>
                <w:rFonts w:eastAsia="Times New Roman" w:cs="Times New Roman"/>
                <w:noProof/>
              </w:rPr>
            </w:pPr>
            <w:r>
              <w:rPr>
                <w:noProof/>
              </w:rPr>
              <w:t>448b</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65073E" w:rsidRDefault="000A0998">
            <w:pPr>
              <w:pStyle w:val="P68B1DB1-Normal12"/>
              <w:spacing w:after="0" w:line="240" w:lineRule="auto"/>
              <w:jc w:val="center"/>
              <w:rPr>
                <w:rFonts w:eastAsia="Times New Roman" w:cs="Times New Roman"/>
                <w:noProof/>
              </w:rPr>
            </w:pPr>
            <w:r>
              <w:rPr>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65073E" w:rsidRDefault="000A0998">
            <w:pPr>
              <w:pStyle w:val="P68B1DB1-Normal12"/>
              <w:spacing w:after="0" w:line="240" w:lineRule="auto"/>
              <w:jc w:val="center"/>
              <w:rPr>
                <w:rStyle w:val="normaltextrun"/>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65073E" w:rsidRDefault="000A0998">
            <w:pPr>
              <w:pStyle w:val="P68B1DB1-Normal12"/>
              <w:spacing w:after="0" w:line="240" w:lineRule="auto"/>
              <w:rPr>
                <w:rStyle w:val="normaltextrun"/>
                <w:rFonts w:cs="Times New Roman"/>
                <w:noProof/>
              </w:rPr>
            </w:pPr>
            <w:r>
              <w:rPr>
                <w:noProof/>
              </w:rPr>
              <w:t>Sähköajoneuvoalan tukijärjestelmä (avustukset) Tukijärjestelmän perustaminen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C73E426" w:rsidR="0065073E" w:rsidRDefault="000A0998">
            <w:pPr>
              <w:pStyle w:val="P68B1DB1-Normal12"/>
              <w:spacing w:after="0" w:line="240" w:lineRule="auto"/>
              <w:jc w:val="center"/>
              <w:rPr>
                <w:rStyle w:val="normaltextrun"/>
                <w:rFonts w:cs="Times New Roman"/>
                <w:noProof/>
              </w:rPr>
            </w:pPr>
            <w:r>
              <w:rPr>
                <w:noProof/>
              </w:rPr>
              <w:t>Asiaa koskevan oikeudellisen välineen (asiaankuuluvien säädösten) voimaantulo</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65073E" w:rsidRDefault="0065073E">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65073E" w:rsidRDefault="0065073E">
            <w:pPr>
              <w:spacing w:after="0" w:line="240" w:lineRule="auto"/>
              <w:jc w:val="center"/>
              <w:rPr>
                <w:rStyle w:val="eop"/>
                <w:rFonts w:ascii="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65073E" w:rsidRDefault="0065073E">
            <w:pPr>
              <w:spacing w:after="0" w:line="240" w:lineRule="auto"/>
              <w:jc w:val="center"/>
              <w:rPr>
                <w:rStyle w:val="eop"/>
                <w:rFonts w:ascii="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65073E" w:rsidRDefault="000A0998">
            <w:pPr>
              <w:pStyle w:val="P68B1DB1-Normal12"/>
              <w:spacing w:after="0" w:line="240" w:lineRule="auto"/>
              <w:jc w:val="center"/>
              <w:rPr>
                <w:rStyle w:val="normaltextrun"/>
                <w:rFonts w:cs="Times New Roman"/>
                <w:noProof/>
              </w:rPr>
            </w:pPr>
            <w:r>
              <w:rPr>
                <w:noProof/>
              </w:rPr>
              <w:t>Q3</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65073E" w:rsidRDefault="000A0998">
            <w:pPr>
              <w:pStyle w:val="P68B1DB1-Normal12"/>
              <w:spacing w:after="0" w:line="240" w:lineRule="auto"/>
              <w:jc w:val="center"/>
              <w:rPr>
                <w:rStyle w:val="normaltextrun"/>
                <w:rFonts w:cs="Times New Roman"/>
                <w:noProof/>
              </w:rPr>
            </w:pPr>
            <w:r>
              <w:rPr>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65073E" w:rsidRDefault="000A0998">
            <w:pPr>
              <w:pStyle w:val="P68B1DB1-Normal12"/>
              <w:spacing w:after="0" w:line="240" w:lineRule="auto"/>
              <w:rPr>
                <w:rStyle w:val="normaltextrun"/>
                <w:rFonts w:cs="Times New Roman"/>
                <w:noProof/>
              </w:rPr>
            </w:pPr>
            <w:r>
              <w:rPr>
                <w:noProof/>
              </w:rPr>
              <w:t>Tukijärjestelmän perustamista koskevan yhden tai useamman säädöksen voimaantulo toimenpiteen kuvauksessa täsmennettyjen vaatimusten mukaisesti.</w:t>
            </w:r>
          </w:p>
        </w:tc>
      </w:tr>
      <w:tr w:rsidR="0065073E" w14:paraId="023D9E75" w14:textId="7777777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65073E" w:rsidRDefault="000A0998">
            <w:pPr>
              <w:pStyle w:val="P68B1DB1-Normal12"/>
              <w:spacing w:after="0" w:line="240" w:lineRule="auto"/>
              <w:jc w:val="center"/>
              <w:rPr>
                <w:rFonts w:eastAsia="Times New Roman" w:cs="Times New Roman"/>
                <w:noProof/>
              </w:rPr>
            </w:pPr>
            <w:r>
              <w:rPr>
                <w:noProof/>
              </w:rPr>
              <w:t>448 c</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65073E" w:rsidRDefault="000A0998">
            <w:pPr>
              <w:pStyle w:val="P68B1DB1-Normal12"/>
              <w:spacing w:after="0" w:line="240" w:lineRule="auto"/>
              <w:jc w:val="center"/>
              <w:rPr>
                <w:rFonts w:eastAsia="Times New Roman" w:cs="Times New Roman"/>
                <w:noProof/>
              </w:rPr>
            </w:pPr>
            <w:r>
              <w:rPr>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65073E" w:rsidRDefault="000A0998">
            <w:pPr>
              <w:pStyle w:val="P68B1DB1-Normal12"/>
              <w:spacing w:after="0" w:line="240" w:lineRule="auto"/>
              <w:jc w:val="center"/>
              <w:rPr>
                <w:rStyle w:val="normaltextrun"/>
                <w:rFonts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B5E7DB6" w:rsidR="0065073E" w:rsidRDefault="000A0998">
            <w:pPr>
              <w:pStyle w:val="P68B1DB1-Normal12"/>
              <w:spacing w:after="0" w:line="240" w:lineRule="auto"/>
              <w:rPr>
                <w:rStyle w:val="normaltextrun"/>
                <w:rFonts w:cs="Times New Roman"/>
                <w:noProof/>
              </w:rPr>
            </w:pPr>
            <w:r>
              <w:rPr>
                <w:noProof/>
              </w:rPr>
              <w:t>Sähköajoneuvoalan tukijärjestelmä (avustukset): Lopullisten edunsaajien kanssa allekirjoitetut oikeudelliset sopimukset tai lopulliset myöntämispäätökset julkaistu</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53099192" w:rsidR="0065073E" w:rsidRDefault="000A0998">
            <w:pPr>
              <w:spacing w:after="0" w:line="240" w:lineRule="auto"/>
              <w:jc w:val="center"/>
              <w:rPr>
                <w:rStyle w:val="normaltextrun"/>
                <w:rFonts w:ascii="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65073E" w:rsidRDefault="0065073E">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65073E" w:rsidRDefault="000A0998">
            <w:pPr>
              <w:pStyle w:val="P68B1DB1-Normal12"/>
              <w:spacing w:after="0" w:line="240" w:lineRule="auto"/>
              <w:jc w:val="center"/>
              <w:rPr>
                <w:rStyle w:val="eop"/>
                <w:rFonts w:cs="Times New Roman"/>
                <w:noProof/>
              </w:rPr>
            </w:pPr>
            <w:r>
              <w:rPr>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65073E" w:rsidRDefault="000A0998">
            <w:pPr>
              <w:pStyle w:val="P68B1DB1-Normal12"/>
              <w:spacing w:after="0" w:line="240" w:lineRule="auto"/>
              <w:jc w:val="center"/>
              <w:rPr>
                <w:rStyle w:val="eop"/>
                <w:rFonts w:cs="Times New Roman"/>
                <w:noProof/>
              </w:rPr>
            </w:pPr>
            <w:r>
              <w:rPr>
                <w:noProof/>
              </w:rPr>
              <w:t>100 %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65073E" w:rsidRDefault="000A0998">
            <w:pPr>
              <w:pStyle w:val="P68B1DB1-Normal12"/>
              <w:spacing w:after="0" w:line="240" w:lineRule="auto"/>
              <w:jc w:val="center"/>
              <w:rPr>
                <w:rStyle w:val="normaltextrun"/>
                <w:rFonts w:cs="Times New Roman"/>
                <w:noProof/>
              </w:rPr>
            </w:pPr>
            <w:r>
              <w:rPr>
                <w:noProof/>
              </w:rPr>
              <w:t>TOINEN VUOSINELJÄNNES</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65073E" w:rsidRDefault="000A0998">
            <w:pPr>
              <w:pStyle w:val="P68B1DB1-Normal12"/>
              <w:spacing w:after="0" w:line="240" w:lineRule="auto"/>
              <w:jc w:val="center"/>
              <w:rPr>
                <w:rStyle w:val="normaltextrun"/>
                <w:rFonts w:cs="Times New Roman"/>
                <w:noProof/>
              </w:rPr>
            </w:pPr>
            <w:r>
              <w:rPr>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258290AC" w:rsidR="0065073E" w:rsidRDefault="000A0998">
            <w:pPr>
              <w:pStyle w:val="P68B1DB1-Normal12"/>
              <w:spacing w:after="0" w:line="240" w:lineRule="auto"/>
              <w:rPr>
                <w:rStyle w:val="normaltextrun"/>
                <w:rFonts w:cs="Times New Roman"/>
                <w:noProof/>
              </w:rPr>
            </w:pPr>
            <w:r>
              <w:rPr>
                <w:noProof/>
              </w:rPr>
              <w:t xml:space="preserve">SEPIDES on julkaissut lopulliset myöntämispäätökset tai tehnyt lopullisten edunsaajien kanssa oikeudellisia rahoitussopimuksia määrästä, joka on tarpeen, jotta 100 prosenttia elpymis- ja palautumistukivälineen investoinneista (mukaan lukien välilliset kustannukset) voidaan käyttää järjestelmään. SEPIDES-ohjelmassa on varmistettava, että vähintään 40 prosentilla tästä rahoituksesta edistetään ilmastotavoitteita elpymis- ja palautumistukivälinettä koskevan asetuksen liitteessä VI esitettyä menetelmää käyttäen.  </w:t>
            </w:r>
          </w:p>
        </w:tc>
      </w:tr>
    </w:tbl>
    <w:p w14:paraId="6ABD5187" w14:textId="40BD7164" w:rsidR="0065073E" w:rsidRDefault="000A0998">
      <w:pPr>
        <w:tabs>
          <w:tab w:val="left" w:pos="1155"/>
        </w:tabs>
        <w:rPr>
          <w:noProof/>
        </w:rPr>
        <w:sectPr w:rsidR="0065073E" w:rsidSect="002F62B4">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134" w:right="1134" w:bottom="1134" w:left="1134" w:header="567" w:footer="567" w:gutter="0"/>
          <w:cols w:space="720"/>
          <w:docGrid w:linePitch="360"/>
        </w:sectPr>
      </w:pPr>
      <w:r>
        <w:rPr>
          <w:noProof/>
        </w:rPr>
        <w:tab/>
      </w:r>
    </w:p>
    <w:p w14:paraId="44231B9C" w14:textId="68CDC3A9" w:rsidR="0065073E" w:rsidRDefault="000A0998">
      <w:pPr>
        <w:tabs>
          <w:tab w:val="left" w:pos="1155"/>
        </w:tabs>
        <w:rPr>
          <w:rFonts w:ascii="Times New Roman" w:hAnsi="Times New Roman" w:cs="Times New Roman"/>
          <w:b/>
          <w:noProof/>
          <w:sz w:val="24"/>
          <w:u w:val="single"/>
        </w:rPr>
      </w:pPr>
      <w:r>
        <w:rPr>
          <w:rFonts w:ascii="Times New Roman" w:hAnsi="Times New Roman"/>
          <w:b/>
          <w:noProof/>
          <w:sz w:val="24"/>
          <w:u w:val="single"/>
        </w:rPr>
        <w:t xml:space="preserve">I.3. </w:t>
      </w:r>
      <w:r>
        <w:rPr>
          <w:noProof/>
        </w:rPr>
        <w:t xml:space="preserve"> </w:t>
      </w:r>
      <w:r>
        <w:rPr>
          <w:rFonts w:ascii="Times New Roman" w:hAnsi="Times New Roman"/>
          <w:b/>
          <w:noProof/>
          <w:sz w:val="24"/>
          <w:u w:val="single"/>
        </w:rPr>
        <w:t xml:space="preserve">Lainatukeen liittyvien uudistusten ja investointien kuvaus </w:t>
      </w:r>
    </w:p>
    <w:p w14:paraId="11E71760" w14:textId="30B44000" w:rsidR="0065073E" w:rsidRDefault="000A0998">
      <w:pPr>
        <w:spacing w:before="120" w:after="120" w:line="240" w:lineRule="auto"/>
        <w:jc w:val="both"/>
        <w:rPr>
          <w:rStyle w:val="normaltextrun"/>
          <w:rFonts w:ascii="Times New Roman" w:hAnsi="Times New Roman" w:cs="Times New Roman"/>
          <w:noProof/>
          <w:sz w:val="24"/>
          <w:u w:val="single"/>
        </w:rPr>
      </w:pPr>
      <w:r>
        <w:rPr>
          <w:rStyle w:val="normaltextrun"/>
          <w:rFonts w:ascii="Times New Roman" w:hAnsi="Times New Roman"/>
          <w:noProof/>
          <w:sz w:val="24"/>
          <w:u w:val="single"/>
        </w:rPr>
        <w:t xml:space="preserve">Investointi 7 (C12.I7) – Tukijärjestelmä sähköautojen ja maatalouselintarvikkeiden arvoketjun strategisille hankkeille (lainat)  </w:t>
      </w:r>
    </w:p>
    <w:p w14:paraId="2D7B7ECE" w14:textId="617414B4"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Tämä toimenpide koostuu julkisesta investoinnista tukijärjestelmään, jolla kannustetaan yksityisiä investointeja sähköautojen ja maatalouselintarvikkeiden arvoketjuun lainojen avulla. Järjestelmällä edistetään strategisten alojen, kuten autoteollisuuden ja sähköajoneuvojen sekä maatalouselintarvikealan, muutosta myöntämällä lainoja yksityiselle sektorille ministerineuvoston hyväksymien strategisten hankkeiden tai PERTE-hankkeiden puitteissa. Elpymis- ja palautumistukivälineen investointien perusteella järjestelmän tavoitteena on tarjota aluksi vähintään 1200000000 euroa rahoitusta.</w:t>
      </w:r>
    </w:p>
    <w:p w14:paraId="75BC80EB" w14:textId="6110EE7D"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SEPIDES hallinnoi järjestelmää toteutuskumppanina. Asiaa koskevalla säädöksellä SEPIDES muutetaan julkiseksi yritykseksi tämän investoinnin toteuttamiseksi (tämä on Espanjan elpymis- ja palautumissuunnitelman osan 31 investoinnin 6 välitavoite).</w:t>
      </w:r>
    </w:p>
    <w:p w14:paraId="5BAAC0A3" w14:textId="2CAC0404"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Ohjelmaan tehtävän investoinnin toteuttamiseksi hallituksen on hyväksyttävä yksi tai useampi oikeudellinen väline, jolla lainajärjestelmä perustetaan ja joihin on sisällyttävä seuraavat osatekijät:  </w:t>
      </w:r>
    </w:p>
    <w:p w14:paraId="40AD246D" w14:textId="1C102706"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päätöksentekoprosessin kuvaus: Investointikomitea tai muu vastaava hallintoelin arvioi hakemukset ja valitsee tuensaajat, jotka otetaan huomioon lopullisissa myöntämispäätöksissä tai investointipäätöksissä, ja ne hyväksytään Espanjan hallituksesta riippumattomien jäsenten äänten enemmistöllä, mikä tarkoittaa, että heidän on oltava joko SEPIDESin palveluksessa olevaa henkilöstöä ja/tai muita riippumattomia asiantuntijoita. Ohjelman lopullinen investointipäätös rajoittuu investointikomitean tai vastaavan hallintoelimen ehdottaman sijoituspäätöksen hyväksymiseen (ilman muutoksia) tai veto-oikeuden käyttämiseen.</w:t>
      </w:r>
    </w:p>
    <w:p w14:paraId="4D5B4310" w14:textId="7026476A"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Tukikelpoisten alojen vihreään ja digitaaliseen muutokseen liittyvien toimien luettelo, jonka määrä on vähintään 1200000000 euroa. Toimenpiteellä tuetaan innovatiivisia hankkeita, joihin liittyy merkittävää teollista muutosta alan energiatehokkuuden, kestävyyden ja digitalisaation kannalta.</w:t>
      </w:r>
    </w:p>
    <w:p w14:paraId="4C761E5C" w14:textId="58DF97DE"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Vaatimus noudattaa ”ei merkittävää haittaa” -periaatetta elpymis- ja palautumistukivälineen puitteissa (2021/C58/01), sellaisena kuin se esitetään ”ei merkittävää haittaa” -periaatetta (2021/C58/01): I) fossiilisiin polttoaineisiin liittyvät toiminnot ja omaisuuserät, mukaan lukien loppupään käyttö,</w:t>
      </w:r>
      <w:r>
        <w:rPr>
          <w:rStyle w:val="FootnoteReference"/>
          <w:rFonts w:ascii="Times New Roman" w:hAnsi="Times New Roman" w:cs="Times New Roman"/>
          <w:noProof/>
          <w:sz w:val="24"/>
        </w:rPr>
        <w:footnoteReference w:id="61"/>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62"/>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63"/>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64"/>
      </w:r>
      <w:r>
        <w:rPr>
          <w:rFonts w:ascii="Times New Roman" w:hAnsi="Times New Roman"/>
          <w:noProof/>
          <w:sz w:val="24"/>
        </w:rPr>
        <w:t xml:space="preserve">. Lisäksi oikeudellisissa välineissä on edellytettävä, että lainajärjestelmien lopulliset edunsaajat noudattavat asiaankuuluvaa EU:n ja kansallista ympäristölainsäädäntöä. 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w:t>
      </w:r>
    </w:p>
    <w:p w14:paraId="6A777BC6" w14:textId="3B57BCBC"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SEPIDESin toteuttamia ilmastoinvestointeja koskevat vaatimukset: vähintään 480000000 eurolla elpymis- ja palautumistukivälineestä järjestelmään tehtävällä investoinnilla on edistettävä ilmastonmuutosta koskevia tavoitteita elpymis- ja palautumistukivälinettä koskevan asetuksen liitteen VI mukaisesti.</w:t>
      </w:r>
      <w:r>
        <w:rPr>
          <w:rStyle w:val="FootnoteReference"/>
          <w:rFonts w:ascii="Times New Roman" w:hAnsi="Times New Roman" w:cs="Times New Roman"/>
          <w:noProof/>
          <w:sz w:val="24"/>
        </w:rPr>
        <w:footnoteReference w:id="65"/>
      </w:r>
    </w:p>
    <w:p w14:paraId="04D4384B" w14:textId="0238DFEC"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Vaatimus, jonka mukaan lainajärjestelmän lopulliset edunsaajat eivät saa saada tukea muista unionin välineistä samojen kustannusten kattamiseksi.</w:t>
      </w:r>
    </w:p>
    <w:p w14:paraId="5C805529" w14:textId="4B42B69B" w:rsidR="0065073E" w:rsidRDefault="000A099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kattama määrä ja vaatimus, jonka mukaan lainajärjestelmästä mahdollisesti saatavat käyttämättömät tulot on investoitava uudelleen edellä lueteltuihin toimintoihin, myös vuoden 2026 jälkeen.</w:t>
      </w:r>
    </w:p>
    <w:p w14:paraId="58DF67AB" w14:textId="77777777"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Investoinnin toteutus on saatettava päätökseen 31 päivään elokuuta 2026 mennessä.</w:t>
      </w:r>
    </w:p>
    <w:p w14:paraId="6117EFB0" w14:textId="77777777"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L.4 </w:t>
      </w:r>
      <w:r>
        <w:rPr>
          <w:noProof/>
        </w:rPr>
        <w:t xml:space="preserve"> </w:t>
      </w:r>
      <w:r>
        <w:rPr>
          <w:rFonts w:ascii="Times New Roman" w:hAnsi="Times New Roman"/>
          <w:b/>
          <w:noProof/>
          <w:sz w:val="24"/>
          <w:u w:val="single"/>
        </w:rPr>
        <w:t>Lainatuen seurannan ja täytäntöönpanon välitavoitteet, tavoitteet, indikaattorit ja aikataulu</w:t>
      </w:r>
    </w:p>
    <w:p w14:paraId="1A09251C" w14:textId="77777777" w:rsidR="0065073E" w:rsidRDefault="000A0998">
      <w:pPr>
        <w:pStyle w:val="P68B1DB1-Normal4"/>
        <w:rPr>
          <w:i/>
          <w:noProof/>
        </w:rPr>
        <w:sectPr w:rsidR="0065073E" w:rsidSect="002F62B4">
          <w:headerReference w:type="even" r:id="rId282"/>
          <w:headerReference w:type="default" r:id="rId283"/>
          <w:footerReference w:type="even" r:id="rId284"/>
          <w:footerReference w:type="default" r:id="rId285"/>
          <w:headerReference w:type="first" r:id="rId286"/>
          <w:footerReference w:type="first" r:id="rId287"/>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4"/>
        <w:gridCol w:w="828"/>
        <w:gridCol w:w="827"/>
        <w:gridCol w:w="1241"/>
        <w:gridCol w:w="1103"/>
        <w:gridCol w:w="691"/>
        <w:gridCol w:w="966"/>
        <w:gridCol w:w="558"/>
        <w:gridCol w:w="415"/>
        <w:gridCol w:w="553"/>
        <w:gridCol w:w="7435"/>
      </w:tblGrid>
      <w:tr w:rsidR="0065073E" w14:paraId="59E9ABC6" w14:textId="77777777">
        <w:trPr>
          <w:trHeight w:val="309"/>
          <w:tblHeader/>
        </w:trPr>
        <w:tc>
          <w:tcPr>
            <w:tcW w:w="8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65073E" w:rsidRDefault="000A0998">
            <w:pPr>
              <w:pStyle w:val="P68B1DB1-Normal8"/>
              <w:spacing w:after="0" w:line="240" w:lineRule="auto"/>
              <w:jc w:val="both"/>
              <w:rPr>
                <w:rFonts w:cs="Times New Roman"/>
                <w:noProof/>
              </w:rPr>
            </w:pPr>
            <w:r>
              <w:rPr>
                <w:noProof/>
              </w:rPr>
              <w:t>Määrä</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65073E" w:rsidRDefault="000A0998">
            <w:pPr>
              <w:pStyle w:val="P68B1DB1-Normal8"/>
              <w:spacing w:after="0" w:line="240" w:lineRule="auto"/>
              <w:jc w:val="center"/>
              <w:rPr>
                <w:rFonts w:cs="Times New Roman"/>
                <w:noProof/>
              </w:rPr>
            </w:pPr>
            <w:r>
              <w:rPr>
                <w:noProof/>
              </w:rPr>
              <w:t>Toimenpide</w:t>
            </w:r>
          </w:p>
        </w:tc>
        <w:tc>
          <w:tcPr>
            <w:tcW w:w="8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77777777" w:rsidR="0065073E" w:rsidRDefault="000A0998">
            <w:pPr>
              <w:spacing w:after="0" w:line="240" w:lineRule="auto"/>
              <w:jc w:val="center"/>
              <w:rPr>
                <w:rFonts w:ascii="Times New Roman" w:hAnsi="Times New Roman" w:cs="Times New Roman"/>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2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65073E" w:rsidRDefault="000A0998">
            <w:pPr>
              <w:pStyle w:val="P68B1DB1-Normal8"/>
              <w:spacing w:after="0" w:line="240" w:lineRule="auto"/>
              <w:jc w:val="center"/>
              <w:rPr>
                <w:rFonts w:cs="Times New Roman"/>
                <w:noProof/>
              </w:rPr>
            </w:pPr>
            <w:r>
              <w:rPr>
                <w:noProof/>
              </w:rPr>
              <w:t>Nimi</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65073E" w:rsidRDefault="0065073E">
            <w:pPr>
              <w:spacing w:after="0" w:line="240" w:lineRule="auto"/>
              <w:jc w:val="center"/>
              <w:rPr>
                <w:rFonts w:ascii="Times New Roman" w:hAnsi="Times New Roman" w:cs="Times New Roman"/>
                <w:noProof/>
                <w:sz w:val="18"/>
              </w:rPr>
            </w:pPr>
          </w:p>
        </w:tc>
        <w:tc>
          <w:tcPr>
            <w:tcW w:w="18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65073E" w:rsidRDefault="000A0998">
            <w:pPr>
              <w:pStyle w:val="P68B1DB1-Normal8"/>
              <w:spacing w:after="0" w:line="240" w:lineRule="auto"/>
              <w:jc w:val="center"/>
              <w:rPr>
                <w:rFonts w:cs="Times New Roman"/>
                <w:noProof/>
              </w:rPr>
            </w:pPr>
            <w:r>
              <w:rPr>
                <w:noProof/>
              </w:rPr>
              <w:t>Aika</w:t>
            </w:r>
          </w:p>
        </w:tc>
        <w:tc>
          <w:tcPr>
            <w:tcW w:w="76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65073E" w:rsidRDefault="0065073E">
            <w:pPr>
              <w:spacing w:after="0" w:line="240" w:lineRule="auto"/>
              <w:jc w:val="center"/>
              <w:rPr>
                <w:rFonts w:ascii="Times New Roman" w:hAnsi="Times New Roman" w:cs="Times New Roman"/>
                <w:noProof/>
                <w:sz w:val="18"/>
              </w:rPr>
            </w:pPr>
          </w:p>
          <w:p w14:paraId="2872DF35"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1B8C6DE" w14:textId="77777777">
        <w:trPr>
          <w:trHeight w:val="309"/>
          <w:tblHeader/>
        </w:trPr>
        <w:tc>
          <w:tcPr>
            <w:tcW w:w="855" w:type="dxa"/>
            <w:vMerge/>
            <w:noWrap/>
          </w:tcPr>
          <w:p w14:paraId="746FBB9E" w14:textId="77777777" w:rsidR="0065073E" w:rsidRDefault="0065073E">
            <w:pPr>
              <w:spacing w:after="0" w:line="240" w:lineRule="auto"/>
              <w:jc w:val="center"/>
              <w:rPr>
                <w:rFonts w:ascii="Times New Roman" w:hAnsi="Times New Roman" w:cs="Times New Roman"/>
                <w:noProof/>
                <w:sz w:val="18"/>
              </w:rPr>
            </w:pPr>
          </w:p>
        </w:tc>
        <w:tc>
          <w:tcPr>
            <w:tcW w:w="850" w:type="dxa"/>
            <w:vMerge/>
            <w:noWrap/>
          </w:tcPr>
          <w:p w14:paraId="7D7DA3CA" w14:textId="77777777" w:rsidR="0065073E" w:rsidRDefault="0065073E">
            <w:pPr>
              <w:spacing w:after="0" w:line="240" w:lineRule="auto"/>
              <w:jc w:val="center"/>
              <w:rPr>
                <w:rFonts w:ascii="Times New Roman" w:hAnsi="Times New Roman" w:cs="Times New Roman"/>
                <w:noProof/>
                <w:sz w:val="18"/>
              </w:rPr>
            </w:pPr>
          </w:p>
        </w:tc>
        <w:tc>
          <w:tcPr>
            <w:tcW w:w="849" w:type="dxa"/>
            <w:vMerge/>
            <w:noWrap/>
          </w:tcPr>
          <w:p w14:paraId="58018547" w14:textId="77777777" w:rsidR="0065073E" w:rsidRDefault="0065073E">
            <w:pPr>
              <w:spacing w:after="0" w:line="240" w:lineRule="auto"/>
              <w:jc w:val="center"/>
              <w:rPr>
                <w:rFonts w:ascii="Times New Roman" w:hAnsi="Times New Roman" w:cs="Times New Roman"/>
                <w:noProof/>
                <w:sz w:val="18"/>
              </w:rPr>
            </w:pPr>
          </w:p>
        </w:tc>
        <w:tc>
          <w:tcPr>
            <w:tcW w:w="1275" w:type="dxa"/>
            <w:vMerge/>
            <w:noWrap/>
          </w:tcPr>
          <w:p w14:paraId="4D62C93D" w14:textId="77777777" w:rsidR="0065073E" w:rsidRDefault="0065073E">
            <w:pPr>
              <w:spacing w:after="0" w:line="240" w:lineRule="auto"/>
              <w:jc w:val="center"/>
              <w:rPr>
                <w:rFonts w:ascii="Times New Roman" w:hAnsi="Times New Roman" w:cs="Times New Roman"/>
                <w:noProof/>
                <w:sz w:val="18"/>
              </w:rPr>
            </w:pP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65073E" w:rsidRDefault="000A0998">
            <w:pPr>
              <w:pStyle w:val="P68B1DB1-Normal8"/>
              <w:spacing w:after="0" w:line="240" w:lineRule="auto"/>
              <w:jc w:val="center"/>
              <w:rPr>
                <w:rFonts w:cs="Times New Roman"/>
                <w:noProof/>
              </w:rPr>
            </w:pPr>
            <w:r>
              <w:rPr>
                <w:noProof/>
              </w:rPr>
              <w:t>Yksikkö</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40415EE8" w:rsidR="0065073E" w:rsidRDefault="000A0998">
            <w:pPr>
              <w:pStyle w:val="P68B1DB1-Normal8"/>
              <w:spacing w:after="0" w:line="240" w:lineRule="auto"/>
              <w:jc w:val="center"/>
              <w:rPr>
                <w:rFonts w:cs="Times New Roman"/>
                <w:noProof/>
              </w:rPr>
            </w:pPr>
            <w:r>
              <w:rPr>
                <w:noProof/>
              </w:rPr>
              <w:t>Lähtötaso</w:t>
            </w:r>
          </w:p>
        </w:tc>
        <w:tc>
          <w:tcPr>
            <w:tcW w:w="5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65073E" w:rsidRDefault="000A0998">
            <w:pPr>
              <w:pStyle w:val="P68B1DB1-Normal8"/>
              <w:spacing w:after="0" w:line="240" w:lineRule="auto"/>
              <w:jc w:val="center"/>
              <w:rPr>
                <w:rFonts w:cs="Times New Roman"/>
                <w:noProof/>
              </w:rPr>
            </w:pPr>
            <w:r>
              <w:rPr>
                <w:noProof/>
              </w:rPr>
              <w:t>Päämäärä</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65073E" w:rsidRDefault="000A0998">
            <w:pPr>
              <w:pStyle w:val="P68B1DB1-Normal8"/>
              <w:spacing w:after="0" w:line="240" w:lineRule="auto"/>
              <w:jc w:val="center"/>
              <w:rPr>
                <w:rFonts w:cs="Times New Roman"/>
                <w:noProof/>
              </w:rPr>
            </w:pPr>
            <w:r>
              <w:rPr>
                <w:noProof/>
              </w:rPr>
              <w:t>Q</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65073E" w:rsidRDefault="000A0998">
            <w:pPr>
              <w:pStyle w:val="P68B1DB1-Normal8"/>
              <w:spacing w:after="0" w:line="240" w:lineRule="auto"/>
              <w:jc w:val="center"/>
              <w:rPr>
                <w:rFonts w:cs="Times New Roman"/>
                <w:noProof/>
              </w:rPr>
            </w:pPr>
            <w:r>
              <w:rPr>
                <w:noProof/>
              </w:rPr>
              <w:t>Vuosi</w:t>
            </w:r>
          </w:p>
        </w:tc>
        <w:tc>
          <w:tcPr>
            <w:tcW w:w="7649" w:type="dxa"/>
            <w:vMerge/>
            <w:noWrap/>
          </w:tcPr>
          <w:p w14:paraId="57667C3B" w14:textId="77777777" w:rsidR="0065073E" w:rsidRDefault="0065073E">
            <w:pPr>
              <w:spacing w:after="0" w:line="240" w:lineRule="auto"/>
              <w:jc w:val="center"/>
              <w:rPr>
                <w:rFonts w:ascii="Times New Roman" w:hAnsi="Times New Roman" w:cs="Times New Roman"/>
                <w:noProof/>
                <w:sz w:val="18"/>
              </w:rPr>
            </w:pPr>
          </w:p>
        </w:tc>
      </w:tr>
      <w:tr w:rsidR="0065073E" w14:paraId="7244BAF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65073E" w:rsidRDefault="000A0998">
            <w:pPr>
              <w:pStyle w:val="P68B1DB1-Normal12"/>
              <w:spacing w:line="240" w:lineRule="auto"/>
              <w:jc w:val="center"/>
              <w:rPr>
                <w:rFonts w:cs="Times New Roman"/>
                <w:noProof/>
              </w:rPr>
            </w:pPr>
            <w:r>
              <w:rPr>
                <w:noProof/>
              </w:rPr>
              <w:t>L22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65073E" w:rsidRDefault="000A0998">
            <w:pPr>
              <w:pStyle w:val="P68B1DB1-Normal12"/>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65073E" w:rsidRDefault="000A0998">
            <w:pPr>
              <w:pStyle w:val="P68B1DB1-Normal12"/>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51D3085A" w:rsidR="0065073E" w:rsidRDefault="000A0998">
            <w:pPr>
              <w:pStyle w:val="P68B1DB1-Normal12"/>
              <w:spacing w:line="240" w:lineRule="auto"/>
              <w:rPr>
                <w:rFonts w:cs="Times New Roman"/>
                <w:noProof/>
              </w:rPr>
            </w:pPr>
            <w:r>
              <w:rPr>
                <w:noProof/>
              </w:rPr>
              <w:t>Sähköautojen ja maatalouselintarvikkeiden (lainat) arvoketjuun liittyvien strategisten hankkeiden tukijärjestelmä: Ministeriö on saanut investoinnin päätökseen</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559A8AF6" w:rsidR="0065073E" w:rsidRDefault="000A0998">
            <w:pPr>
              <w:pStyle w:val="P68B1DB1-Normal12"/>
              <w:spacing w:line="240" w:lineRule="auto"/>
              <w:jc w:val="center"/>
              <w:rPr>
                <w:rFonts w:cs="Times New Roman"/>
                <w:noProof/>
              </w:rPr>
            </w:pPr>
            <w:r>
              <w:rPr>
                <w:noProof/>
              </w:rPr>
              <w:t>Todistus maksun suorittamisesta SEPIDES-järjestelmään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65073E" w:rsidRDefault="0065073E">
            <w:pPr>
              <w:spacing w:line="240" w:lineRule="auto"/>
              <w:jc w:val="right"/>
              <w:rPr>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65073E" w:rsidRDefault="0065073E">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65073E" w:rsidRDefault="0065073E">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65073E" w:rsidRDefault="000A0998">
            <w:pPr>
              <w:pStyle w:val="P68B1DB1-Normal12"/>
              <w:spacing w:line="240" w:lineRule="auto"/>
              <w:jc w:val="center"/>
              <w:rPr>
                <w:rFonts w:cs="Times New Roman"/>
                <w:noProof/>
              </w:rPr>
            </w:pPr>
            <w:r>
              <w:rPr>
                <w:noProof/>
              </w:rPr>
              <w:t>TOINEN VUOSINELJÄNNES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65073E" w:rsidRDefault="000A0998">
            <w:pPr>
              <w:pStyle w:val="P68B1DB1-Normal12"/>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24D1DADB" w:rsidR="0065073E" w:rsidRDefault="000A0998">
            <w:pPr>
              <w:pStyle w:val="P68B1DB1-Normal12"/>
              <w:spacing w:line="240" w:lineRule="auto"/>
              <w:rPr>
                <w:rFonts w:cs="Times New Roman"/>
                <w:noProof/>
              </w:rPr>
            </w:pPr>
            <w:r>
              <w:rPr>
                <w:noProof/>
              </w:rPr>
              <w:t>Espanjan on siirrettävä SEPIDES-järjestelmään 1200000000 euroa ohjelmaa varten.</w:t>
            </w:r>
          </w:p>
        </w:tc>
      </w:tr>
      <w:tr w:rsidR="0065073E" w14:paraId="623D914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65073E" w:rsidRDefault="000A0998">
            <w:pPr>
              <w:pStyle w:val="P68B1DB1-Normal12"/>
              <w:spacing w:line="240" w:lineRule="auto"/>
              <w:jc w:val="center"/>
              <w:rPr>
                <w:rFonts w:cs="Times New Roman"/>
                <w:noProof/>
              </w:rPr>
            </w:pPr>
            <w:r>
              <w:rPr>
                <w:noProof/>
              </w:rPr>
              <w:t>L23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65073E" w:rsidRDefault="000A0998">
            <w:pPr>
              <w:pStyle w:val="P68B1DB1-Normal12"/>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65073E" w:rsidRDefault="000A0998">
            <w:pPr>
              <w:pStyle w:val="P68B1DB1-Normal12"/>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44A54ACF" w:rsidR="0065073E" w:rsidRDefault="000A0998">
            <w:pPr>
              <w:pStyle w:val="P68B1DB1-Normal12"/>
              <w:spacing w:line="240" w:lineRule="auto"/>
              <w:rPr>
                <w:rFonts w:cs="Times New Roman"/>
                <w:noProof/>
              </w:rPr>
            </w:pPr>
            <w:r>
              <w:rPr>
                <w:noProof/>
              </w:rPr>
              <w:t>Sähköautojen ja maatalouselintarvikkeiden (lainat) arvoketjuun liittyvien strategisten hankkeiden tukijärjestelmä: Järjestelmän perustaminen</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1433AF49" w:rsidR="0065073E" w:rsidRDefault="000A0998">
            <w:pPr>
              <w:pStyle w:val="P68B1DB1-Normal12"/>
              <w:spacing w:line="240" w:lineRule="auto"/>
              <w:jc w:val="center"/>
              <w:rPr>
                <w:rFonts w:cs="Times New Roman"/>
                <w:noProof/>
              </w:rPr>
            </w:pPr>
            <w:r>
              <w:rPr>
                <w:noProof/>
              </w:rPr>
              <w:t>Asiaa koskevan oikeudellisen välineen (asiaankuuluvien säädösten)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65073E" w:rsidRDefault="0065073E">
            <w:pPr>
              <w:spacing w:line="240" w:lineRule="auto"/>
              <w:jc w:val="right"/>
              <w:rPr>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65073E" w:rsidRDefault="0065073E">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65073E" w:rsidRDefault="0065073E">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65073E" w:rsidRDefault="000A0998">
            <w:pPr>
              <w:pStyle w:val="P68B1DB1-Normal12"/>
              <w:spacing w:line="240" w:lineRule="auto"/>
              <w:jc w:val="center"/>
              <w:rPr>
                <w:rFonts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65073E" w:rsidRDefault="000A0998">
            <w:pPr>
              <w:pStyle w:val="P68B1DB1-Normal12"/>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453776CF" w:rsidR="0065073E" w:rsidRDefault="000A0998">
            <w:pPr>
              <w:pStyle w:val="P68B1DB1-Normal12"/>
              <w:spacing w:line="240" w:lineRule="auto"/>
              <w:rPr>
                <w:rFonts w:cs="Times New Roman"/>
                <w:noProof/>
              </w:rPr>
            </w:pPr>
            <w:r>
              <w:rPr>
                <w:noProof/>
              </w:rPr>
              <w:t>Lainajärjestelmän perustamista koskevan yhden tai useamman säädöksen voimaantulo toimenpiteen kuvauksessa täsmennettyjen vaatimusten mukaisesti</w:t>
            </w:r>
          </w:p>
        </w:tc>
      </w:tr>
      <w:tr w:rsidR="0065073E" w14:paraId="50F64876"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65073E" w:rsidRDefault="000A0998">
            <w:pPr>
              <w:pStyle w:val="P68B1DB1-Normal12"/>
              <w:spacing w:line="240" w:lineRule="auto"/>
              <w:jc w:val="center"/>
              <w:rPr>
                <w:rFonts w:cs="Times New Roman"/>
                <w:noProof/>
              </w:rPr>
            </w:pPr>
            <w:r>
              <w:rPr>
                <w:noProof/>
              </w:rPr>
              <w:t>L24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65073E" w:rsidRDefault="000A0998">
            <w:pPr>
              <w:pStyle w:val="P68B1DB1-Normal12"/>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65073E" w:rsidRDefault="000A0998">
            <w:pPr>
              <w:pStyle w:val="P68B1DB1-Normal12"/>
              <w:spacing w:line="240" w:lineRule="auto"/>
              <w:jc w:val="center"/>
              <w:rPr>
                <w:rFonts w:cs="Times New Roman"/>
                <w:noProof/>
              </w:rPr>
            </w:pPr>
            <w:r>
              <w:rPr>
                <w:noProof/>
              </w:rPr>
              <w:t>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4B291270" w:rsidR="0065073E" w:rsidRDefault="000A0998">
            <w:pPr>
              <w:spacing w:line="240" w:lineRule="auto"/>
              <w:rPr>
                <w:rFonts w:ascii="Times New Roman" w:hAnsi="Times New Roman" w:cs="Times New Roman"/>
                <w:noProof/>
                <w:sz w:val="18"/>
              </w:rPr>
            </w:pPr>
            <w:r>
              <w:rPr>
                <w:rStyle w:val="normaltextrun"/>
                <w:rFonts w:ascii="Times New Roman" w:hAnsi="Times New Roman"/>
                <w:noProof/>
                <w:sz w:val="18"/>
              </w:rPr>
              <w:t>Sähköautojen ja maatalouselintarvikkeiden (lainat) arvoketjuun liittyvien strategisten hankkeiden tukijärjestelmä: Lopullisten edunsaajien kanssa allekirjoitetut oikeudelliset sopimukset tai lopulliset myöntämispäätökset julkaistu</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1B51D9F" w:rsidR="0065073E" w:rsidRDefault="000A0998">
            <w:pPr>
              <w:spacing w:line="240" w:lineRule="auto"/>
              <w:jc w:val="center"/>
              <w:rPr>
                <w:rFonts w:ascii="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65073E" w:rsidRDefault="0065073E">
            <w:pPr>
              <w:spacing w:line="240" w:lineRule="auto"/>
              <w:jc w:val="right"/>
              <w:rPr>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65073E" w:rsidRDefault="000A0998">
            <w:pPr>
              <w:pStyle w:val="P68B1DB1-Normal12"/>
              <w:spacing w:line="240" w:lineRule="auto"/>
              <w:jc w:val="right"/>
              <w:rPr>
                <w:rFonts w:cs="Times New Roman"/>
                <w:noProof/>
              </w:rPr>
            </w:pPr>
            <w:r>
              <w:rPr>
                <w:noProof/>
              </w:rPr>
              <w:t>0</w:t>
            </w: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65073E" w:rsidRDefault="000A0998">
            <w:pPr>
              <w:pStyle w:val="P68B1DB1-Normal12"/>
              <w:spacing w:line="240" w:lineRule="auto"/>
              <w:jc w:val="right"/>
              <w:rPr>
                <w:rFonts w:cs="Times New Roman"/>
                <w:noProof/>
              </w:rPr>
            </w:pPr>
            <w:r>
              <w:rPr>
                <w:noProof/>
              </w:rPr>
              <w:t>100 %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65073E" w:rsidRDefault="000A0998">
            <w:pPr>
              <w:pStyle w:val="P68B1DB1-Normal12"/>
              <w:spacing w:line="240" w:lineRule="auto"/>
              <w:jc w:val="center"/>
              <w:rPr>
                <w:rFonts w:cs="Times New Roman"/>
                <w:noProof/>
              </w:rPr>
            </w:pPr>
            <w:r>
              <w:rPr>
                <w:noProof/>
              </w:rPr>
              <w:t>TOINEN VUOSINELJÄNNES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65073E" w:rsidRDefault="000A0998">
            <w:pPr>
              <w:pStyle w:val="P68B1DB1-Normal12"/>
              <w:spacing w:line="240" w:lineRule="auto"/>
              <w:jc w:val="center"/>
              <w:rPr>
                <w:rFonts w:cs="Times New Roman"/>
                <w:noProof/>
              </w:rPr>
            </w:pPr>
            <w:r>
              <w:rPr>
                <w:noProof/>
              </w:rPr>
              <w:t>2026</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527CA666" w:rsidR="0065073E" w:rsidRDefault="000A0998">
            <w:pPr>
              <w:pStyle w:val="P68B1DB1-Normal12"/>
              <w:spacing w:line="240" w:lineRule="auto"/>
              <w:rPr>
                <w:rFonts w:cs="Times New Roman"/>
                <w:noProof/>
              </w:rPr>
            </w:pPr>
            <w:r>
              <w:rPr>
                <w:noProof/>
              </w:rPr>
              <w:t xml:space="preserve">SEPIDES on julkaissut lopulliset myöntämispäätökset tai tehnyt lopullisten edunsaajien kanssa oikeudellisia rahoitussopimuksia määrästä, joka on tarpeen, jotta 100 prosenttia elpymis- ja palautumistukivälineen investoinneista (mukaan lukien välilliset kustannukset) voidaan käyttää järjestelmään. SEPIDES-ohjelmassa on varmistettava, että vähintään 40 prosentilla tästä rahoituksesta edistetään ilmastotavoitteita elpymis- ja palautumistukivälinettä koskevan asetuksen liitteessä VI esitettyä menetelmää käyttäen.  </w:t>
            </w:r>
          </w:p>
        </w:tc>
      </w:tr>
    </w:tbl>
    <w:p w14:paraId="61B83AA7" w14:textId="77777777" w:rsidR="0065073E" w:rsidRDefault="0065073E">
      <w:pPr>
        <w:rPr>
          <w:rFonts w:ascii="Times New Roman" w:hAnsi="Times New Roman" w:cs="Times New Roman"/>
          <w:noProof/>
        </w:rPr>
      </w:pPr>
    </w:p>
    <w:p w14:paraId="50261866" w14:textId="77777777" w:rsidR="0065073E" w:rsidRDefault="0065073E">
      <w:pPr>
        <w:spacing w:before="120" w:after="120" w:line="240" w:lineRule="auto"/>
        <w:ind w:left="709"/>
        <w:jc w:val="both"/>
        <w:rPr>
          <w:rFonts w:ascii="Times New Roman" w:hAnsi="Times New Roman" w:cs="Times New Roman"/>
          <w:noProof/>
          <w:sz w:val="24"/>
        </w:rPr>
        <w:sectPr w:rsidR="0065073E" w:rsidSect="002F62B4">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134" w:right="1134" w:bottom="1134" w:left="1134" w:header="567" w:footer="567" w:gutter="0"/>
          <w:cols w:space="720"/>
          <w:docGrid w:linePitch="360"/>
        </w:sectPr>
      </w:pPr>
    </w:p>
    <w:p w14:paraId="6082D2A6" w14:textId="77777777" w:rsidR="0065073E" w:rsidRDefault="000A0998">
      <w:pPr>
        <w:pStyle w:val="P68B1DB1-Heading12"/>
        <w:rPr>
          <w:rFonts w:cs="Times New Roman"/>
          <w:noProof/>
        </w:rPr>
      </w:pPr>
      <w:r>
        <w:rPr>
          <w:noProof/>
        </w:rPr>
        <w:t xml:space="preserve">M. OSA 13: Pk-yritysten tukeminen  </w:t>
      </w:r>
    </w:p>
    <w:p w14:paraId="15D82318" w14:textId="1EB0591F" w:rsidR="0065073E" w:rsidRDefault="000A0998">
      <w:pPr>
        <w:pStyle w:val="P68B1DB1-Text118"/>
        <w:ind w:left="0"/>
        <w:rPr>
          <w:rFonts w:cs="Times New Roman"/>
          <w:noProof/>
        </w:rPr>
      </w:pPr>
      <w:r>
        <w:rPr>
          <w:noProof/>
        </w:rPr>
        <w:t xml:space="preserve">Pienillä ja keskisuurilla yrityksillä (pk-yrityksillä) on keskeinen rooli EU:n ja Espanjan taloudessa erityisesti silloin, kun pk-yritysten osuus kansallisesta BKT:stä on suurempi ja yritysten keskimääräinen koko on pienempi kuin EU:ssa keskimäärin. </w:t>
      </w:r>
    </w:p>
    <w:p w14:paraId="1FC6FBB4" w14:textId="0C4D676D" w:rsidR="0065073E" w:rsidRDefault="000A0998">
      <w:pPr>
        <w:pStyle w:val="Text1"/>
        <w:ind w:left="0"/>
        <w:rPr>
          <w:rFonts w:ascii="Times New Roman" w:hAnsi="Times New Roman" w:cs="Times New Roman"/>
          <w:noProof/>
        </w:rPr>
      </w:pPr>
      <w:r>
        <w:rPr>
          <w:rFonts w:ascii="Times New Roman" w:hAnsi="Times New Roman"/>
          <w:noProof/>
        </w:rPr>
        <w:t xml:space="preserve">Tällä </w:t>
      </w:r>
      <w:r>
        <w:rPr>
          <w:rStyle w:val="IntenseEmphasis"/>
          <w:rFonts w:ascii="Times New Roman" w:hAnsi="Times New Roman"/>
          <w:i w:val="0"/>
          <w:noProof/>
          <w:color w:val="auto"/>
        </w:rPr>
        <w:t>Espanjan elpymis- ja palautumissuunnitelman</w:t>
      </w:r>
      <w:r>
        <w:rPr>
          <w:rFonts w:ascii="Times New Roman" w:hAnsi="Times New Roman"/>
          <w:noProof/>
        </w:rPr>
        <w:t>osa-alueella</w:t>
      </w:r>
      <w:r>
        <w:rPr>
          <w:rStyle w:val="IntenseEmphasis"/>
          <w:rFonts w:ascii="Times New Roman" w:hAnsi="Times New Roman"/>
          <w:noProof/>
          <w:color w:val="auto"/>
        </w:rPr>
        <w:t xml:space="preserve"> </w:t>
      </w:r>
      <w:r>
        <w:rPr>
          <w:rFonts w:ascii="Times New Roman" w:hAnsi="Times New Roman"/>
          <w:noProof/>
        </w:rPr>
        <w:t>vastataan pienten ja keskisuurten yritysten (pk-yritykset) (mukaan lukien itsenäiset ammatinharjoittajat) kohtaamiin haasteisiin Espanjan talouden kilpailukyvyn parantamiseksi sekä kasvun ja työllisyyden edistämiseksi. Ja nämä haasteet ovat seuraavat: yrittäjyyden, yritysten kasvun ja innovoinnin rahoituksen vaikea saatavuus; digitaalisten taitojen puute ja pk-yritysten tuottavuutta ja kilpailukykyä haittaavien digitaaliteknologioiden käyttöönoton puute; yritysten pieni koko, mikä haittaa mittakaavaetujen hyödyntämistä ja kansainvälistymistä; sekä suuri alttius ulkoisille häiriöille ja vähäiset mittakaavaedut, jotka haittaavat investointeja ja innovointia.</w:t>
      </w:r>
    </w:p>
    <w:p w14:paraId="2FB2F3C5" w14:textId="77777777" w:rsidR="0065073E" w:rsidRDefault="000A0998">
      <w:pPr>
        <w:pStyle w:val="P68B1DB1-Text118"/>
        <w:ind w:left="0"/>
        <w:rPr>
          <w:rFonts w:cs="Times New Roman"/>
          <w:noProof/>
        </w:rPr>
      </w:pPr>
      <w:r>
        <w:rPr>
          <w:noProof/>
        </w:rPr>
        <w:t>Tämän komponentin tavoitteena on ottaa käyttöön uudistuksia ja investointeja, joilla pyritään helpottamaan yritysten perustamista, kasvua ja yritysten rakenneuudistusta, parantamaan liiketoimintaympäristöä (erityisesti vahvistamalla Espanjan sisämarkkinoiden toimintaa) sekä edistämään edelleen merkittäviä tuottavuuden kasvuprosesseja digitalisaation, innovoinnin ja kansainvälistymisen avulla. Tässä komponentissa keskitytään merkittävästi digitalisaatioon, ja siinä sovelletaan horisontaalista lähestymistapaa, jonka avulla voidaan tarjota digitalisaation peruspaketti merkittävälle osalle pk-yrityksiä ja vertikaalinen lähestymistapa prosessien digitalisoinnin ja teknologisen innovoinnin edistämiseksi tietyissä pk-yrityksissä.</w:t>
      </w:r>
    </w:p>
    <w:p w14:paraId="7F3E9C10" w14:textId="4DE96ECE" w:rsidR="0065073E" w:rsidRDefault="000A0998">
      <w:pPr>
        <w:pStyle w:val="P68B1DB1-Text118"/>
        <w:ind w:left="0"/>
        <w:rPr>
          <w:rFonts w:cs="Times New Roman"/>
          <w:noProof/>
        </w:rPr>
      </w:pPr>
      <w:r>
        <w:rPr>
          <w:noProof/>
        </w:rPr>
        <w:t xml:space="preserve">Tässä osassa käsitellään osittain maakohtaisia suosituksia, jotka koskevat edistymistä markkinoiden yhtenäisyyttä koskevan lain täytäntöönpanossa (maakohtainen suositus 4 2019) ja sellaisten toimenpiteiden tehokkaan täytäntöönpanon varmistamista, joilla pyritään tarjoamaan pk-yrityksille ja itsenäisille ammatinharjoittajille likviditeettiä erityisesti välttämällä maksuviivästyksiä (maakohtainen suositus 3 2020). Siinä käsitellään myös maakohtaisia suosituksia investointien keskittämisestä digitaaliseen siirtymään (maakohtainen suositus 3 2020) ja digitaalisen oppimisen saatavuuden parantamisesta (maakohtainen suositus 2 2020). Sillä edistetään myös investointeja vihreään siirtymään (maakohtainen suositus 1 2023 ja 1 2022). </w:t>
      </w:r>
    </w:p>
    <w:p w14:paraId="1FF6074D" w14:textId="77777777" w:rsidR="0065073E" w:rsidRDefault="000A0998">
      <w:pPr>
        <w:pStyle w:val="P68B1DB1-Text118"/>
        <w:ind w:left="0"/>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3C82E79E" w14:textId="77777777" w:rsidR="0065073E" w:rsidRDefault="000A0998">
      <w:pPr>
        <w:ind w:left="720"/>
        <w:rPr>
          <w:rFonts w:ascii="Times New Roman" w:hAnsi="Times New Roman" w:cs="Times New Roman"/>
          <w:noProof/>
        </w:rPr>
      </w:pPr>
      <w:r>
        <w:rPr>
          <w:rFonts w:ascii="Times New Roman" w:hAnsi="Times New Roman"/>
          <w:b/>
          <w:noProof/>
          <w:sz w:val="24"/>
          <w:u w:val="single"/>
        </w:rPr>
        <w:t xml:space="preserve">M.1 </w:t>
      </w:r>
      <w:r>
        <w:rPr>
          <w:noProof/>
        </w:rPr>
        <w:t xml:space="preserve"> </w:t>
      </w:r>
      <w:r>
        <w:rPr>
          <w:rFonts w:ascii="Times New Roman" w:hAnsi="Times New Roman"/>
          <w:b/>
          <w:noProof/>
          <w:sz w:val="24"/>
          <w:u w:val="single"/>
        </w:rPr>
        <w:t>Kuvaus uudistuksista ja investoinneista, joita rahoitetaan rahoitustuella, jota ei makseta takaisin</w:t>
      </w:r>
    </w:p>
    <w:p w14:paraId="04FC7FA7" w14:textId="77777777" w:rsidR="0065073E" w:rsidRDefault="000A0998">
      <w:pPr>
        <w:pStyle w:val="P68B1DB1-Text119"/>
        <w:ind w:left="0"/>
        <w:rPr>
          <w:rFonts w:cs="Times New Roman"/>
          <w:noProof/>
        </w:rPr>
      </w:pPr>
      <w:r>
        <w:rPr>
          <w:noProof/>
        </w:rPr>
        <w:t>Uudistus 1 (C13.R1) – Yritystoiminnan sääntelyn ja ilmaston parantaminen</w:t>
      </w:r>
    </w:p>
    <w:p w14:paraId="65B9E8AE" w14:textId="77777777" w:rsidR="0065073E" w:rsidRDefault="000A0998">
      <w:pPr>
        <w:pStyle w:val="P68B1DB1-Text118"/>
        <w:ind w:left="0"/>
        <w:rPr>
          <w:rFonts w:cs="Times New Roman"/>
          <w:noProof/>
        </w:rPr>
      </w:pPr>
      <w:r>
        <w:rPr>
          <w:noProof/>
        </w:rPr>
        <w:t xml:space="preserve">Uudistuksen tavoitteena on parantaa taloudellisen toiminnan puitteita varmistamalla parempi sääntely ja liiketoimintaympäristö, joka helpottaa yritysten perustamista ja kasvua sekä tarvittaessa niiden rakenneuudistusta toteuttamalla useita toimenpiteitä. </w:t>
      </w:r>
    </w:p>
    <w:p w14:paraId="28205233" w14:textId="5B09D706" w:rsidR="0065073E" w:rsidRDefault="000A0998">
      <w:pPr>
        <w:pStyle w:val="P68B1DB1-Text118"/>
        <w:ind w:left="0"/>
        <w:rPr>
          <w:rFonts w:cs="Times New Roman"/>
          <w:noProof/>
        </w:rPr>
      </w:pPr>
      <w:r>
        <w:rPr>
          <w:noProof/>
        </w:rPr>
        <w:t>Uudistus koostuu seuraavista osista:</w:t>
      </w:r>
    </w:p>
    <w:p w14:paraId="7AFE3315" w14:textId="77777777" w:rsidR="0065073E" w:rsidRDefault="000A0998">
      <w:pPr>
        <w:pStyle w:val="P68B1DB1-Text118"/>
        <w:numPr>
          <w:ilvl w:val="0"/>
          <w:numId w:val="111"/>
        </w:numPr>
        <w:rPr>
          <w:rFonts w:cs="Times New Roman"/>
          <w:noProof/>
        </w:rPr>
      </w:pPr>
      <w:r>
        <w:rPr>
          <w:noProof/>
        </w:rPr>
        <w:t>Yritysten perustamista ja kasvua koskevan lain hyväksyminen. Tämän lainsäädännön tavoitteena on</w:t>
      </w:r>
    </w:p>
    <w:p w14:paraId="04FAB48E" w14:textId="77777777" w:rsidR="0065073E" w:rsidRDefault="000A0998">
      <w:pPr>
        <w:pStyle w:val="P68B1DB1-Text118"/>
        <w:numPr>
          <w:ilvl w:val="1"/>
          <w:numId w:val="111"/>
        </w:numPr>
        <w:rPr>
          <w:rFonts w:cs="Times New Roman"/>
          <w:noProof/>
        </w:rPr>
      </w:pPr>
      <w:r>
        <w:rPr>
          <w:noProof/>
        </w:rPr>
        <w:t xml:space="preserve">Yksinkertaistetaan yrityksen perustamismenettelyjä. Tämä saavutetaan alentamalla yrityksen perustamisen vähimmäispääomavaatimusta ja vahvistamalla joukkorahoitusalustoja ja muita julkisia rahoitusvälineitä; </w:t>
      </w:r>
    </w:p>
    <w:p w14:paraId="20ED4BE2" w14:textId="77777777" w:rsidR="0065073E" w:rsidRDefault="000A0998">
      <w:pPr>
        <w:pStyle w:val="P68B1DB1-Text118"/>
        <w:numPr>
          <w:ilvl w:val="1"/>
          <w:numId w:val="111"/>
        </w:numPr>
        <w:rPr>
          <w:rFonts w:cs="Times New Roman"/>
          <w:noProof/>
        </w:rPr>
      </w:pPr>
      <w:r>
        <w:rPr>
          <w:noProof/>
        </w:rPr>
        <w:t>Oikeudelliset toimenpiteet varhaismaksukulttuurin edistämiseksi. Tällä lailla tehostetaan kaupallisissa toimissa tapahtuvien maksuviivästysten torjumisesta annetun direktiivin (EU) 2011/7 täytäntöönpanoa. Lain odotetaan lyhentävän keskimääräisiä maksuaikoja kaupallisissa toimissa. Tämä auttaisi vastaamaan sellaisten velkojana olevien pk-yritysten likviditeettihaasteisiin, joita ei makseta ajoissa, millä olisi myönteisiä heijastusvaikutuksia niiden toimintaan ja kasvuun. Esimerkkejä toimenpiteistä, joita on toteutettava varhaismaksukulttuurin edistämiseksi, ovat maksuaikojen julkisuutta ja avoimuutta koskevat suuntaviivat, parhaat liiketoimintakäytännöt ja mekanismit täytäntöönpanon valvonnan parantamiseksi, kuten tuomioistuimen ulkopuolinen riitojenratkaisujärjestelmä.</w:t>
      </w:r>
    </w:p>
    <w:p w14:paraId="4A84DB97" w14:textId="77777777" w:rsidR="0065073E" w:rsidRDefault="000A0998">
      <w:pPr>
        <w:pStyle w:val="P68B1DB1-Text118"/>
        <w:numPr>
          <w:ilvl w:val="1"/>
          <w:numId w:val="111"/>
        </w:numPr>
        <w:rPr>
          <w:rFonts w:cs="Times New Roman"/>
          <w:noProof/>
        </w:rPr>
      </w:pPr>
      <w:r>
        <w:rPr>
          <w:noProof/>
        </w:rPr>
        <w:t>Muutetaan tiettyjä markkinoiden yhtenäisyyttä koskevan lain säännöksiä selkeyden lisäämiseksi aloilla, joilla epäselvyydet ovat johtaneet täytäntöönpanoongelmiin. Markkinoiden yhtenäisyydestä annetun lain tavoitteena on poistaa tarpeettomat, suhteettomat tai syrjivät esteet, jotka haittaavat taloudellisen toiminnan aloittamista ja harjoittamista sekä sijoittautumisvapautta koko alueella. Uudistuksen tavoitteena on myös parantaa markkinoiden yhtenäisyydestä annetussa laissa säädettyjen mekanismien tehokkuutta ja avoimuutta sellaisten toimijoiden suojelemiseksi, joiden toimintaan julkishallinnon asettamat esteet vaikuttavat. Lisäksi uudistuksella vahvistetaan yhteistyötä paremman sääntelyn edistämiseksi koko maassa;</w:t>
      </w:r>
    </w:p>
    <w:p w14:paraId="65E91C6D" w14:textId="77777777" w:rsidR="0065073E" w:rsidRDefault="000A0998">
      <w:pPr>
        <w:pStyle w:val="P68B1DB1-Text118"/>
        <w:numPr>
          <w:ilvl w:val="0"/>
          <w:numId w:val="111"/>
        </w:numPr>
        <w:rPr>
          <w:rFonts w:cs="Times New Roman"/>
          <w:noProof/>
        </w:rPr>
      </w:pPr>
      <w:r>
        <w:rPr>
          <w:noProof/>
        </w:rPr>
        <w:t>Perustetaan uusi sääntelyn parantamista ja liiketoimintaympäristöä käsittelevä alakohtainen konferenssi. Sen tavoitteena on helpottaa hyvän sääntelyn periaatteiden moitteetonta soveltamista kaikissa julkishallinnoissa ja varmistaa eri hallintojen optimaalinen koordinointi, mukaan lukien perintään liittyvät toimenpiteet. Alakohtainen konferenssi seuraa myös muissa alakohtaisissa konferensseissa tehtyä työtä, mikä mahdollistaa paremman sääntelyn koordinoinnin, seurannan ja edistämisen sekä horisontaalisesti että alakohtaisesti;</w:t>
      </w:r>
    </w:p>
    <w:p w14:paraId="3AF46301" w14:textId="77777777" w:rsidR="0065073E" w:rsidRDefault="000A0998">
      <w:pPr>
        <w:pStyle w:val="P68B1DB1-Text118"/>
        <w:numPr>
          <w:ilvl w:val="0"/>
          <w:numId w:val="111"/>
        </w:numPr>
        <w:rPr>
          <w:rFonts w:cs="Times New Roman"/>
          <w:noProof/>
        </w:rPr>
      </w:pPr>
      <w:r>
        <w:rPr>
          <w:noProof/>
        </w:rPr>
        <w:t>Maksukyvyttömyyslainsäädännön uudistaminen ennaltaehkäiseviä uudelleenjärjestelyjä koskevista puitteista, veloista vapauttamisesta ja liiketoimintakielloista sekä toimenpiteistä maksukyvyttömyysmenettelyjen tehostamiseksi ja direktiivin (EU) 2017/1132 muuttamisesta annetun direktiivin (EU) 2019/1023 (uudelleenjärjestely- ja maksukyvyttömyysdirektiivi) saattamiseksi osaksi kansallista lainsäädäntöä. Uudistukseen sisältyy tehokkaamman uuden mahdollisuuden menettelyn käyttöönotto luonnollisille henkilöille, mikä mahdollistaa velkahelpotuksen ilman maksukyvyttömän osapuolen varojen selvittämistä. Lisäksi maksukyvyttömyysdirektiivissä (EU) 2019/1023 edellytetyt uudelleenjärjestelysuunnitelmat otetaan käyttöön uutena maksukyvyttömyyttä edeltävänä välineenä, joka parantaa tällä hetkellä sovellettavien maksukyvyttömyyttä edeltävien välineiden tehokkuutta maksukyvyttömyyden ja sitä seuraavien konkurssien estämiseksi. Lisäksi otetaan käyttöön mikro- ja pk-yrityksiä koskeva erityismenettely, joka on täysin käsitelty sähköisesti prosessin keston ja kustannusten lyhentämiseksi.</w:t>
      </w:r>
    </w:p>
    <w:p w14:paraId="4C86FC4C" w14:textId="1AE05236" w:rsidR="0065073E" w:rsidRDefault="000A0998">
      <w:pPr>
        <w:pStyle w:val="P68B1DB1-Text118"/>
        <w:numPr>
          <w:ilvl w:val="0"/>
          <w:numId w:val="111"/>
        </w:numPr>
        <w:rPr>
          <w:rFonts w:cs="Times New Roman"/>
          <w:noProof/>
        </w:rPr>
      </w:pPr>
      <w:r>
        <w:rPr>
          <w:noProof/>
        </w:rPr>
        <w:t xml:space="preserve">Uudistus käsittää myös lain, jolla muutetaan kolmea lakitekstiä, erityisesti laki 34/2006, joka koskee asianajajien ja </w:t>
      </w:r>
      <w:r>
        <w:rPr>
          <w:i/>
          <w:noProof/>
        </w:rPr>
        <w:t>procuradorien</w:t>
      </w:r>
      <w:r>
        <w:rPr>
          <w:noProof/>
        </w:rPr>
        <w:t xml:space="preserve"> ammattitoimintaa. Uusi järjestelmä mahdollistaa yhden pääsyn asianajajan ja procuradorin ammatteihin</w:t>
      </w:r>
      <w:r>
        <w:rPr>
          <w:i/>
          <w:noProof/>
        </w:rPr>
        <w:t>,</w:t>
      </w:r>
      <w:r>
        <w:rPr>
          <w:noProof/>
        </w:rPr>
        <w:t xml:space="preserve"> koska sama pätevyys antaa oikeuden harjoittaa molempia ammatteja. Monialajärjestöt voivat tarjota yhdessä oikeudellista puolustusta ja edustamista tuomioistuimessa koskevia palveluja. Lisäksi muutetaan </w:t>
      </w:r>
      <w:r>
        <w:rPr>
          <w:i/>
          <w:noProof/>
        </w:rPr>
        <w:t>procuradorien</w:t>
      </w:r>
      <w:r>
        <w:rPr>
          <w:noProof/>
        </w:rPr>
        <w:t xml:space="preserve"> palveluihin sovellettavaa tariffijärjestelmää: on vahvistettava enimmäismaksut, mutta ei vähimmäismaksuja sen varmistamiseksi, että palvelujen vastaanottajat voivat käyttää kilpailukykyisin hinnoin tarjottavia palveluja. Tällä uudistuksella Espanjan on varmistettava, että alan lainsäädäntö on yhdenmukainen palveluista sisämarkkinoilla annetun Euroopan parlamentin ja neuvoston direktiivin 2006/123/C 15, 16 ja 25 artiklan sekä Euroopan unionin toiminnasta tehdyn sopimuksen 49 ja 56 artiklan kanssa. Tämän uudistuksen osalta ministerineuvosto hyväksyi syyskuussa 2020 edellä mainitut ehdotukset lainsäädäntöehdotuksiksi.</w:t>
      </w:r>
    </w:p>
    <w:p w14:paraId="7189CEC4" w14:textId="659B71BC" w:rsidR="0065073E" w:rsidRDefault="000A0998">
      <w:pPr>
        <w:pStyle w:val="P68B1DB1-Text118"/>
        <w:numPr>
          <w:ilvl w:val="0"/>
          <w:numId w:val="111"/>
        </w:numPr>
        <w:rPr>
          <w:rFonts w:cs="Times New Roman"/>
          <w:noProof/>
        </w:rPr>
      </w:pPr>
      <w:r>
        <w:rPr>
          <w:noProof/>
        </w:rPr>
        <w:t>Muutetaan kilpailulainsäädäntöä (laki 15/2007 kilpailun suojaamisesta) ja sen asetuksia (22 päivänä helmikuuta 2007 annettu kuninkaan asetus 261/2008, jolla hyväksytään kilpailun suojaamista koskevat asetukset), yksinkertaistamalla menettelyjä ja vahvistamalla kilpailunrajoituksia koskevaa maan sääntelykehystä kansainvälisten parhaiden käytäntöjen mukaisesti tehokkaan kilpailun varmistamiseksi. Muutoksella on säädettävä sovintomenettelyn käyttöönotosta kilpailuoikeuden 1 artiklan (yhteistoiminta), 2 artiklan (määräävän markkina-aseman väärinkäyttö) ja 3 artiklan (vilpillisten toimien aiheuttama vapaan kilpailun vääristyminen) mukaisesti. Muutoksella otetaan myös käyttöön täydentäviä säännöksiä asetukseen (EU) 2022/1925 (digimarkkinasäädös), jotta Espanjan toimivaltaiselle viranomaiselle voidaan antaa valtuudet suorittaa tutkimuksia kansallisessa kehyksessä, virtaviivaistaa menettelyjen ratkaisemisen määräaikaa ja vähentää yritysten hallinnollista taakkaa sekä säätää seuraamusjärjestelmän tehostamisesta muun muassa kannustamalla rikkomusten hyväksymiseen ja korottamaan seuraamuksia luonnollisille henkilöille (eli johtajille).</w:t>
      </w:r>
    </w:p>
    <w:p w14:paraId="5611FD7A" w14:textId="2ABEAE92" w:rsidR="0065073E" w:rsidRDefault="000A0998">
      <w:pPr>
        <w:pStyle w:val="P68B1DB1-Text118"/>
        <w:ind w:left="0"/>
        <w:rPr>
          <w:rFonts w:cs="Times New Roman"/>
          <w:noProof/>
        </w:rPr>
      </w:pPr>
      <w:r>
        <w:rPr>
          <w:noProof/>
        </w:rPr>
        <w:t>Toimenpiteen täytäntöönpano on määrä saattaa päätökseen 31. joulukuuta 2025 mennessä.</w:t>
      </w:r>
    </w:p>
    <w:p w14:paraId="0B36211E" w14:textId="77777777" w:rsidR="0065073E" w:rsidRDefault="000A0998">
      <w:pPr>
        <w:pStyle w:val="P68B1DB1-Text119"/>
        <w:keepNext/>
        <w:ind w:left="0"/>
        <w:rPr>
          <w:rFonts w:cs="Times New Roman"/>
          <w:noProof/>
        </w:rPr>
      </w:pPr>
      <w:r>
        <w:rPr>
          <w:noProof/>
        </w:rPr>
        <w:t>Uudistus 2 (C13.R2) – Espanjan yrittäjyysstrategia</w:t>
      </w:r>
    </w:p>
    <w:p w14:paraId="36A12FAD" w14:textId="2999754B" w:rsidR="0065073E" w:rsidRDefault="000A0998">
      <w:pPr>
        <w:pStyle w:val="P68B1DB1-Text118"/>
        <w:keepNext/>
        <w:ind w:left="0"/>
        <w:rPr>
          <w:rFonts w:cs="Times New Roman"/>
          <w:noProof/>
        </w:rPr>
      </w:pPr>
      <w:r>
        <w:rPr>
          <w:noProof/>
        </w:rPr>
        <w:t>Toimenpiteen tavoitteena on edistää Espanjan yrittäjyysstrategiaa. Uudistuksessa hyväksytään start-up-laki, luodaan suotuisa kehys erittäin innovatiivisten startup-yritysten perustamiselle ja kasvulle, perustetaan julkisen ja yksityisen sektorin NEXT-TECH-rahasto murroksellisten teknologioiden startup-yritysten laajentamiseksi ja tarkistetaan työntekijöitä koskevaa muuttoliikejärjestelmää, jotta voidaan houkutella lahjakkuuksia ja puuttua osaamisvajeeseen.</w:t>
      </w:r>
    </w:p>
    <w:p w14:paraId="60AEC707" w14:textId="77777777" w:rsidR="0065073E" w:rsidRDefault="000A0998">
      <w:pPr>
        <w:pStyle w:val="P68B1DB1-Text118"/>
        <w:ind w:left="0"/>
        <w:rPr>
          <w:rFonts w:cs="Times New Roman"/>
          <w:noProof/>
        </w:rPr>
      </w:pPr>
      <w:r>
        <w:rPr>
          <w:noProof/>
        </w:rPr>
        <w:t>Kun vuoden 2022 loppuun mennessä annetaan startup-yrityksiä koskeva laki, annetaan oikeudellinen määritelmä startup-yrityksille; määritetään verokannustimia, joilla edistetään niiden luomista ja houkutellaan lahjakkuuksia; esitetään toimenpiteitä, joilla helpotetaan ulkomaisten sijoittajien ja yrittäjien houkuttelemista; ja hyväksyä mekanismeja, joilla helpotetaan lain täytäntöönpanoa ja sen suhdetta digitaaliseen yrittäjäekosysteemiin liittyviin toimenpiteisiin.</w:t>
      </w:r>
    </w:p>
    <w:p w14:paraId="49F3CA66" w14:textId="772966A9" w:rsidR="0065073E" w:rsidRDefault="000A0998">
      <w:pPr>
        <w:pStyle w:val="P68B1DB1-Text118"/>
        <w:ind w:left="0"/>
        <w:rPr>
          <w:rFonts w:cs="Times New Roman"/>
          <w:noProof/>
        </w:rPr>
      </w:pPr>
      <w:r>
        <w:rPr>
          <w:noProof/>
        </w:rPr>
        <w:t>Uudistus koostuu myös ulkomaalaisten oikeuksista ja vapauksista Espanjassa ja heidän sosiaalisesta integroitumisestaan 11. tammikuuta annetun lain 4/2000 sekä yrittäjien ja heidän kansainvälistymisensä tukemisesta 27 päivänä syyskuuta 2013 annetun lain 14/2013 muuttamisesta.</w:t>
      </w:r>
    </w:p>
    <w:p w14:paraId="2C1646D0" w14:textId="00462CD9" w:rsidR="0065073E" w:rsidRDefault="000A0998">
      <w:pPr>
        <w:pStyle w:val="P68B1DB1-Text118"/>
        <w:ind w:left="0"/>
        <w:rPr>
          <w:rFonts w:cs="Times New Roman"/>
          <w:noProof/>
        </w:rPr>
      </w:pPr>
      <w:r>
        <w:rPr>
          <w:noProof/>
        </w:rPr>
        <w:t>Ulkomaalaisten oikeuksista ja vapauksista Espanjassa ja heidän sosiaalisesta integroitumisestaan 11 päivänä tammikuuta annetun lain 4/2000 muutoksella yksinkertaistetaan muuttoliikkeeseen liittyviä hallinnollisia menettelyjä muun muassa vähentämällä lupien määrää ja pidentämällä niiden voimassaoloaikaa, nopeuttamalla menettelyjä, helpottamalla kolmansien maiden kansalaisten pääsyä työmarkkinoille ja parantamalla järjestelmää, jossa palkataan työntekijöitä lähteellä. Muutoksilla otetaan erityisesti käyttöön opiskelijoiden joustavampi pääsy työmarkkinoille, kausityöntekijöiden monivuotinen kiertomuuttojärjestelmä, uudet säännöt kansallisen työllisyystilanteen arvioimiseksi ja uuden hallinnollisen yksikön (UTEX) perustaminen parantamaan ulkomaalaisten asiakirjojen käsittelyä.</w:t>
      </w:r>
    </w:p>
    <w:p w14:paraId="4A7EF98C" w14:textId="1F332FAA" w:rsidR="0065073E" w:rsidRDefault="000A0998">
      <w:pPr>
        <w:pStyle w:val="P68B1DB1-Text118"/>
        <w:ind w:left="0"/>
        <w:rPr>
          <w:rFonts w:cs="Times New Roman"/>
          <w:noProof/>
        </w:rPr>
      </w:pPr>
      <w:r>
        <w:rPr>
          <w:noProof/>
        </w:rPr>
        <w:t>Yrittäjien tukemisesta ja kansainvälistymisestä 27. syyskuuta annetun lain 14/2013 muutoksella helpotetaan sellaisten ulkomaalaisten rekrytointia, joilla on hyvin erityisiä taitoja ja osaamista, yksinkertaisemman ja joustavamman menettelyn avulla kuin laissa 4/2000 on määritelty. Lain 14/2013 muutoksella otetaan käyttöön digitaalisia nomadeja koskeva uusi muuttoliikejärjestelmä, uudet innovointikriteerit yrittäjien oleskelu- ja työluville, kansallisen maahanmuuttojärjestelmän soveltamisalan laajentaminen erittäin pätevien ammattilaisten osalta pk-yrityksiin ja korkeamman ammatillisen koulutuksen todistusten haltijoihin sekä oleskelu- ja työlupamenettelyjen yksinkertaistaminen suhteessa laissa 14/2013 ennen muutosta säädettyihin menettelyihin.</w:t>
      </w:r>
    </w:p>
    <w:p w14:paraId="3D4CCDDD" w14:textId="7089989E" w:rsidR="0065073E" w:rsidRDefault="000A0998">
      <w:pPr>
        <w:pStyle w:val="P68B1DB1-Text118"/>
        <w:ind w:left="0"/>
        <w:rPr>
          <w:rFonts w:cs="Times New Roman"/>
          <w:noProof/>
        </w:rPr>
      </w:pPr>
      <w:r>
        <w:rPr>
          <w:noProof/>
        </w:rPr>
        <w:t>Toimenpiteen täytäntöönpano on saatettava päätökseen 31 päivään joulukuuta 2023 mennessä.</w:t>
      </w:r>
    </w:p>
    <w:p w14:paraId="46827732" w14:textId="77777777" w:rsidR="0065073E" w:rsidRDefault="000A0998">
      <w:pPr>
        <w:pStyle w:val="P68B1DB1-Normal5"/>
        <w:spacing w:before="120" w:after="120"/>
        <w:jc w:val="both"/>
        <w:rPr>
          <w:rFonts w:eastAsiaTheme="minorEastAsia" w:cs="Times New Roman"/>
          <w:noProof/>
        </w:rPr>
      </w:pPr>
      <w:r>
        <w:rPr>
          <w:noProof/>
        </w:rPr>
        <w:t>Uudistus 3 (C13.R3) – Arvopaperimarkkina- ja sijoituspalvelulain tarkistaminen</w:t>
      </w:r>
    </w:p>
    <w:p w14:paraId="6CA34C5A" w14:textId="1BB6826B" w:rsidR="0065073E" w:rsidRDefault="000A0998">
      <w:pPr>
        <w:pStyle w:val="P68B1DB1-Normal4"/>
        <w:spacing w:before="120" w:after="120"/>
        <w:jc w:val="both"/>
        <w:rPr>
          <w:rFonts w:eastAsiaTheme="minorEastAsia" w:cs="Times New Roman"/>
          <w:noProof/>
        </w:rPr>
      </w:pPr>
      <w:r>
        <w:rPr>
          <w:noProof/>
        </w:rPr>
        <w:t xml:space="preserve">Uudistuksen tavoitteena on parantaa arvopaperimarkkinoiden sääntelyä siten, että erityisesti pk-yritysten rahoituksen saantia parannetaan hyväksymällä laki 6/2023, jolla säännellään arvopaperimarkkinoita ja sijoituspalveluja Espanjassa. </w:t>
      </w:r>
    </w:p>
    <w:p w14:paraId="4FB51AEC" w14:textId="4666EF74" w:rsidR="0065073E" w:rsidRDefault="000A0998">
      <w:pPr>
        <w:pStyle w:val="P68B1DB1-Normal4"/>
        <w:spacing w:before="120" w:after="120"/>
        <w:jc w:val="both"/>
        <w:rPr>
          <w:rFonts w:cs="Times New Roman"/>
          <w:noProof/>
        </w:rPr>
      </w:pPr>
      <w:r>
        <w:rPr>
          <w:noProof/>
        </w:rPr>
        <w:t xml:space="preserve"> Laissa 6/2023 säädetään seuraavaa:</w:t>
      </w:r>
    </w:p>
    <w:p w14:paraId="71D69DE2" w14:textId="77777777" w:rsidR="0065073E" w:rsidRDefault="000A0998">
      <w:pPr>
        <w:pStyle w:val="P68B1DB1-ListParagraph6"/>
        <w:numPr>
          <w:ilvl w:val="0"/>
          <w:numId w:val="621"/>
        </w:numPr>
        <w:spacing w:after="0"/>
        <w:jc w:val="both"/>
        <w:rPr>
          <w:rFonts w:cs="Times New Roman"/>
          <w:noProof/>
        </w:rPr>
      </w:pPr>
      <w:r>
        <w:rPr>
          <w:noProof/>
        </w:rPr>
        <w:t>yksinkertaistaa kiinteätuottoisten arvopapereiden kaupankäynnin kohteeksi ottamista koskevaa prosessia;</w:t>
      </w:r>
    </w:p>
    <w:p w14:paraId="5173D240" w14:textId="77777777" w:rsidR="0065073E" w:rsidRDefault="000A0998">
      <w:pPr>
        <w:pStyle w:val="P68B1DB1-ListParagraph6"/>
        <w:numPr>
          <w:ilvl w:val="0"/>
          <w:numId w:val="621"/>
        </w:numPr>
        <w:spacing w:after="0"/>
        <w:jc w:val="both"/>
        <w:rPr>
          <w:rFonts w:eastAsiaTheme="minorEastAsia" w:cs="Times New Roman"/>
          <w:noProof/>
        </w:rPr>
      </w:pPr>
      <w:r>
        <w:rPr>
          <w:noProof/>
        </w:rPr>
        <w:t>laajentaa pääsyä BME:n kasvuun (pk-yritysten BME-pörssimarkkinat);</w:t>
      </w:r>
    </w:p>
    <w:p w14:paraId="6355B17F" w14:textId="77777777" w:rsidR="0065073E" w:rsidRDefault="000A0998">
      <w:pPr>
        <w:pStyle w:val="P68B1DB1-ListParagraph6"/>
        <w:numPr>
          <w:ilvl w:val="0"/>
          <w:numId w:val="621"/>
        </w:numPr>
        <w:spacing w:after="0"/>
        <w:jc w:val="both"/>
        <w:rPr>
          <w:rFonts w:eastAsiaTheme="minorEastAsia" w:cs="Times New Roman"/>
          <w:noProof/>
        </w:rPr>
      </w:pPr>
      <w:r>
        <w:rPr>
          <w:noProof/>
        </w:rPr>
        <w:t xml:space="preserve">laajennetaan pakolliset julkiset ostotarjoukset koskemaan arvopapereita, joilla käydään kauppaa säännellyillä markkinoilla, monenkeskisissä kaupankäyntijärjestelmissä kaupankäynnin kohteena oleviin arvopapereihin (mukaan lukien niiden EU:n kasvumarkkinasegmentit); ja </w:t>
      </w:r>
    </w:p>
    <w:p w14:paraId="69874394" w14:textId="77777777" w:rsidR="0065073E" w:rsidRDefault="000A0998">
      <w:pPr>
        <w:pStyle w:val="P68B1DB1-ListParagraph6"/>
        <w:numPr>
          <w:ilvl w:val="0"/>
          <w:numId w:val="621"/>
        </w:numPr>
        <w:spacing w:after="0"/>
        <w:jc w:val="both"/>
        <w:rPr>
          <w:rFonts w:eastAsiaTheme="minorEastAsia" w:cs="Times New Roman"/>
          <w:noProof/>
        </w:rPr>
      </w:pPr>
      <w:r>
        <w:rPr>
          <w:noProof/>
        </w:rPr>
        <w:t>vähentää rahoitusmarkkinoille pääsyn esteitä poistamalla tietojärjestelmä (Post Trade Interface), jolla seurataan arvopapereiden selvitystä, toimitusta ja rekisteröintiä laissa säädetyn siirtymäkauden aikana.</w:t>
      </w:r>
    </w:p>
    <w:p w14:paraId="05387AEE" w14:textId="77777777" w:rsidR="0065073E" w:rsidRDefault="000A0998">
      <w:pPr>
        <w:pStyle w:val="P68B1DB1-Normal4"/>
        <w:spacing w:before="120" w:after="120"/>
        <w:jc w:val="both"/>
        <w:rPr>
          <w:rFonts w:cs="Times New Roman"/>
          <w:noProof/>
        </w:rPr>
      </w:pPr>
      <w:r>
        <w:rPr>
          <w:noProof/>
        </w:rPr>
        <w:t>Toimenpiteen täytäntöönpano on saatettava päätökseen 30 päivään kesäkuuta 2024 mennessä.</w:t>
      </w:r>
    </w:p>
    <w:p w14:paraId="7D8C9E3E" w14:textId="77777777" w:rsidR="0065073E" w:rsidRDefault="0065073E">
      <w:pPr>
        <w:pStyle w:val="Text1"/>
        <w:ind w:left="0"/>
        <w:rPr>
          <w:rFonts w:ascii="Times New Roman" w:hAnsi="Times New Roman" w:cs="Times New Roman"/>
          <w:noProof/>
        </w:rPr>
      </w:pPr>
    </w:p>
    <w:p w14:paraId="169F9947" w14:textId="77777777" w:rsidR="0065073E" w:rsidRDefault="000A0998">
      <w:pPr>
        <w:pStyle w:val="P68B1DB1-Normal5"/>
        <w:spacing w:before="120" w:after="120"/>
        <w:jc w:val="both"/>
        <w:rPr>
          <w:rFonts w:eastAsiaTheme="minorEastAsia" w:cs="Times New Roman"/>
          <w:noProof/>
        </w:rPr>
      </w:pPr>
      <w:r>
        <w:rPr>
          <w:noProof/>
        </w:rPr>
        <w:t xml:space="preserve">Sijoitus 1 (C13.I1) – Yrittäjyys </w:t>
      </w:r>
    </w:p>
    <w:p w14:paraId="03C7E9E0" w14:textId="77777777" w:rsidR="0065073E" w:rsidRDefault="000A0998">
      <w:pPr>
        <w:pStyle w:val="P68B1DB1-Text118"/>
        <w:ind w:left="0"/>
        <w:rPr>
          <w:rFonts w:cs="Times New Roman"/>
          <w:noProof/>
        </w:rPr>
      </w:pPr>
      <w:r>
        <w:rPr>
          <w:noProof/>
        </w:rPr>
        <w:t>Investoinnin tavoitteena on edistää yrittäjyysekosysteemiä, jotta siitä tulisi kestävämpi ja kilpailukykyisempi, ja vastata vihreän ja digitaalisen siirtymän haasteisiin.</w:t>
      </w:r>
    </w:p>
    <w:p w14:paraId="2763E8E1" w14:textId="77777777" w:rsidR="0065073E" w:rsidRDefault="000A0998">
      <w:pPr>
        <w:pStyle w:val="P68B1DB1-Text118"/>
        <w:ind w:left="0"/>
        <w:rPr>
          <w:rFonts w:cs="Times New Roman"/>
          <w:noProof/>
        </w:rPr>
      </w:pPr>
      <w:r>
        <w:rPr>
          <w:noProof/>
        </w:rPr>
        <w:t>Investointi koostuu neljästä päätoimesta:</w:t>
      </w:r>
    </w:p>
    <w:p w14:paraId="3EE9C38C" w14:textId="1B85A1C1" w:rsidR="0065073E" w:rsidRDefault="000A0998">
      <w:pPr>
        <w:pStyle w:val="Text1"/>
        <w:ind w:left="0"/>
        <w:rPr>
          <w:rFonts w:ascii="Times New Roman" w:hAnsi="Times New Roman" w:cs="Times New Roman"/>
          <w:noProof/>
        </w:rPr>
      </w:pPr>
      <w:r>
        <w:rPr>
          <w:rFonts w:ascii="Times New Roman" w:hAnsi="Times New Roman"/>
          <w:noProof/>
        </w:rPr>
        <w:t>1) yrittäjyystaitojen vahvistaminen, mukaan lukien osaamis- ja uudelleenkoulutus ja yrittäjien tukeminen vihreää ja digitaalista siirtymää koskevien EU:n painopisteiden mukaisesti. Tämän toimen osana vähintään 6900 yrittäjän on täytynyt toteuttaa ohjelma, jonka tavoitteena on vahvistaa yrittäjyysekosysteemiä. Erityisesti 6100 yrittäjää tuetaan yrittäjyystaitojen ohjelmasta (joista 1200 on naisia) ja 800 naisyrittäjää naisten kykyjen lisäämistä koskevan ohjelman kautta.</w:t>
      </w:r>
      <w:r>
        <w:rPr>
          <w:rFonts w:ascii="Times New Roman" w:hAnsi="Times New Roman"/>
          <w:noProof/>
          <w:shd w:val="clear" w:color="auto" w:fill="E6E6E6"/>
        </w:rPr>
        <w:t xml:space="preserve"> </w:t>
      </w:r>
    </w:p>
    <w:p w14:paraId="28FFBA76" w14:textId="77777777" w:rsidR="0065073E" w:rsidRDefault="000A0998">
      <w:pPr>
        <w:pStyle w:val="P68B1DB1-Text118"/>
        <w:ind w:left="0"/>
        <w:rPr>
          <w:rFonts w:cs="Times New Roman"/>
          <w:noProof/>
        </w:rPr>
      </w:pPr>
      <w:r>
        <w:rPr>
          <w:noProof/>
        </w:rPr>
        <w:t>2) tarjotaan välineitä, joilla tuetaan yritysten perustamista ja yrityshallintoa ja vahvistetaan pk-yrityksiä, mukaan lukien vähintään 12000 aktiivisen käyttäjän tukeminen ONE-National Entrepreneurship Office -alustalla pk-yrityspolitiikkaa koskevan strategiakehyksen 2030, Espanjan yrittäjyysstrategian ja Espanjan digitaalistrategian 2025 puitteissa;</w:t>
      </w:r>
    </w:p>
    <w:p w14:paraId="75A10A38" w14:textId="77777777" w:rsidR="0065073E" w:rsidRDefault="000A0998">
      <w:pPr>
        <w:pStyle w:val="P68B1DB1-Text118"/>
        <w:ind w:left="0"/>
        <w:rPr>
          <w:rFonts w:cs="Times New Roman"/>
          <w:noProof/>
        </w:rPr>
      </w:pPr>
      <w:r>
        <w:rPr>
          <w:noProof/>
        </w:rPr>
        <w:t>3) Tiedotus- ja viestintäkampanjat, joiden tarkoituksena on luoda, kehittää tai houkutella Espanjaan kansainvälisiä tapahtumia, joissa keskitytään innovatiivisiin yrityksiin, ja ohjelma naisten lahjakkuuksien houkuttelemiseksi. Tähän sisältyy vähintään 20 ”lippuohjelman” puitteissa kehitettyä yrittäjyystapahtumaa; ja vähintään 260 viestintätoimea (200 medianäyttelyä ja 60 tapahtumaa) ”Brand Spain Entrepreneurship Nation” puitteissa; ja</w:t>
      </w:r>
    </w:p>
    <w:p w14:paraId="3E11FFE1" w14:textId="77777777" w:rsidR="0065073E" w:rsidRDefault="000A0998">
      <w:pPr>
        <w:pStyle w:val="P68B1DB1-Normal4"/>
        <w:spacing w:line="240" w:lineRule="auto"/>
        <w:jc w:val="both"/>
        <w:rPr>
          <w:rFonts w:cs="Times New Roman"/>
          <w:noProof/>
        </w:rPr>
      </w:pPr>
      <w:r>
        <w:rPr>
          <w:noProof/>
        </w:rPr>
        <w:t xml:space="preserve">4) Yrittäjyyden ja pk-yritysten tukemiseen tarkoitetun budjettikohdan rahoittaminen naisten yrittäjyyden tukiohjelmasta. Tähän sisältyy vähintään 200 naisyrittäjän tukeminen </w:t>
      </w:r>
      <w:r>
        <w:rPr>
          <w:i/>
          <w:noProof/>
        </w:rPr>
        <w:t>Empresa Nacional de Innovación, S.A:n myöntämien osallistavien lainojen avulla</w:t>
      </w:r>
      <w:r>
        <w:rPr>
          <w:noProof/>
        </w:rPr>
        <w:t xml:space="preserve">. </w:t>
      </w:r>
    </w:p>
    <w:p w14:paraId="53922631" w14:textId="77777777" w:rsidR="0065073E" w:rsidRDefault="000A0998">
      <w:pPr>
        <w:pStyle w:val="P68B1DB1-Text118"/>
        <w:ind w:left="0"/>
        <w:rPr>
          <w:rFonts w:cs="Times New Roman"/>
          <w:noProof/>
        </w:rPr>
      </w:pPr>
      <w:r>
        <w:rPr>
          <w:noProof/>
        </w:rPr>
        <w:t xml:space="preserve">Sen varmistamiseksi, että toimenpide on ”ei merkittävää haittaa” -periaatetta koskevien teknisten ohjeiden (2021/C58/01) mukainen, rahoitusvälineiden osalta Espanjan viranomaisten ja rahoitusvälineestä vastaavan yhteisön tai rahoituksen välittäjän välisessä oikeudellisessa sopimuksessa ja rahoitusvälineen sijoituspolitiikassa on </w:t>
      </w:r>
    </w:p>
    <w:p w14:paraId="28CFFC45" w14:textId="709B2534" w:rsidR="0065073E" w:rsidRDefault="000A0998">
      <w:pPr>
        <w:pStyle w:val="P68B1DB1-Text118"/>
        <w:numPr>
          <w:ilvl w:val="0"/>
          <w:numId w:val="197"/>
        </w:numPr>
        <w:rPr>
          <w:rFonts w:cs="Times New Roman"/>
          <w:noProof/>
        </w:rPr>
      </w:pPr>
      <w:r>
        <w:rPr>
          <w:noProof/>
        </w:rPr>
        <w:t>vaatia InvestEU-rahaston kestävyysarviointia koskevien komission teknisten ohjeiden soveltamista</w:t>
      </w:r>
    </w:p>
    <w:p w14:paraId="4E0DAE12" w14:textId="77777777" w:rsidR="0065073E" w:rsidRDefault="000A0998">
      <w:pPr>
        <w:pStyle w:val="P68B1DB1-Text118"/>
        <w:numPr>
          <w:ilvl w:val="0"/>
          <w:numId w:val="197"/>
        </w:numPr>
        <w:rPr>
          <w:rFonts w:cs="Times New Roman"/>
          <w:noProof/>
        </w:rPr>
      </w:pPr>
      <w:r>
        <w:rPr>
          <w:noProof/>
        </w:rPr>
        <w:t>sulkea seuraava luettelo toiminnoista ja omaisuuseristä tukikelpoisuuden ulkopuolelle: I) fossiilisiin polttoaineisiin liittyvät toiminnot ja omaisuuserät, mukaan lukien loppupään käyttö</w:t>
      </w:r>
      <w:r>
        <w:rPr>
          <w:noProof/>
        </w:rPr>
        <w:footnoteReference w:id="66"/>
      </w:r>
      <w:r>
        <w:rPr>
          <w:noProof/>
        </w:rPr>
        <w:t>; II) EU:n päästökauppajärjestelmään kuuluvat toiminnot ja omaisuuserät, joilla saavutetaan ennustetut kasvihuonekaasupäästöt, jotka eivät alita asiaankuuluvia vertailuarvoja</w:t>
      </w:r>
      <w:r>
        <w:rPr>
          <w:noProof/>
        </w:rPr>
        <w:footnoteReference w:id="67"/>
      </w:r>
      <w:r>
        <w:rPr>
          <w:noProof/>
        </w:rPr>
        <w:t>; III) jätteen kaatopaikkoihin, polttolaitoksiin ja mekaanisiin biologisiin käsittelylaitoksiin liittyvä toiminta</w:t>
      </w:r>
      <w:r>
        <w:rPr>
          <w:noProof/>
        </w:rPr>
        <w:footnoteReference w:id="68"/>
      </w:r>
      <w:r>
        <w:rPr>
          <w:noProof/>
        </w:rPr>
        <w:t xml:space="preserve"> ja omaisuus</w:t>
      </w:r>
      <w:r>
        <w:rPr>
          <w:noProof/>
        </w:rPr>
        <w:footnoteReference w:id="69"/>
      </w:r>
      <w:r>
        <w:rPr>
          <w:noProof/>
        </w:rPr>
        <w:t>; ja iv) toiminnot ja omaisuus, joissa jätteiden pitkän aikavälin loppukäsittely voi aiheuttaa haittaa ympäristölle; ja</w:t>
      </w:r>
    </w:p>
    <w:p w14:paraId="7DDBBB8E" w14:textId="77777777" w:rsidR="0065073E" w:rsidRDefault="000A0998">
      <w:pPr>
        <w:pStyle w:val="P68B1DB1-Text118"/>
        <w:numPr>
          <w:ilvl w:val="0"/>
          <w:numId w:val="197"/>
        </w:numPr>
        <w:rPr>
          <w:rFonts w:cs="Times New Roman"/>
          <w:noProof/>
        </w:rPr>
      </w:pPr>
      <w:r>
        <w:rPr>
          <w:noProof/>
        </w:rPr>
        <w:t>vaatia, että toimeksi saanut yhteisö/rahoituksen välittäjä tarkastaa, että hankkeet ovat asiaankuuluvan EU:n ja kansallisen ympäristölainsäädännön mukaisia kaikkien liiketoimien osalta, mukaan lukien kestävyysarvioinnista vapautetut transaktiot.</w:t>
      </w:r>
    </w:p>
    <w:p w14:paraId="71B740AD"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on ”ei merkittävää haittaa” -periaatetta koskevien teknisten ohjeiden (2021/C58/01) mukainen, tulevien hankepyyntöjen tehtävänmääritykseen sisältyviin tukikelpoisuusperusteisiin ei sisälly seuraavia toimia: I) fossiilisiin polttoaineisiin liittyvät toimet, mukaan lukien loppupään käyttö</w:t>
      </w:r>
      <w:r>
        <w:rPr>
          <w:rStyle w:val="FootnoteReference"/>
          <w:rFonts w:ascii="Times New Roman" w:hAnsi="Times New Roman" w:cs="Times New Roman"/>
          <w:noProof/>
        </w:rPr>
        <w:footnoteReference w:id="70"/>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71"/>
      </w:r>
      <w:r>
        <w:rPr>
          <w:rFonts w:ascii="Times New Roman" w:hAnsi="Times New Roman"/>
          <w:noProof/>
        </w:rPr>
        <w:t>; III) jätteen kaatopaikkoihin, polttolaitoksiin</w:t>
      </w:r>
      <w:r>
        <w:rPr>
          <w:rStyle w:val="FootnoteReference"/>
          <w:rFonts w:ascii="Times New Roman" w:hAnsi="Times New Roman" w:cs="Times New Roman"/>
          <w:noProof/>
        </w:rPr>
        <w:footnoteReference w:id="72"/>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73"/>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1E392410" w14:textId="0AEF2FA9" w:rsidR="0065073E" w:rsidRDefault="000A0998">
      <w:pPr>
        <w:pStyle w:val="P68B1DB1-Normal4"/>
        <w:spacing w:line="240" w:lineRule="auto"/>
        <w:jc w:val="both"/>
        <w:rPr>
          <w:rFonts w:cs="Times New Roman"/>
          <w:noProof/>
        </w:rPr>
      </w:pPr>
      <w:r>
        <w:rPr>
          <w:noProof/>
        </w:rPr>
        <w:t xml:space="preserve">Investoinnin toteutus saatetaan päätökseen 31. joulukuuta 2025 mennessä. </w:t>
      </w:r>
    </w:p>
    <w:p w14:paraId="11292CFE" w14:textId="77777777" w:rsidR="0065073E" w:rsidRDefault="000A0998">
      <w:pPr>
        <w:pStyle w:val="P68B1DB1-Text119"/>
        <w:ind w:left="0"/>
        <w:rPr>
          <w:rFonts w:cs="Times New Roman"/>
          <w:noProof/>
        </w:rPr>
      </w:pPr>
      <w:r>
        <w:rPr>
          <w:noProof/>
        </w:rPr>
        <w:t xml:space="preserve">Investointi 2 (C13.I2) – Kasvu </w:t>
      </w:r>
    </w:p>
    <w:p w14:paraId="73AFC212" w14:textId="77777777" w:rsidR="0065073E" w:rsidRDefault="000A0998">
      <w:pPr>
        <w:pStyle w:val="P68B1DB1-Text118"/>
        <w:ind w:left="0"/>
        <w:rPr>
          <w:rFonts w:cs="Times New Roman"/>
          <w:noProof/>
        </w:rPr>
      </w:pPr>
      <w:r>
        <w:rPr>
          <w:noProof/>
        </w:rPr>
        <w:t xml:space="preserve">Toimenpiteen tavoitteena on edistää pk-yritysten kasvua. </w:t>
      </w:r>
    </w:p>
    <w:p w14:paraId="38B5166A" w14:textId="77777777" w:rsidR="0065073E" w:rsidRDefault="000A0998">
      <w:pPr>
        <w:pStyle w:val="P68B1DB1-Text118"/>
        <w:ind w:left="0"/>
        <w:rPr>
          <w:rFonts w:cs="Times New Roman"/>
          <w:noProof/>
        </w:rPr>
      </w:pPr>
      <w:r>
        <w:rPr>
          <w:noProof/>
        </w:rPr>
        <w:t>Investointi koostuu toimista, jotka koskevat</w:t>
      </w:r>
    </w:p>
    <w:p w14:paraId="1629AD50" w14:textId="77777777" w:rsidR="0065073E" w:rsidRDefault="000A0998">
      <w:pPr>
        <w:pStyle w:val="P68B1DB1-Text118"/>
        <w:ind w:left="0"/>
        <w:rPr>
          <w:rFonts w:cs="Times New Roman"/>
          <w:noProof/>
        </w:rPr>
      </w:pPr>
      <w:r>
        <w:rPr>
          <w:noProof/>
        </w:rPr>
        <w:t>1) Tuki (11000) yksittäisille pk-yrityksille ohjelmasta ”Pk-yritysten kasvutaidot” Tämän ohjelman tavoitteena on tarjota yrityksille tarvittavat taidot, jotta ne voivat kasvaa ja tulla kilpailukykyisemmiksi, jotta ne voivat muuttaa liiketoimintamallejaan ja edistää vihreää ja digitaalista siirtymää.</w:t>
      </w:r>
    </w:p>
    <w:p w14:paraId="57EA9081" w14:textId="77777777" w:rsidR="0065073E" w:rsidRDefault="000A0998">
      <w:pPr>
        <w:pStyle w:val="P68B1DB1-Text118"/>
        <w:ind w:left="0"/>
        <w:rPr>
          <w:rFonts w:cs="Times New Roman"/>
          <w:noProof/>
        </w:rPr>
      </w:pPr>
      <w:r>
        <w:rPr>
          <w:noProof/>
        </w:rPr>
        <w:t>2) Pitkän aikavälin rahoitustuki pk-yritysten kehittämille teollisuushankkeille (1500) tämän investoinnin mukaisiin toimiin, jotka liittyvät uusiin teollisuuslaitoksiin tai olemassa olevien laitosten laajentamiseen, ottaen huomioon mahdollisuudet edistää ilmastonmuutoksen hillitsemistä.</w:t>
      </w:r>
    </w:p>
    <w:p w14:paraId="5CB698C7" w14:textId="77777777" w:rsidR="0065073E" w:rsidRDefault="000A0998">
      <w:pPr>
        <w:pStyle w:val="P68B1DB1-Text118"/>
        <w:ind w:left="0"/>
        <w:rPr>
          <w:rFonts w:cs="Times New Roman"/>
          <w:noProof/>
        </w:rPr>
      </w:pPr>
      <w:r>
        <w:rPr>
          <w:noProof/>
        </w:rPr>
        <w:t xml:space="preserve">3) Parannetaan pk-yritysten rahoituksen saantia tarjoamalla tukea taloudellisten, kaupallisten ja teknisten takuiden muodossa vahvistamalla </w:t>
      </w:r>
      <w:r>
        <w:rPr>
          <w:i/>
          <w:noProof/>
        </w:rPr>
        <w:t>Compañia Española de Reafianzamiento SME S.A. -yritystä (</w:t>
      </w:r>
      <w:r>
        <w:rPr>
          <w:noProof/>
        </w:rPr>
        <w:t xml:space="preserve"> CERSA) elpymis- ja palautumistukivälineestä annetun asetuksen tukikelpoisuuskriteerien mukaisesti, kuten 21. tammikuuta 2021 annetuissa ohjeissa jäsenvaltioille esitetään. Osana tätä toimintalinjaa CERSA antaa pitkäaikaista tukea vastatakaustensa kautta alueellisille keskinäisille takausyhtiöille niiden kantaman riskin tukemiseksi. CERSA edistää pk-yritysten kilpailukykyä ja häiriönsietokykyä myös kolmella uudella erityisellä toimintalinjalla, jotka mahdollistavat pääsyn pitkäaikaiseen rahoitukseen ja käyttöpääomaan tämän investoinnin puitteissa toteutettaviin toimiin seuraavilla aloilla: digitalisaatio kestävyys; kasvu ja elpyminen (vahvistaa häiriönsietokykyä pääasiassa covid-19-pandemiasta kärsineiden pk-yritysten osalta, jotka ovat valmiita toteuttamaan merkittäviä muutos- ja kasvusuunnitelmia). </w:t>
      </w:r>
    </w:p>
    <w:p w14:paraId="640FE40E" w14:textId="77777777" w:rsidR="0065073E" w:rsidRDefault="000A0998">
      <w:pPr>
        <w:pStyle w:val="P68B1DB1-Text118"/>
        <w:ind w:left="0"/>
        <w:rPr>
          <w:rFonts w:cs="Times New Roman"/>
          <w:noProof/>
        </w:rPr>
      </w:pPr>
      <w:r>
        <w:rPr>
          <w:noProof/>
        </w:rPr>
        <w:t xml:space="preserve">Lisäksi rahoitusvakuusvälineen täytäntöönpanemiseksi on laadittava investointiasioista vastaavan ministeriön ja toteutuskumppanin tai toimeksi saaneen yhteisön välinen sopimus. Sopimuksessa on esitettävä velvoitteiksi elpymis- ja palautumissuunnitelmaan sisältyvät tiedot. Lisäksi kaikki rahoitusvälineeseen liittyvät takaisin saadut varat (eli lainan korot, oman pääoman tuotto tai takaisin maksettu pääoma, josta on vähennetty liitännäiskustannukset) olisi investoitava uudelleen samoihin toimintapoliittisiin tavoitteisiin, myös vuoden 2026 jälkeen. Sen varmistamiseksi, että toimenpide on ”ei merkittävää haittaa” -periaatteen mukainen (2021/C58/01), Espanjan viranomaisten ja rahoitusvälineestä vastaavan yhteisön tai rahoituksen välittäjän välisessä oikeudellisessa sopimuksessa ja rahoitusvälineen sijoituspolitiikassa on </w:t>
      </w:r>
    </w:p>
    <w:p w14:paraId="50ACDE27" w14:textId="77777777" w:rsidR="0065073E" w:rsidRDefault="000A0998">
      <w:pPr>
        <w:pStyle w:val="P68B1DB1-Text118"/>
        <w:numPr>
          <w:ilvl w:val="0"/>
          <w:numId w:val="199"/>
        </w:numPr>
        <w:rPr>
          <w:rFonts w:cs="Times New Roman"/>
          <w:noProof/>
        </w:rPr>
      </w:pPr>
      <w:r>
        <w:rPr>
          <w:noProof/>
        </w:rPr>
        <w:t>vaatia InvestEU-rahaston kestävyysarviointia koskevien komission teknisten ohjeiden soveltamista;</w:t>
      </w:r>
    </w:p>
    <w:p w14:paraId="12D35BAE" w14:textId="77777777" w:rsidR="0065073E" w:rsidRDefault="000A0998">
      <w:pPr>
        <w:pStyle w:val="P68B1DB1-Text118"/>
        <w:numPr>
          <w:ilvl w:val="0"/>
          <w:numId w:val="199"/>
        </w:numPr>
        <w:rPr>
          <w:rFonts w:cs="Times New Roman"/>
          <w:noProof/>
        </w:rPr>
      </w:pPr>
      <w:r>
        <w:rPr>
          <w:noProof/>
        </w:rPr>
        <w:t>sulkea seuraava luettelo toiminnoista ja omaisuuseristä tukikelpoisuuden ulkopuolelle: I) fossiilisiin polttoaineisiin liittyvät toiminnot ja omaisuuserät, mukaan lukien loppupään käyttö</w:t>
      </w:r>
      <w:r>
        <w:rPr>
          <w:noProof/>
        </w:rPr>
        <w:footnoteReference w:id="74"/>
      </w:r>
      <w:r>
        <w:rPr>
          <w:noProof/>
        </w:rPr>
        <w:t>; II) EU:n päästökauppajärjestelmään kuuluvat toiminnot ja omaisuuserät, joilla saavutetaan ennustetut kasvihuonekaasupäästöt, jotka eivät alita asiaankuuluvia vertailuarvoja</w:t>
      </w:r>
      <w:r>
        <w:rPr>
          <w:noProof/>
        </w:rPr>
        <w:footnoteReference w:id="75"/>
      </w:r>
      <w:r>
        <w:rPr>
          <w:noProof/>
        </w:rPr>
        <w:t>; III) jätteen kaatopaikkoihin, polttolaitoksiin ja mekaanisiin biologisiin käsittelylaitoksiin liittyvä toiminta</w:t>
      </w:r>
      <w:r>
        <w:rPr>
          <w:noProof/>
        </w:rPr>
        <w:footnoteReference w:id="76"/>
      </w:r>
      <w:r>
        <w:rPr>
          <w:noProof/>
        </w:rPr>
        <w:t xml:space="preserve"> ja omaisuus</w:t>
      </w:r>
      <w:r>
        <w:rPr>
          <w:noProof/>
        </w:rPr>
        <w:footnoteReference w:id="77"/>
      </w:r>
      <w:r>
        <w:rPr>
          <w:noProof/>
        </w:rPr>
        <w:t>; ja iv) toiminnot ja omaisuus, joissa jätteiden pitkän aikavälin loppukäsittely voi aiheuttaa haittaa ympäristölle; ja</w:t>
      </w:r>
    </w:p>
    <w:p w14:paraId="5170F010" w14:textId="77777777" w:rsidR="0065073E" w:rsidRDefault="000A0998">
      <w:pPr>
        <w:pStyle w:val="P68B1DB1-Text118"/>
        <w:numPr>
          <w:ilvl w:val="0"/>
          <w:numId w:val="199"/>
        </w:numPr>
        <w:rPr>
          <w:rFonts w:cs="Times New Roman"/>
          <w:noProof/>
        </w:rPr>
      </w:pPr>
      <w:r>
        <w:rPr>
          <w:noProof/>
        </w:rPr>
        <w:t>vaatia, että toimeksi saanut yhteisö/rahoituksen välittäjä tarkastaa, että hankkeet ovat asiaankuuluvan EU:n ja kansallisen ympäristölainsäädännön mukaisia kaikkien liiketoimien osalta, mukaan lukien kestävyysarvioinnista vapautetut transaktiot.</w:t>
      </w:r>
    </w:p>
    <w:p w14:paraId="74B66515"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on ”ei merkittävää haittaa” -periaatetta koskevien teknisten ohjeiden (2021/C58/01) mukainen, tulevien hankepyyntöjen tehtävänmääritykseen sisältyviin tukikelpoisuusperusteisiin ei sisälly seuraavia toimia: I) fossiilisiin polttoaineisiin liittyvät toimet, mukaan lukien loppupään käyttö</w:t>
      </w:r>
      <w:r>
        <w:rPr>
          <w:rStyle w:val="FootnoteReference"/>
          <w:rFonts w:ascii="Times New Roman" w:hAnsi="Times New Roman" w:cs="Times New Roman"/>
          <w:noProof/>
        </w:rPr>
        <w:footnoteReference w:id="78"/>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79"/>
      </w:r>
      <w:r>
        <w:rPr>
          <w:rFonts w:ascii="Times New Roman" w:hAnsi="Times New Roman"/>
          <w:noProof/>
        </w:rPr>
        <w:t>; III) jätteen kaatopaikkoihin, polttolaitoksiin</w:t>
      </w:r>
      <w:r>
        <w:rPr>
          <w:rStyle w:val="FootnoteReference"/>
          <w:rFonts w:ascii="Times New Roman" w:hAnsi="Times New Roman" w:cs="Times New Roman"/>
          <w:noProof/>
        </w:rPr>
        <w:footnoteReference w:id="80"/>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1"/>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1450DD94" w14:textId="15040BF0" w:rsidR="0065073E" w:rsidRDefault="000A0998">
      <w:pPr>
        <w:pStyle w:val="P68B1DB1-Normal4"/>
        <w:spacing w:line="240" w:lineRule="auto"/>
        <w:jc w:val="both"/>
        <w:rPr>
          <w:rFonts w:cs="Times New Roman"/>
          <w:noProof/>
        </w:rPr>
      </w:pPr>
      <w:r>
        <w:rPr>
          <w:noProof/>
        </w:rPr>
        <w:t>Investoinnin toteutus saatetaan päätökseen viimeistään 31. joulukuuta 2024.</w:t>
      </w:r>
    </w:p>
    <w:p w14:paraId="7D512F7C" w14:textId="494020C6" w:rsidR="0065073E" w:rsidRDefault="000A0998">
      <w:pPr>
        <w:pStyle w:val="P68B1DB1-Text119"/>
        <w:ind w:left="0"/>
        <w:rPr>
          <w:rFonts w:cs="Times New Roman"/>
          <w:noProof/>
        </w:rPr>
      </w:pPr>
      <w:r>
        <w:rPr>
          <w:noProof/>
        </w:rPr>
        <w:t xml:space="preserve">Investointi 3 (C13.I3) Digitalisaatio ja innovointi </w:t>
      </w:r>
    </w:p>
    <w:p w14:paraId="2E979525" w14:textId="77777777" w:rsidR="0065073E" w:rsidRDefault="000A0998">
      <w:pPr>
        <w:pStyle w:val="P68B1DB1-Text118"/>
        <w:ind w:left="0"/>
        <w:rPr>
          <w:rFonts w:cs="Times New Roman"/>
          <w:noProof/>
        </w:rPr>
      </w:pPr>
      <w:r>
        <w:rPr>
          <w:noProof/>
        </w:rPr>
        <w:t>Tämän investoinnin tavoitteena on antaa pk-yrityksille taidot ja välineet, joiden avulla ne voivat edistää digitaalista siirtymää ja vastata siitä johtuviin haasteisiin. Se on yhdenmukainen Espanjan digitaalistrategian 2025 kanssa, ja sitä täydennetään yhteenliitettävyyttä koskevaan komponenttiin 15 ja digitaalisia taitoja koskevaan komponenttiin 19 sisältyvillä toimilla.</w:t>
      </w:r>
    </w:p>
    <w:p w14:paraId="084171E7" w14:textId="77777777" w:rsidR="0065073E" w:rsidRDefault="000A0998">
      <w:pPr>
        <w:pStyle w:val="P68B1DB1-Text118"/>
        <w:ind w:left="0"/>
        <w:rPr>
          <w:rFonts w:cs="Times New Roman"/>
          <w:noProof/>
        </w:rPr>
      </w:pPr>
      <w:r>
        <w:rPr>
          <w:noProof/>
        </w:rPr>
        <w:t>Investoinnissa keskitytään seuraaviin eri toimiin:</w:t>
      </w:r>
    </w:p>
    <w:p w14:paraId="51BB6D01" w14:textId="6F6D0FDA" w:rsidR="0065073E" w:rsidRDefault="000A0998">
      <w:pPr>
        <w:pStyle w:val="P68B1DB1-Text118"/>
        <w:ind w:left="0"/>
        <w:rPr>
          <w:rFonts w:cs="Times New Roman"/>
          <w:noProof/>
        </w:rPr>
      </w:pPr>
      <w:r>
        <w:rPr>
          <w:noProof/>
        </w:rPr>
        <w:t xml:space="preserve">1) </w:t>
      </w:r>
      <w:r>
        <w:rPr>
          <w:noProof/>
          <w:u w:val="single"/>
        </w:rPr>
        <w:t>digitaalinen välineistö:</w:t>
      </w:r>
      <w:r>
        <w:rPr>
          <w:noProof/>
        </w:rPr>
        <w:t xml:space="preserve"> Tämä on tämän toimenpiteen tärkein toimi, jolla edistetään millä tahansa taloudellisen toiminnan alalla toimivien pienten ja keskisuurten yritysten (kymmenen alle 250 työntekijää), mikroyritysten (yksi-9 työntekijää) ja itsenäisten ammatinharjoittajien digitalisaatiota, mikä nostaa niiden digitaalista kypsyyttä. Ohjelma perustuu avustuksiin, joilla tuetaan digitaaliteknologian integrointia, jotta sähköinen kaupankäynti voidaan ottaa käyttöön tehokkaasti, digitalisoida suhteet julkishallintoon ja asiakkaisiin, kehittää sisäisiä digitaalisia prosesseja ja ottaa käyttöön sähköinen laskutus ja digitaalinen markkinointi. edistetään erityisesti palvelusuuntautuneita ratkaisuja. Ohjelmasta tuetaan osittain kustannuksia, jotka aiheutuvat digitaalisten perusratkaisujen, kuten Internetin läsnäolon, sähköisen myynnin, pilvipalvelujen, digitaalisten työpaikkojen, digitalisaation perusprosessien, asiakashallinnan, digitaalisen markkinoinnin ja kyberturvallisuuden, hyväksymisestä. Kullekin DTK:n digitointipaketille myönnetään kiinteä avustus, joka määritetään kussakin ehdotuspyynnössä yrityksen koon ja toimialan mukaan.</w:t>
      </w:r>
    </w:p>
    <w:p w14:paraId="1E51A126" w14:textId="77777777" w:rsidR="0065073E" w:rsidRDefault="000A0998">
      <w:pPr>
        <w:pStyle w:val="P68B1DB1-Text118"/>
        <w:ind w:left="0"/>
        <w:rPr>
          <w:rFonts w:cs="Times New Roman"/>
          <w:noProof/>
        </w:rPr>
      </w:pPr>
      <w:r>
        <w:rPr>
          <w:noProof/>
        </w:rPr>
        <w:t>2</w:t>
      </w:r>
      <w:r>
        <w:rPr>
          <w:noProof/>
          <w:u w:val="single"/>
        </w:rPr>
        <w:t>) Muutostoimijat -ohjelma</w:t>
      </w:r>
      <w:r>
        <w:rPr>
          <w:noProof/>
        </w:rPr>
        <w:t>: ohjelmasta tuetaan vähintään 15000 pientä ja keskisuurta yritystä (ten-249 työntekijää) niiden digitalisaatioprosesseissa.</w:t>
      </w:r>
    </w:p>
    <w:p w14:paraId="3C9FE3DB" w14:textId="77777777" w:rsidR="0065073E" w:rsidRDefault="000A0998">
      <w:pPr>
        <w:pStyle w:val="P68B1DB1-Text118"/>
        <w:ind w:left="0"/>
        <w:rPr>
          <w:rFonts w:cs="Times New Roman"/>
          <w:noProof/>
        </w:rPr>
      </w:pPr>
      <w:r>
        <w:rPr>
          <w:noProof/>
        </w:rPr>
        <w:t>3) ”</w:t>
      </w:r>
      <w:r>
        <w:rPr>
          <w:noProof/>
          <w:u w:val="single"/>
        </w:rPr>
        <w:t>pk-yritykset 2.0 -kiihdyttimet” -ohjelma</w:t>
      </w:r>
      <w:r>
        <w:rPr>
          <w:noProof/>
        </w:rPr>
        <w:t>: tämä on tämän investoinnin mukainen toimi, jolla laajennetaan pk-yritysten digitalisointia tukevaa infrastruktuuria neuvontapalveluilla ja koulutuspalveluilla.</w:t>
      </w:r>
    </w:p>
    <w:p w14:paraId="5CF5131C" w14:textId="46BA4CA8" w:rsidR="0065073E" w:rsidRDefault="00B72AF0">
      <w:pPr>
        <w:pStyle w:val="P68B1DB1-Text118"/>
        <w:ind w:left="0"/>
        <w:rPr>
          <w:noProof/>
        </w:rPr>
      </w:pPr>
      <w:r>
        <w:rPr>
          <w:noProof/>
        </w:rPr>
        <w:t xml:space="preserve">4) </w:t>
      </w:r>
      <w:r w:rsidR="000A0998" w:rsidRPr="00B72AF0">
        <w:rPr>
          <w:noProof/>
          <w:u w:val="single"/>
        </w:rPr>
        <w:t>Innovatiivisten yritysten klusteritukiohjelma</w:t>
      </w:r>
      <w:r w:rsidR="000A0998">
        <w:rPr>
          <w:noProof/>
        </w:rPr>
        <w:t xml:space="preserve"> (Innovative Business Cluster Support) tällä toimenpiteellä tuetaan hankkeita, joilla digitalisoidaan eri talouden alojen arvoketjuja ja joita toteuttavat Innovative Business Clusters ja niihin liittyvät yhteisöt osana teollisuus- ja matkailuministeriön pk-yritysten tukipolitiikkaa.</w:t>
      </w:r>
    </w:p>
    <w:p w14:paraId="40EB0F1C" w14:textId="16698A39" w:rsidR="0065073E" w:rsidRDefault="000A0998">
      <w:pPr>
        <w:pStyle w:val="Text1"/>
        <w:ind w:left="0"/>
        <w:rPr>
          <w:rFonts w:ascii="Times New Roman" w:hAnsi="Times New Roman"/>
          <w:noProof/>
        </w:rPr>
      </w:pPr>
      <w:r>
        <w:rPr>
          <w:rFonts w:ascii="Times New Roman" w:hAnsi="Times New Roman"/>
          <w:noProof/>
        </w:rPr>
        <w:t>5)</w:t>
      </w:r>
      <w:r>
        <w:rPr>
          <w:rFonts w:ascii="Times New Roman" w:hAnsi="Times New Roman"/>
          <w:noProof/>
          <w:u w:val="single"/>
        </w:rPr>
        <w:t>digitaali-innovointikeskittymiä koskeva ohjelma</w:t>
      </w:r>
      <w:r>
        <w:rPr>
          <w:rFonts w:ascii="Times New Roman"/>
          <w:noProof/>
        </w:rPr>
        <w:t>: t</w:t>
      </w:r>
      <w:r>
        <w:rPr>
          <w:rFonts w:ascii="Times New Roman"/>
          <w:noProof/>
        </w:rPr>
        <w:t></w:t>
      </w:r>
      <w:r>
        <w:rPr>
          <w:rFonts w:ascii="Times New Roman"/>
          <w:noProof/>
        </w:rPr>
        <w:t>ll</w:t>
      </w:r>
      <w:r>
        <w:rPr>
          <w:rFonts w:ascii="Times New Roman"/>
          <w:noProof/>
        </w:rPr>
        <w:t></w:t>
      </w:r>
      <w:r>
        <w:rPr>
          <w:rFonts w:ascii="Times New Roman"/>
          <w:noProof/>
        </w:rPr>
        <w:t xml:space="preserve"> ohjelmalla tuetaan digitaali-innovointikeskittymien kehitt</w:t>
      </w:r>
      <w:r>
        <w:rPr>
          <w:rFonts w:ascii="Times New Roman"/>
          <w:noProof/>
        </w:rPr>
        <w:t></w:t>
      </w:r>
      <w:r>
        <w:rPr>
          <w:rFonts w:ascii="Times New Roman"/>
          <w:noProof/>
        </w:rPr>
        <w:t>mist</w:t>
      </w:r>
      <w:r>
        <w:rPr>
          <w:rFonts w:ascii="Times New Roman"/>
          <w:noProof/>
        </w:rPr>
        <w:t></w:t>
      </w:r>
      <w:r>
        <w:rPr>
          <w:rFonts w:ascii="Times New Roman"/>
          <w:noProof/>
        </w:rPr>
        <w:t xml:space="preserve"> Espanjassa. Digitaali-innovointikeskittym</w:t>
      </w:r>
      <w:r>
        <w:rPr>
          <w:rFonts w:ascii="Times New Roman"/>
          <w:noProof/>
        </w:rPr>
        <w:t></w:t>
      </w:r>
      <w:r>
        <w:rPr>
          <w:rFonts w:ascii="Times New Roman"/>
          <w:noProof/>
        </w:rPr>
        <w:t>t ovat rakenteita, jotka auttavat yrityksi</w:t>
      </w:r>
      <w:r>
        <w:rPr>
          <w:rFonts w:ascii="Times New Roman"/>
          <w:noProof/>
        </w:rPr>
        <w:t></w:t>
      </w:r>
      <w:r>
        <w:rPr>
          <w:rFonts w:ascii="Times New Roman"/>
          <w:noProof/>
        </w:rPr>
        <w:t xml:space="preserve"> vastaamaan digitaalisiin haasteisiin ja parantamaan kilpailukyky</w:t>
      </w:r>
      <w:r>
        <w:rPr>
          <w:rFonts w:ascii="Times New Roman"/>
          <w:noProof/>
        </w:rPr>
        <w:t></w:t>
      </w:r>
      <w:r>
        <w:rPr>
          <w:rFonts w:ascii="Times New Roman"/>
          <w:noProof/>
        </w:rPr>
        <w:t></w:t>
      </w:r>
      <w:r>
        <w:rPr>
          <w:rFonts w:ascii="Times New Roman"/>
          <w:noProof/>
        </w:rPr>
        <w:t>n parantamalla liiketoiminta- ja tuotantoprosessejaan digitaaliteknologian intensiivisen k</w:t>
      </w:r>
      <w:r>
        <w:rPr>
          <w:rFonts w:ascii="Times New Roman"/>
          <w:noProof/>
        </w:rPr>
        <w:t></w:t>
      </w:r>
      <w:r>
        <w:rPr>
          <w:rFonts w:ascii="Times New Roman"/>
          <w:noProof/>
        </w:rPr>
        <w:t>yt</w:t>
      </w:r>
      <w:r>
        <w:rPr>
          <w:rFonts w:ascii="Times New Roman"/>
          <w:noProof/>
        </w:rPr>
        <w:t></w:t>
      </w:r>
      <w:r>
        <w:rPr>
          <w:rFonts w:ascii="Times New Roman"/>
          <w:noProof/>
        </w:rPr>
        <w:t>n avulla. Osana t</w:t>
      </w:r>
      <w:r>
        <w:rPr>
          <w:rFonts w:ascii="Times New Roman"/>
          <w:noProof/>
        </w:rPr>
        <w:t></w:t>
      </w:r>
      <w:r>
        <w:rPr>
          <w:rFonts w:ascii="Times New Roman"/>
          <w:noProof/>
        </w:rPr>
        <w:t>t</w:t>
      </w:r>
      <w:r>
        <w:rPr>
          <w:rFonts w:ascii="Times New Roman"/>
          <w:noProof/>
        </w:rPr>
        <w:t></w:t>
      </w:r>
      <w:r>
        <w:rPr>
          <w:rFonts w:ascii="Times New Roman"/>
          <w:noProof/>
        </w:rPr>
        <w:t xml:space="preserve"> alatoimenpidett</w:t>
      </w:r>
      <w:r>
        <w:rPr>
          <w:rFonts w:ascii="Times New Roman"/>
          <w:noProof/>
        </w:rPr>
        <w:t></w:t>
      </w:r>
      <w:r>
        <w:rPr>
          <w:rFonts w:ascii="Times New Roman"/>
          <w:noProof/>
        </w:rPr>
        <w:t xml:space="preserve"> 25 digitaali-innovointikeskittymi</w:t>
      </w:r>
      <w:r>
        <w:rPr>
          <w:rFonts w:ascii="Times New Roman"/>
          <w:noProof/>
        </w:rPr>
        <w:t></w:t>
      </w:r>
      <w:r>
        <w:rPr>
          <w:rFonts w:ascii="Times New Roman"/>
          <w:noProof/>
        </w:rPr>
        <w:t xml:space="preserve"> voidaan tukea, jotta ne voivat tarjota palveluja pk-yrityksille. Digitaali-innovaatiokeskittymist</w:t>
      </w:r>
      <w:r>
        <w:rPr>
          <w:rFonts w:ascii="Times New Roman"/>
          <w:noProof/>
        </w:rPr>
        <w:t></w:t>
      </w:r>
      <w:r>
        <w:rPr>
          <w:rFonts w:ascii="Times New Roman"/>
          <w:noProof/>
        </w:rPr>
        <w:t xml:space="preserve"> 12 voi saada tukea Digitaalinen Eurooppa -ohjelmasta. Digitaalinen Eurooppa -ohjelmasta erityisille ty</w:t>
      </w:r>
      <w:r>
        <w:rPr>
          <w:rFonts w:ascii="Times New Roman"/>
          <w:noProof/>
        </w:rPr>
        <w:t></w:t>
      </w:r>
      <w:r>
        <w:rPr>
          <w:rFonts w:ascii="Times New Roman"/>
          <w:noProof/>
        </w:rPr>
        <w:t>paketeille annettavaa tukea ei oteta huomioon t</w:t>
      </w:r>
      <w:r>
        <w:rPr>
          <w:rFonts w:ascii="Times New Roman"/>
          <w:noProof/>
        </w:rPr>
        <w:t></w:t>
      </w:r>
      <w:r>
        <w:rPr>
          <w:rFonts w:ascii="Times New Roman"/>
          <w:noProof/>
        </w:rPr>
        <w:t>m</w:t>
      </w:r>
      <w:r>
        <w:rPr>
          <w:rFonts w:ascii="Times New Roman"/>
          <w:noProof/>
        </w:rPr>
        <w:t></w:t>
      </w:r>
      <w:r>
        <w:rPr>
          <w:rFonts w:ascii="Times New Roman"/>
          <w:noProof/>
        </w:rPr>
        <w:t xml:space="preserve">n investoinnin toteuttamisessa.  </w:t>
      </w:r>
    </w:p>
    <w:p w14:paraId="14AF7B44" w14:textId="07E65BCD"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tulevien hankepyyntöjen tehtävänmääritykseen sisältyviin tukikelpoisuusperusteisiin ei lueta seuraavia toimia: I) fossiilisiin polttoaineisiin liittyvät toimet, mukaan lukien loppupään käyttö</w:t>
      </w:r>
      <w:r>
        <w:rPr>
          <w:rStyle w:val="FootnoteReference"/>
          <w:rFonts w:ascii="Times New Roman" w:hAnsi="Times New Roman" w:cs="Times New Roman"/>
          <w:noProof/>
        </w:rPr>
        <w:footnoteReference w:id="82"/>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83"/>
      </w:r>
      <w:r>
        <w:rPr>
          <w:rFonts w:ascii="Times New Roman" w:hAnsi="Times New Roman"/>
          <w:noProof/>
        </w:rPr>
        <w:t>; III) jätteen kaatopaikkoihin, polttolaitoksiin</w:t>
      </w:r>
      <w:r>
        <w:rPr>
          <w:rStyle w:val="FootnoteReference"/>
          <w:rFonts w:ascii="Times New Roman" w:hAnsi="Times New Roman" w:cs="Times New Roman"/>
          <w:noProof/>
        </w:rPr>
        <w:footnoteReference w:id="8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5"/>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2B18AE3B" w14:textId="677E1B25" w:rsidR="0065073E" w:rsidRDefault="000A0998">
      <w:pPr>
        <w:pStyle w:val="P68B1DB1-Normal4"/>
        <w:spacing w:line="240" w:lineRule="auto"/>
        <w:jc w:val="both"/>
        <w:rPr>
          <w:rFonts w:cs="Times New Roman"/>
          <w:noProof/>
        </w:rPr>
      </w:pPr>
      <w:r>
        <w:rPr>
          <w:noProof/>
        </w:rPr>
        <w:t>Investoinnin toteutus saatetaan päätökseen viimeistään 30. kesäkuuta 2026.</w:t>
      </w:r>
    </w:p>
    <w:p w14:paraId="6CE0CEB2" w14:textId="77777777" w:rsidR="0065073E" w:rsidRDefault="000A0998">
      <w:pPr>
        <w:pStyle w:val="P68B1DB1-Text119"/>
        <w:ind w:left="0"/>
        <w:rPr>
          <w:rFonts w:cs="Times New Roman"/>
          <w:noProof/>
        </w:rPr>
      </w:pPr>
      <w:r>
        <w:rPr>
          <w:noProof/>
        </w:rPr>
        <w:t xml:space="preserve">Investointi 4 (C13.I4) Kaupan tukeminen </w:t>
      </w:r>
    </w:p>
    <w:p w14:paraId="07666486" w14:textId="77777777" w:rsidR="0065073E" w:rsidRDefault="000A0998">
      <w:pPr>
        <w:pStyle w:val="P68B1DB1-Text118"/>
        <w:ind w:left="0"/>
        <w:rPr>
          <w:rFonts w:cs="Times New Roman"/>
          <w:noProof/>
        </w:rPr>
      </w:pPr>
      <w:r>
        <w:rPr>
          <w:noProof/>
        </w:rPr>
        <w:t xml:space="preserve">Toimenpiteen tavoitteena on auttaa pienyrityksiä mukautumaan kaupan alan digitalisaatioon ja kuluttajien muuttuvaan käyttäytymiseen. </w:t>
      </w:r>
    </w:p>
    <w:p w14:paraId="7E2B24D8" w14:textId="77777777" w:rsidR="0065073E" w:rsidRDefault="000A0998">
      <w:pPr>
        <w:pStyle w:val="P68B1DB1-Text118"/>
        <w:ind w:left="0"/>
        <w:rPr>
          <w:rFonts w:cs="Times New Roman"/>
          <w:noProof/>
        </w:rPr>
      </w:pPr>
      <w:r>
        <w:rPr>
          <w:noProof/>
        </w:rPr>
        <w:t>Investoinnilla on kaksi keskeistä toimintalinjaa.</w:t>
      </w:r>
    </w:p>
    <w:p w14:paraId="58316D33" w14:textId="77777777" w:rsidR="0065073E" w:rsidRDefault="000A0998">
      <w:pPr>
        <w:pStyle w:val="P68B1DB1-Text118"/>
        <w:numPr>
          <w:ilvl w:val="0"/>
          <w:numId w:val="179"/>
        </w:numPr>
        <w:rPr>
          <w:rFonts w:cs="Times New Roman"/>
          <w:noProof/>
        </w:rPr>
      </w:pPr>
      <w:r>
        <w:rPr>
          <w:noProof/>
        </w:rPr>
        <w:t>Pienimuotoisen kaupan alan hankkeet, joiden tavoitteena on ottaa käyttöön uutta teknologiaa, jonka avulla paikallinen kauppa pystyy vastaamaan uusiin kulutustottumuksiin. Hankkeet rahoitetaan ”teknologiarahastosta” (200 hanketta). Tämän rahaston tukikelpoisia hankkeita ovat muun muassa seuraavat:</w:t>
      </w:r>
    </w:p>
    <w:p w14:paraId="7B372BBE" w14:textId="77777777" w:rsidR="0065073E" w:rsidRDefault="000A0998">
      <w:pPr>
        <w:pStyle w:val="P68B1DB1-Text118"/>
        <w:numPr>
          <w:ilvl w:val="1"/>
          <w:numId w:val="179"/>
        </w:numPr>
        <w:rPr>
          <w:rFonts w:cs="Times New Roman"/>
          <w:noProof/>
        </w:rPr>
      </w:pPr>
      <w:r>
        <w:rPr>
          <w:noProof/>
        </w:rPr>
        <w:t>Uusia teknologioita koskevat hankkeet, joilla pyritään parantamaan verkkokauppa- ja viestintästrategiaa, liiketoimintamalleja tai ostoskokemusta;</w:t>
      </w:r>
    </w:p>
    <w:p w14:paraId="0E961FA6" w14:textId="77777777" w:rsidR="0065073E" w:rsidRDefault="000A0998">
      <w:pPr>
        <w:pStyle w:val="P68B1DB1-Text118"/>
        <w:numPr>
          <w:ilvl w:val="1"/>
          <w:numId w:val="179"/>
        </w:numPr>
        <w:rPr>
          <w:rFonts w:cs="Times New Roman"/>
          <w:noProof/>
        </w:rPr>
      </w:pPr>
      <w:r>
        <w:rPr>
          <w:noProof/>
        </w:rPr>
        <w:t>Hankkeet, jotka koskevat uutta teknologiaa, jolla fyysiset ostoskokemukset mukautetaan kuluttajien uusiin tarpeisiin ja tottumuksiin ja uusiin hallintamalleihin;</w:t>
      </w:r>
    </w:p>
    <w:p w14:paraId="3048CE17" w14:textId="77777777" w:rsidR="0065073E" w:rsidRDefault="000A0998">
      <w:pPr>
        <w:pStyle w:val="P68B1DB1-Text118"/>
        <w:numPr>
          <w:ilvl w:val="1"/>
          <w:numId w:val="179"/>
        </w:numPr>
        <w:rPr>
          <w:rFonts w:cs="Times New Roman"/>
          <w:noProof/>
        </w:rPr>
      </w:pPr>
      <w:r>
        <w:rPr>
          <w:noProof/>
        </w:rPr>
        <w:t>Hankkeet teknologisten ratkaisujen löytämiseksi logistiikan viimeisen vaiheen tehokkuuden ja kestävyyden parantamiseksi;</w:t>
      </w:r>
    </w:p>
    <w:p w14:paraId="74171754" w14:textId="77777777" w:rsidR="0065073E" w:rsidRDefault="000A0998">
      <w:pPr>
        <w:pStyle w:val="P68B1DB1-Text118"/>
        <w:numPr>
          <w:ilvl w:val="1"/>
          <w:numId w:val="179"/>
        </w:numPr>
        <w:rPr>
          <w:rFonts w:cs="Times New Roman"/>
          <w:noProof/>
        </w:rPr>
      </w:pPr>
      <w:r>
        <w:rPr>
          <w:noProof/>
        </w:rPr>
        <w:t xml:space="preserve">Hankkeet teknologisten ratkaisujen toteuttamiseksi energia- ja resurssitehokkuuden parantamiseksi. </w:t>
      </w:r>
    </w:p>
    <w:p w14:paraId="34E6DC97" w14:textId="77777777" w:rsidR="0065073E" w:rsidRDefault="000A0998">
      <w:pPr>
        <w:pStyle w:val="P68B1DB1-Text118"/>
        <w:ind w:left="0"/>
        <w:rPr>
          <w:rFonts w:cs="Times New Roman"/>
          <w:noProof/>
        </w:rPr>
      </w:pPr>
      <w:r>
        <w:rPr>
          <w:noProof/>
        </w:rPr>
        <w:t>Investointia täydennetään perustamalla digitaalinen alusta (</w:t>
      </w:r>
      <w:r>
        <w:rPr>
          <w:i/>
          <w:noProof/>
        </w:rPr>
        <w:t>Plataforma Comercio Conectado)</w:t>
      </w:r>
      <w:r>
        <w:rPr>
          <w:noProof/>
        </w:rPr>
        <w:t xml:space="preserve">, jolla edistetään alan digitalisaatiota. </w:t>
      </w:r>
    </w:p>
    <w:p w14:paraId="17A95610" w14:textId="77777777" w:rsidR="0065073E" w:rsidRDefault="000A0998">
      <w:pPr>
        <w:pStyle w:val="P68B1DB1-Text118"/>
        <w:numPr>
          <w:ilvl w:val="0"/>
          <w:numId w:val="179"/>
        </w:numPr>
        <w:rPr>
          <w:rFonts w:cs="Times New Roman"/>
          <w:noProof/>
        </w:rPr>
      </w:pPr>
      <w:r>
        <w:rPr>
          <w:noProof/>
        </w:rPr>
        <w:t xml:space="preserve">Paikallisviranomaisten esittämät hankkeet, joilla pyritään parantamaan kunnallisten markkinoiden, kauppa-alueiden, kiertämättömien myyntimarkkinoiden ja lyhyiden markkinointikanavien nykyaikaistamista, osana kestävien markkinoiden ohjelmaa (130 hanketta). Tämän ohjelman mukaisesti tukikelpoisia hankkeita ovat muun muassa seuraavat: </w:t>
      </w:r>
    </w:p>
    <w:p w14:paraId="5657690C" w14:textId="77777777" w:rsidR="0065073E" w:rsidRDefault="000A0998">
      <w:pPr>
        <w:pStyle w:val="P68B1DB1-Text118"/>
        <w:numPr>
          <w:ilvl w:val="1"/>
          <w:numId w:val="179"/>
        </w:numPr>
        <w:rPr>
          <w:rFonts w:cs="Times New Roman"/>
          <w:noProof/>
        </w:rPr>
      </w:pPr>
      <w:r>
        <w:rPr>
          <w:noProof/>
        </w:rPr>
        <w:t>Massadataan tai muuhun teknologiaan perustuvien asiakastietovälineiden käyttöönottoa koskevat hankkeet;</w:t>
      </w:r>
    </w:p>
    <w:p w14:paraId="7265C4E7" w14:textId="77777777" w:rsidR="0065073E" w:rsidRDefault="000A0998">
      <w:pPr>
        <w:pStyle w:val="P68B1DB1-Text118"/>
        <w:numPr>
          <w:ilvl w:val="1"/>
          <w:numId w:val="179"/>
        </w:numPr>
        <w:rPr>
          <w:rFonts w:cs="Times New Roman"/>
          <w:noProof/>
        </w:rPr>
      </w:pPr>
      <w:r>
        <w:rPr>
          <w:noProof/>
        </w:rPr>
        <w:t>Markkinoiden digitalisaatioon liittyvät hankkeet, joilla parannetaan koko kanavan markkinapaikkoja ja ostoskokemusta;</w:t>
      </w:r>
    </w:p>
    <w:p w14:paraId="453FC010" w14:textId="77777777" w:rsidR="0065073E" w:rsidRDefault="000A0998">
      <w:pPr>
        <w:pStyle w:val="P68B1DB1-Text118"/>
        <w:numPr>
          <w:ilvl w:val="1"/>
          <w:numId w:val="179"/>
        </w:numPr>
        <w:rPr>
          <w:rFonts w:cs="Times New Roman"/>
          <w:noProof/>
        </w:rPr>
      </w:pPr>
      <w:r>
        <w:rPr>
          <w:noProof/>
        </w:rPr>
        <w:t>Katukaupan ja lyhyiden markkinointikanavien digitalisointiin tähtäävät hankkeet;</w:t>
      </w:r>
    </w:p>
    <w:p w14:paraId="39B80040" w14:textId="77777777" w:rsidR="0065073E" w:rsidRDefault="000A0998">
      <w:pPr>
        <w:pStyle w:val="P68B1DB1-Text118"/>
        <w:numPr>
          <w:ilvl w:val="1"/>
          <w:numId w:val="179"/>
        </w:numPr>
        <w:rPr>
          <w:rFonts w:cs="Times New Roman"/>
          <w:noProof/>
        </w:rPr>
      </w:pPr>
      <w:r>
        <w:rPr>
          <w:noProof/>
        </w:rPr>
        <w:t>Hankkeet, jotka koskevat kunnostustöitä ja kunnostustöitä, joiden tarkoituksena on parantaa kunnallisten markkinoiden, kauppa-alueiden ja muiden kuin kylpylämarkkinoiden ja niiden vierekkäisten alueiden saatavuutta, varustelua ja riittävyyttä;</w:t>
      </w:r>
    </w:p>
    <w:p w14:paraId="62EE7A4E" w14:textId="77777777" w:rsidR="0065073E" w:rsidRDefault="000A0998">
      <w:pPr>
        <w:pStyle w:val="P68B1DB1-Text118"/>
        <w:numPr>
          <w:ilvl w:val="1"/>
          <w:numId w:val="179"/>
        </w:numPr>
        <w:rPr>
          <w:rFonts w:cs="Times New Roman"/>
          <w:noProof/>
        </w:rPr>
      </w:pPr>
      <w:r>
        <w:rPr>
          <w:noProof/>
        </w:rPr>
        <w:t>Hankkeet, joilla vähennetään tuotantopanosten kulutusta kaupassa ja korvataan ne ympäristöystävällisillä vaihtoehdoilla;</w:t>
      </w:r>
    </w:p>
    <w:p w14:paraId="71D6E11E" w14:textId="77777777" w:rsidR="0065073E" w:rsidRDefault="000A0998">
      <w:pPr>
        <w:pStyle w:val="P68B1DB1-Text118"/>
        <w:numPr>
          <w:ilvl w:val="1"/>
          <w:numId w:val="179"/>
        </w:numPr>
        <w:rPr>
          <w:rFonts w:cs="Times New Roman"/>
          <w:noProof/>
        </w:rPr>
      </w:pPr>
      <w:r>
        <w:rPr>
          <w:noProof/>
        </w:rPr>
        <w:t>Älykkäiden jakelupisteiden asentaminen;</w:t>
      </w:r>
    </w:p>
    <w:p w14:paraId="5B87337C" w14:textId="77777777" w:rsidR="0065073E" w:rsidRDefault="000A0998">
      <w:pPr>
        <w:pStyle w:val="P68B1DB1-Text118"/>
        <w:numPr>
          <w:ilvl w:val="1"/>
          <w:numId w:val="179"/>
        </w:numPr>
        <w:rPr>
          <w:rFonts w:cs="Times New Roman"/>
          <w:noProof/>
        </w:rPr>
      </w:pPr>
      <w:r>
        <w:rPr>
          <w:noProof/>
        </w:rPr>
        <w:t>Hankkeet energiatehokkuuden parantamiseksi;</w:t>
      </w:r>
    </w:p>
    <w:p w14:paraId="6CCEF1FD" w14:textId="77777777" w:rsidR="0065073E" w:rsidRDefault="000A0998">
      <w:pPr>
        <w:pStyle w:val="P68B1DB1-Text118"/>
        <w:numPr>
          <w:ilvl w:val="1"/>
          <w:numId w:val="179"/>
        </w:numPr>
        <w:rPr>
          <w:rFonts w:cs="Times New Roman"/>
          <w:noProof/>
        </w:rPr>
      </w:pPr>
      <w:r>
        <w:rPr>
          <w:noProof/>
        </w:rPr>
        <w:t>Toimet, joilla edistetään jätteen kierrätystä tai uudelleenkäyttöä;</w:t>
      </w:r>
    </w:p>
    <w:p w14:paraId="5A265DDC" w14:textId="77777777" w:rsidR="0065073E" w:rsidRDefault="000A0998">
      <w:pPr>
        <w:pStyle w:val="P68B1DB1-Text118"/>
        <w:numPr>
          <w:ilvl w:val="1"/>
          <w:numId w:val="179"/>
        </w:numPr>
        <w:rPr>
          <w:rFonts w:cs="Times New Roman"/>
          <w:noProof/>
        </w:rPr>
      </w:pPr>
      <w:r>
        <w:rPr>
          <w:noProof/>
        </w:rPr>
        <w:t>Teknologisten taitojen valistaminen ja koulutus.</w:t>
      </w:r>
    </w:p>
    <w:p w14:paraId="0CEBB0F1"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86"/>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87"/>
      </w:r>
      <w:r>
        <w:rPr>
          <w:rFonts w:ascii="Times New Roman" w:hAnsi="Times New Roman"/>
          <w:noProof/>
        </w:rPr>
        <w:t>; III) jätteen kaatopaikkoihin, polttolaitoksiin</w:t>
      </w:r>
      <w:r>
        <w:rPr>
          <w:rStyle w:val="FootnoteReference"/>
          <w:rFonts w:ascii="Times New Roman" w:hAnsi="Times New Roman" w:cs="Times New Roman"/>
          <w:noProof/>
        </w:rPr>
        <w:footnoteReference w:id="8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9"/>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48EFD63B" w14:textId="77777777" w:rsidR="0065073E" w:rsidRDefault="000A0998">
      <w:pPr>
        <w:pStyle w:val="P68B1DB1-Normal4"/>
        <w:spacing w:line="240" w:lineRule="auto"/>
        <w:jc w:val="both"/>
        <w:rPr>
          <w:rFonts w:cs="Times New Roman"/>
          <w:noProof/>
        </w:rPr>
      </w:pPr>
      <w:r>
        <w:rPr>
          <w:noProof/>
        </w:rPr>
        <w:t>Investoinnin toteutus saatetaan päätökseen viimeistään 31. joulukuuta 2024.</w:t>
      </w:r>
    </w:p>
    <w:p w14:paraId="33FA769E" w14:textId="77777777" w:rsidR="0065073E" w:rsidRDefault="000A0998">
      <w:pPr>
        <w:pStyle w:val="P68B1DB1-Text119"/>
        <w:ind w:left="0"/>
        <w:rPr>
          <w:rFonts w:cs="Times New Roman"/>
          <w:noProof/>
        </w:rPr>
      </w:pPr>
      <w:r>
        <w:rPr>
          <w:noProof/>
        </w:rPr>
        <w:t xml:space="preserve">Investointi 5 (C13.I5) kansainvälistyminen </w:t>
      </w:r>
    </w:p>
    <w:p w14:paraId="2AA5556E" w14:textId="77777777" w:rsidR="0065073E" w:rsidRDefault="000A0998">
      <w:pPr>
        <w:pStyle w:val="P68B1DB1-Text118"/>
        <w:ind w:left="0"/>
        <w:rPr>
          <w:rFonts w:cs="Times New Roman"/>
          <w:noProof/>
        </w:rPr>
      </w:pPr>
      <w:r>
        <w:rPr>
          <w:noProof/>
        </w:rPr>
        <w:t>Toimenpiteen tavoitteena on vahvistaa Espanjan vientituki-, kansainvälistymis- ja ulkomaisten investointien järjestelmän valmiuksia ja välineitä.</w:t>
      </w:r>
    </w:p>
    <w:p w14:paraId="23CB221F" w14:textId="77777777" w:rsidR="0065073E" w:rsidRDefault="000A0998">
      <w:pPr>
        <w:pStyle w:val="P68B1DB1-Text118"/>
        <w:ind w:left="0"/>
        <w:rPr>
          <w:rFonts w:cs="Times New Roman"/>
          <w:noProof/>
        </w:rPr>
      </w:pPr>
      <w:r>
        <w:rPr>
          <w:noProof/>
        </w:rPr>
        <w:t>Investointi koostuu 11 toimesta, jotka ovat seuraavat:</w:t>
      </w:r>
    </w:p>
    <w:p w14:paraId="42E8CBD7" w14:textId="77777777" w:rsidR="0065073E" w:rsidRDefault="000A0998">
      <w:pPr>
        <w:pStyle w:val="P68B1DB1-Text118"/>
        <w:numPr>
          <w:ilvl w:val="0"/>
          <w:numId w:val="180"/>
        </w:numPr>
        <w:rPr>
          <w:rFonts w:cs="Times New Roman"/>
          <w:noProof/>
        </w:rPr>
      </w:pPr>
      <w:r>
        <w:rPr>
          <w:noProof/>
        </w:rPr>
        <w:t>Budjettikohta toteutettavuustutkimuksia, toteutettavuutta, ennakkototeutettavuutta sekä alakohtaisia ja institutionaalisia nykyaikaistamista koskevia tutkimuksia varten;</w:t>
      </w:r>
    </w:p>
    <w:p w14:paraId="77E0C301" w14:textId="77777777" w:rsidR="0065073E" w:rsidRDefault="000A0998">
      <w:pPr>
        <w:pStyle w:val="P68B1DB1-Text118"/>
        <w:numPr>
          <w:ilvl w:val="0"/>
          <w:numId w:val="180"/>
        </w:numPr>
        <w:rPr>
          <w:rFonts w:cs="Times New Roman"/>
          <w:noProof/>
        </w:rPr>
      </w:pPr>
      <w:r>
        <w:rPr>
          <w:noProof/>
        </w:rPr>
        <w:t>INNOVA Invest -ohjelma, jolla tuetaan ulkomaisia T &amp; K-investointeja;</w:t>
      </w:r>
    </w:p>
    <w:p w14:paraId="04A5FDA5" w14:textId="77777777" w:rsidR="0065073E" w:rsidRDefault="000A0998">
      <w:pPr>
        <w:pStyle w:val="P68B1DB1-Text118"/>
        <w:numPr>
          <w:ilvl w:val="0"/>
          <w:numId w:val="180"/>
        </w:numPr>
        <w:rPr>
          <w:rFonts w:cs="Times New Roman"/>
          <w:noProof/>
        </w:rPr>
      </w:pPr>
      <w:r>
        <w:rPr>
          <w:noProof/>
        </w:rPr>
        <w:t>VIVES-ohjelma, jolla tarjotaan taloudellista tukea harjoittelijoiden palkkaamiseen vientitoimintaa harjoittavissa yrityksissä;</w:t>
      </w:r>
    </w:p>
    <w:p w14:paraId="6F005537" w14:textId="77777777" w:rsidR="0065073E" w:rsidRDefault="000A0998">
      <w:pPr>
        <w:pStyle w:val="P68B1DB1-Text118"/>
        <w:numPr>
          <w:ilvl w:val="0"/>
          <w:numId w:val="180"/>
        </w:numPr>
        <w:rPr>
          <w:rFonts w:cs="Times New Roman"/>
          <w:noProof/>
        </w:rPr>
      </w:pPr>
      <w:r>
        <w:rPr>
          <w:noProof/>
        </w:rPr>
        <w:t>Kansainvälinen mentorointikoulutusohjelma;</w:t>
      </w:r>
    </w:p>
    <w:p w14:paraId="7AD21A9C" w14:textId="77777777" w:rsidR="0065073E" w:rsidRDefault="000A0998">
      <w:pPr>
        <w:pStyle w:val="P68B1DB1-Text118"/>
        <w:numPr>
          <w:ilvl w:val="0"/>
          <w:numId w:val="180"/>
        </w:numPr>
        <w:rPr>
          <w:rFonts w:cs="Times New Roman"/>
          <w:noProof/>
        </w:rPr>
      </w:pPr>
      <w:r>
        <w:rPr>
          <w:noProof/>
        </w:rPr>
        <w:t>Ohjelma viestintäjärjestelmien, telemaattisten palvelujen ja vientijärjestöjen, vientijärjestöjen, Espanjan kauppakamarien ja niiden liittojen digitoinnin vahvistamiseksi;</w:t>
      </w:r>
    </w:p>
    <w:p w14:paraId="6953C7C8" w14:textId="77777777" w:rsidR="0065073E" w:rsidRDefault="000A0998">
      <w:pPr>
        <w:pStyle w:val="P68B1DB1-Text118"/>
        <w:numPr>
          <w:ilvl w:val="0"/>
          <w:numId w:val="180"/>
        </w:numPr>
        <w:rPr>
          <w:rFonts w:cs="Times New Roman"/>
          <w:noProof/>
        </w:rPr>
      </w:pPr>
      <w:r>
        <w:rPr>
          <w:noProof/>
        </w:rPr>
        <w:t>Vientipohjan laajentumisohjelma, ohjelma yksilöllisen valmennuksen tarjoamiseksi yrityksille ja erityisesti pk-yrityksille;</w:t>
      </w:r>
    </w:p>
    <w:p w14:paraId="4E244043" w14:textId="77777777" w:rsidR="0065073E" w:rsidRDefault="000A0998">
      <w:pPr>
        <w:pStyle w:val="P68B1DB1-Text118"/>
        <w:numPr>
          <w:ilvl w:val="0"/>
          <w:numId w:val="180"/>
        </w:numPr>
        <w:rPr>
          <w:rFonts w:cs="Times New Roman"/>
          <w:noProof/>
        </w:rPr>
      </w:pPr>
      <w:r>
        <w:rPr>
          <w:noProof/>
        </w:rPr>
        <w:t>Ohjelma Espanjan suuren kasvun yritysekosysteemin vahvistamiseksi;</w:t>
      </w:r>
    </w:p>
    <w:p w14:paraId="5FC226CD" w14:textId="77777777" w:rsidR="0065073E" w:rsidRDefault="000A0998">
      <w:pPr>
        <w:pStyle w:val="P68B1DB1-Text118"/>
        <w:numPr>
          <w:ilvl w:val="0"/>
          <w:numId w:val="180"/>
        </w:numPr>
        <w:rPr>
          <w:rFonts w:cs="Times New Roman"/>
          <w:noProof/>
        </w:rPr>
      </w:pPr>
      <w:r>
        <w:rPr>
          <w:noProof/>
        </w:rPr>
        <w:t>Tuki markkinoiden avaamiseen ja vakauttamiseen avustuksilla, jotka liittyvät kolmansien maiden viranomaisten tarkastuksiin ja tilintarkastuksiin sekä kaupan suojatoimiin liittyviin oikeudellisiin ja konsulttimenoihin;</w:t>
      </w:r>
    </w:p>
    <w:p w14:paraId="365765DB" w14:textId="77777777" w:rsidR="0065073E" w:rsidRDefault="000A0998">
      <w:pPr>
        <w:pStyle w:val="P68B1DB1-ListParagraph6"/>
        <w:numPr>
          <w:ilvl w:val="0"/>
          <w:numId w:val="180"/>
        </w:numPr>
        <w:rPr>
          <w:rFonts w:cs="Times New Roman"/>
          <w:noProof/>
        </w:rPr>
      </w:pPr>
      <w:r>
        <w:rPr>
          <w:noProof/>
        </w:rPr>
        <w:t>COFIDESin (valtion omistama rahoituslaitos, joka tarjoaa keskipitkän ja pitkän aikavälin rahoitusta yritysten kansainvälistymisinvestointihankkeiden tukemiseen) toteuttama taloudellinen kannustinohjelma vaikutusinvestointien edistämiseksi. Sen päätavoitteena on tuottaa mitattavissa olevia, sosiaalisia ja/tai ympäristövaikutuksia taloudellisen tuoton ohella;</w:t>
      </w:r>
    </w:p>
    <w:p w14:paraId="51EB652A" w14:textId="77777777" w:rsidR="0065073E" w:rsidRDefault="000A0998">
      <w:pPr>
        <w:pStyle w:val="P68B1DB1-Text118"/>
        <w:numPr>
          <w:ilvl w:val="0"/>
          <w:numId w:val="180"/>
        </w:numPr>
        <w:rPr>
          <w:rFonts w:cs="Times New Roman"/>
          <w:noProof/>
        </w:rPr>
      </w:pPr>
      <w:r>
        <w:rPr>
          <w:noProof/>
        </w:rPr>
        <w:t>Valtiollisten palvelujen digitalisoinnin edistäminen kansainvälistymisen tukemiseksi;</w:t>
      </w:r>
    </w:p>
    <w:p w14:paraId="4E94D798" w14:textId="77777777" w:rsidR="0065073E" w:rsidRDefault="000A0998">
      <w:pPr>
        <w:pStyle w:val="P68B1DB1-Text118"/>
        <w:numPr>
          <w:ilvl w:val="0"/>
          <w:numId w:val="180"/>
        </w:numPr>
        <w:rPr>
          <w:rFonts w:cs="Times New Roman"/>
          <w:noProof/>
        </w:rPr>
      </w:pPr>
      <w:r>
        <w:rPr>
          <w:noProof/>
        </w:rPr>
        <w:t>ICEXin digitalisointi (kansallinen julkinen yritys, joka edistää espanjalaisten yritysten kansainvälistymistä).</w:t>
      </w:r>
    </w:p>
    <w:p w14:paraId="3F1FCC2B"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90"/>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91"/>
      </w:r>
      <w:r>
        <w:rPr>
          <w:rFonts w:ascii="Times New Roman" w:hAnsi="Times New Roman"/>
          <w:noProof/>
        </w:rPr>
        <w:t>; III) jätteen kaatopaikkoihin, polttolaitoksiin</w:t>
      </w:r>
      <w:r>
        <w:rPr>
          <w:rStyle w:val="FootnoteReference"/>
          <w:rFonts w:ascii="Times New Roman" w:hAnsi="Times New Roman" w:cs="Times New Roman"/>
          <w:noProof/>
        </w:rPr>
        <w:footnoteReference w:id="92"/>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93"/>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41E86151" w14:textId="77777777" w:rsidR="0065073E" w:rsidRDefault="000A0998">
      <w:pPr>
        <w:pStyle w:val="P68B1DB1-Text118"/>
        <w:ind w:left="0"/>
        <w:rPr>
          <w:rFonts w:cs="Times New Roman"/>
          <w:noProof/>
        </w:rPr>
      </w:pPr>
      <w:r>
        <w:rPr>
          <w:noProof/>
        </w:rPr>
        <w:t xml:space="preserve">Sen varmistamiseksi, että toimenpide on ”ei merkittävää haittaa” -periaatteen mukainen (2021/C58/01), Espanjan viranomaisten ja rahoitusvälineestä vastaavan yhteisön tai rahoituksen välittäjän välisessä oikeudellisessa sopimuksessa ja rahoitusvälineen sijoituspolitiikassa on rahoitusvälineiden osalta </w:t>
      </w:r>
    </w:p>
    <w:p w14:paraId="0AEA3626" w14:textId="77777777" w:rsidR="0065073E" w:rsidRDefault="000A0998">
      <w:pPr>
        <w:pStyle w:val="P68B1DB1-Text118"/>
        <w:numPr>
          <w:ilvl w:val="0"/>
          <w:numId w:val="221"/>
        </w:numPr>
        <w:rPr>
          <w:rFonts w:cs="Times New Roman"/>
          <w:noProof/>
        </w:rPr>
      </w:pPr>
      <w:r>
        <w:rPr>
          <w:noProof/>
        </w:rPr>
        <w:t>vaatia InvestEU-rahaston kestävyysarviointia koskevien komission teknisten ohjeiden soveltamista; ja</w:t>
      </w:r>
    </w:p>
    <w:p w14:paraId="562BFB7D" w14:textId="77777777" w:rsidR="0065073E" w:rsidRDefault="000A0998">
      <w:pPr>
        <w:pStyle w:val="P68B1DB1-Text118"/>
        <w:numPr>
          <w:ilvl w:val="0"/>
          <w:numId w:val="221"/>
        </w:numPr>
        <w:rPr>
          <w:rFonts w:cs="Times New Roman"/>
          <w:noProof/>
        </w:rPr>
      </w:pPr>
      <w:r>
        <w:rPr>
          <w:noProof/>
        </w:rPr>
        <w:t>sulkea seuraava luettelo toiminnoista ja omaisuuseristä tukikelpoisuuden ulkopuolelle: I) fossiilisiin polttoaineisiin liittyvät toiminnot ja omaisuuserät, mukaan lukien loppupään käyttö</w:t>
      </w:r>
      <w:r>
        <w:rPr>
          <w:noProof/>
        </w:rPr>
        <w:footnoteReference w:id="94"/>
      </w:r>
      <w:r>
        <w:rPr>
          <w:noProof/>
        </w:rPr>
        <w:t>; II) EU:n päästökauppajärjestelmään kuuluvat toiminnot ja omaisuuserät, joilla saavutetaan ennustetut kasvihuonekaasupäästöt, jotka eivät alita asiaankuuluvia vertailuarvoja</w:t>
      </w:r>
      <w:r>
        <w:rPr>
          <w:noProof/>
        </w:rPr>
        <w:footnoteReference w:id="95"/>
      </w:r>
      <w:r>
        <w:rPr>
          <w:noProof/>
        </w:rPr>
        <w:t>; III) jätteen kaatopaikkoihin, polttolaitoksiin ja mekaanisiin biologisiin käsittelylaitoksiin liittyvä toiminta</w:t>
      </w:r>
      <w:r>
        <w:rPr>
          <w:noProof/>
        </w:rPr>
        <w:footnoteReference w:id="96"/>
      </w:r>
      <w:r>
        <w:rPr>
          <w:noProof/>
        </w:rPr>
        <w:t xml:space="preserve"> ja omaisuus</w:t>
      </w:r>
      <w:r>
        <w:rPr>
          <w:noProof/>
        </w:rPr>
        <w:footnoteReference w:id="97"/>
      </w:r>
      <w:r>
        <w:rPr>
          <w:noProof/>
        </w:rPr>
        <w:t>; ja iv) toiminnot ja omaisuus, joissa jätteiden pitkän aikavälin loppukäsittely voi aiheuttaa haittaa ympäristölle; ja</w:t>
      </w:r>
    </w:p>
    <w:p w14:paraId="705BC046" w14:textId="77777777" w:rsidR="0065073E" w:rsidRDefault="000A0998">
      <w:pPr>
        <w:pStyle w:val="P68B1DB1-Text118"/>
        <w:numPr>
          <w:ilvl w:val="0"/>
          <w:numId w:val="221"/>
        </w:numPr>
        <w:rPr>
          <w:rFonts w:cs="Times New Roman"/>
          <w:noProof/>
        </w:rPr>
      </w:pPr>
      <w:r>
        <w:rPr>
          <w:noProof/>
        </w:rPr>
        <w:t>vaatia, että toimeksi saanut yhteisö/rahoituksen välittäjä tarkastaa, että hankkeet ovat asiaankuuluvan EU:n ja kansallisen ympäristölainsäädännön mukaisia kaikkien liiketoimien osalta, mukaan lukien kestävyysarvioinnista vapautetut transaktiot.</w:t>
      </w:r>
    </w:p>
    <w:p w14:paraId="0AEC43C8" w14:textId="77777777" w:rsidR="0065073E" w:rsidRDefault="000A0998">
      <w:pPr>
        <w:pStyle w:val="P68B1DB1-Normal4"/>
        <w:spacing w:line="240" w:lineRule="auto"/>
        <w:jc w:val="both"/>
        <w:rPr>
          <w:rFonts w:cs="Times New Roman"/>
          <w:noProof/>
        </w:rPr>
      </w:pPr>
      <w:r>
        <w:rPr>
          <w:noProof/>
        </w:rPr>
        <w:t>Investoinnin toteutus saatetaan päätökseen viimeistään 31. joulukuuta 2024.</w:t>
      </w:r>
    </w:p>
    <w:p w14:paraId="24F0F6FF" w14:textId="10857EA4" w:rsidR="0065073E" w:rsidRDefault="000A0998">
      <w:pPr>
        <w:pStyle w:val="Heading2"/>
        <w:numPr>
          <w:ilvl w:val="0"/>
          <w:numId w:val="0"/>
        </w:numPr>
        <w:ind w:left="850"/>
        <w:rPr>
          <w:rFonts w:ascii="Times New Roman" w:hAnsi="Times New Roman" w:cs="Times New Roman"/>
          <w:noProof/>
          <w:u w:val="single"/>
        </w:rPr>
      </w:pPr>
      <w:r>
        <w:rPr>
          <w:rFonts w:ascii="Times New Roman" w:hAnsi="Times New Roman"/>
          <w:noProof/>
          <w:u w:val="single"/>
        </w:rPr>
        <w:t xml:space="preserve">M.2. </w:t>
      </w:r>
      <w:r>
        <w:rPr>
          <w:noProof/>
        </w:rPr>
        <w:t></w:t>
      </w:r>
      <w:r>
        <w:rPr>
          <w:rFonts w:ascii="Times New Roman" w:hAnsi="Times New Roman"/>
          <w:noProof/>
          <w:u w:val="single"/>
        </w:rPr>
        <w:t>Seurantaa ja täytäntöönpanoa koskevat välitavoitteet, tavoitteet, indikaattorit ja aikataulu – rahoitustuki, jota ei makseta takaisin</w:t>
      </w:r>
    </w:p>
    <w:p w14:paraId="4B4055F9" w14:textId="77777777" w:rsidR="0065073E" w:rsidRDefault="000A0998">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7E2F1A47" w14:textId="77777777" w:rsidR="0065073E" w:rsidRDefault="0065073E">
      <w:pPr>
        <w:spacing w:before="120" w:after="120" w:line="240" w:lineRule="auto"/>
        <w:ind w:left="709"/>
        <w:jc w:val="both"/>
        <w:rPr>
          <w:rFonts w:ascii="Times New Roman" w:hAnsi="Times New Roman" w:cs="Times New Roman"/>
          <w:noProof/>
          <w:sz w:val="24"/>
        </w:rPr>
      </w:pPr>
    </w:p>
    <w:p w14:paraId="70101A6A"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294"/>
          <w:headerReference w:type="default" r:id="rId295"/>
          <w:footerReference w:type="even" r:id="rId296"/>
          <w:footerReference w:type="default" r:id="rId297"/>
          <w:headerReference w:type="first" r:id="rId298"/>
          <w:footerReference w:type="first" r:id="rId299"/>
          <w:pgSz w:w="11907" w:h="16839"/>
          <w:pgMar w:top="1134" w:right="1134" w:bottom="1134" w:left="1134" w:header="567" w:footer="567"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836"/>
        <w:gridCol w:w="835"/>
        <w:gridCol w:w="1949"/>
        <w:gridCol w:w="1114"/>
        <w:gridCol w:w="697"/>
        <w:gridCol w:w="975"/>
        <w:gridCol w:w="697"/>
        <w:gridCol w:w="558"/>
        <w:gridCol w:w="558"/>
        <w:gridCol w:w="6536"/>
      </w:tblGrid>
      <w:tr w:rsidR="0065073E" w14:paraId="60CFCA36" w14:textId="77777777">
        <w:trPr>
          <w:trHeight w:val="309"/>
          <w:tblHeader/>
        </w:trPr>
        <w:tc>
          <w:tcPr>
            <w:tcW w:w="709" w:type="dxa"/>
            <w:tcBorders>
              <w:bottom w:val="nil"/>
            </w:tcBorders>
            <w:shd w:val="clear" w:color="auto" w:fill="C6D9F1" w:themeFill="text2" w:themeFillTint="33"/>
            <w:noWrap/>
            <w:vAlign w:val="center"/>
          </w:tcPr>
          <w:p w14:paraId="34D241D4"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1343C75"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4C001132"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985" w:type="dxa"/>
            <w:tcBorders>
              <w:bottom w:val="nil"/>
            </w:tcBorders>
            <w:shd w:val="clear" w:color="auto" w:fill="C6D9F1" w:themeFill="text2" w:themeFillTint="33"/>
            <w:noWrap/>
            <w:vAlign w:val="center"/>
          </w:tcPr>
          <w:p w14:paraId="39A089F3" w14:textId="77777777" w:rsidR="0065073E" w:rsidRDefault="000A0998">
            <w:pPr>
              <w:pStyle w:val="P68B1DB1-Normal8"/>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5ED90BF6"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47ACD0A8"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4BCD9346" w14:textId="77777777" w:rsidR="0065073E" w:rsidRDefault="000A0998">
            <w:pPr>
              <w:pStyle w:val="P68B1DB1-Normal8"/>
              <w:spacing w:after="0" w:line="240" w:lineRule="auto"/>
              <w:jc w:val="center"/>
              <w:rPr>
                <w:rFonts w:cs="Times New Roman"/>
                <w:noProof/>
              </w:rPr>
            </w:pPr>
            <w:r>
              <w:rPr>
                <w:noProof/>
              </w:rPr>
              <w:t>Aika</w:t>
            </w:r>
          </w:p>
        </w:tc>
        <w:tc>
          <w:tcPr>
            <w:tcW w:w="6662" w:type="dxa"/>
            <w:tcBorders>
              <w:bottom w:val="nil"/>
            </w:tcBorders>
            <w:shd w:val="clear" w:color="auto" w:fill="C6D9F1" w:themeFill="text2" w:themeFillTint="33"/>
            <w:noWrap/>
            <w:vAlign w:val="center"/>
          </w:tcPr>
          <w:p w14:paraId="2897C0E5"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35C15B1F" w14:textId="77777777">
        <w:trPr>
          <w:trHeight w:val="309"/>
          <w:tblHeader/>
        </w:trPr>
        <w:tc>
          <w:tcPr>
            <w:tcW w:w="709" w:type="dxa"/>
            <w:tcBorders>
              <w:top w:val="nil"/>
            </w:tcBorders>
            <w:shd w:val="clear" w:color="auto" w:fill="C6D9F1" w:themeFill="text2" w:themeFillTint="33"/>
            <w:noWrap/>
          </w:tcPr>
          <w:p w14:paraId="1E8D5C3A"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017D20C"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CE1D9F2" w14:textId="77777777" w:rsidR="0065073E" w:rsidRDefault="0065073E">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1F72EC9C" w14:textId="77777777" w:rsidR="0065073E" w:rsidRDefault="0065073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16EBF265" w14:textId="77777777" w:rsidR="0065073E" w:rsidRDefault="0065073E">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74BEB85F"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tcPr>
          <w:p w14:paraId="53B410BE" w14:textId="4178FC3B" w:rsidR="0065073E" w:rsidRDefault="000A0998">
            <w:pPr>
              <w:pStyle w:val="P68B1DB1-Normal8"/>
              <w:spacing w:after="0" w:line="240" w:lineRule="auto"/>
              <w:jc w:val="center"/>
              <w:rPr>
                <w:rFonts w:cs="Times New Roman"/>
                <w:noProof/>
              </w:rPr>
            </w:pPr>
            <w:r>
              <w:rPr>
                <w:noProof/>
              </w:rPr>
              <w:t>Lähtötaso</w:t>
            </w:r>
          </w:p>
        </w:tc>
        <w:tc>
          <w:tcPr>
            <w:tcW w:w="709" w:type="dxa"/>
            <w:shd w:val="clear" w:color="auto" w:fill="C6D9F1" w:themeFill="text2" w:themeFillTint="33"/>
            <w:noWrap/>
          </w:tcPr>
          <w:p w14:paraId="3DF32928" w14:textId="77777777" w:rsidR="0065073E" w:rsidRDefault="000A0998">
            <w:pPr>
              <w:pStyle w:val="P68B1DB1-Normal8"/>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347EBF18"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7D75D435" w14:textId="77777777" w:rsidR="0065073E" w:rsidRDefault="000A0998">
            <w:pPr>
              <w:pStyle w:val="P68B1DB1-Normal8"/>
              <w:spacing w:after="0" w:line="240" w:lineRule="auto"/>
              <w:jc w:val="center"/>
              <w:rPr>
                <w:rFonts w:cs="Times New Roman"/>
                <w:noProof/>
              </w:rPr>
            </w:pPr>
            <w:r>
              <w:rPr>
                <w:noProof/>
              </w:rPr>
              <w:t>Vuosi</w:t>
            </w:r>
          </w:p>
        </w:tc>
        <w:tc>
          <w:tcPr>
            <w:tcW w:w="6662" w:type="dxa"/>
            <w:tcBorders>
              <w:top w:val="nil"/>
            </w:tcBorders>
            <w:shd w:val="clear" w:color="auto" w:fill="C6D9F1" w:themeFill="text2" w:themeFillTint="33"/>
            <w:noWrap/>
          </w:tcPr>
          <w:p w14:paraId="2C5AE2F3" w14:textId="77777777" w:rsidR="0065073E" w:rsidRDefault="0065073E">
            <w:pPr>
              <w:spacing w:after="0" w:line="240" w:lineRule="auto"/>
              <w:rPr>
                <w:rFonts w:ascii="Times New Roman" w:hAnsi="Times New Roman" w:cs="Times New Roman"/>
                <w:b/>
                <w:noProof/>
                <w:sz w:val="18"/>
              </w:rPr>
            </w:pPr>
          </w:p>
        </w:tc>
      </w:tr>
      <w:tr w:rsidR="0065073E" w14:paraId="5ECF8F23" w14:textId="77777777">
        <w:trPr>
          <w:trHeight w:val="309"/>
        </w:trPr>
        <w:tc>
          <w:tcPr>
            <w:tcW w:w="709" w:type="dxa"/>
            <w:shd w:val="clear" w:color="auto" w:fill="C6EFCE"/>
            <w:noWrap/>
          </w:tcPr>
          <w:p w14:paraId="55D17BBE" w14:textId="77777777" w:rsidR="0065073E" w:rsidRDefault="000A0998">
            <w:pPr>
              <w:pStyle w:val="P68B1DB1-Normal12"/>
              <w:spacing w:after="0" w:line="240" w:lineRule="auto"/>
              <w:jc w:val="center"/>
              <w:rPr>
                <w:rFonts w:eastAsia="Times New Roman" w:cs="Times New Roman"/>
                <w:noProof/>
              </w:rPr>
            </w:pPr>
            <w:r>
              <w:rPr>
                <w:noProof/>
              </w:rPr>
              <w:t>189</w:t>
            </w:r>
          </w:p>
        </w:tc>
        <w:tc>
          <w:tcPr>
            <w:tcW w:w="851" w:type="dxa"/>
            <w:shd w:val="clear" w:color="auto" w:fill="C6EFCE"/>
            <w:noWrap/>
          </w:tcPr>
          <w:p w14:paraId="60850CCD" w14:textId="77777777" w:rsidR="0065073E" w:rsidRDefault="000A0998">
            <w:pPr>
              <w:pStyle w:val="P68B1DB1-Normal12"/>
              <w:spacing w:after="0" w:line="240" w:lineRule="auto"/>
              <w:jc w:val="center"/>
              <w:rPr>
                <w:rFonts w:eastAsia="Times New Roman" w:cs="Times New Roman"/>
                <w:noProof/>
              </w:rPr>
            </w:pPr>
            <w:r>
              <w:rPr>
                <w:noProof/>
              </w:rPr>
              <w:t>C13.R1</w:t>
            </w:r>
          </w:p>
        </w:tc>
        <w:tc>
          <w:tcPr>
            <w:tcW w:w="850" w:type="dxa"/>
            <w:shd w:val="clear" w:color="auto" w:fill="C6EFCE"/>
            <w:noWrap/>
          </w:tcPr>
          <w:p w14:paraId="6B48FA13" w14:textId="77777777" w:rsidR="0065073E" w:rsidRDefault="000A0998">
            <w:pPr>
              <w:pStyle w:val="P68B1DB1-Normal12"/>
              <w:spacing w:after="0" w:line="240" w:lineRule="auto"/>
              <w:jc w:val="center"/>
              <w:rPr>
                <w:rFonts w:eastAsia="Times New Roman" w:cs="Times New Roman"/>
                <w:noProof/>
              </w:rPr>
            </w:pPr>
            <w:r>
              <w:rPr>
                <w:noProof/>
              </w:rPr>
              <w:t>M</w:t>
            </w:r>
          </w:p>
        </w:tc>
        <w:tc>
          <w:tcPr>
            <w:tcW w:w="1985" w:type="dxa"/>
            <w:shd w:val="clear" w:color="auto" w:fill="C6EFCE"/>
            <w:noWrap/>
          </w:tcPr>
          <w:p w14:paraId="69AE906E" w14:textId="77777777" w:rsidR="0065073E" w:rsidRDefault="000A0998">
            <w:pPr>
              <w:pStyle w:val="P68B1DB1-Normal12"/>
              <w:spacing w:after="0" w:line="240" w:lineRule="auto"/>
              <w:rPr>
                <w:rFonts w:eastAsia="Times New Roman" w:cs="Times New Roman"/>
                <w:noProof/>
              </w:rPr>
            </w:pPr>
            <w:r>
              <w:rPr>
                <w:noProof/>
              </w:rPr>
              <w:t xml:space="preserve">Laki asianajajien ja </w:t>
            </w:r>
            <w:r>
              <w:rPr>
                <w:i/>
                <w:noProof/>
              </w:rPr>
              <w:t>procuradorien</w:t>
            </w:r>
            <w:r>
              <w:rPr>
                <w:noProof/>
              </w:rPr>
              <w:t xml:space="preserve">ammattiin pääsystä annetun lain 34/2006 muuttamisesta tulee voimaan </w:t>
            </w:r>
          </w:p>
        </w:tc>
        <w:tc>
          <w:tcPr>
            <w:tcW w:w="1134" w:type="dxa"/>
            <w:shd w:val="clear" w:color="auto" w:fill="C6EFCE"/>
            <w:noWrap/>
          </w:tcPr>
          <w:p w14:paraId="68E7AA98" w14:textId="77777777" w:rsidR="0065073E" w:rsidRDefault="000A0998">
            <w:pPr>
              <w:pStyle w:val="P68B1DB1-Normal12"/>
              <w:spacing w:after="0" w:line="240" w:lineRule="auto"/>
              <w:jc w:val="center"/>
              <w:rPr>
                <w:rFonts w:cs="Times New Roman"/>
                <w:noProof/>
              </w:rPr>
            </w:pPr>
            <w:r>
              <w:rPr>
                <w:noProof/>
              </w:rPr>
              <w:t xml:space="preserve">Lain voimaantuloon viittaava säännös </w:t>
            </w:r>
          </w:p>
        </w:tc>
        <w:tc>
          <w:tcPr>
            <w:tcW w:w="709" w:type="dxa"/>
            <w:shd w:val="clear" w:color="auto" w:fill="C6EFCE"/>
            <w:noWrap/>
          </w:tcPr>
          <w:p w14:paraId="1A8872D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7FAB8CD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46AD9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97DFDAC"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7179B9E0" w14:textId="77777777" w:rsidR="0065073E" w:rsidRDefault="000A0998">
            <w:pPr>
              <w:pStyle w:val="P68B1DB1-Normal12"/>
              <w:spacing w:after="0" w:line="240" w:lineRule="auto"/>
              <w:jc w:val="center"/>
              <w:rPr>
                <w:rFonts w:eastAsia="Times New Roman" w:cs="Times New Roman"/>
                <w:noProof/>
              </w:rPr>
            </w:pPr>
            <w:r>
              <w:rPr>
                <w:noProof/>
              </w:rPr>
              <w:t>2021</w:t>
            </w:r>
          </w:p>
        </w:tc>
        <w:tc>
          <w:tcPr>
            <w:tcW w:w="6662" w:type="dxa"/>
            <w:shd w:val="clear" w:color="auto" w:fill="C6EFCE"/>
            <w:noWrap/>
          </w:tcPr>
          <w:p w14:paraId="65DCB318" w14:textId="77777777" w:rsidR="0065073E" w:rsidRDefault="000A0998">
            <w:pPr>
              <w:spacing w:after="0"/>
              <w:rPr>
                <w:rFonts w:ascii="Times New Roman" w:eastAsia="Times New Roman" w:hAnsi="Times New Roman" w:cs="Times New Roman"/>
                <w:noProof/>
                <w:sz w:val="18"/>
              </w:rPr>
            </w:pPr>
            <w:r>
              <w:rPr>
                <w:rFonts w:ascii="Times New Roman" w:hAnsi="Times New Roman"/>
                <w:noProof/>
                <w:sz w:val="18"/>
              </w:rPr>
              <w:t xml:space="preserve">Laki asianajajien ja </w:t>
            </w:r>
            <w:r>
              <w:rPr>
                <w:rFonts w:ascii="Times New Roman" w:hAnsi="Times New Roman"/>
                <w:i/>
                <w:noProof/>
                <w:sz w:val="18"/>
              </w:rPr>
              <w:t>procuradorien</w:t>
            </w:r>
            <w:r>
              <w:rPr>
                <w:rFonts w:ascii="Times New Roman" w:hAnsi="Times New Roman"/>
                <w:noProof/>
                <w:sz w:val="18"/>
              </w:rPr>
              <w:t xml:space="preserve"> ammattiin pääsystä annetun lain 34/2006 muuttamisesta tulee voimaan:</w:t>
            </w:r>
            <w:r>
              <w:rPr>
                <w:noProof/>
              </w:rPr>
              <w:t xml:space="preserve"> </w:t>
            </w:r>
            <w:r>
              <w:rPr>
                <w:noProof/>
              </w:rPr>
              <w:br/>
            </w:r>
            <w:r>
              <w:rPr>
                <w:rFonts w:ascii="Times New Roman" w:hAnsi="Times New Roman"/>
                <w:noProof/>
                <w:sz w:val="18"/>
              </w:rPr>
              <w:t>— Nykyisen vähimmäismaksujärjestelmän uudistaminen enimmäismaksujen järjestelmäksi ja uusi velvoite toimittaa asiakkaalle kustannusarvio neuvonnan yhteydessä.</w:t>
            </w:r>
            <w:r>
              <w:rPr>
                <w:noProof/>
              </w:rPr>
              <w:t xml:space="preserve"> </w:t>
            </w:r>
            <w:r>
              <w:rPr>
                <w:noProof/>
              </w:rPr>
              <w:br/>
            </w:r>
            <w:r>
              <w:rPr>
                <w:rFonts w:ascii="Times New Roman" w:hAnsi="Times New Roman"/>
                <w:noProof/>
                <w:sz w:val="18"/>
              </w:rPr>
              <w:t xml:space="preserve">Sallitaan asianajajan ja </w:t>
            </w:r>
            <w:r>
              <w:rPr>
                <w:rFonts w:ascii="Times New Roman" w:hAnsi="Times New Roman"/>
                <w:i/>
                <w:noProof/>
                <w:sz w:val="18"/>
              </w:rPr>
              <w:t>procuradorien</w:t>
            </w:r>
            <w:r>
              <w:rPr>
                <w:rFonts w:ascii="Times New Roman" w:hAnsi="Times New Roman"/>
                <w:noProof/>
                <w:sz w:val="18"/>
              </w:rPr>
              <w:t xml:space="preserve"> ammattien monialainen toiminta samassa oikeushenkilössä</w:t>
            </w:r>
            <w:r>
              <w:rPr>
                <w:noProof/>
              </w:rPr>
              <w:t xml:space="preserve"> </w:t>
            </w:r>
            <w:r>
              <w:rPr>
                <w:noProof/>
              </w:rPr>
              <w:br/>
              <w:t xml:space="preserve"> </w:t>
            </w:r>
            <w:r>
              <w:rPr>
                <w:rFonts w:ascii="Times New Roman" w:hAnsi="Times New Roman"/>
                <w:noProof/>
                <w:sz w:val="18"/>
              </w:rPr>
              <w:t xml:space="preserve">— Asianajajan ja procuradoresin ammattiin </w:t>
            </w:r>
            <w:r>
              <w:rPr>
                <w:rFonts w:ascii="Times New Roman" w:hAnsi="Times New Roman"/>
                <w:i/>
                <w:noProof/>
                <w:sz w:val="18"/>
              </w:rPr>
              <w:t>pääsy</w:t>
            </w:r>
            <w:r>
              <w:rPr>
                <w:rFonts w:ascii="Times New Roman" w:hAnsi="Times New Roman"/>
                <w:noProof/>
                <w:sz w:val="18"/>
              </w:rPr>
              <w:t>.</w:t>
            </w:r>
          </w:p>
        </w:tc>
      </w:tr>
      <w:tr w:rsidR="0065073E" w14:paraId="765E1C0D" w14:textId="77777777">
        <w:trPr>
          <w:trHeight w:val="309"/>
        </w:trPr>
        <w:tc>
          <w:tcPr>
            <w:tcW w:w="709" w:type="dxa"/>
            <w:shd w:val="clear" w:color="auto" w:fill="C6EFCE"/>
            <w:noWrap/>
          </w:tcPr>
          <w:p w14:paraId="5BB30F60" w14:textId="77777777" w:rsidR="0065073E" w:rsidRDefault="000A0998">
            <w:pPr>
              <w:pStyle w:val="P68B1DB1-Normal12"/>
              <w:spacing w:after="0" w:line="240" w:lineRule="auto"/>
              <w:jc w:val="center"/>
              <w:rPr>
                <w:rFonts w:eastAsia="Times New Roman" w:cs="Times New Roman"/>
                <w:noProof/>
              </w:rPr>
            </w:pPr>
            <w:r>
              <w:rPr>
                <w:noProof/>
              </w:rPr>
              <w:t>190</w:t>
            </w:r>
          </w:p>
        </w:tc>
        <w:tc>
          <w:tcPr>
            <w:tcW w:w="851" w:type="dxa"/>
            <w:shd w:val="clear" w:color="auto" w:fill="C6EFCE"/>
            <w:noWrap/>
          </w:tcPr>
          <w:p w14:paraId="7F61B1A9" w14:textId="77777777" w:rsidR="0065073E" w:rsidRDefault="000A0998">
            <w:pPr>
              <w:pStyle w:val="P68B1DB1-Normal12"/>
              <w:spacing w:after="0" w:line="240" w:lineRule="auto"/>
              <w:jc w:val="center"/>
              <w:rPr>
                <w:rFonts w:eastAsia="Times New Roman" w:cs="Times New Roman"/>
                <w:noProof/>
              </w:rPr>
            </w:pPr>
            <w:r>
              <w:rPr>
                <w:noProof/>
              </w:rPr>
              <w:t>C13.R1</w:t>
            </w:r>
          </w:p>
        </w:tc>
        <w:tc>
          <w:tcPr>
            <w:tcW w:w="850" w:type="dxa"/>
            <w:shd w:val="clear" w:color="auto" w:fill="C6EFCE"/>
            <w:noWrap/>
          </w:tcPr>
          <w:p w14:paraId="61E98DCA" w14:textId="77777777" w:rsidR="0065073E" w:rsidRDefault="000A0998">
            <w:pPr>
              <w:pStyle w:val="P68B1DB1-Normal12"/>
              <w:spacing w:after="0" w:line="240" w:lineRule="auto"/>
              <w:jc w:val="center"/>
              <w:rPr>
                <w:rFonts w:eastAsia="Times New Roman" w:cs="Times New Roman"/>
                <w:noProof/>
              </w:rPr>
            </w:pPr>
            <w:r>
              <w:rPr>
                <w:noProof/>
              </w:rPr>
              <w:t>M</w:t>
            </w:r>
          </w:p>
        </w:tc>
        <w:tc>
          <w:tcPr>
            <w:tcW w:w="1985" w:type="dxa"/>
            <w:shd w:val="clear" w:color="auto" w:fill="C6EFCE"/>
            <w:noWrap/>
          </w:tcPr>
          <w:p w14:paraId="57F15FB7" w14:textId="77777777" w:rsidR="0065073E" w:rsidRDefault="000A0998">
            <w:pPr>
              <w:pStyle w:val="P68B1DB1-Normal12"/>
              <w:spacing w:after="0" w:line="240" w:lineRule="auto"/>
              <w:rPr>
                <w:rFonts w:eastAsia="Times New Roman" w:cs="Times New Roman"/>
                <w:noProof/>
              </w:rPr>
            </w:pPr>
            <w:r>
              <w:rPr>
                <w:noProof/>
              </w:rPr>
              <w:t>Maksukyvyttömyyslain uudistamista koskevan lain voimaantulo</w:t>
            </w:r>
          </w:p>
        </w:tc>
        <w:tc>
          <w:tcPr>
            <w:tcW w:w="1134" w:type="dxa"/>
            <w:shd w:val="clear" w:color="auto" w:fill="C6EFCE"/>
            <w:noWrap/>
          </w:tcPr>
          <w:p w14:paraId="61F1C772" w14:textId="77777777" w:rsidR="0065073E" w:rsidRDefault="000A0998">
            <w:pPr>
              <w:pStyle w:val="P68B1DB1-Normal12"/>
              <w:spacing w:after="0" w:line="240" w:lineRule="auto"/>
              <w:jc w:val="center"/>
              <w:rPr>
                <w:rFonts w:eastAsia="Times New Roman" w:cs="Times New Roman"/>
                <w:noProof/>
              </w:rPr>
            </w:pPr>
            <w:r>
              <w:rPr>
                <w:noProof/>
              </w:rPr>
              <w:t xml:space="preserve">Lain voimaantuloon viittaava säännös </w:t>
            </w:r>
          </w:p>
        </w:tc>
        <w:tc>
          <w:tcPr>
            <w:tcW w:w="709" w:type="dxa"/>
            <w:shd w:val="clear" w:color="auto" w:fill="C6EFCE"/>
            <w:noWrap/>
          </w:tcPr>
          <w:p w14:paraId="137D43B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479AD0F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950652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C44A06B"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67" w:type="dxa"/>
            <w:shd w:val="clear" w:color="auto" w:fill="C6EFCE"/>
            <w:noWrap/>
          </w:tcPr>
          <w:p w14:paraId="2FCB0542"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1A958D65" w14:textId="77777777" w:rsidR="0065073E" w:rsidRDefault="000A0998">
            <w:pPr>
              <w:spacing w:after="0" w:line="240" w:lineRule="auto"/>
              <w:rPr>
                <w:rFonts w:ascii="Times New Roman" w:eastAsia="Times New Roman" w:hAnsi="Times New Roman" w:cs="Times New Roman"/>
                <w:noProof/>
                <w:sz w:val="18"/>
              </w:rPr>
            </w:pPr>
            <w:r>
              <w:rPr>
                <w:noProof/>
              </w:rPr>
              <w:t>Maksukyvyttömyyslain uudistuksen</w:t>
            </w:r>
            <w:r>
              <w:rPr>
                <w:rFonts w:ascii="Times New Roman" w:hAnsi="Times New Roman"/>
                <w:noProof/>
                <w:sz w:val="18"/>
              </w:rPr>
              <w:t xml:space="preserve">voimaantulo. </w:t>
            </w:r>
            <w:r>
              <w:rPr>
                <w:noProof/>
              </w:rPr>
              <w:t xml:space="preserve"> </w:t>
            </w:r>
            <w:r>
              <w:rPr>
                <w:noProof/>
              </w:rPr>
              <w:br/>
            </w:r>
            <w:r>
              <w:rPr>
                <w:rFonts w:ascii="Times New Roman" w:hAnsi="Times New Roman"/>
                <w:noProof/>
                <w:sz w:val="18"/>
              </w:rPr>
              <w:t>Maksukyvyttömyyslain uudistuksessa, joka ylittää direktiivin vaatimukset, on</w:t>
            </w:r>
            <w:r>
              <w:rPr>
                <w:noProof/>
              </w:rPr>
              <w:t xml:space="preserve"> </w:t>
            </w:r>
            <w:r>
              <w:rPr>
                <w:noProof/>
              </w:rPr>
              <w:br/>
            </w:r>
            <w:r>
              <w:rPr>
                <w:rFonts w:ascii="Times New Roman" w:hAnsi="Times New Roman"/>
                <w:noProof/>
                <w:sz w:val="18"/>
              </w:rPr>
              <w:t>— otetaan käyttöön luonnollisille henkilöille tehokkaampi uuden mahdollisuuden menettely, joka mahdollistaa velkajärjestelyn ilman maksukyvyttömän osapuolen varojen selvittämistä,</w:t>
            </w:r>
            <w:r>
              <w:rPr>
                <w:noProof/>
              </w:rPr>
              <w:t xml:space="preserve"> </w:t>
            </w:r>
            <w:r>
              <w:rPr>
                <w:noProof/>
              </w:rPr>
              <w:br/>
              <w:t xml:space="preserve"> </w:t>
            </w:r>
            <w:r>
              <w:rPr>
                <w:rFonts w:ascii="Times New Roman" w:hAnsi="Times New Roman"/>
                <w:noProof/>
                <w:sz w:val="18"/>
              </w:rPr>
              <w:t>— perustetaan mikro- ja pk-yrityksiä varten erityinen menettely, joka lyhentää kestoa ja kustannuksia ja joka käsitellään kokonaisuudessaan sähköisesti.</w:t>
            </w:r>
          </w:p>
        </w:tc>
      </w:tr>
      <w:tr w:rsidR="0065073E" w14:paraId="0E7B4115" w14:textId="77777777">
        <w:trPr>
          <w:trHeight w:val="309"/>
        </w:trPr>
        <w:tc>
          <w:tcPr>
            <w:tcW w:w="709" w:type="dxa"/>
            <w:shd w:val="clear" w:color="auto" w:fill="C6EFCE"/>
            <w:noWrap/>
          </w:tcPr>
          <w:p w14:paraId="1367200D" w14:textId="77777777" w:rsidR="0065073E" w:rsidRDefault="000A0998">
            <w:pPr>
              <w:pStyle w:val="P68B1DB1-Normal12"/>
              <w:spacing w:after="0" w:line="240" w:lineRule="auto"/>
              <w:jc w:val="center"/>
              <w:rPr>
                <w:rFonts w:eastAsia="Times New Roman" w:cs="Times New Roman"/>
                <w:noProof/>
              </w:rPr>
            </w:pPr>
            <w:r>
              <w:rPr>
                <w:noProof/>
              </w:rPr>
              <w:t>191</w:t>
            </w:r>
          </w:p>
        </w:tc>
        <w:tc>
          <w:tcPr>
            <w:tcW w:w="851" w:type="dxa"/>
            <w:shd w:val="clear" w:color="auto" w:fill="C6EFCE"/>
            <w:noWrap/>
          </w:tcPr>
          <w:p w14:paraId="764559FA" w14:textId="77777777" w:rsidR="0065073E" w:rsidRDefault="000A0998">
            <w:pPr>
              <w:pStyle w:val="P68B1DB1-Normal12"/>
              <w:spacing w:after="0" w:line="240" w:lineRule="auto"/>
              <w:jc w:val="center"/>
              <w:rPr>
                <w:rFonts w:eastAsia="Times New Roman" w:cs="Times New Roman"/>
                <w:noProof/>
              </w:rPr>
            </w:pPr>
            <w:r>
              <w:rPr>
                <w:noProof/>
              </w:rPr>
              <w:t>C13.R1</w:t>
            </w:r>
          </w:p>
        </w:tc>
        <w:tc>
          <w:tcPr>
            <w:tcW w:w="850" w:type="dxa"/>
            <w:shd w:val="clear" w:color="auto" w:fill="C6EFCE"/>
            <w:noWrap/>
          </w:tcPr>
          <w:p w14:paraId="5D99C20E" w14:textId="77777777" w:rsidR="0065073E" w:rsidRDefault="000A0998">
            <w:pPr>
              <w:pStyle w:val="P68B1DB1-Normal12"/>
              <w:spacing w:after="0" w:line="240" w:lineRule="auto"/>
              <w:jc w:val="center"/>
              <w:rPr>
                <w:rFonts w:eastAsia="Times New Roman" w:cs="Times New Roman"/>
                <w:noProof/>
              </w:rPr>
            </w:pPr>
            <w:r>
              <w:rPr>
                <w:noProof/>
              </w:rPr>
              <w:t>M</w:t>
            </w:r>
          </w:p>
        </w:tc>
        <w:tc>
          <w:tcPr>
            <w:tcW w:w="1985" w:type="dxa"/>
            <w:shd w:val="clear" w:color="auto" w:fill="C6EFCE"/>
            <w:noWrap/>
          </w:tcPr>
          <w:p w14:paraId="6EB68533" w14:textId="77777777" w:rsidR="0065073E" w:rsidRDefault="000A0998">
            <w:pPr>
              <w:pStyle w:val="P68B1DB1-Normal12"/>
              <w:spacing w:after="0" w:line="240" w:lineRule="auto"/>
              <w:rPr>
                <w:rFonts w:eastAsia="Times New Roman" w:cs="Times New Roman"/>
                <w:noProof/>
              </w:rPr>
            </w:pPr>
            <w:r>
              <w:rPr>
                <w:noProof/>
              </w:rPr>
              <w:t>Yritysten perustamista ja kasvua koskevan lain voimaantulo</w:t>
            </w:r>
          </w:p>
        </w:tc>
        <w:tc>
          <w:tcPr>
            <w:tcW w:w="1134" w:type="dxa"/>
            <w:shd w:val="clear" w:color="auto" w:fill="C6EFCE"/>
            <w:noWrap/>
          </w:tcPr>
          <w:p w14:paraId="6B20E7DE" w14:textId="77777777" w:rsidR="0065073E" w:rsidRDefault="000A0998">
            <w:pPr>
              <w:pStyle w:val="P68B1DB1-Normal12"/>
              <w:spacing w:after="0" w:line="240" w:lineRule="auto"/>
              <w:jc w:val="center"/>
              <w:rPr>
                <w:rFonts w:eastAsia="Times New Roman" w:cs="Times New Roman"/>
                <w:noProof/>
              </w:rPr>
            </w:pPr>
            <w:r>
              <w:rPr>
                <w:noProof/>
              </w:rPr>
              <w:t xml:space="preserve">Lain voimaantuloon viittaava säännös </w:t>
            </w:r>
          </w:p>
        </w:tc>
        <w:tc>
          <w:tcPr>
            <w:tcW w:w="709" w:type="dxa"/>
            <w:shd w:val="clear" w:color="auto" w:fill="C6EFCE"/>
            <w:noWrap/>
          </w:tcPr>
          <w:p w14:paraId="686C10A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4C8C5BF"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556DE6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09E9066"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7E166C72"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3D4B57FC" w14:textId="77777777" w:rsidR="0065073E" w:rsidRDefault="000A0998">
            <w:pPr>
              <w:pStyle w:val="P68B1DB1-Normal12"/>
              <w:spacing w:after="0" w:line="240" w:lineRule="auto"/>
              <w:rPr>
                <w:rFonts w:eastAsia="Times New Roman" w:cs="Times New Roman"/>
                <w:noProof/>
              </w:rPr>
            </w:pPr>
            <w:r>
              <w:rPr>
                <w:noProof/>
              </w:rPr>
              <w:t xml:space="preserve">Uuden yritysten perustamista ja kasvua koskevan lain voimaantulo, jotta voidaan yksinkertaistaa yrityksen perustamismenettelyjä ja edistää monipuolisia rahoituslähteitä yritysten kasvua varten. Yritysten perustamista ja kasvua koskevaan lakiin sisältyy myös toimenpiteitä, joilla edistetään varhaismaksukulttuuria, erityisesti maksuvalmiuden tarjoamiseksi pk-yrityksille ja itsenäisille ammatinharjoittajille välttämällä maksuviivästyksiä. Varhaismaksukulttuurin edistämiseksi toteutettavia toimenpiteitä ovat muun muassa maksuaikojen julkisuutta ja avoimuutta koskevat suuntaviivat, parhaat liiketoimintakäytännöt ja mekanismit täytäntöönpanon valvonnan parantamiseksi, kuten tuomioistuimen ulkopuolinen riitojenratkaisujärjestelmä. Yritysten perustamista ja kasvua koskevaan lakiin sisältyy myös muutoksia markkinoiden yhtenäisyyttä koskevaan lakiin, jotta voidaan helpottaa sen täytäntöönpanoa ja vahvistaa markkinaesteistä kärsivien markkinatoimijoiden käytettävissä olevia mekanismeja. Perustetaan uusi sääntelyn parantamista ja liiketoimintaympäristöä käsittelevä alakohtainen konferenssi helpottamaan hyvän sääntelyn periaatteiden asianmukaista soveltamista kaikissa julkishallinnoissa ja varmistamaan eri hallintojen optimaalinen koordinointi. </w:t>
            </w:r>
          </w:p>
        </w:tc>
      </w:tr>
      <w:tr w:rsidR="0065073E" w14:paraId="248732C2" w14:textId="77777777">
        <w:trPr>
          <w:trHeight w:val="309"/>
        </w:trPr>
        <w:tc>
          <w:tcPr>
            <w:tcW w:w="709" w:type="dxa"/>
            <w:shd w:val="clear" w:color="auto" w:fill="C6EFCE"/>
            <w:noWrap/>
          </w:tcPr>
          <w:p w14:paraId="297C70A3" w14:textId="4BCC95D8" w:rsidR="0065073E" w:rsidRDefault="000A0998">
            <w:pPr>
              <w:pStyle w:val="P68B1DB1-Normal12"/>
              <w:spacing w:after="0" w:line="240" w:lineRule="auto"/>
              <w:jc w:val="center"/>
              <w:rPr>
                <w:rFonts w:cs="Times New Roman"/>
                <w:noProof/>
              </w:rPr>
            </w:pPr>
            <w:r>
              <w:rPr>
                <w:noProof/>
              </w:rPr>
              <w:t>449</w:t>
            </w:r>
          </w:p>
        </w:tc>
        <w:tc>
          <w:tcPr>
            <w:tcW w:w="851" w:type="dxa"/>
            <w:shd w:val="clear" w:color="auto" w:fill="C6EFCE"/>
            <w:noWrap/>
          </w:tcPr>
          <w:p w14:paraId="25F9E4EC" w14:textId="77777777" w:rsidR="0065073E" w:rsidRDefault="000A0998">
            <w:pPr>
              <w:pStyle w:val="P68B1DB1-Normal12"/>
              <w:spacing w:after="0" w:line="240" w:lineRule="auto"/>
              <w:jc w:val="center"/>
              <w:rPr>
                <w:rFonts w:cs="Times New Roman"/>
                <w:noProof/>
              </w:rPr>
            </w:pPr>
            <w:r>
              <w:rPr>
                <w:noProof/>
              </w:rPr>
              <w:t>C13.R1</w:t>
            </w:r>
          </w:p>
        </w:tc>
        <w:tc>
          <w:tcPr>
            <w:tcW w:w="850" w:type="dxa"/>
            <w:shd w:val="clear" w:color="auto" w:fill="C6EFCE"/>
            <w:noWrap/>
          </w:tcPr>
          <w:p w14:paraId="7ED0050D" w14:textId="77777777" w:rsidR="0065073E" w:rsidRDefault="000A0998">
            <w:pPr>
              <w:pStyle w:val="P68B1DB1-Normal12"/>
              <w:spacing w:after="0" w:line="240" w:lineRule="auto"/>
              <w:jc w:val="center"/>
              <w:rPr>
                <w:rFonts w:cs="Times New Roman"/>
                <w:noProof/>
              </w:rPr>
            </w:pPr>
            <w:r>
              <w:rPr>
                <w:noProof/>
              </w:rPr>
              <w:t>M </w:t>
            </w:r>
          </w:p>
        </w:tc>
        <w:tc>
          <w:tcPr>
            <w:tcW w:w="1985" w:type="dxa"/>
            <w:shd w:val="clear" w:color="auto" w:fill="C6EFCE"/>
            <w:noWrap/>
          </w:tcPr>
          <w:p w14:paraId="0D5EC354" w14:textId="77777777" w:rsidR="0065073E" w:rsidRDefault="000A0998">
            <w:pPr>
              <w:pStyle w:val="P68B1DB1-Normal12"/>
              <w:spacing w:after="0" w:line="240" w:lineRule="auto"/>
              <w:rPr>
                <w:rFonts w:cs="Times New Roman"/>
                <w:noProof/>
              </w:rPr>
            </w:pPr>
            <w:r>
              <w:rPr>
                <w:noProof/>
              </w:rPr>
              <w:t>Kilpailun suojaamisesta annettuun lakiin ja sen asetuksiin tehtyjen muutosten voimaantulo</w:t>
            </w:r>
          </w:p>
        </w:tc>
        <w:tc>
          <w:tcPr>
            <w:tcW w:w="1134" w:type="dxa"/>
            <w:shd w:val="clear" w:color="auto" w:fill="C6EFCE"/>
            <w:noWrap/>
          </w:tcPr>
          <w:p w14:paraId="07782DE2" w14:textId="77777777" w:rsidR="0065073E" w:rsidRDefault="000A0998">
            <w:pPr>
              <w:pStyle w:val="P68B1DB1-Normal12"/>
              <w:spacing w:after="0" w:line="240" w:lineRule="auto"/>
              <w:jc w:val="center"/>
              <w:rPr>
                <w:rFonts w:cs="Times New Roman"/>
                <w:noProof/>
              </w:rPr>
            </w:pPr>
            <w:r>
              <w:rPr>
                <w:noProof/>
              </w:rPr>
              <w:t>Säännös, josta käy ilmi lain ja sen määräysten muutosten voimaantulo</w:t>
            </w:r>
          </w:p>
        </w:tc>
        <w:tc>
          <w:tcPr>
            <w:tcW w:w="709" w:type="dxa"/>
            <w:shd w:val="clear" w:color="auto" w:fill="C6EFCE"/>
            <w:noWrap/>
          </w:tcPr>
          <w:p w14:paraId="2884EBB4" w14:textId="77777777" w:rsidR="0065073E" w:rsidRDefault="000A0998">
            <w:pPr>
              <w:pStyle w:val="P68B1DB1-Normal12"/>
              <w:spacing w:after="0" w:line="240" w:lineRule="auto"/>
              <w:jc w:val="center"/>
              <w:rPr>
                <w:rFonts w:cs="Times New Roman"/>
                <w:noProof/>
              </w:rPr>
            </w:pPr>
            <w:r>
              <w:rPr>
                <w:noProof/>
              </w:rPr>
              <w:t xml:space="preserve"> </w:t>
            </w:r>
          </w:p>
        </w:tc>
        <w:tc>
          <w:tcPr>
            <w:tcW w:w="992" w:type="dxa"/>
            <w:shd w:val="clear" w:color="auto" w:fill="C6EFCE"/>
            <w:noWrap/>
          </w:tcPr>
          <w:p w14:paraId="0E531F80" w14:textId="77777777" w:rsidR="0065073E" w:rsidRDefault="000A0998">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25EC3370" w14:textId="77777777" w:rsidR="0065073E" w:rsidRDefault="000A0998">
            <w:pPr>
              <w:pStyle w:val="P68B1DB1-Normal12"/>
              <w:spacing w:after="0" w:line="240" w:lineRule="auto"/>
              <w:jc w:val="right"/>
              <w:rPr>
                <w:rFonts w:cs="Times New Roman"/>
                <w:noProof/>
              </w:rPr>
            </w:pPr>
            <w:r>
              <w:rPr>
                <w:noProof/>
              </w:rPr>
              <w:t xml:space="preserve"> </w:t>
            </w:r>
          </w:p>
        </w:tc>
        <w:tc>
          <w:tcPr>
            <w:tcW w:w="567" w:type="dxa"/>
            <w:shd w:val="clear" w:color="auto" w:fill="C6EFCE"/>
            <w:noWrap/>
          </w:tcPr>
          <w:p w14:paraId="717E2388"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0F25FC10" w14:textId="77777777" w:rsidR="0065073E" w:rsidRDefault="000A0998">
            <w:pPr>
              <w:pStyle w:val="P68B1DB1-Normal12"/>
              <w:spacing w:after="0" w:line="240" w:lineRule="auto"/>
              <w:jc w:val="center"/>
              <w:rPr>
                <w:rFonts w:cs="Times New Roman"/>
                <w:noProof/>
              </w:rPr>
            </w:pPr>
            <w:r>
              <w:rPr>
                <w:noProof/>
              </w:rPr>
              <w:t>2025</w:t>
            </w:r>
          </w:p>
        </w:tc>
        <w:tc>
          <w:tcPr>
            <w:tcW w:w="6662" w:type="dxa"/>
            <w:shd w:val="clear" w:color="auto" w:fill="C6EFCE"/>
            <w:noWrap/>
          </w:tcPr>
          <w:p w14:paraId="3F43BBC4" w14:textId="77777777" w:rsidR="0065073E" w:rsidRDefault="000A0998">
            <w:pPr>
              <w:pStyle w:val="P68B1DB1-Normal12"/>
              <w:spacing w:after="0" w:line="240" w:lineRule="auto"/>
              <w:rPr>
                <w:rFonts w:eastAsia="Times New Roman" w:cs="Times New Roman"/>
                <w:noProof/>
              </w:rPr>
            </w:pPr>
            <w:r>
              <w:rPr>
                <w:noProof/>
              </w:rPr>
              <w:t>Kilpailun suojaamisesta annettuun lakiin ja sen asetuksiin tehtyjen muutosten voimaantulo.</w:t>
            </w:r>
          </w:p>
        </w:tc>
      </w:tr>
      <w:tr w:rsidR="0065073E" w14:paraId="7DB6EB05" w14:textId="77777777">
        <w:trPr>
          <w:trHeight w:val="309"/>
        </w:trPr>
        <w:tc>
          <w:tcPr>
            <w:tcW w:w="709" w:type="dxa"/>
            <w:shd w:val="clear" w:color="auto" w:fill="C6EFCE"/>
            <w:noWrap/>
          </w:tcPr>
          <w:p w14:paraId="2D973C8D" w14:textId="73945A9B" w:rsidR="0065073E" w:rsidRDefault="000A0998">
            <w:pPr>
              <w:pStyle w:val="P68B1DB1-Normal12"/>
              <w:spacing w:after="0" w:line="240" w:lineRule="auto"/>
              <w:jc w:val="center"/>
              <w:rPr>
                <w:rFonts w:cs="Times New Roman"/>
                <w:noProof/>
              </w:rPr>
            </w:pPr>
            <w:r>
              <w:rPr>
                <w:noProof/>
              </w:rPr>
              <w:t>450</w:t>
            </w:r>
          </w:p>
        </w:tc>
        <w:tc>
          <w:tcPr>
            <w:tcW w:w="851" w:type="dxa"/>
            <w:shd w:val="clear" w:color="auto" w:fill="C6EFCE"/>
            <w:noWrap/>
          </w:tcPr>
          <w:p w14:paraId="1DFAC27E" w14:textId="1D64EE03" w:rsidR="0065073E" w:rsidRDefault="000A0998">
            <w:pPr>
              <w:pStyle w:val="P68B1DB1-Normal12"/>
              <w:spacing w:after="0" w:line="240" w:lineRule="auto"/>
              <w:jc w:val="center"/>
              <w:rPr>
                <w:rFonts w:cs="Times New Roman"/>
                <w:noProof/>
              </w:rPr>
            </w:pPr>
            <w:r>
              <w:rPr>
                <w:noProof/>
              </w:rPr>
              <w:t>C13.R2</w:t>
            </w:r>
          </w:p>
        </w:tc>
        <w:tc>
          <w:tcPr>
            <w:tcW w:w="850" w:type="dxa"/>
            <w:shd w:val="clear" w:color="auto" w:fill="C6EFCE"/>
            <w:noWrap/>
          </w:tcPr>
          <w:p w14:paraId="38042A60" w14:textId="440BACC0"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12DA6D1C" w14:textId="0EEF1C6B" w:rsidR="0065073E" w:rsidRDefault="000A0998">
            <w:pPr>
              <w:pStyle w:val="P68B1DB1-Normal12"/>
              <w:spacing w:after="0" w:line="240" w:lineRule="auto"/>
              <w:rPr>
                <w:rFonts w:cs="Times New Roman"/>
                <w:noProof/>
              </w:rPr>
            </w:pPr>
            <w:r>
              <w:rPr>
                <w:noProof/>
              </w:rPr>
              <w:t>Ulkomaalaisten oikeuksista ja vapauksista ja heidän sosiaalisesta integroitumisestaan annetun lain 4/2000 muuttamisesta 26. heinäkuuta 2022 annetun kuninkaallisen asetuksen 629/2022 voimaantulo</w:t>
            </w:r>
          </w:p>
        </w:tc>
        <w:tc>
          <w:tcPr>
            <w:tcW w:w="1134" w:type="dxa"/>
            <w:shd w:val="clear" w:color="auto" w:fill="C6EFCE"/>
            <w:noWrap/>
          </w:tcPr>
          <w:p w14:paraId="6098828B" w14:textId="485D5F35" w:rsidR="0065073E" w:rsidRDefault="000A0998">
            <w:pPr>
              <w:pStyle w:val="P68B1DB1-Normal12"/>
              <w:spacing w:after="0" w:line="240" w:lineRule="auto"/>
              <w:jc w:val="center"/>
              <w:rPr>
                <w:rFonts w:cs="Times New Roman"/>
                <w:noProof/>
              </w:rPr>
            </w:pPr>
            <w:r>
              <w:rPr>
                <w:noProof/>
              </w:rPr>
              <w:t>Kuninkaan asetuksen säännös, jossa ilmoitetaan asiaa koskevien säännösten voimaantulo</w:t>
            </w:r>
          </w:p>
        </w:tc>
        <w:tc>
          <w:tcPr>
            <w:tcW w:w="709" w:type="dxa"/>
            <w:shd w:val="clear" w:color="auto" w:fill="C6EFCE"/>
            <w:noWrap/>
          </w:tcPr>
          <w:p w14:paraId="55D4F140" w14:textId="77777777" w:rsidR="0065073E" w:rsidRDefault="0065073E">
            <w:pPr>
              <w:spacing w:after="0" w:line="240" w:lineRule="auto"/>
              <w:jc w:val="center"/>
              <w:rPr>
                <w:rFonts w:ascii="Times New Roman" w:hAnsi="Times New Roman" w:cs="Times New Roman"/>
                <w:noProof/>
                <w:sz w:val="18"/>
              </w:rPr>
            </w:pPr>
          </w:p>
        </w:tc>
        <w:tc>
          <w:tcPr>
            <w:tcW w:w="992" w:type="dxa"/>
            <w:shd w:val="clear" w:color="auto" w:fill="C6EFCE"/>
            <w:noWrap/>
          </w:tcPr>
          <w:p w14:paraId="65380D86" w14:textId="77777777"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326BAF63" w14:textId="77777777" w:rsidR="0065073E" w:rsidRDefault="0065073E">
            <w:pPr>
              <w:spacing w:after="0" w:line="240" w:lineRule="auto"/>
              <w:jc w:val="right"/>
              <w:rPr>
                <w:rFonts w:ascii="Times New Roman" w:hAnsi="Times New Roman" w:cs="Times New Roman"/>
                <w:noProof/>
                <w:sz w:val="18"/>
              </w:rPr>
            </w:pPr>
          </w:p>
        </w:tc>
        <w:tc>
          <w:tcPr>
            <w:tcW w:w="567" w:type="dxa"/>
            <w:shd w:val="clear" w:color="auto" w:fill="C6EFCE"/>
            <w:noWrap/>
          </w:tcPr>
          <w:p w14:paraId="68343D68" w14:textId="411A585C" w:rsidR="0065073E" w:rsidRDefault="000A0998">
            <w:pPr>
              <w:pStyle w:val="P68B1DB1-Normal12"/>
              <w:spacing w:after="0" w:line="240" w:lineRule="auto"/>
              <w:jc w:val="center"/>
              <w:rPr>
                <w:rFonts w:cs="Times New Roman"/>
                <w:noProof/>
              </w:rPr>
            </w:pPr>
            <w:r>
              <w:rPr>
                <w:noProof/>
              </w:rPr>
              <w:t>Q3</w:t>
            </w:r>
          </w:p>
        </w:tc>
        <w:tc>
          <w:tcPr>
            <w:tcW w:w="567" w:type="dxa"/>
            <w:shd w:val="clear" w:color="auto" w:fill="C6EFCE"/>
            <w:noWrap/>
          </w:tcPr>
          <w:p w14:paraId="3724B3D2" w14:textId="2ABC8EAD" w:rsidR="0065073E" w:rsidRDefault="000A0998">
            <w:pPr>
              <w:pStyle w:val="P68B1DB1-Normal12"/>
              <w:spacing w:after="0" w:line="240" w:lineRule="auto"/>
              <w:jc w:val="center"/>
              <w:rPr>
                <w:rFonts w:cs="Times New Roman"/>
                <w:noProof/>
              </w:rPr>
            </w:pPr>
            <w:r>
              <w:rPr>
                <w:noProof/>
              </w:rPr>
              <w:t>2022</w:t>
            </w:r>
          </w:p>
        </w:tc>
        <w:tc>
          <w:tcPr>
            <w:tcW w:w="6662" w:type="dxa"/>
            <w:shd w:val="clear" w:color="auto" w:fill="C6EFCE"/>
            <w:noWrap/>
          </w:tcPr>
          <w:p w14:paraId="16134E7E" w14:textId="1EBA40BE" w:rsidR="0065073E" w:rsidRDefault="000A0998">
            <w:pPr>
              <w:pStyle w:val="P68B1DB1-Normal12"/>
              <w:spacing w:after="0" w:line="240" w:lineRule="auto"/>
              <w:rPr>
                <w:rFonts w:cs="Times New Roman"/>
                <w:noProof/>
              </w:rPr>
            </w:pPr>
            <w:r>
              <w:rPr>
                <w:noProof/>
              </w:rPr>
              <w:t>Ulkomaalaisten oikeuksista ja vapauksista Espanjassa sekä heidän sosiaalisesta integroitumisestaan annetun lain 4/2000 muuttamisesta 26. heinäkuuta 2022 annetun kuninkaan asetuksen 629/2022 asiaa koskevien säännösten voimaantulo toimenpiteen kuvauksen mukaisesti.</w:t>
            </w:r>
          </w:p>
        </w:tc>
      </w:tr>
      <w:tr w:rsidR="0065073E" w14:paraId="7668D217" w14:textId="77777777">
        <w:trPr>
          <w:trHeight w:val="309"/>
        </w:trPr>
        <w:tc>
          <w:tcPr>
            <w:tcW w:w="709" w:type="dxa"/>
            <w:shd w:val="clear" w:color="auto" w:fill="C6EFCE"/>
            <w:noWrap/>
          </w:tcPr>
          <w:p w14:paraId="71B30D2C" w14:textId="77777777" w:rsidR="0065073E" w:rsidRDefault="000A0998">
            <w:pPr>
              <w:pStyle w:val="P68B1DB1-Normal12"/>
              <w:spacing w:after="0" w:line="240" w:lineRule="auto"/>
              <w:jc w:val="center"/>
              <w:rPr>
                <w:rFonts w:eastAsia="Times New Roman" w:cs="Times New Roman"/>
                <w:noProof/>
              </w:rPr>
            </w:pPr>
            <w:r>
              <w:rPr>
                <w:noProof/>
              </w:rPr>
              <w:t>192</w:t>
            </w:r>
          </w:p>
        </w:tc>
        <w:tc>
          <w:tcPr>
            <w:tcW w:w="851" w:type="dxa"/>
            <w:shd w:val="clear" w:color="auto" w:fill="C6EFCE"/>
            <w:noWrap/>
          </w:tcPr>
          <w:p w14:paraId="7D0D42DF" w14:textId="77777777" w:rsidR="0065073E" w:rsidRDefault="000A0998">
            <w:pPr>
              <w:pStyle w:val="P68B1DB1-Normal12"/>
              <w:spacing w:after="0" w:line="240" w:lineRule="auto"/>
              <w:jc w:val="center"/>
              <w:rPr>
                <w:rFonts w:eastAsia="Times New Roman" w:cs="Times New Roman"/>
                <w:noProof/>
              </w:rPr>
            </w:pPr>
            <w:r>
              <w:rPr>
                <w:noProof/>
              </w:rPr>
              <w:t>C13.R2</w:t>
            </w:r>
          </w:p>
        </w:tc>
        <w:tc>
          <w:tcPr>
            <w:tcW w:w="850" w:type="dxa"/>
            <w:shd w:val="clear" w:color="auto" w:fill="C6EFCE"/>
            <w:noWrap/>
          </w:tcPr>
          <w:p w14:paraId="00CB68D1" w14:textId="77777777" w:rsidR="0065073E" w:rsidRDefault="000A0998">
            <w:pPr>
              <w:pStyle w:val="P68B1DB1-Normal12"/>
              <w:spacing w:after="0" w:line="240" w:lineRule="auto"/>
              <w:jc w:val="center"/>
              <w:rPr>
                <w:rFonts w:eastAsia="Times New Roman" w:cs="Times New Roman"/>
                <w:noProof/>
              </w:rPr>
            </w:pPr>
            <w:r>
              <w:rPr>
                <w:noProof/>
              </w:rPr>
              <w:t>M</w:t>
            </w:r>
          </w:p>
        </w:tc>
        <w:tc>
          <w:tcPr>
            <w:tcW w:w="1985" w:type="dxa"/>
            <w:shd w:val="clear" w:color="auto" w:fill="C6EFCE"/>
            <w:noWrap/>
          </w:tcPr>
          <w:p w14:paraId="1680BA86" w14:textId="77777777" w:rsidR="0065073E" w:rsidRDefault="000A0998">
            <w:pPr>
              <w:pStyle w:val="P68B1DB1-Normal12"/>
              <w:spacing w:after="0" w:line="240" w:lineRule="auto"/>
              <w:rPr>
                <w:rFonts w:eastAsia="Times New Roman" w:cs="Times New Roman"/>
                <w:noProof/>
              </w:rPr>
            </w:pPr>
            <w:r>
              <w:rPr>
                <w:noProof/>
              </w:rPr>
              <w:t>Startup-yrityksiä koskevan lain voimaantulo</w:t>
            </w:r>
          </w:p>
        </w:tc>
        <w:tc>
          <w:tcPr>
            <w:tcW w:w="1134" w:type="dxa"/>
            <w:shd w:val="clear" w:color="auto" w:fill="C6EFCE"/>
            <w:noWrap/>
          </w:tcPr>
          <w:p w14:paraId="63805AAE" w14:textId="77777777" w:rsidR="0065073E" w:rsidRDefault="000A0998">
            <w:pPr>
              <w:pStyle w:val="P68B1DB1-Normal12"/>
              <w:spacing w:after="0" w:line="240" w:lineRule="auto"/>
              <w:jc w:val="center"/>
              <w:rPr>
                <w:rFonts w:eastAsia="Times New Roman" w:cs="Times New Roman"/>
                <w:noProof/>
              </w:rPr>
            </w:pPr>
            <w:r>
              <w:rPr>
                <w:noProof/>
              </w:rPr>
              <w:t xml:space="preserve">Lain voimaantuloon viittaava säännös </w:t>
            </w:r>
          </w:p>
        </w:tc>
        <w:tc>
          <w:tcPr>
            <w:tcW w:w="709" w:type="dxa"/>
            <w:shd w:val="clear" w:color="auto" w:fill="C6EFCE"/>
            <w:noWrap/>
          </w:tcPr>
          <w:p w14:paraId="4E23ACCC"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49A8FFB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665DF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92F3102"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6277EBC5"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2D9CE0CD" w14:textId="77777777" w:rsidR="0065073E" w:rsidRDefault="000A0998">
            <w:pPr>
              <w:pStyle w:val="P68B1DB1-Normal12"/>
              <w:spacing w:after="0" w:line="240" w:lineRule="auto"/>
              <w:rPr>
                <w:rFonts w:eastAsia="Times New Roman" w:cs="Times New Roman"/>
                <w:noProof/>
              </w:rPr>
            </w:pPr>
            <w:r>
              <w:rPr>
                <w:noProof/>
              </w:rPr>
              <w:t>Tulee voimaan yrityslaki, jolla luodaan suotuisat puitteet erittäin innovatiivisten startup-yritysten perustamiselle ja kasvulle. Start-Ups-lailla otetaan käyttöön veromaksuja koskevia uudistuksia kannustimina, joilla kannustetaan ja helpotetaan startup-yritysten kehittämistä sekä ulkomaisten yrittäjien ja sijoittajien houkuttelemista julkisen talouden vakauttamistavoitteiden mukaisesti. Start-Ups-lailla otetaan käyttöön myös mekanismeja, joilla helpotetaan sen täytäntöönpanoa ja sen suhdetta digitaaliseen yrittäjäekosysteemiin liittyviin toimenpiteisiin.</w:t>
            </w:r>
          </w:p>
        </w:tc>
      </w:tr>
      <w:tr w:rsidR="0065073E" w14:paraId="1E6EB94D" w14:textId="77777777">
        <w:trPr>
          <w:trHeight w:val="309"/>
        </w:trPr>
        <w:tc>
          <w:tcPr>
            <w:tcW w:w="709" w:type="dxa"/>
            <w:shd w:val="clear" w:color="auto" w:fill="C6EFCE"/>
            <w:noWrap/>
          </w:tcPr>
          <w:p w14:paraId="318F0EB5" w14:textId="613F4F07" w:rsidR="0065073E" w:rsidRDefault="000A0998">
            <w:pPr>
              <w:pStyle w:val="P68B1DB1-Normal12"/>
              <w:spacing w:after="0" w:line="240" w:lineRule="auto"/>
              <w:jc w:val="center"/>
              <w:rPr>
                <w:rFonts w:cs="Times New Roman"/>
                <w:noProof/>
              </w:rPr>
            </w:pPr>
            <w:r>
              <w:rPr>
                <w:noProof/>
              </w:rPr>
              <w:t>451</w:t>
            </w:r>
          </w:p>
        </w:tc>
        <w:tc>
          <w:tcPr>
            <w:tcW w:w="851" w:type="dxa"/>
            <w:shd w:val="clear" w:color="auto" w:fill="C6EFCE"/>
            <w:noWrap/>
          </w:tcPr>
          <w:p w14:paraId="5833FDD5" w14:textId="77777777" w:rsidR="0065073E" w:rsidRDefault="000A0998">
            <w:pPr>
              <w:pStyle w:val="P68B1DB1-Normal12"/>
              <w:spacing w:after="0" w:line="240" w:lineRule="auto"/>
              <w:jc w:val="center"/>
              <w:rPr>
                <w:rFonts w:cs="Times New Roman"/>
                <w:noProof/>
              </w:rPr>
            </w:pPr>
            <w:r>
              <w:rPr>
                <w:noProof/>
              </w:rPr>
              <w:t>C13.R2</w:t>
            </w:r>
          </w:p>
        </w:tc>
        <w:tc>
          <w:tcPr>
            <w:tcW w:w="850" w:type="dxa"/>
            <w:shd w:val="clear" w:color="auto" w:fill="C6EFCE"/>
            <w:noWrap/>
          </w:tcPr>
          <w:p w14:paraId="5D9DCA8A"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096FFB22" w14:textId="77777777" w:rsidR="0065073E" w:rsidRDefault="000A0998">
            <w:pPr>
              <w:pStyle w:val="P68B1DB1-Normal12"/>
              <w:spacing w:after="0" w:line="240" w:lineRule="auto"/>
              <w:rPr>
                <w:rFonts w:cs="Times New Roman"/>
                <w:noProof/>
              </w:rPr>
            </w:pPr>
            <w:r>
              <w:rPr>
                <w:noProof/>
              </w:rPr>
              <w:t>Yrittäjien tukemisesta ja kansainvälistymisestä 27. syyskuuta annettuun lakiin 14/2013 tehdyn muutoksen voimaantulo</w:t>
            </w:r>
          </w:p>
        </w:tc>
        <w:tc>
          <w:tcPr>
            <w:tcW w:w="1134" w:type="dxa"/>
            <w:shd w:val="clear" w:color="auto" w:fill="C6EFCE"/>
            <w:noWrap/>
          </w:tcPr>
          <w:p w14:paraId="28020984" w14:textId="56A043DE" w:rsidR="0065073E" w:rsidRDefault="000A0998">
            <w:pPr>
              <w:pStyle w:val="P68B1DB1-Normal12"/>
              <w:spacing w:after="0" w:line="240" w:lineRule="auto"/>
              <w:jc w:val="center"/>
              <w:rPr>
                <w:rFonts w:cs="Times New Roman"/>
                <w:noProof/>
              </w:rPr>
            </w:pPr>
            <w:r>
              <w:rPr>
                <w:noProof/>
              </w:rPr>
              <w:t>Lainmuutokseen sisältyvä säännös, josta käy ilmi asiaa koskevien säännösten voimaantulo</w:t>
            </w:r>
          </w:p>
        </w:tc>
        <w:tc>
          <w:tcPr>
            <w:tcW w:w="709" w:type="dxa"/>
            <w:shd w:val="clear" w:color="auto" w:fill="C6EFCE"/>
            <w:noWrap/>
          </w:tcPr>
          <w:p w14:paraId="7133CF56" w14:textId="77777777" w:rsidR="0065073E" w:rsidRDefault="0065073E">
            <w:pPr>
              <w:spacing w:after="0" w:line="240" w:lineRule="auto"/>
              <w:jc w:val="center"/>
              <w:rPr>
                <w:rFonts w:ascii="Times New Roman" w:hAnsi="Times New Roman" w:cs="Times New Roman"/>
                <w:noProof/>
                <w:sz w:val="18"/>
              </w:rPr>
            </w:pPr>
          </w:p>
        </w:tc>
        <w:tc>
          <w:tcPr>
            <w:tcW w:w="992" w:type="dxa"/>
            <w:shd w:val="clear" w:color="auto" w:fill="C6EFCE"/>
            <w:noWrap/>
          </w:tcPr>
          <w:p w14:paraId="6BA613E5" w14:textId="77777777"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5D56298E" w14:textId="77777777" w:rsidR="0065073E" w:rsidRDefault="0065073E">
            <w:pPr>
              <w:spacing w:after="0" w:line="240" w:lineRule="auto"/>
              <w:jc w:val="right"/>
              <w:rPr>
                <w:rFonts w:ascii="Times New Roman" w:hAnsi="Times New Roman" w:cs="Times New Roman"/>
                <w:noProof/>
                <w:sz w:val="18"/>
              </w:rPr>
            </w:pPr>
          </w:p>
        </w:tc>
        <w:tc>
          <w:tcPr>
            <w:tcW w:w="567" w:type="dxa"/>
            <w:shd w:val="clear" w:color="auto" w:fill="C6EFCE"/>
            <w:noWrap/>
          </w:tcPr>
          <w:p w14:paraId="4D85260B"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08115EB3" w14:textId="77777777" w:rsidR="0065073E" w:rsidRDefault="000A0998">
            <w:pPr>
              <w:pStyle w:val="P68B1DB1-Normal12"/>
              <w:spacing w:after="0" w:line="240" w:lineRule="auto"/>
              <w:jc w:val="center"/>
              <w:rPr>
                <w:rFonts w:cs="Times New Roman"/>
                <w:noProof/>
              </w:rPr>
            </w:pPr>
            <w:r>
              <w:rPr>
                <w:noProof/>
              </w:rPr>
              <w:t>2023</w:t>
            </w:r>
          </w:p>
        </w:tc>
        <w:tc>
          <w:tcPr>
            <w:tcW w:w="6662" w:type="dxa"/>
            <w:shd w:val="clear" w:color="auto" w:fill="C6EFCE"/>
            <w:noWrap/>
          </w:tcPr>
          <w:p w14:paraId="1D6A9F51" w14:textId="77777777" w:rsidR="0065073E" w:rsidRDefault="000A0998">
            <w:pPr>
              <w:pStyle w:val="P68B1DB1-Normal12"/>
              <w:spacing w:after="0" w:line="240" w:lineRule="auto"/>
              <w:rPr>
                <w:rFonts w:cs="Times New Roman"/>
                <w:noProof/>
              </w:rPr>
            </w:pPr>
            <w:r>
              <w:rPr>
                <w:noProof/>
              </w:rPr>
              <w:t>Yrittäjien tukemisesta ja kansainvälistymisestä 27. syyskuuta annetun lain 14/2013 muutoksen asiaankuuluvien säännösten voimaantulo toimenpiteen kuvauksen mukaisesti.</w:t>
            </w:r>
          </w:p>
        </w:tc>
      </w:tr>
      <w:tr w:rsidR="0065073E" w14:paraId="407FE735" w14:textId="77777777">
        <w:trPr>
          <w:trHeight w:val="309"/>
        </w:trPr>
        <w:tc>
          <w:tcPr>
            <w:tcW w:w="709" w:type="dxa"/>
            <w:shd w:val="clear" w:color="auto" w:fill="C6EFCE"/>
            <w:noWrap/>
          </w:tcPr>
          <w:p w14:paraId="18C76E68" w14:textId="6ABC1D27" w:rsidR="0065073E" w:rsidRDefault="000A0998">
            <w:pPr>
              <w:pStyle w:val="P68B1DB1-Normal12"/>
              <w:spacing w:line="240" w:lineRule="auto"/>
              <w:jc w:val="center"/>
              <w:rPr>
                <w:rFonts w:cs="Times New Roman"/>
                <w:noProof/>
              </w:rPr>
            </w:pPr>
            <w:r>
              <w:rPr>
                <w:noProof/>
              </w:rPr>
              <w:t>452</w:t>
            </w:r>
          </w:p>
        </w:tc>
        <w:tc>
          <w:tcPr>
            <w:tcW w:w="851" w:type="dxa"/>
            <w:shd w:val="clear" w:color="auto" w:fill="C6EFCE"/>
            <w:noWrap/>
          </w:tcPr>
          <w:p w14:paraId="35E33E6F" w14:textId="77777777" w:rsidR="0065073E" w:rsidRDefault="000A0998">
            <w:pPr>
              <w:pStyle w:val="P68B1DB1-Normal12"/>
              <w:spacing w:line="240" w:lineRule="auto"/>
              <w:jc w:val="center"/>
              <w:rPr>
                <w:rFonts w:cs="Times New Roman"/>
                <w:noProof/>
              </w:rPr>
            </w:pPr>
            <w:r>
              <w:rPr>
                <w:noProof/>
              </w:rPr>
              <w:t>C13.R3</w:t>
            </w:r>
          </w:p>
        </w:tc>
        <w:tc>
          <w:tcPr>
            <w:tcW w:w="850" w:type="dxa"/>
            <w:shd w:val="clear" w:color="auto" w:fill="C6EFCE"/>
            <w:noWrap/>
          </w:tcPr>
          <w:p w14:paraId="69DEFA12" w14:textId="77777777" w:rsidR="0065073E" w:rsidRDefault="000A0998">
            <w:pPr>
              <w:pStyle w:val="P68B1DB1-Normal12"/>
              <w:spacing w:after="0" w:line="240" w:lineRule="auto"/>
              <w:jc w:val="center"/>
              <w:rPr>
                <w:rFonts w:cs="Times New Roman"/>
                <w:noProof/>
              </w:rPr>
            </w:pPr>
            <w:r>
              <w:rPr>
                <w:noProof/>
              </w:rPr>
              <w:t>M</w:t>
            </w:r>
          </w:p>
        </w:tc>
        <w:tc>
          <w:tcPr>
            <w:tcW w:w="1985" w:type="dxa"/>
            <w:shd w:val="clear" w:color="auto" w:fill="C6EFCE"/>
            <w:noWrap/>
          </w:tcPr>
          <w:p w14:paraId="2A2C64E6" w14:textId="77777777" w:rsidR="0065073E" w:rsidRDefault="000A0998">
            <w:pPr>
              <w:pStyle w:val="P68B1DB1-Normal12"/>
              <w:spacing w:after="0" w:line="240" w:lineRule="auto"/>
              <w:rPr>
                <w:rFonts w:cs="Times New Roman"/>
                <w:noProof/>
              </w:rPr>
            </w:pPr>
            <w:r>
              <w:rPr>
                <w:noProof/>
              </w:rPr>
              <w:t>Toimenpiteet pk-yritysten rahoituksensaannin parantamiseksi muuttamalla 17. maaliskuuta 2023 annettua lakia 6/2023.</w:t>
            </w:r>
          </w:p>
        </w:tc>
        <w:tc>
          <w:tcPr>
            <w:tcW w:w="1134" w:type="dxa"/>
            <w:shd w:val="clear" w:color="auto" w:fill="C6EFCE"/>
            <w:noWrap/>
          </w:tcPr>
          <w:p w14:paraId="042795AA" w14:textId="77777777" w:rsidR="0065073E" w:rsidRDefault="000A0998">
            <w:pPr>
              <w:pStyle w:val="P68B1DB1-Normal12"/>
              <w:spacing w:after="0" w:line="240" w:lineRule="auto"/>
              <w:jc w:val="center"/>
              <w:rPr>
                <w:rFonts w:cs="Times New Roman"/>
                <w:noProof/>
              </w:rPr>
            </w:pPr>
            <w:r>
              <w:rPr>
                <w:noProof/>
              </w:rPr>
              <w:t>Lain säännös, josta ilmenee lain voimaantulo</w:t>
            </w:r>
          </w:p>
        </w:tc>
        <w:tc>
          <w:tcPr>
            <w:tcW w:w="709" w:type="dxa"/>
            <w:shd w:val="clear" w:color="auto" w:fill="C6EFCE"/>
            <w:noWrap/>
          </w:tcPr>
          <w:p w14:paraId="7DA54085" w14:textId="77777777" w:rsidR="0065073E" w:rsidRDefault="0065073E">
            <w:pPr>
              <w:spacing w:line="240" w:lineRule="auto"/>
              <w:jc w:val="center"/>
              <w:rPr>
                <w:rFonts w:ascii="Times New Roman" w:hAnsi="Times New Roman" w:cs="Times New Roman"/>
                <w:noProof/>
                <w:sz w:val="18"/>
              </w:rPr>
            </w:pPr>
          </w:p>
        </w:tc>
        <w:tc>
          <w:tcPr>
            <w:tcW w:w="992" w:type="dxa"/>
            <w:shd w:val="clear" w:color="auto" w:fill="C6EFCE"/>
            <w:noWrap/>
          </w:tcPr>
          <w:p w14:paraId="47A91D23" w14:textId="77777777" w:rsidR="0065073E" w:rsidRDefault="0065073E">
            <w:pPr>
              <w:spacing w:line="240" w:lineRule="auto"/>
              <w:jc w:val="right"/>
              <w:rPr>
                <w:rFonts w:ascii="Times New Roman" w:hAnsi="Times New Roman" w:cs="Times New Roman"/>
                <w:noProof/>
                <w:sz w:val="18"/>
              </w:rPr>
            </w:pPr>
          </w:p>
        </w:tc>
        <w:tc>
          <w:tcPr>
            <w:tcW w:w="709" w:type="dxa"/>
            <w:shd w:val="clear" w:color="auto" w:fill="C6EFCE"/>
            <w:noWrap/>
          </w:tcPr>
          <w:p w14:paraId="3DCF9411" w14:textId="77777777" w:rsidR="0065073E" w:rsidRDefault="0065073E">
            <w:pPr>
              <w:spacing w:line="240" w:lineRule="auto"/>
              <w:jc w:val="right"/>
              <w:rPr>
                <w:rFonts w:ascii="Times New Roman" w:hAnsi="Times New Roman" w:cs="Times New Roman"/>
                <w:noProof/>
                <w:sz w:val="18"/>
              </w:rPr>
            </w:pPr>
          </w:p>
        </w:tc>
        <w:tc>
          <w:tcPr>
            <w:tcW w:w="567" w:type="dxa"/>
            <w:shd w:val="clear" w:color="auto" w:fill="C6EFCE"/>
            <w:noWrap/>
          </w:tcPr>
          <w:p w14:paraId="5F702D89" w14:textId="77777777" w:rsidR="0065073E" w:rsidRDefault="000A0998">
            <w:pPr>
              <w:pStyle w:val="P68B1DB1-Normal12"/>
              <w:spacing w:line="240" w:lineRule="auto"/>
              <w:jc w:val="center"/>
              <w:rPr>
                <w:rFonts w:cs="Times New Roman"/>
                <w:noProof/>
              </w:rPr>
            </w:pPr>
            <w:r>
              <w:rPr>
                <w:noProof/>
              </w:rPr>
              <w:t>TOINEN VUOSINELJÄNNES</w:t>
            </w:r>
          </w:p>
        </w:tc>
        <w:tc>
          <w:tcPr>
            <w:tcW w:w="567" w:type="dxa"/>
            <w:shd w:val="clear" w:color="auto" w:fill="C6EFCE"/>
            <w:noWrap/>
          </w:tcPr>
          <w:p w14:paraId="6D8FC70B" w14:textId="77777777" w:rsidR="0065073E" w:rsidRDefault="000A0998">
            <w:pPr>
              <w:pStyle w:val="P68B1DB1-Normal12"/>
              <w:spacing w:line="240" w:lineRule="auto"/>
              <w:jc w:val="center"/>
              <w:rPr>
                <w:rFonts w:cs="Times New Roman"/>
                <w:noProof/>
              </w:rPr>
            </w:pPr>
            <w:r>
              <w:rPr>
                <w:noProof/>
              </w:rPr>
              <w:t>2024</w:t>
            </w:r>
          </w:p>
        </w:tc>
        <w:tc>
          <w:tcPr>
            <w:tcW w:w="6662" w:type="dxa"/>
            <w:shd w:val="clear" w:color="auto" w:fill="C6EFCE"/>
            <w:noWrap/>
          </w:tcPr>
          <w:p w14:paraId="3FD3EEE0" w14:textId="77777777" w:rsidR="0065073E" w:rsidRDefault="000A0998">
            <w:pPr>
              <w:pStyle w:val="P68B1DB1-Normal12"/>
              <w:spacing w:line="240" w:lineRule="auto"/>
              <w:rPr>
                <w:rFonts w:cs="Times New Roman"/>
                <w:noProof/>
              </w:rPr>
            </w:pPr>
            <w:r>
              <w:rPr>
                <w:noProof/>
              </w:rPr>
              <w:t>Arvopaperimarkkina- ja sijoituspalvelulain voimaantulo. Sillä yksinkertaistetaan kiinteätuottoisten arvopapereiden kaupankäynnin kohteeksi ottamista, laajennetaan pääsy BME:n kasvuun, laajennetaan pakolliset julkiset ostotarjoukset koskemaan myös monenkeskisissä kaupankäyntijärjestelmissä kaupankäynnin kohteena olevia arvopapereita ja vähennetään rahoitusmarkkinoille pääsyn esteitä poistamalla tietojärjestelmä (ns. kaupan jälkeinen rajapinta), jolla seurataan arvopapereiden selvitystä, toimitusta ja rekisteröintiä.</w:t>
            </w:r>
          </w:p>
        </w:tc>
      </w:tr>
      <w:tr w:rsidR="0065073E" w14:paraId="17D6ADC8" w14:textId="77777777">
        <w:trPr>
          <w:trHeight w:val="309"/>
        </w:trPr>
        <w:tc>
          <w:tcPr>
            <w:tcW w:w="709" w:type="dxa"/>
            <w:shd w:val="clear" w:color="auto" w:fill="C6EFCE"/>
            <w:noWrap/>
          </w:tcPr>
          <w:p w14:paraId="05D5C24F" w14:textId="77777777" w:rsidR="0065073E" w:rsidRDefault="000A0998">
            <w:pPr>
              <w:pStyle w:val="P68B1DB1-Normal12"/>
              <w:spacing w:after="0" w:line="240" w:lineRule="auto"/>
              <w:jc w:val="center"/>
              <w:rPr>
                <w:rFonts w:eastAsia="Times New Roman" w:cs="Times New Roman"/>
                <w:noProof/>
              </w:rPr>
            </w:pPr>
            <w:r>
              <w:rPr>
                <w:noProof/>
              </w:rPr>
              <w:t>193</w:t>
            </w:r>
          </w:p>
        </w:tc>
        <w:tc>
          <w:tcPr>
            <w:tcW w:w="851" w:type="dxa"/>
            <w:shd w:val="clear" w:color="auto" w:fill="C6EFCE"/>
            <w:noWrap/>
          </w:tcPr>
          <w:p w14:paraId="748C134F" w14:textId="77777777" w:rsidR="0065073E" w:rsidRDefault="000A0998">
            <w:pPr>
              <w:pStyle w:val="P68B1DB1-Normal12"/>
              <w:spacing w:after="0" w:line="240" w:lineRule="auto"/>
              <w:jc w:val="center"/>
              <w:rPr>
                <w:rFonts w:eastAsia="Times New Roman" w:cs="Times New Roman"/>
                <w:noProof/>
              </w:rPr>
            </w:pPr>
            <w:r>
              <w:rPr>
                <w:noProof/>
              </w:rPr>
              <w:t>C13.I1</w:t>
            </w:r>
          </w:p>
        </w:tc>
        <w:tc>
          <w:tcPr>
            <w:tcW w:w="850" w:type="dxa"/>
            <w:shd w:val="clear" w:color="auto" w:fill="C6EFCE"/>
            <w:noWrap/>
          </w:tcPr>
          <w:p w14:paraId="3CCDA9E5"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38FB9B1F" w14:textId="77777777" w:rsidR="0065073E" w:rsidRDefault="000A0998">
            <w:pPr>
              <w:pStyle w:val="P68B1DB1-Normal12"/>
              <w:spacing w:after="0" w:line="240" w:lineRule="auto"/>
              <w:rPr>
                <w:rFonts w:eastAsia="Times New Roman" w:cs="Times New Roman"/>
                <w:noProof/>
              </w:rPr>
            </w:pPr>
            <w:r>
              <w:rPr>
                <w:noProof/>
              </w:rPr>
              <w:t>Yrittäjät tai pk-yritykset, jotka hyötyvät yrittäjäekosysteemiä edistävistä toimenpiteistä</w:t>
            </w:r>
          </w:p>
        </w:tc>
        <w:tc>
          <w:tcPr>
            <w:tcW w:w="1134" w:type="dxa"/>
            <w:shd w:val="clear" w:color="auto" w:fill="C6EFCE"/>
            <w:noWrap/>
          </w:tcPr>
          <w:p w14:paraId="277AC171"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2B5BC2FA"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7A53A9C3"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6A49FD6" w14:textId="77777777" w:rsidR="0065073E" w:rsidRDefault="000A0998">
            <w:pPr>
              <w:pStyle w:val="P68B1DB1-Normal12"/>
              <w:spacing w:after="0" w:line="240" w:lineRule="auto"/>
              <w:jc w:val="right"/>
              <w:rPr>
                <w:rFonts w:eastAsia="Times New Roman" w:cs="Times New Roman"/>
                <w:noProof/>
              </w:rPr>
            </w:pPr>
            <w:r>
              <w:rPr>
                <w:noProof/>
              </w:rPr>
              <w:t>6 900</w:t>
            </w:r>
          </w:p>
        </w:tc>
        <w:tc>
          <w:tcPr>
            <w:tcW w:w="567" w:type="dxa"/>
            <w:shd w:val="clear" w:color="auto" w:fill="C6EFCE"/>
            <w:noWrap/>
          </w:tcPr>
          <w:p w14:paraId="2494DAA4"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7D948FD4" w14:textId="5D588B4A" w:rsidR="0065073E" w:rsidRDefault="000A0998">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475EB871" w14:textId="09B85465" w:rsidR="0065073E" w:rsidRDefault="000A0998">
            <w:pPr>
              <w:pStyle w:val="P68B1DB1-Normal12"/>
              <w:spacing w:after="0" w:line="240" w:lineRule="auto"/>
              <w:rPr>
                <w:rFonts w:eastAsia="Times New Roman" w:cs="Times New Roman"/>
                <w:noProof/>
              </w:rPr>
            </w:pPr>
            <w:r>
              <w:rPr>
                <w:noProof/>
              </w:rPr>
              <w:t>Vähintään 6900 yrittäjää tai pk-yritystä on saattanut päätökseen ohjelman, jonka tavoitteena on edistää yrittäjyysekosysteemiä vuoteen 2030 ulottuvien pk-yrityspolitiikan strategisten puitteiden, Espanjan yrittäjyysstrategian ja Espanjan digitaalistrategian 2025 puitteissa, mukaan lukien vähintään 2000 naisyrittäjää/pk-yritystä, jotka ovat naisten johtamia tai osallistumia. Yrittäjien osaamisohjelmassa (joista 1200 on naisia) tuetaan erityisesti 6100 yrittäjää ja 800 naisyrittäjää naisten osaamisen edistämisohjelman kautta ja noudattaen ”ei merkittävää haittaa” -periaatteen mukaisia teknisiä ohjeita (2021/C58/01) käyttämällä poissulkemisluetteloa ja vaatimusta asiaa koskevan EU:n ja kansallisen ympäristölainsäädännön noudattamisesta.</w:t>
            </w:r>
          </w:p>
        </w:tc>
      </w:tr>
      <w:tr w:rsidR="0065073E" w14:paraId="3CA897A7" w14:textId="77777777">
        <w:trPr>
          <w:trHeight w:val="309"/>
        </w:trPr>
        <w:tc>
          <w:tcPr>
            <w:tcW w:w="709" w:type="dxa"/>
            <w:shd w:val="clear" w:color="auto" w:fill="C6EFCE"/>
            <w:noWrap/>
          </w:tcPr>
          <w:p w14:paraId="21D58642" w14:textId="77777777" w:rsidR="0065073E" w:rsidRDefault="000A0998">
            <w:pPr>
              <w:pStyle w:val="P68B1DB1-Normal12"/>
              <w:spacing w:after="0" w:line="240" w:lineRule="auto"/>
              <w:jc w:val="center"/>
              <w:rPr>
                <w:rFonts w:eastAsia="Times New Roman" w:cs="Times New Roman"/>
                <w:noProof/>
              </w:rPr>
            </w:pPr>
            <w:r>
              <w:rPr>
                <w:noProof/>
              </w:rPr>
              <w:t>194</w:t>
            </w:r>
          </w:p>
        </w:tc>
        <w:tc>
          <w:tcPr>
            <w:tcW w:w="851" w:type="dxa"/>
            <w:shd w:val="clear" w:color="auto" w:fill="C6EFCE"/>
            <w:noWrap/>
          </w:tcPr>
          <w:p w14:paraId="178C5916" w14:textId="77777777" w:rsidR="0065073E" w:rsidRDefault="000A0998">
            <w:pPr>
              <w:pStyle w:val="P68B1DB1-Normal12"/>
              <w:spacing w:after="0" w:line="240" w:lineRule="auto"/>
              <w:jc w:val="center"/>
              <w:rPr>
                <w:rFonts w:eastAsia="Times New Roman" w:cs="Times New Roman"/>
                <w:noProof/>
              </w:rPr>
            </w:pPr>
            <w:r>
              <w:rPr>
                <w:noProof/>
              </w:rPr>
              <w:t>C13.I1</w:t>
            </w:r>
          </w:p>
        </w:tc>
        <w:tc>
          <w:tcPr>
            <w:tcW w:w="850" w:type="dxa"/>
            <w:shd w:val="clear" w:color="auto" w:fill="C6EFCE"/>
            <w:noWrap/>
          </w:tcPr>
          <w:p w14:paraId="7E4262ED"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53DA184E" w14:textId="77777777" w:rsidR="0065073E" w:rsidRDefault="000A0998">
            <w:pPr>
              <w:pStyle w:val="P68B1DB1-Normal12"/>
              <w:spacing w:after="0" w:line="240" w:lineRule="auto"/>
              <w:rPr>
                <w:rFonts w:eastAsia="Times New Roman" w:cs="Times New Roman"/>
                <w:noProof/>
              </w:rPr>
            </w:pPr>
            <w:r>
              <w:rPr>
                <w:noProof/>
              </w:rPr>
              <w:t>Käyttäjät, jotka hyötyvät yrittäjäekosysteemiä edistävistä toimenpiteistä</w:t>
            </w:r>
          </w:p>
        </w:tc>
        <w:tc>
          <w:tcPr>
            <w:tcW w:w="1134" w:type="dxa"/>
            <w:shd w:val="clear" w:color="auto" w:fill="C6EFCE"/>
            <w:noWrap/>
          </w:tcPr>
          <w:p w14:paraId="70E34C10"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AE9F8F2"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5D0054EC"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0C6C8FC" w14:textId="77777777" w:rsidR="0065073E" w:rsidRDefault="000A0998">
            <w:pPr>
              <w:pStyle w:val="P68B1DB1-Normal12"/>
              <w:spacing w:after="0" w:line="240" w:lineRule="auto"/>
              <w:jc w:val="right"/>
              <w:rPr>
                <w:rFonts w:eastAsia="Times New Roman" w:cs="Times New Roman"/>
                <w:noProof/>
              </w:rPr>
            </w:pPr>
            <w:r>
              <w:rPr>
                <w:noProof/>
              </w:rPr>
              <w:t>12 000</w:t>
            </w:r>
          </w:p>
        </w:tc>
        <w:tc>
          <w:tcPr>
            <w:tcW w:w="567" w:type="dxa"/>
            <w:shd w:val="clear" w:color="auto" w:fill="C6EFCE"/>
            <w:noWrap/>
          </w:tcPr>
          <w:p w14:paraId="151950EE"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74264CD"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1921B1A4" w14:textId="0A0A590F" w:rsidR="0065073E" w:rsidRDefault="000A0998">
            <w:pPr>
              <w:pStyle w:val="P68B1DB1-Normal7"/>
              <w:spacing w:after="0" w:line="240" w:lineRule="auto"/>
              <w:rPr>
                <w:rFonts w:eastAsia="Times New Roman" w:cs="Times New Roman"/>
                <w:noProof/>
                <w:sz w:val="18"/>
              </w:rPr>
            </w:pPr>
            <w:r>
              <w:rPr>
                <w:noProof/>
                <w:sz w:val="18"/>
              </w:rPr>
              <w:t>Vähintään 12000 käyttäjää, jotka hyötyvät yrittäjyysekosysteemin vahvistamiseen tähtäävistä toimenpiteistä vuoteen 2030 ulottuvien pk-yrityspolitiikan strategisten puitteiden, Espanjan yrittäjyysstrategian ja Espanjan digitaalistrategian 2025 puitteissa; ja ”ei merkittävää haittaa” -periaatetta koskevien teknisten ohjeiden (2021/C58/01) mukaisesti käyttämällä poissulkemisluetteloa ja vaatimusta asiaa koskevan EU:n ja kansallisen ympäristölainsäädännön noudattamisesta.</w:t>
            </w:r>
          </w:p>
        </w:tc>
      </w:tr>
      <w:tr w:rsidR="0065073E" w14:paraId="00F9D5E0" w14:textId="77777777">
        <w:trPr>
          <w:trHeight w:val="309"/>
        </w:trPr>
        <w:tc>
          <w:tcPr>
            <w:tcW w:w="709" w:type="dxa"/>
            <w:shd w:val="clear" w:color="auto" w:fill="C6EFCE"/>
            <w:noWrap/>
          </w:tcPr>
          <w:p w14:paraId="2ACEA88D" w14:textId="77777777" w:rsidR="0065073E" w:rsidRDefault="000A0998">
            <w:pPr>
              <w:pStyle w:val="P68B1DB1-Normal12"/>
              <w:spacing w:after="0" w:line="240" w:lineRule="auto"/>
              <w:jc w:val="center"/>
              <w:rPr>
                <w:rFonts w:eastAsia="Times New Roman" w:cs="Times New Roman"/>
                <w:noProof/>
              </w:rPr>
            </w:pPr>
            <w:r>
              <w:rPr>
                <w:noProof/>
              </w:rPr>
              <w:t>195</w:t>
            </w:r>
          </w:p>
        </w:tc>
        <w:tc>
          <w:tcPr>
            <w:tcW w:w="851" w:type="dxa"/>
            <w:shd w:val="clear" w:color="auto" w:fill="C6EFCE"/>
            <w:noWrap/>
          </w:tcPr>
          <w:p w14:paraId="5524FC9E" w14:textId="77777777" w:rsidR="0065073E" w:rsidRDefault="000A0998">
            <w:pPr>
              <w:pStyle w:val="P68B1DB1-Normal12"/>
              <w:spacing w:after="0" w:line="240" w:lineRule="auto"/>
              <w:jc w:val="center"/>
              <w:rPr>
                <w:rFonts w:eastAsia="Times New Roman" w:cs="Times New Roman"/>
                <w:noProof/>
              </w:rPr>
            </w:pPr>
            <w:r>
              <w:rPr>
                <w:noProof/>
              </w:rPr>
              <w:t>C13.I1</w:t>
            </w:r>
          </w:p>
        </w:tc>
        <w:tc>
          <w:tcPr>
            <w:tcW w:w="850" w:type="dxa"/>
            <w:shd w:val="clear" w:color="auto" w:fill="C6EFCE"/>
            <w:noWrap/>
          </w:tcPr>
          <w:p w14:paraId="06FC199C"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106F31D8" w14:textId="77777777" w:rsidR="0065073E" w:rsidRDefault="000A0998">
            <w:pPr>
              <w:pStyle w:val="P68B1DB1-Normal12"/>
              <w:spacing w:after="0" w:line="240" w:lineRule="auto"/>
              <w:rPr>
                <w:rFonts w:eastAsia="Times New Roman" w:cs="Times New Roman"/>
                <w:noProof/>
              </w:rPr>
            </w:pPr>
            <w:r>
              <w:rPr>
                <w:noProof/>
              </w:rPr>
              <w:t>Muut toimet tiedonlevitys, viestintä ja rahoitus</w:t>
            </w:r>
          </w:p>
        </w:tc>
        <w:tc>
          <w:tcPr>
            <w:tcW w:w="1134" w:type="dxa"/>
            <w:shd w:val="clear" w:color="auto" w:fill="C6EFCE"/>
            <w:noWrap/>
          </w:tcPr>
          <w:p w14:paraId="14D7D97A"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7BEE507"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316510DD"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0D44C787" w14:textId="77777777" w:rsidR="0065073E" w:rsidRDefault="000A0998">
            <w:pPr>
              <w:pStyle w:val="P68B1DB1-Normal12"/>
              <w:spacing w:after="0" w:line="240" w:lineRule="auto"/>
              <w:jc w:val="right"/>
              <w:rPr>
                <w:rFonts w:eastAsia="Times New Roman" w:cs="Times New Roman"/>
                <w:noProof/>
              </w:rPr>
            </w:pPr>
            <w:r>
              <w:rPr>
                <w:noProof/>
              </w:rPr>
              <w:t>480</w:t>
            </w:r>
          </w:p>
        </w:tc>
        <w:tc>
          <w:tcPr>
            <w:tcW w:w="567" w:type="dxa"/>
            <w:shd w:val="clear" w:color="auto" w:fill="C6EFCE"/>
            <w:noWrap/>
          </w:tcPr>
          <w:p w14:paraId="22A74655"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641FEE1" w14:textId="4A074EF8" w:rsidR="0065073E" w:rsidRDefault="000A0998">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2CDBA29B"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Vähintään 480 tointa on toteutettu levittämis- ja viestintäkampanjoiden osalta, joiden tarkoituksena on luoda, kehittää tai houkutella Espanjaan kansainvälisiä tapahtumia, joissa keskitytään innovatiivisiin yrityksiin ja ohjelmaan naisten lahjakkuuksien houkuttelemiseksi. Tähän sisältyy vähintään 20 ”lippuohjelman” puitteissa kehitettyä yrittäjyystapahtumaa; ja vähintään 260 viestintätoimea (200 medianäyttelyä ja 60 tapahtumaa) ”Brand Spain Entrepreneurship Nation” puitteissa.</w:t>
            </w:r>
            <w:r>
              <w:rPr>
                <w:noProof/>
              </w:rPr>
              <w:t xml:space="preserve"> </w:t>
            </w:r>
            <w:r>
              <w:rPr>
                <w:noProof/>
              </w:rPr>
              <w:br/>
            </w:r>
            <w:r>
              <w:rPr>
                <w:rFonts w:ascii="Times New Roman" w:hAnsi="Times New Roman"/>
                <w:noProof/>
                <w:sz w:val="18"/>
              </w:rPr>
              <w:t>Rahoittamalla yrittäjyyttä ja pk-yrityksiä tukevaa budjettikohtaa naisten yrittäjyyttä tukevasta ohjelmasta. Tähän sisältyy vähintään 200 naisyrittäjän tukeminen Empresa Nacional de Innovación, S.A.:n myöntämillä osallistavilla lainoilla tämän toimenpiteen nojalla tuettujen liiketoimien ”ei merkittävää haittaa” -periaatetta koskevien teknisten ohjeiden (2021/C58/01) mukaisesti käyttämällä kestävyysarviointia, käyttämällä poissulkemisluetteloa ja edellyttämällä asiaa koskevan EU:n ja kansallisen ympäristölainsäädännön noudattamista.</w:t>
            </w:r>
          </w:p>
        </w:tc>
      </w:tr>
      <w:tr w:rsidR="0065073E" w14:paraId="7C8C54B0" w14:textId="77777777">
        <w:trPr>
          <w:trHeight w:val="309"/>
        </w:trPr>
        <w:tc>
          <w:tcPr>
            <w:tcW w:w="709" w:type="dxa"/>
            <w:shd w:val="clear" w:color="auto" w:fill="C6EFCE"/>
            <w:noWrap/>
          </w:tcPr>
          <w:p w14:paraId="0B8EA362" w14:textId="77777777" w:rsidR="0065073E" w:rsidRDefault="000A0998">
            <w:pPr>
              <w:pStyle w:val="P68B1DB1-Normal12"/>
              <w:spacing w:after="0" w:line="240" w:lineRule="auto"/>
              <w:jc w:val="center"/>
              <w:rPr>
                <w:rFonts w:eastAsia="Times New Roman" w:cs="Times New Roman"/>
                <w:noProof/>
              </w:rPr>
            </w:pPr>
            <w:r>
              <w:rPr>
                <w:noProof/>
              </w:rPr>
              <w:t>196</w:t>
            </w:r>
          </w:p>
        </w:tc>
        <w:tc>
          <w:tcPr>
            <w:tcW w:w="851" w:type="dxa"/>
            <w:shd w:val="clear" w:color="auto" w:fill="C6EFCE"/>
            <w:noWrap/>
          </w:tcPr>
          <w:p w14:paraId="7A1E9222" w14:textId="77777777" w:rsidR="0065073E" w:rsidRDefault="000A0998">
            <w:pPr>
              <w:pStyle w:val="P68B1DB1-Normal12"/>
              <w:spacing w:after="0" w:line="240" w:lineRule="auto"/>
              <w:jc w:val="center"/>
              <w:rPr>
                <w:rFonts w:eastAsia="Times New Roman" w:cs="Times New Roman"/>
                <w:noProof/>
              </w:rPr>
            </w:pPr>
            <w:r>
              <w:rPr>
                <w:noProof/>
              </w:rPr>
              <w:t>C13.I2</w:t>
            </w:r>
          </w:p>
        </w:tc>
        <w:tc>
          <w:tcPr>
            <w:tcW w:w="850" w:type="dxa"/>
            <w:shd w:val="clear" w:color="auto" w:fill="C6EFCE"/>
            <w:noWrap/>
          </w:tcPr>
          <w:p w14:paraId="01D91C27"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0119AE5B" w14:textId="77777777" w:rsidR="0065073E" w:rsidRDefault="000A0998">
            <w:pPr>
              <w:pStyle w:val="P68B1DB1-Normal12"/>
              <w:spacing w:after="0" w:line="240" w:lineRule="auto"/>
              <w:rPr>
                <w:rFonts w:eastAsia="Times New Roman" w:cs="Times New Roman"/>
                <w:noProof/>
              </w:rPr>
            </w:pPr>
            <w:r>
              <w:rPr>
                <w:noProof/>
              </w:rPr>
              <w:t>CERSA-takaus</w:t>
            </w:r>
          </w:p>
        </w:tc>
        <w:tc>
          <w:tcPr>
            <w:tcW w:w="1134" w:type="dxa"/>
            <w:shd w:val="clear" w:color="auto" w:fill="C6EFCE"/>
            <w:noWrap/>
          </w:tcPr>
          <w:p w14:paraId="514296A7"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029A5AFC" w14:textId="77777777" w:rsidR="0065073E" w:rsidRDefault="000A0998">
            <w:pPr>
              <w:pStyle w:val="P68B1DB1-Normal12"/>
              <w:spacing w:after="0" w:line="240" w:lineRule="auto"/>
              <w:jc w:val="center"/>
              <w:rPr>
                <w:rFonts w:eastAsia="Times New Roman" w:cs="Times New Roman"/>
                <w:noProof/>
              </w:rPr>
            </w:pPr>
            <w:r>
              <w:rPr>
                <w:noProof/>
              </w:rPr>
              <w:t xml:space="preserve">Miljoonaa euroa </w:t>
            </w:r>
          </w:p>
        </w:tc>
        <w:tc>
          <w:tcPr>
            <w:tcW w:w="992" w:type="dxa"/>
            <w:shd w:val="clear" w:color="auto" w:fill="C6EFCE"/>
            <w:noWrap/>
          </w:tcPr>
          <w:p w14:paraId="76A11F81"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1E428D48" w14:textId="77777777" w:rsidR="0065073E" w:rsidRDefault="000A0998">
            <w:pPr>
              <w:pStyle w:val="P68B1DB1-Normal12"/>
              <w:spacing w:after="0" w:line="240" w:lineRule="auto"/>
              <w:jc w:val="right"/>
              <w:rPr>
                <w:rFonts w:eastAsia="Times New Roman" w:cs="Times New Roman"/>
                <w:noProof/>
              </w:rPr>
            </w:pPr>
            <w:r>
              <w:rPr>
                <w:noProof/>
              </w:rPr>
              <w:t>1 000</w:t>
            </w:r>
          </w:p>
        </w:tc>
        <w:tc>
          <w:tcPr>
            <w:tcW w:w="567" w:type="dxa"/>
            <w:shd w:val="clear" w:color="auto" w:fill="C6EFCE"/>
            <w:noWrap/>
          </w:tcPr>
          <w:p w14:paraId="7A32BF78"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7E86744"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79CE5B2A" w14:textId="77777777" w:rsidR="0065073E" w:rsidRDefault="000A0998">
            <w:pPr>
              <w:pStyle w:val="P68B1DB1-Normal12"/>
              <w:spacing w:after="0" w:line="240" w:lineRule="auto"/>
              <w:rPr>
                <w:rFonts w:eastAsia="Times New Roman" w:cs="Times New Roman"/>
                <w:noProof/>
              </w:rPr>
            </w:pPr>
            <w:r>
              <w:rPr>
                <w:noProof/>
              </w:rPr>
              <w:t xml:space="preserve">CERSA-takaus: Vähintään 1000000000 euroa CERSAn myöntämiä takauksia, joiden avulla pk-yritykset voivat saada takauksia pitkäaikaisiin sijoituksiin ja käyttöpääomaan. Valintaperusteilla on varmistettava, että tämän toimenpiteen nojalla tuettuja toimia koskevien ”ei merkittävää haittaa” -periaatteen mukaisia teknisiä ohjeita (2021/C58/01) noudatetaan käyttämällä kestävyysarviointia, käyttämällä poissulkemisluetteloa ja edellyttämällä asiaa koskevan EU:n ja kansallisen ympäristölainsäädännön noudattamista. </w:t>
            </w:r>
          </w:p>
        </w:tc>
      </w:tr>
      <w:tr w:rsidR="0065073E" w14:paraId="321DC7FB" w14:textId="77777777">
        <w:trPr>
          <w:trHeight w:val="309"/>
        </w:trPr>
        <w:tc>
          <w:tcPr>
            <w:tcW w:w="709" w:type="dxa"/>
            <w:shd w:val="clear" w:color="auto" w:fill="C6EFCE"/>
            <w:noWrap/>
          </w:tcPr>
          <w:p w14:paraId="2E99DCA6" w14:textId="77777777" w:rsidR="0065073E" w:rsidRDefault="000A0998">
            <w:pPr>
              <w:pStyle w:val="P68B1DB1-Normal12"/>
              <w:spacing w:after="0" w:line="240" w:lineRule="auto"/>
              <w:jc w:val="center"/>
              <w:rPr>
                <w:rFonts w:eastAsia="Times New Roman" w:cs="Times New Roman"/>
                <w:noProof/>
              </w:rPr>
            </w:pPr>
            <w:r>
              <w:rPr>
                <w:noProof/>
              </w:rPr>
              <w:t>197</w:t>
            </w:r>
          </w:p>
        </w:tc>
        <w:tc>
          <w:tcPr>
            <w:tcW w:w="851" w:type="dxa"/>
            <w:shd w:val="clear" w:color="auto" w:fill="C6EFCE"/>
            <w:noWrap/>
          </w:tcPr>
          <w:p w14:paraId="5FB297C2" w14:textId="77777777" w:rsidR="0065073E" w:rsidRDefault="000A0998">
            <w:pPr>
              <w:pStyle w:val="P68B1DB1-Normal12"/>
              <w:spacing w:after="0" w:line="240" w:lineRule="auto"/>
              <w:jc w:val="center"/>
              <w:rPr>
                <w:rFonts w:eastAsia="Times New Roman" w:cs="Times New Roman"/>
                <w:noProof/>
              </w:rPr>
            </w:pPr>
            <w:r>
              <w:rPr>
                <w:noProof/>
              </w:rPr>
              <w:t>C13.I2</w:t>
            </w:r>
          </w:p>
        </w:tc>
        <w:tc>
          <w:tcPr>
            <w:tcW w:w="850" w:type="dxa"/>
            <w:shd w:val="clear" w:color="auto" w:fill="C6EFCE"/>
            <w:noWrap/>
          </w:tcPr>
          <w:p w14:paraId="6174C3F1"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578DE5EB" w14:textId="77777777" w:rsidR="0065073E" w:rsidRDefault="000A0998">
            <w:pPr>
              <w:pStyle w:val="P68B1DB1-Normal12"/>
              <w:spacing w:after="0" w:line="240" w:lineRule="auto"/>
              <w:rPr>
                <w:rFonts w:eastAsia="Times New Roman" w:cs="Times New Roman"/>
                <w:noProof/>
              </w:rPr>
            </w:pPr>
            <w:r>
              <w:rPr>
                <w:noProof/>
              </w:rPr>
              <w:t>Pk-yritykset, joita tuetaan ohjelmasta ”Pk-yritysten kasvua edistävät taidot”</w:t>
            </w:r>
          </w:p>
        </w:tc>
        <w:tc>
          <w:tcPr>
            <w:tcW w:w="1134" w:type="dxa"/>
            <w:shd w:val="clear" w:color="auto" w:fill="C6EFCE"/>
            <w:noWrap/>
          </w:tcPr>
          <w:p w14:paraId="79BA3B63"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8854F0E"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2D36C34C"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28EF1427" w14:textId="77777777" w:rsidR="0065073E" w:rsidRDefault="000A0998">
            <w:pPr>
              <w:pStyle w:val="P68B1DB1-Normal12"/>
              <w:spacing w:after="0" w:line="240" w:lineRule="auto"/>
              <w:jc w:val="right"/>
              <w:rPr>
                <w:rFonts w:eastAsia="Times New Roman" w:cs="Times New Roman"/>
                <w:noProof/>
              </w:rPr>
            </w:pPr>
            <w:r>
              <w:rPr>
                <w:noProof/>
              </w:rPr>
              <w:t>11 000</w:t>
            </w:r>
          </w:p>
        </w:tc>
        <w:tc>
          <w:tcPr>
            <w:tcW w:w="567" w:type="dxa"/>
            <w:shd w:val="clear" w:color="auto" w:fill="C6EFCE"/>
            <w:noWrap/>
          </w:tcPr>
          <w:p w14:paraId="76E4D1F7"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4357DA9B" w14:textId="156D549E" w:rsidR="0065073E" w:rsidRDefault="000A0998">
            <w:pPr>
              <w:pStyle w:val="P68B1DB1-Normal12"/>
              <w:spacing w:after="0" w:line="240" w:lineRule="auto"/>
              <w:jc w:val="center"/>
              <w:rPr>
                <w:rFonts w:eastAsia="Times New Roman" w:cs="Times New Roman"/>
                <w:noProof/>
              </w:rPr>
            </w:pPr>
            <w:r>
              <w:rPr>
                <w:noProof/>
              </w:rPr>
              <w:t>2024</w:t>
            </w:r>
          </w:p>
        </w:tc>
        <w:tc>
          <w:tcPr>
            <w:tcW w:w="6662" w:type="dxa"/>
            <w:shd w:val="clear" w:color="auto" w:fill="C6EFCE"/>
            <w:noWrap/>
          </w:tcPr>
          <w:p w14:paraId="1C6A391D" w14:textId="12DF3E4B" w:rsidR="0065073E" w:rsidRDefault="000A0998">
            <w:pPr>
              <w:pStyle w:val="P68B1DB1-Normal12"/>
              <w:spacing w:after="0" w:line="240" w:lineRule="auto"/>
              <w:rPr>
                <w:rFonts w:eastAsia="Times New Roman" w:cs="Times New Roman"/>
                <w:noProof/>
              </w:rPr>
            </w:pPr>
            <w:r>
              <w:rPr>
                <w:noProof/>
              </w:rPr>
              <w:t>Vähintään 11000 pk-yritystä on saattanut päätökseen ohjelman ”Pk-yritysten kasvua edistävät taidot”. Valintaperusteilla on varmistettava, että ”ei merkittävää haittaa” -periaatteen mukaisia teknisiä ohjeita (2021/C58/01) noudatetaan poissulkemisluetteloa sekä vaatimusta, joka koskee asiaa koskevan EU:n ja kansallisen ympäristölainsäädännön noudattamista.</w:t>
            </w:r>
          </w:p>
        </w:tc>
      </w:tr>
      <w:tr w:rsidR="0065073E" w14:paraId="410A7318" w14:textId="77777777">
        <w:trPr>
          <w:trHeight w:val="309"/>
        </w:trPr>
        <w:tc>
          <w:tcPr>
            <w:tcW w:w="709" w:type="dxa"/>
            <w:shd w:val="clear" w:color="auto" w:fill="C6EFCE"/>
            <w:noWrap/>
          </w:tcPr>
          <w:p w14:paraId="3B8DB5BC" w14:textId="77777777" w:rsidR="0065073E" w:rsidRDefault="000A0998">
            <w:pPr>
              <w:pStyle w:val="P68B1DB1-Normal12"/>
              <w:spacing w:after="0" w:line="240" w:lineRule="auto"/>
              <w:jc w:val="center"/>
              <w:rPr>
                <w:rFonts w:eastAsia="Times New Roman" w:cs="Times New Roman"/>
                <w:noProof/>
              </w:rPr>
            </w:pPr>
            <w:r>
              <w:rPr>
                <w:noProof/>
              </w:rPr>
              <w:t>198</w:t>
            </w:r>
          </w:p>
        </w:tc>
        <w:tc>
          <w:tcPr>
            <w:tcW w:w="851" w:type="dxa"/>
            <w:shd w:val="clear" w:color="auto" w:fill="C6EFCE"/>
            <w:noWrap/>
          </w:tcPr>
          <w:p w14:paraId="4681C710" w14:textId="77777777" w:rsidR="0065073E" w:rsidRDefault="000A0998">
            <w:pPr>
              <w:pStyle w:val="P68B1DB1-Normal12"/>
              <w:spacing w:after="0" w:line="240" w:lineRule="auto"/>
              <w:jc w:val="center"/>
              <w:rPr>
                <w:rFonts w:eastAsia="Times New Roman" w:cs="Times New Roman"/>
                <w:noProof/>
              </w:rPr>
            </w:pPr>
            <w:r>
              <w:rPr>
                <w:noProof/>
              </w:rPr>
              <w:t>C13.I2</w:t>
            </w:r>
          </w:p>
        </w:tc>
        <w:tc>
          <w:tcPr>
            <w:tcW w:w="850" w:type="dxa"/>
            <w:shd w:val="clear" w:color="auto" w:fill="C6EFCE"/>
            <w:noWrap/>
          </w:tcPr>
          <w:p w14:paraId="7BBE7B83"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55955476" w14:textId="77777777" w:rsidR="0065073E" w:rsidRDefault="000A0998">
            <w:pPr>
              <w:pStyle w:val="P68B1DB1-Normal12"/>
              <w:spacing w:after="0" w:line="240" w:lineRule="auto"/>
              <w:rPr>
                <w:rFonts w:eastAsia="Times New Roman" w:cs="Times New Roman"/>
                <w:noProof/>
              </w:rPr>
            </w:pPr>
            <w:r>
              <w:rPr>
                <w:noProof/>
              </w:rPr>
              <w:t>Yrittäjät ja pk-yritykset, joita tuetaan teollisen yrittäjyyden tukiohjelmasta</w:t>
            </w:r>
          </w:p>
        </w:tc>
        <w:tc>
          <w:tcPr>
            <w:tcW w:w="1134" w:type="dxa"/>
            <w:shd w:val="clear" w:color="auto" w:fill="C6EFCE"/>
            <w:noWrap/>
          </w:tcPr>
          <w:p w14:paraId="5CD62714"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1EA61FE8"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6622C180"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E662A82" w14:textId="77777777" w:rsidR="0065073E" w:rsidRDefault="000A0998">
            <w:pPr>
              <w:pStyle w:val="P68B1DB1-Normal12"/>
              <w:spacing w:after="0" w:line="240" w:lineRule="auto"/>
              <w:jc w:val="right"/>
              <w:rPr>
                <w:rFonts w:eastAsia="Times New Roman" w:cs="Times New Roman"/>
                <w:noProof/>
              </w:rPr>
            </w:pPr>
            <w:r>
              <w:rPr>
                <w:noProof/>
              </w:rPr>
              <w:t>1 500</w:t>
            </w:r>
          </w:p>
        </w:tc>
        <w:tc>
          <w:tcPr>
            <w:tcW w:w="567" w:type="dxa"/>
            <w:shd w:val="clear" w:color="auto" w:fill="C6EFCE"/>
            <w:noWrap/>
          </w:tcPr>
          <w:p w14:paraId="1079A35B"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257CA3A4"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399E8C4A" w14:textId="66690E79" w:rsidR="0065073E" w:rsidRDefault="000A0998">
            <w:pPr>
              <w:spacing w:after="0" w:line="240" w:lineRule="auto"/>
              <w:rPr>
                <w:rFonts w:ascii="Times New Roman" w:hAnsi="Times New Roman" w:cs="Times New Roman"/>
                <w:noProof/>
                <w:sz w:val="18"/>
              </w:rPr>
            </w:pPr>
            <w:r>
              <w:rPr>
                <w:rFonts w:ascii="Times New Roman" w:hAnsi="Times New Roman"/>
                <w:noProof/>
                <w:sz w:val="18"/>
              </w:rPr>
              <w:t>Yrittäjille ja pk-yrityksille myönnetään pitkäaikaista rahoitusta teollisuuden investointihankkeisiin teollisuuden yrittäjyyden tukiohjelmasta. Rahoitusta myönnetään teollisuusyritysten perustamiseen tai olemassa olevien laitosten laajentamiseen.</w:t>
            </w:r>
            <w:r>
              <w:rPr>
                <w:noProof/>
              </w:rPr>
              <w:t xml:space="preserve"> </w:t>
            </w:r>
            <w:r>
              <w:rPr>
                <w:noProof/>
              </w:rPr>
              <w:br/>
            </w:r>
            <w:r>
              <w:rPr>
                <w:rFonts w:ascii="Times New Roman" w:hAnsi="Times New Roman"/>
                <w:noProof/>
                <w:sz w:val="18"/>
              </w:rPr>
              <w:t>Vähintään 1500 toimea, jotka ovat saaneet rahoitusta 1 päivän tammikuuta 2021 ja 31 päivän joulukuuta 2023 välisenä aikana. Valintaperusteilla on varmistettava, että ”ei merkittävää haittaa” -periaatteen mukaisia teknisiä ohjeita (2021/C58/01) noudatetaan poissulkemisluetteloa sekä vaatimusta, joka koskee asiaa koskevan EU:n ja kansallisen ympäristölainsäädännön noudattamista.</w:t>
            </w:r>
          </w:p>
          <w:p w14:paraId="1278D830" w14:textId="77777777" w:rsidR="0065073E" w:rsidRDefault="000A0998">
            <w:pPr>
              <w:pStyle w:val="P68B1DB1-Normal12"/>
              <w:spacing w:after="0" w:line="240" w:lineRule="auto"/>
              <w:rPr>
                <w:rFonts w:eastAsia="Times New Roman" w:cs="Times New Roman"/>
                <w:noProof/>
              </w:rPr>
            </w:pPr>
            <w:r>
              <w:rPr>
                <w:noProof/>
              </w:rPr>
              <w:t>(Perustaso: Tammikuuta 2021)</w:t>
            </w:r>
          </w:p>
        </w:tc>
      </w:tr>
      <w:tr w:rsidR="0065073E" w14:paraId="10D7EEA5" w14:textId="77777777">
        <w:trPr>
          <w:trHeight w:val="309"/>
        </w:trPr>
        <w:tc>
          <w:tcPr>
            <w:tcW w:w="709" w:type="dxa"/>
            <w:shd w:val="clear" w:color="auto" w:fill="C6EFCE"/>
            <w:noWrap/>
          </w:tcPr>
          <w:p w14:paraId="48EE2866" w14:textId="77777777" w:rsidR="0065073E" w:rsidRDefault="000A0998">
            <w:pPr>
              <w:pStyle w:val="P68B1DB1-Normal12"/>
              <w:spacing w:after="0" w:line="240" w:lineRule="auto"/>
              <w:jc w:val="center"/>
              <w:rPr>
                <w:rFonts w:eastAsia="Times New Roman" w:cs="Times New Roman"/>
                <w:noProof/>
              </w:rPr>
            </w:pPr>
            <w:r>
              <w:rPr>
                <w:noProof/>
              </w:rPr>
              <w:t>199</w:t>
            </w:r>
          </w:p>
        </w:tc>
        <w:tc>
          <w:tcPr>
            <w:tcW w:w="851" w:type="dxa"/>
            <w:shd w:val="clear" w:color="auto" w:fill="C6EFCE"/>
            <w:noWrap/>
          </w:tcPr>
          <w:p w14:paraId="7390B23C"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11129831" w14:textId="77777777" w:rsidR="0065073E" w:rsidRDefault="000A0998">
            <w:pPr>
              <w:pStyle w:val="P68B1DB1-Normal12"/>
              <w:spacing w:after="0" w:line="240" w:lineRule="auto"/>
              <w:jc w:val="center"/>
              <w:rPr>
                <w:rFonts w:eastAsia="Times New Roman" w:cs="Times New Roman"/>
                <w:noProof/>
              </w:rPr>
            </w:pPr>
            <w:r>
              <w:rPr>
                <w:noProof/>
              </w:rPr>
              <w:t>M</w:t>
            </w:r>
          </w:p>
        </w:tc>
        <w:tc>
          <w:tcPr>
            <w:tcW w:w="1985" w:type="dxa"/>
            <w:shd w:val="clear" w:color="auto" w:fill="C6EFCE"/>
            <w:noWrap/>
          </w:tcPr>
          <w:p w14:paraId="116554F6" w14:textId="77777777" w:rsidR="0065073E" w:rsidRDefault="000A0998">
            <w:pPr>
              <w:pStyle w:val="P68B1DB1-Normal12"/>
              <w:spacing w:after="0" w:line="240" w:lineRule="auto"/>
              <w:rPr>
                <w:rFonts w:eastAsia="Times New Roman" w:cs="Times New Roman"/>
                <w:noProof/>
              </w:rPr>
            </w:pPr>
            <w:r>
              <w:rPr>
                <w:noProof/>
              </w:rPr>
              <w:t>Pk-yritysten digitalisointisuunnitelma 2021–2025</w:t>
            </w:r>
          </w:p>
        </w:tc>
        <w:tc>
          <w:tcPr>
            <w:tcW w:w="1134" w:type="dxa"/>
            <w:shd w:val="clear" w:color="auto" w:fill="C6EFCE"/>
            <w:noWrap/>
          </w:tcPr>
          <w:p w14:paraId="77792DF1" w14:textId="77777777" w:rsidR="0065073E" w:rsidRDefault="000A0998">
            <w:pPr>
              <w:pStyle w:val="P68B1DB1-Normal12"/>
              <w:spacing w:after="0" w:line="240" w:lineRule="auto"/>
              <w:jc w:val="center"/>
              <w:rPr>
                <w:rFonts w:eastAsia="Times New Roman" w:cs="Times New Roman"/>
                <w:noProof/>
              </w:rPr>
            </w:pPr>
            <w:r>
              <w:rPr>
                <w:noProof/>
              </w:rPr>
              <w:t>Julkaiseminen</w:t>
            </w:r>
          </w:p>
        </w:tc>
        <w:tc>
          <w:tcPr>
            <w:tcW w:w="709" w:type="dxa"/>
            <w:shd w:val="clear" w:color="auto" w:fill="C6EFCE"/>
            <w:noWrap/>
          </w:tcPr>
          <w:p w14:paraId="7EE468D0"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B95F3E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2BB37B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354596B"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67" w:type="dxa"/>
            <w:shd w:val="clear" w:color="auto" w:fill="C6EFCE"/>
            <w:noWrap/>
          </w:tcPr>
          <w:p w14:paraId="15F728BA" w14:textId="77777777" w:rsidR="0065073E" w:rsidRDefault="000A0998">
            <w:pPr>
              <w:pStyle w:val="P68B1DB1-Normal12"/>
              <w:spacing w:after="0" w:line="240" w:lineRule="auto"/>
              <w:jc w:val="center"/>
              <w:rPr>
                <w:rFonts w:eastAsia="Times New Roman" w:cs="Times New Roman"/>
                <w:noProof/>
              </w:rPr>
            </w:pPr>
            <w:r>
              <w:rPr>
                <w:noProof/>
              </w:rPr>
              <w:t>2021</w:t>
            </w:r>
          </w:p>
        </w:tc>
        <w:tc>
          <w:tcPr>
            <w:tcW w:w="6662" w:type="dxa"/>
            <w:shd w:val="clear" w:color="auto" w:fill="C6EFCE"/>
            <w:noWrap/>
          </w:tcPr>
          <w:p w14:paraId="45E22CA7" w14:textId="77777777" w:rsidR="0065073E" w:rsidRDefault="000A0998">
            <w:pPr>
              <w:pStyle w:val="P68B1DB1-Normal12"/>
              <w:spacing w:after="0" w:line="240" w:lineRule="auto"/>
              <w:rPr>
                <w:rFonts w:eastAsia="Times New Roman" w:cs="Times New Roman"/>
                <w:noProof/>
              </w:rPr>
            </w:pPr>
            <w:r>
              <w:rPr>
                <w:noProof/>
              </w:rPr>
              <w:t>Ministerineuvoston hyväksyntä pk-yritysten digitalisointisuunnitelmalle 2021–2025, jossa säädetään välineistä, joilla mikro- ja autonomisiin yrityksiin sisällytetään jo saatavilla olevat digitaaliset välineet, edistetään pienyritysten digitalisointia ja edistetään teknologista innovointia.</w:t>
            </w:r>
          </w:p>
        </w:tc>
      </w:tr>
      <w:tr w:rsidR="0065073E" w14:paraId="3D1C9641" w14:textId="77777777">
        <w:trPr>
          <w:trHeight w:val="309"/>
        </w:trPr>
        <w:tc>
          <w:tcPr>
            <w:tcW w:w="709" w:type="dxa"/>
            <w:shd w:val="clear" w:color="auto" w:fill="C6EFCE"/>
            <w:noWrap/>
          </w:tcPr>
          <w:p w14:paraId="46EAD99A" w14:textId="77777777" w:rsidR="0065073E" w:rsidRDefault="000A0998">
            <w:pPr>
              <w:pStyle w:val="P68B1DB1-Normal12"/>
              <w:spacing w:after="0" w:line="240" w:lineRule="auto"/>
              <w:jc w:val="center"/>
              <w:rPr>
                <w:rFonts w:eastAsia="Times New Roman" w:cs="Times New Roman"/>
                <w:noProof/>
              </w:rPr>
            </w:pPr>
            <w:r>
              <w:rPr>
                <w:noProof/>
              </w:rPr>
              <w:t>200</w:t>
            </w:r>
          </w:p>
        </w:tc>
        <w:tc>
          <w:tcPr>
            <w:tcW w:w="851" w:type="dxa"/>
            <w:shd w:val="clear" w:color="auto" w:fill="C6EFCE"/>
            <w:noWrap/>
          </w:tcPr>
          <w:p w14:paraId="3AAAC27C"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43F3EB35"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7F933A20" w14:textId="77777777" w:rsidR="0065073E" w:rsidRDefault="000A0998">
            <w:pPr>
              <w:pStyle w:val="P68B1DB1-Normal12"/>
              <w:spacing w:after="0" w:line="240" w:lineRule="auto"/>
              <w:rPr>
                <w:rFonts w:eastAsia="Times New Roman" w:cs="Times New Roman"/>
                <w:noProof/>
              </w:rPr>
            </w:pPr>
            <w:r>
              <w:rPr>
                <w:noProof/>
              </w:rPr>
              <w:t>Digitaalinen työkalupakki -ohjelmaan sidotut määrärahat</w:t>
            </w:r>
          </w:p>
        </w:tc>
        <w:tc>
          <w:tcPr>
            <w:tcW w:w="1134" w:type="dxa"/>
            <w:shd w:val="clear" w:color="auto" w:fill="C6EFCE"/>
            <w:noWrap/>
          </w:tcPr>
          <w:p w14:paraId="4E29D0B7"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538D65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082D976"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16DD5D42" w14:textId="77777777" w:rsidR="0065073E" w:rsidRDefault="000A0998">
            <w:pPr>
              <w:pStyle w:val="P68B1DB1-Normal12"/>
              <w:spacing w:after="0" w:line="240" w:lineRule="auto"/>
              <w:jc w:val="right"/>
              <w:rPr>
                <w:rFonts w:eastAsia="Times New Roman" w:cs="Times New Roman"/>
                <w:noProof/>
              </w:rPr>
            </w:pPr>
            <w:r>
              <w:rPr>
                <w:noProof/>
              </w:rPr>
              <w:t>30</w:t>
            </w:r>
          </w:p>
        </w:tc>
        <w:tc>
          <w:tcPr>
            <w:tcW w:w="567" w:type="dxa"/>
            <w:shd w:val="clear" w:color="auto" w:fill="C6EFCE"/>
            <w:noWrap/>
          </w:tcPr>
          <w:p w14:paraId="454F7B34"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153645A5"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5E1A96EB" w14:textId="4237756A" w:rsidR="0065073E" w:rsidRDefault="000A0998">
            <w:pPr>
              <w:pStyle w:val="P68B1DB1-Normal12"/>
              <w:spacing w:after="0" w:line="240" w:lineRule="auto"/>
              <w:rPr>
                <w:rFonts w:eastAsia="Times New Roman" w:cs="Times New Roman"/>
                <w:noProof/>
              </w:rPr>
            </w:pPr>
            <w:r>
              <w:rPr>
                <w:noProof/>
              </w:rPr>
              <w:t>Vähintään 30 prosenttia määrärahoista sidotuista 3067000000 eurosta osoitetaan toimiin, joilla digitalisoidaan pk-yrityksiä, mikroyrityksiä ja itsenäisiä ammatinharjoittajia Digital Toolkit -ohjelman kautta noudattaen ”ei merkittävää haittaa” -periaatteen mukaisia teknisiä ohjeita (2021/C58/01) käyttämällä poissulkemisluetteloa ja edellyttämällä asiaa koskevan EU:n ja kansallisen ympäristölainsäädännön noudattamista.</w:t>
            </w:r>
          </w:p>
        </w:tc>
      </w:tr>
      <w:tr w:rsidR="0065073E" w14:paraId="004A4664" w14:textId="77777777">
        <w:trPr>
          <w:trHeight w:val="309"/>
        </w:trPr>
        <w:tc>
          <w:tcPr>
            <w:tcW w:w="709" w:type="dxa"/>
            <w:shd w:val="clear" w:color="auto" w:fill="C6EFCE"/>
            <w:noWrap/>
          </w:tcPr>
          <w:p w14:paraId="0CBD1023" w14:textId="16ECD167" w:rsidR="0065073E" w:rsidRDefault="000A0998">
            <w:pPr>
              <w:pStyle w:val="P68B1DB1-Normal12"/>
              <w:spacing w:after="0" w:line="240" w:lineRule="auto"/>
              <w:jc w:val="center"/>
              <w:rPr>
                <w:rFonts w:eastAsia="Times New Roman" w:cs="Times New Roman"/>
                <w:noProof/>
              </w:rPr>
            </w:pPr>
            <w:r>
              <w:rPr>
                <w:noProof/>
              </w:rPr>
              <w:t>201</w:t>
            </w:r>
          </w:p>
        </w:tc>
        <w:tc>
          <w:tcPr>
            <w:tcW w:w="851" w:type="dxa"/>
            <w:shd w:val="clear" w:color="auto" w:fill="C6EFCE"/>
            <w:noWrap/>
          </w:tcPr>
          <w:p w14:paraId="4C20BDFF"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1F25AAB8"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03130879" w14:textId="77777777" w:rsidR="0065073E" w:rsidRDefault="000A0998">
            <w:pPr>
              <w:pStyle w:val="P68B1DB1-Normal12"/>
              <w:spacing w:after="0" w:line="240" w:lineRule="auto"/>
              <w:rPr>
                <w:rFonts w:eastAsia="Times New Roman" w:cs="Times New Roman"/>
                <w:noProof/>
              </w:rPr>
            </w:pPr>
            <w:r>
              <w:rPr>
                <w:noProof/>
              </w:rPr>
              <w:t>Muutosohjelman toimihenkilöille sidotut määrärahat</w:t>
            </w:r>
          </w:p>
        </w:tc>
        <w:tc>
          <w:tcPr>
            <w:tcW w:w="1134" w:type="dxa"/>
            <w:shd w:val="clear" w:color="auto" w:fill="C6EFCE"/>
            <w:noWrap/>
          </w:tcPr>
          <w:p w14:paraId="0C38C335"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8A5730A"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7E3B2C99"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F2AE2BE" w14:textId="77777777" w:rsidR="0065073E" w:rsidRDefault="000A0998">
            <w:pPr>
              <w:pStyle w:val="P68B1DB1-Normal12"/>
              <w:spacing w:after="0" w:line="240" w:lineRule="auto"/>
              <w:jc w:val="right"/>
              <w:rPr>
                <w:rFonts w:eastAsia="Times New Roman" w:cs="Times New Roman"/>
                <w:noProof/>
              </w:rPr>
            </w:pPr>
            <w:r>
              <w:rPr>
                <w:noProof/>
              </w:rPr>
              <w:t>30</w:t>
            </w:r>
          </w:p>
        </w:tc>
        <w:tc>
          <w:tcPr>
            <w:tcW w:w="567" w:type="dxa"/>
            <w:shd w:val="clear" w:color="auto" w:fill="C6EFCE"/>
            <w:noWrap/>
          </w:tcPr>
          <w:p w14:paraId="6B4961EC"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793E7ED6"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6D94CB5B" w14:textId="77777777" w:rsidR="0065073E" w:rsidRDefault="000A0998">
            <w:pPr>
              <w:pStyle w:val="P68B1DB1-Normal12"/>
              <w:spacing w:after="0" w:line="240" w:lineRule="auto"/>
              <w:rPr>
                <w:rFonts w:eastAsia="Times New Roman" w:cs="Times New Roman"/>
                <w:noProof/>
              </w:rPr>
            </w:pPr>
            <w:r>
              <w:rPr>
                <w:noProof/>
              </w:rPr>
              <w:t>Vähintään 30 prosenttia sidotuista 300000000 euron määrärahoista osoitetaan pk-yrityksille muutosohjelmien puitteissa. Tehtävänmäärityksen sisältävissä ehdotuspyynnöissä on oltava tukikelpoisuusperusteet, joilla varmistetaan, että valitut hankkeet ovat ”ei merkittävää haittaa” -periaatteen mukaisten teknisten ohjeiden (2021/C58/01) mukaisia, käyttämällä poissulkemisluetteloa ja vaatimusta asiaa koskevan EU:n ja kansallisen ympäristölainsäädännön noudattamisesta.</w:t>
            </w:r>
          </w:p>
        </w:tc>
      </w:tr>
      <w:tr w:rsidR="0065073E" w14:paraId="0845524F" w14:textId="77777777">
        <w:trPr>
          <w:trHeight w:val="309"/>
        </w:trPr>
        <w:tc>
          <w:tcPr>
            <w:tcW w:w="709" w:type="dxa"/>
            <w:shd w:val="clear" w:color="auto" w:fill="C6EFCE"/>
            <w:noWrap/>
          </w:tcPr>
          <w:p w14:paraId="3C7B2632" w14:textId="77777777" w:rsidR="0065073E" w:rsidRDefault="000A0998">
            <w:pPr>
              <w:pStyle w:val="P68B1DB1-Normal12"/>
              <w:spacing w:after="0" w:line="240" w:lineRule="auto"/>
              <w:jc w:val="center"/>
              <w:rPr>
                <w:rFonts w:eastAsia="Times New Roman" w:cs="Times New Roman"/>
                <w:noProof/>
              </w:rPr>
            </w:pPr>
            <w:r>
              <w:rPr>
                <w:noProof/>
              </w:rPr>
              <w:t>202</w:t>
            </w:r>
          </w:p>
        </w:tc>
        <w:tc>
          <w:tcPr>
            <w:tcW w:w="851" w:type="dxa"/>
            <w:shd w:val="clear" w:color="auto" w:fill="C6EFCE"/>
            <w:noWrap/>
          </w:tcPr>
          <w:p w14:paraId="5B752B06"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39006BC2"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6032BE80" w14:textId="77777777" w:rsidR="0065073E" w:rsidRDefault="000A0998">
            <w:pPr>
              <w:pStyle w:val="P68B1DB1-Normal12"/>
              <w:spacing w:after="0" w:line="240" w:lineRule="auto"/>
              <w:rPr>
                <w:rFonts w:eastAsia="Times New Roman" w:cs="Times New Roman"/>
                <w:noProof/>
              </w:rPr>
            </w:pPr>
            <w:r>
              <w:rPr>
                <w:noProof/>
              </w:rPr>
              <w:t>Innovatiivisen yritysklusterin tukiohjelmaan sidotut määrärahat</w:t>
            </w:r>
          </w:p>
        </w:tc>
        <w:tc>
          <w:tcPr>
            <w:tcW w:w="1134" w:type="dxa"/>
            <w:shd w:val="clear" w:color="auto" w:fill="C6EFCE"/>
            <w:noWrap/>
          </w:tcPr>
          <w:p w14:paraId="15C32A37"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B37412A"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1CBE983"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6CA06CD" w14:textId="77777777" w:rsidR="0065073E" w:rsidRDefault="000A0998">
            <w:pPr>
              <w:pStyle w:val="P68B1DB1-Normal12"/>
              <w:spacing w:after="0" w:line="240" w:lineRule="auto"/>
              <w:jc w:val="right"/>
              <w:rPr>
                <w:rFonts w:eastAsia="Times New Roman" w:cs="Times New Roman"/>
                <w:noProof/>
              </w:rPr>
            </w:pPr>
            <w:r>
              <w:rPr>
                <w:noProof/>
              </w:rPr>
              <w:t>30</w:t>
            </w:r>
          </w:p>
        </w:tc>
        <w:tc>
          <w:tcPr>
            <w:tcW w:w="567" w:type="dxa"/>
            <w:shd w:val="clear" w:color="auto" w:fill="C6EFCE"/>
            <w:noWrap/>
          </w:tcPr>
          <w:p w14:paraId="1F73D9DD"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A79C2A3"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6C2CA866" w14:textId="68A311C6" w:rsidR="0065073E" w:rsidRDefault="000A0998">
            <w:pPr>
              <w:pStyle w:val="P68B1DB1-Normal12"/>
              <w:spacing w:after="0" w:line="240" w:lineRule="auto"/>
              <w:rPr>
                <w:rFonts w:eastAsia="Times New Roman" w:cs="Times New Roman"/>
                <w:noProof/>
              </w:rPr>
            </w:pPr>
            <w:r>
              <w:rPr>
                <w:noProof/>
              </w:rPr>
              <w:t>Vähintään 30 prosenttia 115000000 euron määrärahoista on sidottu innovatiivisten yritysten klusterien tukiohjelmaan. Ehdoissa</w:t>
            </w:r>
            <w:r>
              <w:rPr>
                <w:i/>
                <w:noProof/>
              </w:rPr>
              <w:t xml:space="preserve">ja </w:t>
            </w:r>
            <w:r>
              <w:rPr>
                <w:noProof/>
              </w:rPr>
              <w:t>ehdotuspyynnöissä on oltava tukikelpoisuusperusteet, joilla varmistetaan, että valitut hankkeet ovat ”ei merkittävää haittaa” -periaatteen mukaisten teknisten ohjeiden (2021/C58/01) mukaisia, käyttämällä poissulkemisluetteloa ja vaatimusta asiaa koskevan EU:n ja kansallisen ympäristölainsäädännön noudattamisesta.</w:t>
            </w:r>
          </w:p>
        </w:tc>
      </w:tr>
      <w:tr w:rsidR="0065073E" w14:paraId="645E62E2" w14:textId="77777777">
        <w:trPr>
          <w:trHeight w:val="309"/>
        </w:trPr>
        <w:tc>
          <w:tcPr>
            <w:tcW w:w="709" w:type="dxa"/>
            <w:shd w:val="clear" w:color="auto" w:fill="C6EFCE"/>
            <w:noWrap/>
          </w:tcPr>
          <w:p w14:paraId="667360E9" w14:textId="77777777" w:rsidR="0065073E" w:rsidRDefault="000A0998">
            <w:pPr>
              <w:pStyle w:val="P68B1DB1-Normal12"/>
              <w:spacing w:after="0" w:line="240" w:lineRule="auto"/>
              <w:jc w:val="center"/>
              <w:rPr>
                <w:rFonts w:eastAsia="Times New Roman" w:cs="Times New Roman"/>
                <w:noProof/>
              </w:rPr>
            </w:pPr>
            <w:r>
              <w:rPr>
                <w:noProof/>
              </w:rPr>
              <w:t>203</w:t>
            </w:r>
          </w:p>
        </w:tc>
        <w:tc>
          <w:tcPr>
            <w:tcW w:w="851" w:type="dxa"/>
            <w:shd w:val="clear" w:color="auto" w:fill="C6EFCE"/>
            <w:noWrap/>
          </w:tcPr>
          <w:p w14:paraId="7359BE08"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54DC2E9E"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1DF54B07" w14:textId="77777777" w:rsidR="0065073E" w:rsidRDefault="000A0998">
            <w:pPr>
              <w:pStyle w:val="P68B1DB1-Normal12"/>
              <w:spacing w:after="0" w:line="240" w:lineRule="auto"/>
              <w:rPr>
                <w:rFonts w:eastAsia="Times New Roman" w:cs="Times New Roman"/>
                <w:noProof/>
              </w:rPr>
            </w:pPr>
            <w:r>
              <w:rPr>
                <w:noProof/>
              </w:rPr>
              <w:t>Digitaali-innovaatiokeskittymien ohjelmalle sidotut määrärahat</w:t>
            </w:r>
          </w:p>
        </w:tc>
        <w:tc>
          <w:tcPr>
            <w:tcW w:w="1134" w:type="dxa"/>
            <w:shd w:val="clear" w:color="auto" w:fill="C6EFCE"/>
            <w:noWrap/>
          </w:tcPr>
          <w:p w14:paraId="664C0709"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0DB6C6A7"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7EFBB1A"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02E9A466" w14:textId="77777777" w:rsidR="0065073E" w:rsidRDefault="000A0998">
            <w:pPr>
              <w:pStyle w:val="P68B1DB1-Normal12"/>
              <w:spacing w:after="0" w:line="240" w:lineRule="auto"/>
              <w:jc w:val="right"/>
              <w:rPr>
                <w:rFonts w:eastAsia="Times New Roman" w:cs="Times New Roman"/>
                <w:noProof/>
              </w:rPr>
            </w:pPr>
            <w:r>
              <w:rPr>
                <w:noProof/>
              </w:rPr>
              <w:t>30</w:t>
            </w:r>
          </w:p>
        </w:tc>
        <w:tc>
          <w:tcPr>
            <w:tcW w:w="567" w:type="dxa"/>
            <w:shd w:val="clear" w:color="auto" w:fill="C6EFCE"/>
            <w:noWrap/>
          </w:tcPr>
          <w:p w14:paraId="58548943"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E22AFA0"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662" w:type="dxa"/>
            <w:shd w:val="clear" w:color="auto" w:fill="C6EFCE"/>
            <w:noWrap/>
          </w:tcPr>
          <w:p w14:paraId="53B86743" w14:textId="49FDC309" w:rsidR="0065073E" w:rsidRDefault="000A0998">
            <w:pPr>
              <w:pStyle w:val="P68B1DB1-Normal12"/>
              <w:spacing w:after="0" w:line="240" w:lineRule="auto"/>
              <w:rPr>
                <w:rFonts w:eastAsia="Times New Roman" w:cs="Times New Roman"/>
                <w:noProof/>
              </w:rPr>
            </w:pPr>
            <w:r>
              <w:rPr>
                <w:noProof/>
              </w:rPr>
              <w:t>Vähintään 30 prosenttia määrärahoista sidotuista 37590000 eurosta osoitetaan digitaali-innovointikeskittymien ohjelmaan. Ehdoissa</w:t>
            </w:r>
            <w:r>
              <w:rPr>
                <w:i/>
                <w:noProof/>
              </w:rPr>
              <w:t xml:space="preserve">ja </w:t>
            </w:r>
            <w:r>
              <w:rPr>
                <w:noProof/>
              </w:rPr>
              <w:t>ehdotuspyynnöissä on oltava tukikelpoisuusperusteet, joilla varmistetaan, että valitut hankkeet ovat ”ei merkittävää haittaa” -periaatteen mukaisten teknisten ohjeiden (2021/C58/01) mukaisia, käyttämällä poissulkemisluetteloa ja vaatimusta asiaa koskevan EU:n ja kansallisen ympäristölainsäädännön noudattamisesta.</w:t>
            </w:r>
          </w:p>
        </w:tc>
      </w:tr>
      <w:tr w:rsidR="0065073E" w14:paraId="302AD6EC" w14:textId="77777777">
        <w:trPr>
          <w:trHeight w:val="309"/>
        </w:trPr>
        <w:tc>
          <w:tcPr>
            <w:tcW w:w="709" w:type="dxa"/>
            <w:shd w:val="clear" w:color="auto" w:fill="C6EFCE"/>
            <w:noWrap/>
          </w:tcPr>
          <w:p w14:paraId="14046760" w14:textId="77777777" w:rsidR="0065073E" w:rsidRDefault="000A0998">
            <w:pPr>
              <w:pStyle w:val="P68B1DB1-Normal12"/>
              <w:spacing w:after="0" w:line="240" w:lineRule="auto"/>
              <w:jc w:val="center"/>
              <w:rPr>
                <w:rFonts w:eastAsia="Times New Roman" w:cs="Times New Roman"/>
                <w:noProof/>
              </w:rPr>
            </w:pPr>
            <w:r>
              <w:rPr>
                <w:noProof/>
              </w:rPr>
              <w:t>204</w:t>
            </w:r>
          </w:p>
        </w:tc>
        <w:tc>
          <w:tcPr>
            <w:tcW w:w="851" w:type="dxa"/>
            <w:shd w:val="clear" w:color="auto" w:fill="C6EFCE"/>
            <w:noWrap/>
          </w:tcPr>
          <w:p w14:paraId="07FE773D"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48311CD3"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1F2BB74D" w14:textId="77777777" w:rsidR="0065073E" w:rsidRDefault="000A0998">
            <w:pPr>
              <w:pStyle w:val="P68B1DB1-Normal12"/>
              <w:spacing w:after="0" w:line="240" w:lineRule="auto"/>
              <w:rPr>
                <w:rFonts w:eastAsia="Times New Roman" w:cs="Times New Roman"/>
                <w:noProof/>
              </w:rPr>
            </w:pPr>
            <w:r>
              <w:rPr>
                <w:noProof/>
              </w:rPr>
              <w:t>Digitaalinen välineistö -ohjelmasta tuetut pk-yritykset</w:t>
            </w:r>
          </w:p>
        </w:tc>
        <w:tc>
          <w:tcPr>
            <w:tcW w:w="1134" w:type="dxa"/>
            <w:shd w:val="clear" w:color="auto" w:fill="C6EFCE"/>
            <w:noWrap/>
          </w:tcPr>
          <w:p w14:paraId="6B23C6FB"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6958C5C"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423684F5"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097752F" w14:textId="3CB92CE9" w:rsidR="0065073E" w:rsidRDefault="000A0998">
            <w:pPr>
              <w:pStyle w:val="P68B1DB1-Normal12"/>
              <w:spacing w:after="0" w:line="240" w:lineRule="auto"/>
              <w:jc w:val="right"/>
              <w:rPr>
                <w:rFonts w:eastAsia="Times New Roman" w:cs="Times New Roman"/>
                <w:noProof/>
              </w:rPr>
            </w:pPr>
            <w:r>
              <w:rPr>
                <w:noProof/>
                <w:shd w:val="clear" w:color="auto" w:fill="E6E6E6"/>
              </w:rPr>
              <w:t>5</w:t>
            </w:r>
            <w:r>
              <w:rPr>
                <w:noProof/>
              </w:rPr>
              <w:t>00 000</w:t>
            </w:r>
          </w:p>
        </w:tc>
        <w:tc>
          <w:tcPr>
            <w:tcW w:w="567" w:type="dxa"/>
            <w:shd w:val="clear" w:color="auto" w:fill="C6EFCE"/>
            <w:noWrap/>
          </w:tcPr>
          <w:p w14:paraId="0D775F2C"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78ADF52" w14:textId="26FCB59F" w:rsidR="0065073E" w:rsidRDefault="000A0998">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65A61970" w14:textId="3E46A2CF" w:rsidR="0065073E" w:rsidRDefault="000A0998">
            <w:pPr>
              <w:pStyle w:val="P68B1DB1-Normal12"/>
              <w:spacing w:after="0" w:line="240" w:lineRule="auto"/>
              <w:rPr>
                <w:rFonts w:eastAsia="Times New Roman" w:cs="Times New Roman"/>
                <w:noProof/>
              </w:rPr>
            </w:pPr>
            <w:r>
              <w:rPr>
                <w:noProof/>
              </w:rPr>
              <w:t>Vähintään 500000 pk-yritystä, mikroyritystä ja itsenäistä ammatinharjoittajaa, jotka ovat saaneet tukea Digital Toolkit -ohjelmasta ”ei merkittävää haittaa” -periaatteen mukaisesti teknisten ohjeiden (2021/C58/01) mukaisesti käyttämällä poissulkemisluetteloa ja edellyttämällä asiaa koskevan EU:n ja kansallisen ympäristölainsäädännön noudattamista.</w:t>
            </w:r>
          </w:p>
        </w:tc>
      </w:tr>
      <w:tr w:rsidR="0065073E" w14:paraId="6E883AD5" w14:textId="77777777">
        <w:trPr>
          <w:trHeight w:val="309"/>
        </w:trPr>
        <w:tc>
          <w:tcPr>
            <w:tcW w:w="709" w:type="dxa"/>
            <w:shd w:val="clear" w:color="auto" w:fill="C6EFCE"/>
            <w:noWrap/>
          </w:tcPr>
          <w:p w14:paraId="7683F186" w14:textId="77777777" w:rsidR="0065073E" w:rsidRDefault="000A0998">
            <w:pPr>
              <w:pStyle w:val="P68B1DB1-Normal12"/>
              <w:spacing w:after="0" w:line="240" w:lineRule="auto"/>
              <w:jc w:val="center"/>
              <w:rPr>
                <w:rFonts w:eastAsia="Times New Roman" w:cs="Times New Roman"/>
                <w:noProof/>
              </w:rPr>
            </w:pPr>
            <w:r>
              <w:rPr>
                <w:noProof/>
              </w:rPr>
              <w:t>205</w:t>
            </w:r>
          </w:p>
        </w:tc>
        <w:tc>
          <w:tcPr>
            <w:tcW w:w="851" w:type="dxa"/>
            <w:shd w:val="clear" w:color="auto" w:fill="C6EFCE"/>
            <w:noWrap/>
          </w:tcPr>
          <w:p w14:paraId="3ED5A10F"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24908E33"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58ABF485" w14:textId="77777777" w:rsidR="0065073E" w:rsidRDefault="000A0998">
            <w:pPr>
              <w:pStyle w:val="P68B1DB1-Normal12"/>
              <w:spacing w:after="0" w:line="240" w:lineRule="auto"/>
              <w:rPr>
                <w:rFonts w:eastAsia="Times New Roman" w:cs="Times New Roman"/>
                <w:noProof/>
              </w:rPr>
            </w:pPr>
            <w:r>
              <w:rPr>
                <w:noProof/>
              </w:rPr>
              <w:t>Muutosohjelman toimihenkilöiden talousarvion toteuttaminen</w:t>
            </w:r>
          </w:p>
        </w:tc>
        <w:tc>
          <w:tcPr>
            <w:tcW w:w="1134" w:type="dxa"/>
            <w:shd w:val="clear" w:color="auto" w:fill="C6EFCE"/>
            <w:noWrap/>
          </w:tcPr>
          <w:p w14:paraId="57D082C8"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536252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93BEB43" w14:textId="77777777" w:rsidR="0065073E" w:rsidRDefault="000A0998">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4ABD35B1" w14:textId="77777777" w:rsidR="0065073E" w:rsidRDefault="000A0998">
            <w:pPr>
              <w:pStyle w:val="P68B1DB1-Normal12"/>
              <w:spacing w:after="0" w:line="240" w:lineRule="auto"/>
              <w:jc w:val="right"/>
              <w:rPr>
                <w:rFonts w:eastAsia="Times New Roman" w:cs="Times New Roman"/>
                <w:noProof/>
              </w:rPr>
            </w:pPr>
            <w:r>
              <w:rPr>
                <w:noProof/>
              </w:rPr>
              <w:t>100</w:t>
            </w:r>
          </w:p>
        </w:tc>
        <w:tc>
          <w:tcPr>
            <w:tcW w:w="567" w:type="dxa"/>
            <w:shd w:val="clear" w:color="auto" w:fill="C6EFCE"/>
            <w:noWrap/>
          </w:tcPr>
          <w:p w14:paraId="57C1A4A9"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AD6CDAC"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5D9D1700" w14:textId="1F054017" w:rsidR="0065073E" w:rsidRDefault="000A0998">
            <w:pPr>
              <w:pStyle w:val="P68B1DB1-Normal12"/>
              <w:spacing w:after="0" w:line="240" w:lineRule="auto"/>
              <w:rPr>
                <w:rFonts w:eastAsia="Times New Roman" w:cs="Times New Roman"/>
                <w:noProof/>
              </w:rPr>
            </w:pPr>
            <w:r>
              <w:rPr>
                <w:noProof/>
              </w:rPr>
              <w:t>100 prosenttia sidotuista 300000000 euron määrärahoista osoitetaan pk-yrityksille muutosohjelmien puitteissa. Ohjelman tavoitteena on tukea vähintään 15000 pientä ja keskisuurta yritystä (10–249 työntekijää) niiden digitalisaatioprosesseissa. Valintaperusteilla on varmistettava ”ei merkittävää haittaa” -periaatteen (2021/C58/01) teknisten ohjeiden (2021/C58/01) noudattaminen käyttämällä poissulkemisluetteloa ja edellyttämällä asiaa koskevan EU:n ja kansallisen ympäristölainsäädännön noudattamista. (perustaso: Joulukuuta 2022).</w:t>
            </w:r>
          </w:p>
        </w:tc>
      </w:tr>
      <w:tr w:rsidR="0065073E" w14:paraId="30FF7304" w14:textId="77777777">
        <w:trPr>
          <w:trHeight w:val="309"/>
        </w:trPr>
        <w:tc>
          <w:tcPr>
            <w:tcW w:w="709" w:type="dxa"/>
            <w:shd w:val="clear" w:color="auto" w:fill="C6EFCE"/>
            <w:noWrap/>
          </w:tcPr>
          <w:p w14:paraId="7B45E36E" w14:textId="77777777" w:rsidR="0065073E" w:rsidRDefault="000A0998">
            <w:pPr>
              <w:pStyle w:val="P68B1DB1-Normal12"/>
              <w:spacing w:after="0" w:line="240" w:lineRule="auto"/>
              <w:jc w:val="center"/>
              <w:rPr>
                <w:rFonts w:eastAsia="Times New Roman" w:cs="Times New Roman"/>
                <w:noProof/>
              </w:rPr>
            </w:pPr>
            <w:r>
              <w:rPr>
                <w:noProof/>
              </w:rPr>
              <w:t>206</w:t>
            </w:r>
          </w:p>
        </w:tc>
        <w:tc>
          <w:tcPr>
            <w:tcW w:w="851" w:type="dxa"/>
            <w:shd w:val="clear" w:color="auto" w:fill="C6EFCE"/>
            <w:noWrap/>
          </w:tcPr>
          <w:p w14:paraId="4332DC16"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11320BD7"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47FCF466" w14:textId="77777777" w:rsidR="0065073E" w:rsidRDefault="000A0998">
            <w:pPr>
              <w:pStyle w:val="P68B1DB1-Normal12"/>
              <w:spacing w:after="0" w:line="240" w:lineRule="auto"/>
              <w:rPr>
                <w:rFonts w:eastAsia="Times New Roman" w:cs="Times New Roman"/>
                <w:noProof/>
              </w:rPr>
            </w:pPr>
            <w:r>
              <w:rPr>
                <w:noProof/>
              </w:rPr>
              <w:t xml:space="preserve">Innovatiivisten yritysten klusteritukiohjelman talousarvion toteuttaminen </w:t>
            </w:r>
          </w:p>
        </w:tc>
        <w:tc>
          <w:tcPr>
            <w:tcW w:w="1134" w:type="dxa"/>
            <w:shd w:val="clear" w:color="auto" w:fill="C6EFCE"/>
            <w:noWrap/>
          </w:tcPr>
          <w:p w14:paraId="4E38B6DC"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0CBEC89"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5A3E4312" w14:textId="77777777" w:rsidR="0065073E" w:rsidRDefault="000A0998">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219FFAC2" w14:textId="77777777" w:rsidR="0065073E" w:rsidRDefault="000A0998">
            <w:pPr>
              <w:pStyle w:val="P68B1DB1-Normal12"/>
              <w:spacing w:after="0" w:line="240" w:lineRule="auto"/>
              <w:jc w:val="right"/>
              <w:rPr>
                <w:rFonts w:eastAsia="Times New Roman" w:cs="Times New Roman"/>
                <w:noProof/>
              </w:rPr>
            </w:pPr>
            <w:r>
              <w:rPr>
                <w:noProof/>
              </w:rPr>
              <w:t>100</w:t>
            </w:r>
          </w:p>
        </w:tc>
        <w:tc>
          <w:tcPr>
            <w:tcW w:w="567" w:type="dxa"/>
            <w:shd w:val="clear" w:color="auto" w:fill="C6EFCE"/>
            <w:noWrap/>
          </w:tcPr>
          <w:p w14:paraId="1163A990"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76CBEEC"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61E533C2" w14:textId="53D2C8BB" w:rsidR="0065073E" w:rsidRDefault="000A0998">
            <w:pPr>
              <w:pStyle w:val="P68B1DB1-Normal12"/>
              <w:spacing w:after="0" w:line="240" w:lineRule="auto"/>
              <w:rPr>
                <w:rFonts w:eastAsia="Times New Roman" w:cs="Times New Roman"/>
                <w:noProof/>
              </w:rPr>
            </w:pPr>
            <w:r>
              <w:rPr>
                <w:noProof/>
              </w:rPr>
              <w:t>100 prosenttia määrärahoista sidottiin 115000000 euroa innovatiivisten yritysten klusterien tukiohjelmaan. Tämän toimenpiteen tarkoituksena on tukea hankkeita, joilla digitalisoidaan eri talouden alojen arvoketjuja ja joita toteuttavat Innovative Business Clusters ja niihin yhteydessä olevat yksiköt teollisuus- ja matkailuministeriön pk-yritysten tukipolitiikan mukaisesti. Ehdoissa</w:t>
            </w:r>
            <w:r>
              <w:rPr>
                <w:i/>
                <w:noProof/>
              </w:rPr>
              <w:t xml:space="preserve">ja </w:t>
            </w:r>
            <w:r>
              <w:rPr>
                <w:noProof/>
              </w:rPr>
              <w:t>ehdotuspyynnöissä</w:t>
            </w:r>
            <w:r>
              <w:rPr>
                <w:i/>
                <w:noProof/>
              </w:rPr>
              <w:t xml:space="preserve"> </w:t>
            </w:r>
            <w:r>
              <w:rPr>
                <w:noProof/>
              </w:rPr>
              <w:t>on oltava tukikelpoisuusperusteet, joilla varmistetaan, että valitut hankkeet ovat ”ei merkittävää haittaa” -periaatteen mukaisten teknisten ohjeiden (2021/C58/01) mukaisia, käyttämällä poissulkemisluetteloa ja vaatimusta asiaa koskevan EU:n ja kansallisen ympäristölainsäädännön noudattamisesta. (perustaso: Joulukuuta 2022).</w:t>
            </w:r>
          </w:p>
        </w:tc>
      </w:tr>
      <w:tr w:rsidR="0065073E" w14:paraId="5F723A55" w14:textId="77777777">
        <w:trPr>
          <w:trHeight w:val="309"/>
        </w:trPr>
        <w:tc>
          <w:tcPr>
            <w:tcW w:w="709" w:type="dxa"/>
            <w:shd w:val="clear" w:color="auto" w:fill="C6EFCE"/>
            <w:noWrap/>
          </w:tcPr>
          <w:p w14:paraId="52EC3C9D" w14:textId="77777777" w:rsidR="0065073E" w:rsidRDefault="000A0998">
            <w:pPr>
              <w:pStyle w:val="P68B1DB1-Normal12"/>
              <w:spacing w:after="0" w:line="240" w:lineRule="auto"/>
              <w:jc w:val="center"/>
              <w:rPr>
                <w:rFonts w:eastAsia="Times New Roman" w:cs="Times New Roman"/>
                <w:noProof/>
              </w:rPr>
            </w:pPr>
            <w:r>
              <w:rPr>
                <w:noProof/>
              </w:rPr>
              <w:t>207</w:t>
            </w:r>
          </w:p>
        </w:tc>
        <w:tc>
          <w:tcPr>
            <w:tcW w:w="851" w:type="dxa"/>
            <w:shd w:val="clear" w:color="auto" w:fill="C6EFCE"/>
            <w:noWrap/>
          </w:tcPr>
          <w:p w14:paraId="4BDE3CE9"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27D3835F"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7863AD59" w14:textId="77777777" w:rsidR="0065073E" w:rsidRDefault="000A0998">
            <w:pPr>
              <w:pStyle w:val="P68B1DB1-Normal12"/>
              <w:spacing w:after="0" w:line="240" w:lineRule="auto"/>
              <w:rPr>
                <w:rFonts w:eastAsia="Times New Roman" w:cs="Times New Roman"/>
                <w:noProof/>
              </w:rPr>
            </w:pPr>
            <w:r>
              <w:rPr>
                <w:noProof/>
              </w:rPr>
              <w:t>Digitaali-innovaatiokeskittymiä koskevan ohjelman talousarvion toteuttaminen</w:t>
            </w:r>
          </w:p>
        </w:tc>
        <w:tc>
          <w:tcPr>
            <w:tcW w:w="1134" w:type="dxa"/>
            <w:shd w:val="clear" w:color="auto" w:fill="C6EFCE"/>
            <w:noWrap/>
          </w:tcPr>
          <w:p w14:paraId="22FE275F"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0B391AB1" w14:textId="77777777" w:rsidR="0065073E" w:rsidRDefault="000A0998">
            <w:pPr>
              <w:pStyle w:val="P68B1DB1-Normal12"/>
              <w:spacing w:after="0" w:line="240" w:lineRule="auto"/>
              <w:jc w:val="center"/>
              <w:rPr>
                <w:rFonts w:eastAsia="Times New Roman" w:cs="Times New Roman"/>
                <w:noProof/>
              </w:rPr>
            </w:pPr>
            <w:r>
              <w:rPr>
                <w:noProof/>
              </w:rPr>
              <w:t>%</w:t>
            </w:r>
          </w:p>
        </w:tc>
        <w:tc>
          <w:tcPr>
            <w:tcW w:w="992" w:type="dxa"/>
            <w:shd w:val="clear" w:color="auto" w:fill="C6EFCE"/>
            <w:noWrap/>
          </w:tcPr>
          <w:p w14:paraId="28C1AE1A" w14:textId="77777777" w:rsidR="0065073E" w:rsidRDefault="000A0998">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2940DEF5" w14:textId="2C1BBAFF" w:rsidR="0065073E" w:rsidRDefault="000A0998">
            <w:pPr>
              <w:pStyle w:val="P68B1DB1-Normal12"/>
              <w:spacing w:after="0" w:line="240" w:lineRule="auto"/>
              <w:jc w:val="right"/>
              <w:rPr>
                <w:rFonts w:eastAsia="Times New Roman" w:cs="Times New Roman"/>
                <w:noProof/>
              </w:rPr>
            </w:pPr>
            <w:r>
              <w:rPr>
                <w:noProof/>
              </w:rPr>
              <w:t>75</w:t>
            </w:r>
          </w:p>
        </w:tc>
        <w:tc>
          <w:tcPr>
            <w:tcW w:w="567" w:type="dxa"/>
            <w:shd w:val="clear" w:color="auto" w:fill="C6EFCE"/>
            <w:noWrap/>
          </w:tcPr>
          <w:p w14:paraId="38B629BB"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F6BC4C6"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2468B19B" w14:textId="4E8656B4" w:rsidR="0065073E" w:rsidRDefault="000A0998">
            <w:pPr>
              <w:pStyle w:val="P68B1DB1-Normal12"/>
              <w:spacing w:after="0" w:line="240" w:lineRule="auto"/>
              <w:rPr>
                <w:rFonts w:eastAsia="Times New Roman" w:cs="Times New Roman"/>
                <w:noProof/>
              </w:rPr>
            </w:pPr>
            <w:r>
              <w:rPr>
                <w:noProof/>
              </w:rPr>
              <w:t>75 prosenttia määrärahoista sidotuista 37590000 eurosta osoitetaan digitaali-innovointikeskittymien ohjelmaan. Ohjelma auttaa yrityksiä parantamaan kilpailukykyään parantamalla liiketoiminta- ja tuotantoprosessejaan digitaaliteknologian intensiivisen käytön avulla. Ehdoissa</w:t>
            </w:r>
            <w:r>
              <w:rPr>
                <w:i/>
                <w:noProof/>
              </w:rPr>
              <w:t xml:space="preserve">ja </w:t>
            </w:r>
            <w:r>
              <w:rPr>
                <w:noProof/>
              </w:rPr>
              <w:t>ehdotuspyynnöissä</w:t>
            </w:r>
            <w:r>
              <w:rPr>
                <w:i/>
                <w:noProof/>
              </w:rPr>
              <w:t xml:space="preserve"> </w:t>
            </w:r>
            <w:r>
              <w:rPr>
                <w:noProof/>
              </w:rPr>
              <w:t>on oltava tukikelpoisuusperusteet, joilla varmistetaan, että valitut hankkeet ovat ”ei merkittävää haittaa” -periaatteen mukaisten teknisten ohjeiden (2021/C58/01) mukaisia, käyttämällä poissulkemisluetteloa ja vaatimusta asiaa koskevan EU:n ja kansallisen ympäristölainsäädännön noudattamisesta. (perustaso: Joulukuuta 2022).</w:t>
            </w:r>
          </w:p>
        </w:tc>
      </w:tr>
      <w:tr w:rsidR="0065073E" w14:paraId="365AC1AB" w14:textId="77777777">
        <w:trPr>
          <w:trHeight w:val="309"/>
        </w:trPr>
        <w:tc>
          <w:tcPr>
            <w:tcW w:w="709" w:type="dxa"/>
            <w:shd w:val="clear" w:color="auto" w:fill="C6EFCE"/>
            <w:noWrap/>
          </w:tcPr>
          <w:p w14:paraId="3C34C378" w14:textId="77777777" w:rsidR="0065073E" w:rsidRDefault="000A0998">
            <w:pPr>
              <w:pStyle w:val="P68B1DB1-Normal12"/>
              <w:spacing w:after="0" w:line="240" w:lineRule="auto"/>
              <w:jc w:val="center"/>
              <w:rPr>
                <w:rFonts w:eastAsia="Times New Roman" w:cs="Times New Roman"/>
                <w:noProof/>
              </w:rPr>
            </w:pPr>
            <w:r>
              <w:rPr>
                <w:noProof/>
              </w:rPr>
              <w:t>208</w:t>
            </w:r>
          </w:p>
        </w:tc>
        <w:tc>
          <w:tcPr>
            <w:tcW w:w="851" w:type="dxa"/>
            <w:shd w:val="clear" w:color="auto" w:fill="C6EFCE"/>
            <w:noWrap/>
          </w:tcPr>
          <w:p w14:paraId="4F3B9E58"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3D36884F"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70181F94" w14:textId="77777777" w:rsidR="0065073E" w:rsidRDefault="000A0998">
            <w:pPr>
              <w:pStyle w:val="P68B1DB1-Normal12"/>
              <w:spacing w:after="0" w:line="240" w:lineRule="auto"/>
              <w:rPr>
                <w:rFonts w:eastAsia="Times New Roman" w:cs="Times New Roman"/>
                <w:noProof/>
              </w:rPr>
            </w:pPr>
            <w:r>
              <w:rPr>
                <w:noProof/>
              </w:rPr>
              <w:t>Digitaalisen välineistön ohjelman loppuun saattaminen</w:t>
            </w:r>
          </w:p>
        </w:tc>
        <w:tc>
          <w:tcPr>
            <w:tcW w:w="1134" w:type="dxa"/>
            <w:shd w:val="clear" w:color="auto" w:fill="C6EFCE"/>
            <w:noWrap/>
          </w:tcPr>
          <w:p w14:paraId="68806BA5"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21AE94F3"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4194F95B" w14:textId="52855B6D" w:rsidR="0065073E" w:rsidRDefault="000A0998">
            <w:pPr>
              <w:pStyle w:val="P68B1DB1-Normal12"/>
              <w:rPr>
                <w:rFonts w:cs="Times New Roman"/>
                <w:noProof/>
              </w:rPr>
            </w:pPr>
            <w:r>
              <w:rPr>
                <w:noProof/>
              </w:rPr>
              <w:t>500 000</w:t>
            </w:r>
          </w:p>
        </w:tc>
        <w:tc>
          <w:tcPr>
            <w:tcW w:w="709" w:type="dxa"/>
            <w:shd w:val="clear" w:color="auto" w:fill="C6EFCE"/>
            <w:noWrap/>
          </w:tcPr>
          <w:p w14:paraId="0B2EF20D" w14:textId="6111525E" w:rsidR="0065073E" w:rsidRDefault="000A0998">
            <w:pPr>
              <w:pStyle w:val="P68B1DB1-Normal12"/>
              <w:rPr>
                <w:rFonts w:cs="Times New Roman"/>
                <w:noProof/>
              </w:rPr>
            </w:pPr>
            <w:r>
              <w:rPr>
                <w:noProof/>
              </w:rPr>
              <w:t>676 000</w:t>
            </w:r>
          </w:p>
        </w:tc>
        <w:tc>
          <w:tcPr>
            <w:tcW w:w="567" w:type="dxa"/>
            <w:shd w:val="clear" w:color="auto" w:fill="C6EFCE"/>
            <w:noWrap/>
          </w:tcPr>
          <w:p w14:paraId="230895F8"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1B6E1C3E" w14:textId="7091BDF5" w:rsidR="0065073E" w:rsidRDefault="000A0998">
            <w:pPr>
              <w:pStyle w:val="P68B1DB1-Normal12"/>
              <w:spacing w:after="0" w:line="240" w:lineRule="auto"/>
              <w:jc w:val="center"/>
              <w:rPr>
                <w:rFonts w:eastAsia="Times New Roman" w:cs="Times New Roman"/>
                <w:noProof/>
              </w:rPr>
            </w:pPr>
            <w:r>
              <w:rPr>
                <w:noProof/>
              </w:rPr>
              <w:t>202</w:t>
            </w:r>
            <w:r>
              <w:rPr>
                <w:noProof/>
                <w:shd w:val="clear" w:color="auto" w:fill="E6E6E6"/>
              </w:rPr>
              <w:t>5</w:t>
            </w:r>
          </w:p>
        </w:tc>
        <w:tc>
          <w:tcPr>
            <w:tcW w:w="6662" w:type="dxa"/>
            <w:shd w:val="clear" w:color="auto" w:fill="C6EFCE"/>
            <w:noWrap/>
          </w:tcPr>
          <w:p w14:paraId="6A3E457F" w14:textId="633BA13C" w:rsidR="0065073E" w:rsidRDefault="000A0998">
            <w:pPr>
              <w:pStyle w:val="P68B1DB1-Normal12"/>
              <w:spacing w:after="120" w:line="240" w:lineRule="auto"/>
              <w:rPr>
                <w:rFonts w:cs="Times New Roman"/>
                <w:noProof/>
              </w:rPr>
            </w:pPr>
            <w:r>
              <w:rPr>
                <w:noProof/>
              </w:rPr>
              <w:t>Vähintään 676000 pk-yritystä, mikroyritystä ja itsenäistä ammatinharjoittajaa, jotka ovat saaneet tukea Digital Toolkit -ohjelmasta ”ei merkittävää haittaa” -periaatteen mukaisesti teknisten ohjeiden (2021/C58/01) mukaisesti käyttämällä poissulkemisluetteloa ja edellyttämällä asiaa koskevan EU:n ja kansallisen ympäristölainsäädännön noudattamista. Ohjelma perustuu avustuksiin, joilla tuetaan digitaaliteknologian integrointia, jotta voidaan ottaa tehokkaasti käyttöön sähköinen kaupankäynti, digitalisoida suhteet hallintoon ja asiakkaisiin, kehittää sisäisiä digitaalisia prosesseja sekä ottaa käyttöön sähköinen laskutus ja digitaalinen markkinointi. edistetään erityisesti palvelusuuntautuneita ratkaisuja. Ohjelmasta tuetaan osittain kustannuksia, jotka aiheutuvat digitaalisten perusratkaisujen, kuten Internetin läsnäolon, sähköisen myynnin, pilvipalvelujen, digitaalisten työpaikkojen, digitalisaation perusprosessien, asiakashallinnan, digitaalisen markkinoinnin ja kyberturvallisuuden, hyväksymisestä. (perustaso: Joulukuuta 2023).</w:t>
            </w:r>
          </w:p>
          <w:p w14:paraId="71FD0435" w14:textId="32549D43" w:rsidR="0065073E" w:rsidRDefault="000A0998">
            <w:pPr>
              <w:pStyle w:val="P68B1DB1-Normal12"/>
              <w:spacing w:after="120" w:line="240" w:lineRule="auto"/>
              <w:rPr>
                <w:rFonts w:cs="Times New Roman"/>
                <w:noProof/>
              </w:rPr>
            </w:pPr>
            <w:r>
              <w:rPr>
                <w:noProof/>
              </w:rPr>
              <w:t>Vähintään 676000 pk-yrityksen, mikroyrityksen ja itsenäisen ammatinharjoittajan lopullisesta tavoitteesta:</w:t>
            </w:r>
          </w:p>
          <w:p w14:paraId="129754C0" w14:textId="5B8D5EAA" w:rsidR="0065073E" w:rsidRDefault="000A0998">
            <w:pPr>
              <w:pStyle w:val="P68B1DB1-ListParagraph13"/>
              <w:numPr>
                <w:ilvl w:val="0"/>
                <w:numId w:val="630"/>
              </w:numPr>
              <w:spacing w:after="120" w:line="240" w:lineRule="auto"/>
              <w:rPr>
                <w:rFonts w:cs="Times New Roman"/>
                <w:noProof/>
              </w:rPr>
            </w:pPr>
            <w:r>
              <w:rPr>
                <w:noProof/>
              </w:rPr>
              <w:t>Vähintään 629000 pk-yritystä, joissa on alle 50 työntekijää, mikroyrityksiä ja itsenäisiä ammatinharjoittajia, on tuettava vähintään 2000 euron ja enintään 12000 euron arvosetelillä.</w:t>
            </w:r>
          </w:p>
          <w:p w14:paraId="208F591F" w14:textId="798904E1" w:rsidR="0065073E" w:rsidRDefault="000A0998">
            <w:pPr>
              <w:pStyle w:val="P68B1DB1-ListParagraph13"/>
              <w:numPr>
                <w:ilvl w:val="0"/>
                <w:numId w:val="630"/>
              </w:numPr>
              <w:spacing w:after="120" w:line="240" w:lineRule="auto"/>
              <w:rPr>
                <w:rFonts w:cs="Times New Roman"/>
                <w:noProof/>
              </w:rPr>
            </w:pPr>
            <w:r>
              <w:rPr>
                <w:noProof/>
              </w:rPr>
              <w:t>Vähintään 12100 pk-yritystä, joissa on vähintään 50 ja alle 250 työntekijää, on tuettava vähintään 25000–29000 euron arvosetelillä.</w:t>
            </w:r>
          </w:p>
        </w:tc>
      </w:tr>
      <w:tr w:rsidR="0065073E" w14:paraId="7BE0ECEC" w14:textId="77777777">
        <w:trPr>
          <w:trHeight w:val="309"/>
        </w:trPr>
        <w:tc>
          <w:tcPr>
            <w:tcW w:w="709" w:type="dxa"/>
            <w:shd w:val="clear" w:color="auto" w:fill="C6EFCE"/>
            <w:noWrap/>
          </w:tcPr>
          <w:p w14:paraId="52C49AEE" w14:textId="4B75AD00" w:rsidR="0065073E" w:rsidRDefault="000A0998">
            <w:pPr>
              <w:pStyle w:val="P68B1DB1-Normal12"/>
              <w:spacing w:after="0" w:line="240" w:lineRule="auto"/>
              <w:jc w:val="center"/>
              <w:rPr>
                <w:rFonts w:eastAsia="Times New Roman" w:cs="Times New Roman"/>
                <w:noProof/>
              </w:rPr>
            </w:pPr>
            <w:r>
              <w:rPr>
                <w:noProof/>
              </w:rPr>
              <w:t xml:space="preserve">   209</w:t>
            </w:r>
          </w:p>
        </w:tc>
        <w:tc>
          <w:tcPr>
            <w:tcW w:w="851" w:type="dxa"/>
            <w:shd w:val="clear" w:color="auto" w:fill="C6EFCE"/>
            <w:noWrap/>
          </w:tcPr>
          <w:p w14:paraId="5B78862F" w14:textId="77777777" w:rsidR="0065073E" w:rsidRDefault="000A0998">
            <w:pPr>
              <w:pStyle w:val="P68B1DB1-Normal12"/>
              <w:spacing w:after="0" w:line="240" w:lineRule="auto"/>
              <w:jc w:val="center"/>
              <w:rPr>
                <w:rFonts w:eastAsia="Times New Roman" w:cs="Times New Roman"/>
                <w:noProof/>
              </w:rPr>
            </w:pPr>
            <w:r>
              <w:rPr>
                <w:noProof/>
              </w:rPr>
              <w:t>C13.I3</w:t>
            </w:r>
          </w:p>
        </w:tc>
        <w:tc>
          <w:tcPr>
            <w:tcW w:w="850" w:type="dxa"/>
            <w:shd w:val="clear" w:color="auto" w:fill="C6EFCE"/>
            <w:noWrap/>
          </w:tcPr>
          <w:p w14:paraId="39C09E3A"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2D82F927" w14:textId="77777777" w:rsidR="0065073E" w:rsidRDefault="000A0998">
            <w:pPr>
              <w:pStyle w:val="P68B1DB1-Normal12"/>
              <w:spacing w:after="0" w:line="240" w:lineRule="auto"/>
              <w:rPr>
                <w:rFonts w:eastAsia="Times New Roman" w:cs="Times New Roman"/>
                <w:noProof/>
              </w:rPr>
            </w:pPr>
            <w:r>
              <w:rPr>
                <w:noProof/>
              </w:rPr>
              <w:t>Pk-yritykset, jotka ovat toteuttaneet toimia digitaaliteknologian käytön lisäämiseksi (ei kuitenkaan digitaalinen välineistö)</w:t>
            </w:r>
          </w:p>
        </w:tc>
        <w:tc>
          <w:tcPr>
            <w:tcW w:w="1134" w:type="dxa"/>
            <w:shd w:val="clear" w:color="auto" w:fill="C6EFCE"/>
            <w:noWrap/>
          </w:tcPr>
          <w:p w14:paraId="149D1E18"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A9838C9"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6CC76E74"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9E54683" w14:textId="497986BA" w:rsidR="0065073E" w:rsidRDefault="000A0998">
            <w:pPr>
              <w:pStyle w:val="P68B1DB1-Normal12"/>
              <w:spacing w:after="0" w:line="240" w:lineRule="auto"/>
              <w:jc w:val="right"/>
              <w:rPr>
                <w:rFonts w:eastAsia="Times New Roman" w:cs="Times New Roman"/>
                <w:noProof/>
              </w:rPr>
            </w:pPr>
            <w:r>
              <w:rPr>
                <w:noProof/>
              </w:rPr>
              <w:t>169 747</w:t>
            </w:r>
          </w:p>
        </w:tc>
        <w:tc>
          <w:tcPr>
            <w:tcW w:w="567" w:type="dxa"/>
            <w:shd w:val="clear" w:color="auto" w:fill="C6EFCE"/>
            <w:noWrap/>
          </w:tcPr>
          <w:p w14:paraId="2BCED87F"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9544FDC" w14:textId="77777777" w:rsidR="0065073E" w:rsidRDefault="000A0998">
            <w:pPr>
              <w:pStyle w:val="P68B1DB1-Normal12"/>
              <w:spacing w:after="0" w:line="240" w:lineRule="auto"/>
              <w:jc w:val="center"/>
              <w:rPr>
                <w:rFonts w:eastAsia="Times New Roman" w:cs="Times New Roman"/>
                <w:noProof/>
              </w:rPr>
            </w:pPr>
            <w:r>
              <w:rPr>
                <w:noProof/>
              </w:rPr>
              <w:t>2025</w:t>
            </w:r>
          </w:p>
        </w:tc>
        <w:tc>
          <w:tcPr>
            <w:tcW w:w="6662" w:type="dxa"/>
            <w:shd w:val="clear" w:color="auto" w:fill="C6EFCE"/>
            <w:noWrap/>
          </w:tcPr>
          <w:p w14:paraId="113A9D3D" w14:textId="2F02DB2A" w:rsidR="0065073E" w:rsidRDefault="000A0998">
            <w:pPr>
              <w:pStyle w:val="P68B1DB1-Text126"/>
              <w:spacing w:before="0"/>
              <w:ind w:left="0"/>
              <w:jc w:val="left"/>
              <w:rPr>
                <w:noProof/>
              </w:rPr>
            </w:pPr>
            <w:r>
              <w:rPr>
                <w:noProof/>
              </w:rPr>
              <w:t xml:space="preserve">Vähintään 169747 pk-yritystä, jotka ovat saattaneet päätökseen digitaaliteknologian käytön lisäämiseen tähtäävät toimet, joita tuetaan seuraavista ohjelmista: ”Ohjelman toimijat”, ”SME 2.0 -kiihdyttimet”; ”Innovatiivisten yritysten klusteritukiohjelma”. </w:t>
            </w:r>
          </w:p>
          <w:p w14:paraId="4C090F03" w14:textId="7A302607" w:rsidR="0065073E" w:rsidRDefault="000A0998">
            <w:pPr>
              <w:pStyle w:val="Text1"/>
              <w:spacing w:before="0"/>
              <w:ind w:left="0"/>
              <w:jc w:val="left"/>
              <w:rPr>
                <w:rFonts w:ascii="Times New Roman" w:hAnsi="Times New Roman"/>
                <w:noProof/>
                <w:sz w:val="18"/>
              </w:rPr>
            </w:pPr>
            <w:r>
              <w:rPr>
                <w:rFonts w:ascii="Times New Roman" w:hAnsi="Times New Roman"/>
                <w:noProof/>
                <w:sz w:val="18"/>
              </w:rPr>
              <w:t>1) Muutostoimijat -ohjelma: ohjelmasta tuetaan vähintään 15000 pientä ja keskisuurta yritystä (ten-249 työntekijää) niiden digitalisaatioprosesseissa.</w:t>
            </w:r>
            <w:r>
              <w:rPr>
                <w:noProof/>
              </w:rPr>
              <w:t></w:t>
            </w:r>
            <w:r>
              <w:rPr>
                <w:noProof/>
              </w:rPr>
              <w:br/>
            </w:r>
            <w:r>
              <w:rPr>
                <w:rFonts w:ascii="Times New Roman" w:hAnsi="Times New Roman"/>
                <w:noProof/>
                <w:sz w:val="18"/>
              </w:rPr>
              <w:t>2) ”pk-yritys 2.0 -kiihdyttimet” -ohjelma: tämä on investointiin kuuluva toimi, jolla laajennetaan pk-yritysten digitalisointia tukevaa infrastruktuuria neuvontapalveluilla ja koulutuspalveluilla.</w:t>
            </w:r>
            <w:r>
              <w:rPr>
                <w:noProof/>
              </w:rPr>
              <w:t></w:t>
            </w:r>
            <w:r>
              <w:rPr>
                <w:noProof/>
              </w:rPr>
              <w:br/>
            </w:r>
            <w:r>
              <w:rPr>
                <w:rFonts w:ascii="Times New Roman" w:hAnsi="Times New Roman"/>
                <w:noProof/>
                <w:sz w:val="18"/>
              </w:rPr>
              <w:t>3) Innovatiivisten yritysten klusteritukiohjelma: ohjelmasta tuetaan hankkeita, joilla digitalisoidaan eri talouden alojen arvoketjuja ja joita toteuttavat Innovative Business Clusters ja niihin liittyvät yksiköt osana teollisuus- ja matkailuministeriön pk-yritysten tukipolitiikkaa.</w:t>
            </w:r>
          </w:p>
          <w:p w14:paraId="6B503BAB" w14:textId="4E2B89BC" w:rsidR="0065073E" w:rsidRDefault="000A0998">
            <w:pPr>
              <w:pStyle w:val="P68B1DB1-Text126"/>
              <w:spacing w:before="0"/>
              <w:ind w:left="0"/>
              <w:jc w:val="left"/>
              <w:rPr>
                <w:noProof/>
              </w:rPr>
            </w:pPr>
            <w:r>
              <w:rPr>
                <w:noProof/>
              </w:rPr>
              <w:t>Sellaisten digitaali-innovointikeskittymien tukiohjelmasta rahoitettujen toimien ja/tai työpakettien loppuun saattaminen, jotka vastaavat myöntämispäätöksiä vähintään 37590000 euron arvosta. Digitaalinen Eurooppa -ohjelmasta rahoitettavia työpaketteja ei oteta huomioon. Digitaali-innovointikeskittymien tukiohjelma auttaa yrityksiä parantamaan kilpailukykyään parantamalla liiketoiminta- ja tuotantoprosessejaan digitaaliteknologian intensiivisen käytön avulla.</w:t>
            </w:r>
          </w:p>
          <w:p w14:paraId="72888EF3" w14:textId="69C84719" w:rsidR="0065073E" w:rsidRDefault="000A0998">
            <w:pPr>
              <w:pStyle w:val="Text1"/>
              <w:spacing w:before="0"/>
              <w:ind w:left="0"/>
              <w:jc w:val="left"/>
              <w:rPr>
                <w:rFonts w:ascii="Times New Roman" w:hAnsi="Times New Roman" w:cs="Times New Roman"/>
                <w:noProof/>
                <w:sz w:val="18"/>
              </w:rPr>
            </w:pPr>
            <w:r w:rsidRPr="00000782">
              <w:rPr>
                <w:rFonts w:ascii="Times New Roman" w:hAnsi="Times New Roman" w:cs="Times New Roman"/>
                <w:noProof/>
                <w:sz w:val="18"/>
                <w:szCs w:val="18"/>
              </w:rPr>
              <w:t>Edellisten ohjelmien ja digitaali-innovointikeskittymien tukiohjelman</w:t>
            </w:r>
            <w:r w:rsidR="00000782">
              <w:rPr>
                <w:rFonts w:ascii="Times New Roman" w:hAnsi="Times New Roman" w:cs="Times New Roman"/>
                <w:noProof/>
                <w:sz w:val="18"/>
                <w:szCs w:val="18"/>
              </w:rPr>
              <w:t xml:space="preserve"> </w:t>
            </w:r>
            <w:r w:rsidRPr="00000782">
              <w:rPr>
                <w:rFonts w:ascii="Times New Roman" w:hAnsi="Times New Roman" w:cs="Times New Roman"/>
                <w:noProof/>
                <w:sz w:val="18"/>
                <w:szCs w:val="18"/>
              </w:rPr>
              <w:t>e</w:t>
            </w:r>
            <w:r>
              <w:rPr>
                <w:rFonts w:ascii="Times New Roman" w:hAnsi="Times New Roman"/>
                <w:noProof/>
                <w:sz w:val="18"/>
              </w:rPr>
              <w:t xml:space="preserve">hdotuspyynnöissä on oltava tukikelpoisuusperusteet, joilla varmistetaan, että valitut hankkeet ovat ”ei merkittävää haittaa” -periaatteen mukaisten teknisten ohjeiden (2021/C58/01) mukaisia, käyttämällä poissulkemisluetteloa ja vaatimusta asiaankuuluvan EU:n ja kansallisen ympäristölainsäädännön noudattamisesta. </w:t>
            </w:r>
            <w:r>
              <w:rPr>
                <w:noProof/>
              </w:rPr>
              <w:t></w:t>
            </w:r>
            <w:r>
              <w:rPr>
                <w:noProof/>
              </w:rPr>
              <w:br/>
            </w:r>
          </w:p>
        </w:tc>
      </w:tr>
      <w:tr w:rsidR="0065073E" w14:paraId="7B45DF80" w14:textId="77777777">
        <w:trPr>
          <w:trHeight w:val="309"/>
        </w:trPr>
        <w:tc>
          <w:tcPr>
            <w:tcW w:w="709" w:type="dxa"/>
            <w:shd w:val="clear" w:color="auto" w:fill="C6EFCE"/>
            <w:noWrap/>
          </w:tcPr>
          <w:p w14:paraId="7EEE0241" w14:textId="77777777" w:rsidR="0065073E" w:rsidRDefault="000A0998">
            <w:pPr>
              <w:pStyle w:val="P68B1DB1-Normal12"/>
              <w:spacing w:after="0" w:line="240" w:lineRule="auto"/>
              <w:jc w:val="center"/>
              <w:rPr>
                <w:rFonts w:eastAsia="Times New Roman" w:cs="Times New Roman"/>
                <w:noProof/>
              </w:rPr>
            </w:pPr>
            <w:r>
              <w:rPr>
                <w:noProof/>
              </w:rPr>
              <w:t>210</w:t>
            </w:r>
          </w:p>
        </w:tc>
        <w:tc>
          <w:tcPr>
            <w:tcW w:w="851" w:type="dxa"/>
            <w:shd w:val="clear" w:color="auto" w:fill="C6EFCE"/>
            <w:noWrap/>
          </w:tcPr>
          <w:p w14:paraId="0BD986CE" w14:textId="77777777" w:rsidR="0065073E" w:rsidRDefault="000A0998">
            <w:pPr>
              <w:pStyle w:val="P68B1DB1-Normal12"/>
              <w:spacing w:after="0" w:line="240" w:lineRule="auto"/>
              <w:jc w:val="center"/>
              <w:rPr>
                <w:rFonts w:eastAsia="Times New Roman" w:cs="Times New Roman"/>
                <w:noProof/>
              </w:rPr>
            </w:pPr>
            <w:r>
              <w:rPr>
                <w:noProof/>
              </w:rPr>
              <w:t>C13.I4</w:t>
            </w:r>
          </w:p>
        </w:tc>
        <w:tc>
          <w:tcPr>
            <w:tcW w:w="850" w:type="dxa"/>
            <w:shd w:val="clear" w:color="auto" w:fill="C6EFCE"/>
            <w:noWrap/>
          </w:tcPr>
          <w:p w14:paraId="331544CF"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51FD86F9" w14:textId="77777777" w:rsidR="0065073E" w:rsidRDefault="000A0998">
            <w:pPr>
              <w:pStyle w:val="P68B1DB1-Normal12"/>
              <w:spacing w:after="0" w:line="240" w:lineRule="auto"/>
              <w:rPr>
                <w:rFonts w:eastAsia="Times New Roman" w:cs="Times New Roman"/>
                <w:noProof/>
              </w:rPr>
            </w:pPr>
            <w:r>
              <w:rPr>
                <w:noProof/>
              </w:rPr>
              <w:t>Pk-yritykset ja elinkeinoelämän järjestöt, jotka ovat saaneet tukea teknologiarahastosta</w:t>
            </w:r>
          </w:p>
        </w:tc>
        <w:tc>
          <w:tcPr>
            <w:tcW w:w="1134" w:type="dxa"/>
            <w:shd w:val="clear" w:color="auto" w:fill="C6EFCE"/>
            <w:noWrap/>
          </w:tcPr>
          <w:p w14:paraId="062FED21"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7A8C953"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21407A27"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19AED87" w14:textId="77777777" w:rsidR="0065073E" w:rsidRDefault="000A0998">
            <w:pPr>
              <w:pStyle w:val="P68B1DB1-Normal12"/>
              <w:spacing w:after="0" w:line="240" w:lineRule="auto"/>
              <w:jc w:val="right"/>
              <w:rPr>
                <w:rFonts w:eastAsia="Times New Roman" w:cs="Times New Roman"/>
                <w:noProof/>
              </w:rPr>
            </w:pPr>
            <w:r>
              <w:rPr>
                <w:noProof/>
              </w:rPr>
              <w:t>200</w:t>
            </w:r>
          </w:p>
        </w:tc>
        <w:tc>
          <w:tcPr>
            <w:tcW w:w="567" w:type="dxa"/>
            <w:shd w:val="clear" w:color="auto" w:fill="C6EFCE"/>
            <w:noWrap/>
          </w:tcPr>
          <w:p w14:paraId="6F973932"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177A153F"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662" w:type="dxa"/>
            <w:shd w:val="clear" w:color="auto" w:fill="C6EFCE"/>
            <w:noWrap/>
          </w:tcPr>
          <w:p w14:paraId="418DE2E2" w14:textId="38AA0029"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Vähintään 200 kaupallisen alan pk-yritystä tai liike-elämän järjestöä, jotka ovat saaneet avustusta teknologiarahastosta ”ei merkittävää haittaa” -periaatetta koskevien teknisten ohjeiden (2021/C58/01) mukaisesti käyttämällä poissulkemisluetteloa ja vaatimusta asiaa koskevan EU:n ja kansallisen ympäristölainsäädännön noudattamisesta. </w:t>
            </w:r>
            <w:r>
              <w:rPr>
                <w:noProof/>
              </w:rPr>
              <w:t xml:space="preserve"> </w:t>
            </w:r>
            <w:r>
              <w:rPr>
                <w:noProof/>
              </w:rPr>
              <w:br/>
            </w:r>
            <w:r>
              <w:rPr>
                <w:rFonts w:ascii="Times New Roman" w:hAnsi="Times New Roman"/>
                <w:noProof/>
                <w:sz w:val="18"/>
              </w:rPr>
              <w:t>Pienimuotoisen kaupan alan hankkeet, joiden tavoitteena on ottaa käyttöön uutta teknologiaa, jonka avulla paikallinen kauppa pystyy vastaamaan uusiin kulutustottumuksiin. Hankkeet rahoitetaan ”teknologiarahastosta” (200 hanketta). Tämän rahaston tukikelpoisia hankkeita ovat muun muassa seuraavat:</w:t>
            </w:r>
            <w:r>
              <w:rPr>
                <w:noProof/>
              </w:rPr>
              <w:t xml:space="preserve"> </w:t>
            </w:r>
            <w:r>
              <w:rPr>
                <w:noProof/>
              </w:rPr>
              <w:br/>
            </w:r>
            <w:r>
              <w:rPr>
                <w:rFonts w:ascii="Times New Roman" w:hAnsi="Times New Roman"/>
                <w:noProof/>
                <w:sz w:val="18"/>
              </w:rPr>
              <w:t>a. Uusia teknologioita koskevat hankkeet, joilla pyritään parantamaan verkkokauppa- ja viestintästrategiaa, liiketoimintamalleja tai ostoskokemusta.</w:t>
            </w:r>
            <w:r>
              <w:rPr>
                <w:noProof/>
              </w:rPr>
              <w:t xml:space="preserve"> </w:t>
            </w:r>
            <w:r>
              <w:rPr>
                <w:noProof/>
              </w:rPr>
              <w:br/>
            </w:r>
            <w:r>
              <w:rPr>
                <w:rFonts w:ascii="Times New Roman" w:hAnsi="Times New Roman"/>
                <w:noProof/>
                <w:sz w:val="18"/>
              </w:rPr>
              <w:t>b. Uusia teknologioita koskevat hankkeet, joilla mukautetaan fyysiset ostoskokemukset kuluttajien uusiin tarpeisiin ja tottumuksiin sekä uusiin hallintamalleihin.</w:t>
            </w:r>
            <w:r>
              <w:rPr>
                <w:noProof/>
              </w:rPr>
              <w:t xml:space="preserve"> </w:t>
            </w:r>
            <w:r>
              <w:rPr>
                <w:noProof/>
              </w:rPr>
              <w:br/>
            </w:r>
            <w:r>
              <w:rPr>
                <w:rFonts w:ascii="Times New Roman" w:hAnsi="Times New Roman"/>
                <w:noProof/>
                <w:sz w:val="18"/>
              </w:rPr>
              <w:t>C. Hankkeet teknologisten ratkaisujen löytämiseksi logistiikan viimeisen vaiheen tehokkuuden ja kestävyyden parantamiseksi.</w:t>
            </w:r>
            <w:r>
              <w:rPr>
                <w:noProof/>
              </w:rPr>
              <w:t xml:space="preserve"> </w:t>
            </w:r>
            <w:r>
              <w:rPr>
                <w:noProof/>
              </w:rPr>
              <w:br/>
            </w:r>
            <w:r>
              <w:rPr>
                <w:rFonts w:ascii="Times New Roman" w:hAnsi="Times New Roman"/>
                <w:noProof/>
                <w:sz w:val="18"/>
              </w:rPr>
              <w:t xml:space="preserve">d. Energia- ja resurssitehokkuuden parantamiseen tähtäävien teknologisten ratkaisujen täytäntöönpanohankkeet. </w:t>
            </w:r>
            <w:r>
              <w:rPr>
                <w:noProof/>
              </w:rPr>
              <w:t xml:space="preserve"> </w:t>
            </w:r>
            <w:r>
              <w:rPr>
                <w:noProof/>
              </w:rPr>
              <w:br/>
            </w:r>
            <w:r>
              <w:rPr>
                <w:rFonts w:ascii="Times New Roman" w:hAnsi="Times New Roman"/>
                <w:noProof/>
                <w:sz w:val="18"/>
              </w:rPr>
              <w:t>Investointia täydennetään perustamalla digitaalinen alusta (</w:t>
            </w:r>
            <w:r>
              <w:rPr>
                <w:rFonts w:ascii="Times New Roman" w:hAnsi="Times New Roman"/>
                <w:i/>
                <w:noProof/>
                <w:sz w:val="18"/>
              </w:rPr>
              <w:t>Plataforma Comercio Conectado)</w:t>
            </w:r>
            <w:r>
              <w:rPr>
                <w:rFonts w:ascii="Times New Roman" w:hAnsi="Times New Roman"/>
                <w:noProof/>
                <w:sz w:val="18"/>
              </w:rPr>
              <w:t xml:space="preserve">, jolla edistetään alan digitalisaatiota. </w:t>
            </w:r>
          </w:p>
        </w:tc>
      </w:tr>
      <w:tr w:rsidR="0065073E" w14:paraId="008B24B2" w14:textId="77777777">
        <w:trPr>
          <w:trHeight w:val="309"/>
        </w:trPr>
        <w:tc>
          <w:tcPr>
            <w:tcW w:w="709" w:type="dxa"/>
            <w:shd w:val="clear" w:color="auto" w:fill="C6EFCE"/>
            <w:noWrap/>
          </w:tcPr>
          <w:p w14:paraId="429C24D1" w14:textId="77777777" w:rsidR="0065073E" w:rsidRDefault="000A0998">
            <w:pPr>
              <w:pStyle w:val="P68B1DB1-Normal12"/>
              <w:spacing w:after="0" w:line="240" w:lineRule="auto"/>
              <w:jc w:val="center"/>
              <w:rPr>
                <w:rFonts w:eastAsia="Times New Roman" w:cs="Times New Roman"/>
                <w:noProof/>
              </w:rPr>
            </w:pPr>
            <w:r>
              <w:rPr>
                <w:noProof/>
              </w:rPr>
              <w:t>211</w:t>
            </w:r>
          </w:p>
        </w:tc>
        <w:tc>
          <w:tcPr>
            <w:tcW w:w="851" w:type="dxa"/>
            <w:shd w:val="clear" w:color="auto" w:fill="C6EFCE"/>
            <w:noWrap/>
          </w:tcPr>
          <w:p w14:paraId="7B3D2E61" w14:textId="77777777" w:rsidR="0065073E" w:rsidRDefault="000A0998">
            <w:pPr>
              <w:pStyle w:val="P68B1DB1-Normal12"/>
              <w:spacing w:after="0" w:line="240" w:lineRule="auto"/>
              <w:jc w:val="center"/>
              <w:rPr>
                <w:rFonts w:eastAsia="Times New Roman" w:cs="Times New Roman"/>
                <w:noProof/>
              </w:rPr>
            </w:pPr>
            <w:r>
              <w:rPr>
                <w:noProof/>
              </w:rPr>
              <w:t>C13.I4</w:t>
            </w:r>
          </w:p>
        </w:tc>
        <w:tc>
          <w:tcPr>
            <w:tcW w:w="850" w:type="dxa"/>
            <w:shd w:val="clear" w:color="auto" w:fill="C6EFCE"/>
            <w:noWrap/>
          </w:tcPr>
          <w:p w14:paraId="752931E0"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486B5B48" w14:textId="77777777" w:rsidR="0065073E" w:rsidRDefault="000A0998">
            <w:pPr>
              <w:pStyle w:val="P68B1DB1-Normal12"/>
              <w:spacing w:after="0" w:line="240" w:lineRule="auto"/>
              <w:rPr>
                <w:rFonts w:eastAsia="Times New Roman" w:cs="Times New Roman"/>
                <w:noProof/>
              </w:rPr>
            </w:pPr>
            <w:r>
              <w:rPr>
                <w:noProof/>
              </w:rPr>
              <w:t>Kuntamarkkinoiden tai kauppa-alueiden nykyaikaistamistoimet</w:t>
            </w:r>
          </w:p>
        </w:tc>
        <w:tc>
          <w:tcPr>
            <w:tcW w:w="1134" w:type="dxa"/>
            <w:shd w:val="clear" w:color="auto" w:fill="C6EFCE"/>
            <w:noWrap/>
          </w:tcPr>
          <w:p w14:paraId="5999AB34"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7749BFC1"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634E5575"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F315D91" w14:textId="77777777" w:rsidR="0065073E" w:rsidRDefault="000A0998">
            <w:pPr>
              <w:pStyle w:val="P68B1DB1-Normal12"/>
              <w:spacing w:after="0" w:line="240" w:lineRule="auto"/>
              <w:jc w:val="right"/>
              <w:rPr>
                <w:rFonts w:eastAsia="Times New Roman" w:cs="Times New Roman"/>
                <w:noProof/>
              </w:rPr>
            </w:pPr>
            <w:r>
              <w:rPr>
                <w:noProof/>
              </w:rPr>
              <w:t>30</w:t>
            </w:r>
          </w:p>
        </w:tc>
        <w:tc>
          <w:tcPr>
            <w:tcW w:w="567" w:type="dxa"/>
            <w:shd w:val="clear" w:color="auto" w:fill="C6EFCE"/>
            <w:noWrap/>
          </w:tcPr>
          <w:p w14:paraId="33DF6B61"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1D272AB4" w14:textId="77777777" w:rsidR="0065073E" w:rsidRDefault="000A0998">
            <w:pPr>
              <w:pStyle w:val="P68B1DB1-Normal12"/>
              <w:spacing w:after="0" w:line="240" w:lineRule="auto"/>
              <w:jc w:val="center"/>
              <w:rPr>
                <w:rFonts w:eastAsia="Times New Roman" w:cs="Times New Roman"/>
                <w:noProof/>
              </w:rPr>
            </w:pPr>
            <w:r>
              <w:rPr>
                <w:noProof/>
              </w:rPr>
              <w:t>2024</w:t>
            </w:r>
          </w:p>
        </w:tc>
        <w:tc>
          <w:tcPr>
            <w:tcW w:w="6662" w:type="dxa"/>
            <w:shd w:val="clear" w:color="auto" w:fill="C6EFCE"/>
            <w:noWrap/>
          </w:tcPr>
          <w:p w14:paraId="029DF34B"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Vähintään 30 nykyaikaistamistointa on saatettu päätökseen kunnallisilla markkinoilla tai kaupallisilla alueilla ”ei merkittävää haittaa” -periaatetta koskevien teknisten ohjeiden (2021/C58/01) mukaisesti käyttämällä poissulkemisluetteloa ja edellyttämällä asiaa koskevan EU:n ja kansallisen ympäristölainsäädännön noudattamista.</w:t>
            </w:r>
            <w:r>
              <w:rPr>
                <w:noProof/>
              </w:rPr>
              <w:t xml:space="preserve"> </w:t>
            </w:r>
            <w:r>
              <w:rPr>
                <w:noProof/>
              </w:rPr>
              <w:br/>
            </w:r>
            <w:r>
              <w:rPr>
                <w:rFonts w:ascii="Times New Roman" w:hAnsi="Times New Roman"/>
                <w:noProof/>
                <w:sz w:val="18"/>
              </w:rPr>
              <w:t xml:space="preserve">Paikallisviranomaisten esittämät hankkeet, joilla pyritään parantamaan kunnallisten markkinoiden, kauppa-alueiden, kiertämättömien myyntimarkkinoiden ja lyhyiden markkinointikanavien nykyaikaistamista osana ”Kestävät markkinat” -ohjelmaa (30 hanketta). Ohjelman tukikelpoisia hankkeita ovat muun muassa seuraavat: </w:t>
            </w:r>
            <w:r>
              <w:rPr>
                <w:noProof/>
              </w:rPr>
              <w:t xml:space="preserve"> </w:t>
            </w:r>
            <w:r>
              <w:rPr>
                <w:noProof/>
              </w:rPr>
              <w:br/>
            </w:r>
            <w:r>
              <w:rPr>
                <w:rFonts w:ascii="Times New Roman" w:hAnsi="Times New Roman"/>
                <w:noProof/>
                <w:sz w:val="18"/>
              </w:rPr>
              <w:t>a. Hankkeet, jotka koskevat massadataan tai muuhun teknologiaan perustuvien asiakastietovälineiden käyttöönottoa.</w:t>
            </w:r>
            <w:r>
              <w:rPr>
                <w:noProof/>
              </w:rPr>
              <w:t xml:space="preserve"> </w:t>
            </w:r>
            <w:r>
              <w:rPr>
                <w:noProof/>
              </w:rPr>
              <w:br/>
            </w:r>
            <w:r>
              <w:rPr>
                <w:rFonts w:ascii="Times New Roman" w:hAnsi="Times New Roman"/>
                <w:noProof/>
                <w:sz w:val="18"/>
              </w:rPr>
              <w:t xml:space="preserve"> b. Markkinoiden digitalisaatioon liittyvät hankkeet, joilla parannetaan markkinapaikkoja ja ostoskokemusta.</w:t>
            </w:r>
            <w:r>
              <w:rPr>
                <w:noProof/>
              </w:rPr>
              <w:t xml:space="preserve"> </w:t>
            </w:r>
            <w:r>
              <w:rPr>
                <w:noProof/>
              </w:rPr>
              <w:br/>
            </w:r>
            <w:r>
              <w:rPr>
                <w:rFonts w:ascii="Times New Roman" w:hAnsi="Times New Roman"/>
                <w:noProof/>
                <w:sz w:val="18"/>
              </w:rPr>
              <w:t xml:space="preserve"> C. Hankkeet, joilla tähdätään katukaupan ja lyhyiden markkinointikanavien digitalisaatioon.</w:t>
            </w:r>
            <w:r>
              <w:rPr>
                <w:noProof/>
              </w:rPr>
              <w:t xml:space="preserve"> </w:t>
            </w:r>
            <w:r>
              <w:rPr>
                <w:noProof/>
              </w:rPr>
              <w:br/>
            </w:r>
            <w:r>
              <w:rPr>
                <w:rFonts w:ascii="Times New Roman" w:hAnsi="Times New Roman"/>
                <w:noProof/>
                <w:sz w:val="18"/>
              </w:rPr>
              <w:t xml:space="preserve"> d. Hankkeet, jotka koskevat rakennustöitä ja kunnostustöitä, joiden tarkoituksena on parantaa kunnallisten markkinoiden, kauppa-alueiden ja muiden kuin kylpylämarkkinoiden ja niiden vierekkäisten alueiden tiloja, niiden saavutettavuutta, laitteistoja ja riittävyyttä.</w:t>
            </w:r>
            <w:r>
              <w:rPr>
                <w:noProof/>
              </w:rPr>
              <w:t xml:space="preserve"> </w:t>
            </w:r>
            <w:r>
              <w:rPr>
                <w:noProof/>
              </w:rPr>
              <w:br/>
            </w:r>
            <w:r>
              <w:rPr>
                <w:rFonts w:ascii="Times New Roman" w:hAnsi="Times New Roman"/>
                <w:noProof/>
                <w:sz w:val="18"/>
              </w:rPr>
              <w:t xml:space="preserve"> e. Hankkeet, joilla vähennetään tuotantopanosten kulutusta kaupassa ja korvataan ne ympäristöystävällisillä vaihtoehdoilla.</w:t>
            </w:r>
            <w:r>
              <w:rPr>
                <w:noProof/>
              </w:rPr>
              <w:t xml:space="preserve"> </w:t>
            </w:r>
            <w:r>
              <w:rPr>
                <w:noProof/>
              </w:rPr>
              <w:br/>
            </w:r>
            <w:r>
              <w:rPr>
                <w:rFonts w:ascii="Times New Roman" w:hAnsi="Times New Roman"/>
                <w:noProof/>
                <w:sz w:val="18"/>
              </w:rPr>
              <w:t xml:space="preserve"> F. Älykkäiden jakelupisteiden asentaminen.</w:t>
            </w:r>
            <w:r>
              <w:rPr>
                <w:noProof/>
              </w:rPr>
              <w:t xml:space="preserve"> </w:t>
            </w:r>
            <w:r>
              <w:rPr>
                <w:noProof/>
              </w:rPr>
              <w:br/>
            </w:r>
            <w:r>
              <w:rPr>
                <w:rFonts w:ascii="Times New Roman" w:hAnsi="Times New Roman"/>
                <w:noProof/>
                <w:sz w:val="18"/>
              </w:rPr>
              <w:t xml:space="preserve"> g. Hankkeet, joilla parannetaan kunnallisten markkinoiden, kauppa-alueiden ja kiertämättömien myyntimarkkinoiden energiatehokkuutta.</w:t>
            </w:r>
            <w:r>
              <w:rPr>
                <w:noProof/>
              </w:rPr>
              <w:t xml:space="preserve"> </w:t>
            </w:r>
            <w:r>
              <w:rPr>
                <w:noProof/>
              </w:rPr>
              <w:br/>
            </w:r>
            <w:r>
              <w:rPr>
                <w:rFonts w:ascii="Times New Roman" w:hAnsi="Times New Roman"/>
                <w:noProof/>
                <w:sz w:val="18"/>
              </w:rPr>
              <w:t xml:space="preserve"> H. Toimet, joilla edistetään jätteiden kierrätystä tai uudelleenkäyttöä.</w:t>
            </w:r>
            <w:r>
              <w:rPr>
                <w:noProof/>
              </w:rPr>
              <w:t xml:space="preserve"> </w:t>
            </w:r>
            <w:r>
              <w:rPr>
                <w:noProof/>
              </w:rPr>
              <w:br/>
            </w:r>
            <w:r>
              <w:rPr>
                <w:rFonts w:ascii="Times New Roman" w:hAnsi="Times New Roman"/>
                <w:noProof/>
                <w:sz w:val="18"/>
              </w:rPr>
              <w:t xml:space="preserve"> I. Valistus ja koulutus kunnallisten markkinoiden, kauppa-alueiden ja kiertämättömien myyntimarkkinoiden teknologisista taidoista.</w:t>
            </w:r>
          </w:p>
        </w:tc>
      </w:tr>
      <w:tr w:rsidR="0065073E" w14:paraId="039FAF56" w14:textId="77777777">
        <w:trPr>
          <w:trHeight w:val="309"/>
        </w:trPr>
        <w:tc>
          <w:tcPr>
            <w:tcW w:w="709" w:type="dxa"/>
            <w:shd w:val="clear" w:color="auto" w:fill="C6EFCE"/>
            <w:noWrap/>
          </w:tcPr>
          <w:p w14:paraId="750B66BA" w14:textId="77777777" w:rsidR="0065073E" w:rsidRDefault="000A0998">
            <w:pPr>
              <w:pStyle w:val="P68B1DB1-Normal12"/>
              <w:spacing w:after="0" w:line="240" w:lineRule="auto"/>
              <w:jc w:val="center"/>
              <w:rPr>
                <w:rFonts w:eastAsia="Times New Roman" w:cs="Times New Roman"/>
                <w:noProof/>
              </w:rPr>
            </w:pPr>
            <w:r>
              <w:rPr>
                <w:noProof/>
              </w:rPr>
              <w:t>212</w:t>
            </w:r>
          </w:p>
        </w:tc>
        <w:tc>
          <w:tcPr>
            <w:tcW w:w="851" w:type="dxa"/>
            <w:shd w:val="clear" w:color="auto" w:fill="C6EFCE"/>
            <w:noWrap/>
          </w:tcPr>
          <w:p w14:paraId="5170E8E5" w14:textId="77777777" w:rsidR="0065073E" w:rsidRDefault="000A0998">
            <w:pPr>
              <w:pStyle w:val="P68B1DB1-Normal12"/>
              <w:spacing w:after="0" w:line="240" w:lineRule="auto"/>
              <w:jc w:val="center"/>
              <w:rPr>
                <w:rFonts w:eastAsia="Times New Roman" w:cs="Times New Roman"/>
                <w:noProof/>
              </w:rPr>
            </w:pPr>
            <w:r>
              <w:rPr>
                <w:noProof/>
              </w:rPr>
              <w:t>C13.I4</w:t>
            </w:r>
          </w:p>
        </w:tc>
        <w:tc>
          <w:tcPr>
            <w:tcW w:w="850" w:type="dxa"/>
            <w:shd w:val="clear" w:color="auto" w:fill="C6EFCE"/>
            <w:noWrap/>
          </w:tcPr>
          <w:p w14:paraId="73A3859C"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6349AB81" w14:textId="77777777" w:rsidR="0065073E" w:rsidRDefault="000A0998">
            <w:pPr>
              <w:pStyle w:val="P68B1DB1-Normal12"/>
              <w:spacing w:after="0" w:line="240" w:lineRule="auto"/>
              <w:rPr>
                <w:rFonts w:eastAsia="Times New Roman" w:cs="Times New Roman"/>
                <w:noProof/>
              </w:rPr>
            </w:pPr>
            <w:r>
              <w:rPr>
                <w:noProof/>
              </w:rPr>
              <w:t>Markkinainfrastruktuurin nykyaikaistaminen pienissä kunnissa</w:t>
            </w:r>
          </w:p>
        </w:tc>
        <w:tc>
          <w:tcPr>
            <w:tcW w:w="1134" w:type="dxa"/>
            <w:shd w:val="clear" w:color="auto" w:fill="C6EFCE"/>
            <w:noWrap/>
          </w:tcPr>
          <w:p w14:paraId="1C455B31"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2BC82CC9"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396AE786"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540C49D" w14:textId="77777777" w:rsidR="0065073E" w:rsidRDefault="000A0998">
            <w:pPr>
              <w:pStyle w:val="P68B1DB1-Normal12"/>
              <w:spacing w:after="0" w:line="240" w:lineRule="auto"/>
              <w:jc w:val="right"/>
              <w:rPr>
                <w:rFonts w:eastAsia="Times New Roman" w:cs="Times New Roman"/>
                <w:noProof/>
              </w:rPr>
            </w:pPr>
            <w:r>
              <w:rPr>
                <w:noProof/>
              </w:rPr>
              <w:t>100</w:t>
            </w:r>
          </w:p>
        </w:tc>
        <w:tc>
          <w:tcPr>
            <w:tcW w:w="567" w:type="dxa"/>
            <w:shd w:val="clear" w:color="auto" w:fill="C6EFCE"/>
            <w:noWrap/>
          </w:tcPr>
          <w:p w14:paraId="30C39912"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5AD41FCE" w14:textId="77777777" w:rsidR="0065073E" w:rsidRDefault="000A0998">
            <w:pPr>
              <w:pStyle w:val="P68B1DB1-Normal12"/>
              <w:spacing w:after="0" w:line="240" w:lineRule="auto"/>
              <w:jc w:val="center"/>
              <w:rPr>
                <w:rFonts w:eastAsia="Times New Roman" w:cs="Times New Roman"/>
                <w:noProof/>
              </w:rPr>
            </w:pPr>
            <w:r>
              <w:rPr>
                <w:noProof/>
              </w:rPr>
              <w:t>2024</w:t>
            </w:r>
          </w:p>
        </w:tc>
        <w:tc>
          <w:tcPr>
            <w:tcW w:w="6662" w:type="dxa"/>
            <w:shd w:val="clear" w:color="auto" w:fill="C6EFCE"/>
            <w:noWrap/>
          </w:tcPr>
          <w:p w14:paraId="16D4FAA1" w14:textId="4F896182"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Vähintään 100 sai päätökseen markkinainfrastruktuurin nykyaikaistamista koskevan toimen hyväksymisen ja käynnistämisen pienissä kunnissa ”ei merkittävää haittaa” -periaatetta koskevien teknisten ohjeiden (2021/C58/01) mukaisesti käyttämällä poissulkemisluetteloa ja edellyttämällä asiaa koskevan EU:n ja kansallisen ympäristölainsäädännön noudattamista.</w:t>
            </w:r>
            <w:r>
              <w:rPr>
                <w:noProof/>
              </w:rPr>
              <w:t xml:space="preserve"> </w:t>
            </w:r>
            <w:r>
              <w:rPr>
                <w:noProof/>
              </w:rPr>
              <w:br/>
            </w:r>
            <w:r>
              <w:rPr>
                <w:rFonts w:ascii="Times New Roman" w:hAnsi="Times New Roman"/>
                <w:noProof/>
                <w:sz w:val="18"/>
              </w:rPr>
              <w:t xml:space="preserve">Ohjelman tukikelpoisia hankkeita ovat muun muassa seuraavat: </w:t>
            </w:r>
            <w:r>
              <w:rPr>
                <w:noProof/>
              </w:rPr>
              <w:t xml:space="preserve"> </w:t>
            </w:r>
            <w:r>
              <w:rPr>
                <w:noProof/>
              </w:rPr>
              <w:br/>
            </w:r>
            <w:r>
              <w:rPr>
                <w:rFonts w:ascii="Times New Roman" w:hAnsi="Times New Roman"/>
                <w:noProof/>
                <w:sz w:val="18"/>
              </w:rPr>
              <w:t xml:space="preserve"> a. Hankkeet, jotka koskevat massadataan tai muuhun teknologiaan perustuvien asiakastietovälineiden käyttöönottoa.</w:t>
            </w:r>
            <w:r>
              <w:rPr>
                <w:noProof/>
              </w:rPr>
              <w:t xml:space="preserve"> </w:t>
            </w:r>
            <w:r>
              <w:rPr>
                <w:noProof/>
              </w:rPr>
              <w:br/>
            </w:r>
            <w:r>
              <w:rPr>
                <w:rFonts w:ascii="Times New Roman" w:hAnsi="Times New Roman"/>
                <w:noProof/>
                <w:sz w:val="18"/>
              </w:rPr>
              <w:t xml:space="preserve"> b. Markkinoiden digitalisaatioon liittyvät hankkeet, joilla parannetaan markkinapaikkoja ja ostoskokemusta.</w:t>
            </w:r>
            <w:r>
              <w:rPr>
                <w:noProof/>
              </w:rPr>
              <w:t xml:space="preserve"> </w:t>
            </w:r>
            <w:r>
              <w:rPr>
                <w:noProof/>
              </w:rPr>
              <w:br/>
            </w:r>
            <w:r>
              <w:rPr>
                <w:rFonts w:ascii="Times New Roman" w:hAnsi="Times New Roman"/>
                <w:noProof/>
                <w:sz w:val="18"/>
              </w:rPr>
              <w:t xml:space="preserve"> C. Hankkeet, joilla tähdätään katukaupan ja lyhyiden markkinointikanavien digitalisaatioon.</w:t>
            </w:r>
            <w:r>
              <w:rPr>
                <w:noProof/>
              </w:rPr>
              <w:t xml:space="preserve"> </w:t>
            </w:r>
            <w:r>
              <w:rPr>
                <w:noProof/>
              </w:rPr>
              <w:br/>
            </w:r>
            <w:r>
              <w:rPr>
                <w:rFonts w:ascii="Times New Roman" w:hAnsi="Times New Roman"/>
                <w:noProof/>
                <w:sz w:val="18"/>
              </w:rPr>
              <w:t xml:space="preserve"> d. Hankkeet, jotka koskevat rakennustöitä ja kunnostustöitä, joiden tarkoituksena on parantaa kunnallisten markkinoiden, kauppa-alueiden ja muiden kuin kylpylämarkkinoiden ja niiden vierekkäisten alueiden tiloja, niiden saavutettavuutta, laitteistoja ja riittävyyttä.</w:t>
            </w:r>
            <w:r>
              <w:rPr>
                <w:noProof/>
              </w:rPr>
              <w:t xml:space="preserve"> </w:t>
            </w:r>
            <w:r>
              <w:rPr>
                <w:noProof/>
              </w:rPr>
              <w:br/>
            </w:r>
            <w:r>
              <w:rPr>
                <w:rFonts w:ascii="Times New Roman" w:hAnsi="Times New Roman"/>
                <w:noProof/>
                <w:sz w:val="18"/>
              </w:rPr>
              <w:t xml:space="preserve"> e. Hankkeet, joilla vähennetään tuotantopanosten kulutusta kaupassa ja korvataan ne ympäristöystävällisillä vaihtoehdoilla.</w:t>
            </w:r>
            <w:r>
              <w:rPr>
                <w:noProof/>
              </w:rPr>
              <w:t xml:space="preserve"> </w:t>
            </w:r>
            <w:r>
              <w:rPr>
                <w:noProof/>
              </w:rPr>
              <w:br/>
            </w:r>
            <w:r>
              <w:rPr>
                <w:rFonts w:ascii="Times New Roman" w:hAnsi="Times New Roman"/>
                <w:noProof/>
                <w:sz w:val="18"/>
              </w:rPr>
              <w:t xml:space="preserve"> F. Älykkäiden jakelupisteiden asentaminen.</w:t>
            </w:r>
            <w:r>
              <w:rPr>
                <w:noProof/>
              </w:rPr>
              <w:t xml:space="preserve"> </w:t>
            </w:r>
            <w:r>
              <w:rPr>
                <w:noProof/>
              </w:rPr>
              <w:br/>
            </w:r>
            <w:r>
              <w:rPr>
                <w:rFonts w:ascii="Times New Roman" w:hAnsi="Times New Roman"/>
                <w:noProof/>
                <w:sz w:val="18"/>
              </w:rPr>
              <w:t xml:space="preserve"> g. Hankkeet, joilla parannetaan kunnallisten markkinoiden, kauppa-alueiden ja kiertämättömien myyntimarkkinoiden energiatehokkuutta.</w:t>
            </w:r>
            <w:r>
              <w:rPr>
                <w:noProof/>
              </w:rPr>
              <w:t xml:space="preserve"> </w:t>
            </w:r>
            <w:r>
              <w:rPr>
                <w:noProof/>
              </w:rPr>
              <w:br/>
            </w:r>
            <w:r>
              <w:rPr>
                <w:rFonts w:ascii="Times New Roman" w:hAnsi="Times New Roman"/>
                <w:noProof/>
                <w:sz w:val="18"/>
              </w:rPr>
              <w:t xml:space="preserve"> H. Toimet, joilla edistetään jätteiden kierrätystä tai uudelleenkäyttöä.</w:t>
            </w:r>
            <w:r>
              <w:rPr>
                <w:noProof/>
              </w:rPr>
              <w:t xml:space="preserve"> </w:t>
            </w:r>
            <w:r>
              <w:rPr>
                <w:noProof/>
              </w:rPr>
              <w:br/>
            </w:r>
            <w:r>
              <w:rPr>
                <w:rFonts w:ascii="Times New Roman" w:hAnsi="Times New Roman"/>
                <w:noProof/>
                <w:sz w:val="18"/>
              </w:rPr>
              <w:t xml:space="preserve"> I. Valistus ja koulutus kunnallisten markkinoiden, kauppa-alueiden ja kiertämättömien myyntimarkkinoiden teknologisista taidoista.</w:t>
            </w:r>
          </w:p>
        </w:tc>
      </w:tr>
      <w:tr w:rsidR="0065073E" w14:paraId="61292C9B" w14:textId="77777777">
        <w:trPr>
          <w:trHeight w:val="309"/>
        </w:trPr>
        <w:tc>
          <w:tcPr>
            <w:tcW w:w="709" w:type="dxa"/>
            <w:shd w:val="clear" w:color="auto" w:fill="C6EFCE"/>
            <w:noWrap/>
          </w:tcPr>
          <w:p w14:paraId="2016163D" w14:textId="77777777" w:rsidR="0065073E" w:rsidRDefault="000A0998">
            <w:pPr>
              <w:pStyle w:val="P68B1DB1-Normal12"/>
              <w:spacing w:after="0" w:line="240" w:lineRule="auto"/>
              <w:jc w:val="center"/>
              <w:rPr>
                <w:rFonts w:eastAsia="Times New Roman" w:cs="Times New Roman"/>
                <w:noProof/>
              </w:rPr>
            </w:pPr>
            <w:r>
              <w:rPr>
                <w:noProof/>
              </w:rPr>
              <w:t>213</w:t>
            </w:r>
          </w:p>
        </w:tc>
        <w:tc>
          <w:tcPr>
            <w:tcW w:w="851" w:type="dxa"/>
            <w:shd w:val="clear" w:color="auto" w:fill="C6EFCE"/>
            <w:noWrap/>
          </w:tcPr>
          <w:p w14:paraId="0A5FEB25" w14:textId="77777777" w:rsidR="0065073E" w:rsidRDefault="000A0998">
            <w:pPr>
              <w:pStyle w:val="P68B1DB1-Normal12"/>
              <w:spacing w:after="0" w:line="240" w:lineRule="auto"/>
              <w:jc w:val="center"/>
              <w:rPr>
                <w:rFonts w:eastAsia="Times New Roman" w:cs="Times New Roman"/>
                <w:noProof/>
              </w:rPr>
            </w:pPr>
            <w:r>
              <w:rPr>
                <w:noProof/>
              </w:rPr>
              <w:t>C13.I5</w:t>
            </w:r>
          </w:p>
        </w:tc>
        <w:tc>
          <w:tcPr>
            <w:tcW w:w="850" w:type="dxa"/>
            <w:shd w:val="clear" w:color="auto" w:fill="C6EFCE"/>
            <w:noWrap/>
          </w:tcPr>
          <w:p w14:paraId="1CCC9AC6" w14:textId="77777777" w:rsidR="0065073E" w:rsidRDefault="000A0998">
            <w:pPr>
              <w:pStyle w:val="P68B1DB1-Normal12"/>
              <w:spacing w:after="0" w:line="240" w:lineRule="auto"/>
              <w:jc w:val="center"/>
              <w:rPr>
                <w:rFonts w:eastAsia="Times New Roman" w:cs="Times New Roman"/>
                <w:noProof/>
              </w:rPr>
            </w:pPr>
            <w:r>
              <w:rPr>
                <w:noProof/>
              </w:rPr>
              <w:t>T</w:t>
            </w:r>
          </w:p>
        </w:tc>
        <w:tc>
          <w:tcPr>
            <w:tcW w:w="1985" w:type="dxa"/>
            <w:shd w:val="clear" w:color="auto" w:fill="C6EFCE"/>
            <w:noWrap/>
          </w:tcPr>
          <w:p w14:paraId="705A5779" w14:textId="77777777" w:rsidR="0065073E" w:rsidRDefault="000A0998">
            <w:pPr>
              <w:pStyle w:val="P68B1DB1-Normal12"/>
              <w:spacing w:after="0" w:line="240" w:lineRule="auto"/>
              <w:rPr>
                <w:rFonts w:eastAsia="Times New Roman" w:cs="Times New Roman"/>
                <w:noProof/>
              </w:rPr>
            </w:pPr>
            <w:r>
              <w:rPr>
                <w:noProof/>
              </w:rPr>
              <w:t>Yritykset, jotka osallistuvat kansainvälistymistä tukeviin hankkeisiin</w:t>
            </w:r>
          </w:p>
        </w:tc>
        <w:tc>
          <w:tcPr>
            <w:tcW w:w="1134" w:type="dxa"/>
            <w:shd w:val="clear" w:color="auto" w:fill="C6EFCE"/>
            <w:noWrap/>
          </w:tcPr>
          <w:p w14:paraId="54DAA9FA"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3B7C0BF"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1B6A52EE"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8FC2B62" w14:textId="77777777" w:rsidR="0065073E" w:rsidRDefault="000A0998">
            <w:pPr>
              <w:pStyle w:val="P68B1DB1-Normal12"/>
              <w:spacing w:after="0" w:line="240" w:lineRule="auto"/>
              <w:jc w:val="right"/>
              <w:rPr>
                <w:rFonts w:eastAsia="Times New Roman" w:cs="Times New Roman"/>
                <w:noProof/>
              </w:rPr>
            </w:pPr>
            <w:r>
              <w:rPr>
                <w:noProof/>
              </w:rPr>
              <w:t>3 000</w:t>
            </w:r>
          </w:p>
        </w:tc>
        <w:tc>
          <w:tcPr>
            <w:tcW w:w="567" w:type="dxa"/>
            <w:shd w:val="clear" w:color="auto" w:fill="C6EFCE"/>
            <w:noWrap/>
          </w:tcPr>
          <w:p w14:paraId="5D192DE9"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2A031F49" w14:textId="77777777" w:rsidR="0065073E" w:rsidRDefault="000A0998">
            <w:pPr>
              <w:pStyle w:val="P68B1DB1-Normal12"/>
              <w:spacing w:after="0" w:line="240" w:lineRule="auto"/>
              <w:jc w:val="center"/>
              <w:rPr>
                <w:rFonts w:eastAsia="Times New Roman" w:cs="Times New Roman"/>
                <w:noProof/>
              </w:rPr>
            </w:pPr>
            <w:r>
              <w:rPr>
                <w:noProof/>
              </w:rPr>
              <w:t>2024</w:t>
            </w:r>
          </w:p>
        </w:tc>
        <w:tc>
          <w:tcPr>
            <w:tcW w:w="6662" w:type="dxa"/>
            <w:shd w:val="clear" w:color="auto" w:fill="C6EFCE"/>
            <w:noWrap/>
          </w:tcPr>
          <w:p w14:paraId="54D3EC9D"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Vähintään 3000 yritystä, joista vähintään 2500 pk-yritystä, jotka ovat osallistuneet ja saattaneet päätökseen kansainvälistymistä tukevia hankkeita kansainvälistymisen toimintasuunnitelmien 2021–2022 ja 2023–2024 puitteissa. Vientiyhdistyksen, kauppakamarien ja hallintopalvelujen digitalisointia tukevat horisontaaliset toimet hyödyttävät kaikkia viejiä ja edistävät uusien yritysten kansainvälistymistä ”ei merkittävää haittaa” -periaatetta koskevien teknisten ohjeiden (2021/C58/01) mukaisesti käyttämällä poissulkemisluetteloa ja edellyttämällä asiaa koskevan EU:n ja kansallisen ympäristölainsäädännön noudattamista. </w:t>
            </w:r>
            <w:r>
              <w:rPr>
                <w:noProof/>
              </w:rPr>
              <w:t xml:space="preserve"> </w:t>
            </w:r>
            <w:r>
              <w:rPr>
                <w:noProof/>
              </w:rPr>
              <w:br/>
            </w:r>
            <w:r>
              <w:rPr>
                <w:rFonts w:ascii="Times New Roman" w:hAnsi="Times New Roman"/>
                <w:noProof/>
                <w:sz w:val="18"/>
              </w:rPr>
              <w:t>Investointiin kuuluvat toimet valitaan seuraavasta hankkeiden/alueiden luettelosta:</w:t>
            </w:r>
            <w:r>
              <w:rPr>
                <w:noProof/>
              </w:rPr>
              <w:t xml:space="preserve"> </w:t>
            </w:r>
            <w:r>
              <w:rPr>
                <w:noProof/>
              </w:rPr>
              <w:br/>
            </w:r>
            <w:r>
              <w:rPr>
                <w:rFonts w:ascii="Times New Roman" w:hAnsi="Times New Roman"/>
                <w:noProof/>
                <w:sz w:val="18"/>
              </w:rPr>
              <w:t>1. Budjettikohta toteutettavuustutkimuksia, toteutettavuutta, ennakkototeutettavuutta sekä alakohtaisia ja institutionaalisia nykyaikaistamista koskevia tutkimuksia varten.</w:t>
            </w:r>
            <w:r>
              <w:rPr>
                <w:noProof/>
              </w:rPr>
              <w:t xml:space="preserve"> </w:t>
            </w:r>
            <w:r>
              <w:rPr>
                <w:noProof/>
              </w:rPr>
              <w:br/>
            </w:r>
            <w:r>
              <w:rPr>
                <w:rFonts w:ascii="Times New Roman" w:hAnsi="Times New Roman"/>
                <w:noProof/>
                <w:sz w:val="18"/>
              </w:rPr>
              <w:t>2. INNOVA Invest -ohjelma, jolla tuetaan ulkomaisia T &amp; K-investointeja.</w:t>
            </w:r>
            <w:r>
              <w:rPr>
                <w:noProof/>
              </w:rPr>
              <w:t xml:space="preserve"> </w:t>
            </w:r>
            <w:r>
              <w:rPr>
                <w:noProof/>
              </w:rPr>
              <w:br/>
              <w:t xml:space="preserve"> </w:t>
            </w:r>
            <w:r>
              <w:rPr>
                <w:rFonts w:ascii="Times New Roman" w:hAnsi="Times New Roman"/>
                <w:noProof/>
                <w:sz w:val="18"/>
              </w:rPr>
              <w:t>3. VIVES-ohjelma, josta myönnetään taloudellista tukea harjoittelijoiden palkkaamiseen vientitoimintaa harjoittavissa yrityksissä.</w:t>
            </w:r>
            <w:r>
              <w:rPr>
                <w:noProof/>
              </w:rPr>
              <w:t xml:space="preserve"> </w:t>
            </w:r>
            <w:r>
              <w:rPr>
                <w:noProof/>
              </w:rPr>
              <w:br/>
            </w:r>
            <w:r>
              <w:rPr>
                <w:rFonts w:ascii="Times New Roman" w:hAnsi="Times New Roman"/>
                <w:noProof/>
                <w:sz w:val="18"/>
              </w:rPr>
              <w:t>4. Kansainvälistymisen mentorointi- ja koulutusohjelma.</w:t>
            </w:r>
            <w:r>
              <w:rPr>
                <w:noProof/>
              </w:rPr>
              <w:t xml:space="preserve"> </w:t>
            </w:r>
            <w:r>
              <w:rPr>
                <w:noProof/>
              </w:rPr>
              <w:br/>
            </w:r>
            <w:r>
              <w:rPr>
                <w:rFonts w:ascii="Times New Roman" w:hAnsi="Times New Roman"/>
                <w:noProof/>
                <w:sz w:val="18"/>
              </w:rPr>
              <w:t>5. Ohjelma, jolla vahvistetaan viestintäjärjestelmiä, telemaattisia palveluja ja vientijärjestöjen vientiliittojen, Espanjan kauppakamarien ja niiden liittojen digitalisointia.</w:t>
            </w:r>
            <w:r>
              <w:rPr>
                <w:noProof/>
              </w:rPr>
              <w:t xml:space="preserve"> </w:t>
            </w:r>
            <w:r>
              <w:rPr>
                <w:noProof/>
              </w:rPr>
              <w:br/>
            </w:r>
            <w:r>
              <w:rPr>
                <w:rFonts w:ascii="Times New Roman" w:hAnsi="Times New Roman"/>
                <w:noProof/>
                <w:sz w:val="18"/>
              </w:rPr>
              <w:t>6. Vientipohjan laajentumisohjelma (Export-Base enlargement Programme), joka on ohjelma yksilöllisen valmennuksen tarjoamiseksi yrityksille ja erityisesti pk-yrityksille.</w:t>
            </w:r>
            <w:r>
              <w:rPr>
                <w:noProof/>
              </w:rPr>
              <w:t xml:space="preserve"> </w:t>
            </w:r>
            <w:r>
              <w:rPr>
                <w:noProof/>
              </w:rPr>
              <w:br/>
            </w:r>
            <w:r>
              <w:rPr>
                <w:rFonts w:ascii="Times New Roman" w:hAnsi="Times New Roman"/>
                <w:noProof/>
                <w:sz w:val="18"/>
              </w:rPr>
              <w:t>7. Ohjelma Espanjan suuren kasvun yritysekosysteemin vahvistamiseksi.</w:t>
            </w:r>
            <w:r>
              <w:rPr>
                <w:noProof/>
              </w:rPr>
              <w:t xml:space="preserve"> </w:t>
            </w:r>
            <w:r>
              <w:rPr>
                <w:noProof/>
              </w:rPr>
              <w:br/>
            </w:r>
            <w:r>
              <w:rPr>
                <w:rFonts w:ascii="Times New Roman" w:hAnsi="Times New Roman"/>
                <w:noProof/>
                <w:sz w:val="18"/>
              </w:rPr>
              <w:t>8. Tuki markkinoiden avaamiseen ja vakauttamiseen avustuksilla, jotka liittyvät kolmansien maiden viranomaisten tarkastuksiin ja tilintarkastuksiin sekä kaupan suojatoimiin liittyviin laki- ja konsultointimenoihin.</w:t>
            </w:r>
            <w:r>
              <w:rPr>
                <w:noProof/>
              </w:rPr>
              <w:t xml:space="preserve"> </w:t>
            </w:r>
            <w:r>
              <w:rPr>
                <w:noProof/>
              </w:rPr>
              <w:br/>
            </w:r>
            <w:r>
              <w:rPr>
                <w:rFonts w:ascii="Times New Roman" w:hAnsi="Times New Roman"/>
                <w:noProof/>
                <w:sz w:val="18"/>
              </w:rPr>
              <w:t xml:space="preserve">9. COFIDESin (valtion omistama rahoituslaitos, joka tarjoaa keskipitkän ja pitkän aikavälin rahoitusta yritysten kansainvälistymisinvestointihankkeiden tukemiseen) toteuttama taloudellinen kannustinohjelma vaikutusinvestointien edistämiseksi. </w:t>
            </w:r>
            <w:r>
              <w:rPr>
                <w:noProof/>
              </w:rPr>
              <w:t xml:space="preserve"> </w:t>
            </w:r>
            <w:r>
              <w:rPr>
                <w:noProof/>
              </w:rPr>
              <w:br/>
            </w:r>
            <w:r>
              <w:rPr>
                <w:rFonts w:ascii="Times New Roman" w:hAnsi="Times New Roman"/>
                <w:noProof/>
                <w:sz w:val="18"/>
              </w:rPr>
              <w:t>10. Edistetään julkishallinnon palvelujen digitalisointia kansainvälistymisen tukemiseksi.</w:t>
            </w:r>
            <w:r>
              <w:rPr>
                <w:noProof/>
              </w:rPr>
              <w:t xml:space="preserve"> </w:t>
            </w:r>
            <w:r>
              <w:rPr>
                <w:noProof/>
              </w:rPr>
              <w:br/>
            </w:r>
            <w:r>
              <w:rPr>
                <w:rFonts w:ascii="Times New Roman" w:hAnsi="Times New Roman"/>
                <w:noProof/>
                <w:sz w:val="18"/>
              </w:rPr>
              <w:t>11. ICEXin (Espanjan yritysten kansainvälistymistä edistävä kansallinen julkinen yritys) digitalisointi ja virtuaalisen kampuksen perustaminen.</w:t>
            </w:r>
            <w:r>
              <w:rPr>
                <w:noProof/>
              </w:rPr>
              <w:t xml:space="preserve"> </w:t>
            </w:r>
            <w:r>
              <w:rPr>
                <w:noProof/>
              </w:rPr>
              <w:br/>
            </w:r>
            <w:r>
              <w:rPr>
                <w:rFonts w:ascii="Times New Roman" w:hAnsi="Times New Roman"/>
                <w:noProof/>
                <w:sz w:val="18"/>
              </w:rPr>
              <w:t xml:space="preserve">Valintaperusteilla on varmistettava, että tämän toimenpiteen nojalla tuettuja toimia koskevien ”ei merkittävää haittaa” -periaatteen mukaisia teknisiä ohjeita (2021/C58/01) noudatetaan käyttämällä kestävyysarviointia, käyttämällä poissulkemisluetteloa ja edellyttämällä asiaa koskevan EU:n ja kansallisen ympäristölainsäädännön noudattamista. </w:t>
            </w:r>
          </w:p>
        </w:tc>
      </w:tr>
    </w:tbl>
    <w:p w14:paraId="7BCAD372" w14:textId="0DB4DF44" w:rsidR="0065073E" w:rsidRDefault="0065073E">
      <w:pPr>
        <w:spacing w:before="120" w:after="120" w:line="240" w:lineRule="auto"/>
        <w:ind w:left="709"/>
        <w:jc w:val="both"/>
        <w:rPr>
          <w:rFonts w:ascii="Times New Roman" w:hAnsi="Times New Roman"/>
          <w:b/>
          <w:noProof/>
          <w:sz w:val="24"/>
          <w:u w:val="single"/>
        </w:rPr>
        <w:sectPr w:rsidR="0065073E" w:rsidSect="009F15CE">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134" w:right="1134" w:bottom="1134" w:left="1134" w:header="567" w:footer="567" w:gutter="0"/>
          <w:cols w:space="720"/>
          <w:docGrid w:linePitch="360"/>
        </w:sectPr>
      </w:pPr>
    </w:p>
    <w:p w14:paraId="511E2D18" w14:textId="77777777" w:rsidR="0065073E" w:rsidRDefault="0065073E">
      <w:pPr>
        <w:ind w:firstLine="720"/>
        <w:rPr>
          <w:rFonts w:ascii="Times New Roman" w:hAnsi="Times New Roman"/>
          <w:b/>
          <w:noProof/>
          <w:sz w:val="24"/>
          <w:u w:val="single"/>
        </w:rPr>
        <w:sectPr w:rsidR="0065073E" w:rsidSect="009F15CE">
          <w:headerReference w:type="even" r:id="rId306"/>
          <w:headerReference w:type="default" r:id="rId307"/>
          <w:footerReference w:type="even" r:id="rId308"/>
          <w:footerReference w:type="default" r:id="rId309"/>
          <w:headerReference w:type="first" r:id="rId310"/>
          <w:footerReference w:type="first" r:id="rId311"/>
          <w:pgSz w:w="11907" w:h="16839"/>
          <w:pgMar w:top="1134" w:right="1134" w:bottom="1134" w:left="1134" w:header="567" w:footer="567" w:gutter="0"/>
          <w:cols w:space="720"/>
          <w:docGrid w:linePitch="360"/>
        </w:sectPr>
      </w:pPr>
    </w:p>
    <w:p w14:paraId="7973AD0F" w14:textId="20CFE205" w:rsidR="0065073E" w:rsidRDefault="000A0998">
      <w:pPr>
        <w:pStyle w:val="P68B1DB1-Normal15"/>
        <w:ind w:firstLine="720"/>
        <w:rPr>
          <w:rFonts w:cs="Times New Roman"/>
          <w:noProof/>
        </w:rPr>
      </w:pPr>
      <w:r>
        <w:rPr>
          <w:noProof/>
        </w:rPr>
        <w:t>M.3 Lainatukeen liittyvien uudistusten ja investointien kuvaus</w:t>
      </w:r>
    </w:p>
    <w:p w14:paraId="07B27A8F" w14:textId="723F2FBA" w:rsidR="0065073E" w:rsidRPr="00FC251F" w:rsidRDefault="000A0998">
      <w:pPr>
        <w:pStyle w:val="P68B1DB1-Normal5"/>
        <w:rPr>
          <w:rFonts w:cs="Times New Roman"/>
          <w:noProof/>
          <w:lang w:val="en-IE"/>
        </w:rPr>
      </w:pPr>
      <w:r w:rsidRPr="00FC251F">
        <w:rPr>
          <w:noProof/>
          <w:lang w:val="en-IE"/>
        </w:rPr>
        <w:t>Investointi 6 (</w:t>
      </w:r>
      <w:bookmarkStart w:id="29" w:name="_Hlk141289238"/>
      <w:r w:rsidRPr="00FC251F">
        <w:rPr>
          <w:noProof/>
          <w:lang w:val="en-IE"/>
        </w:rPr>
        <w:t>C13.I6</w:t>
      </w:r>
      <w:bookmarkEnd w:id="29"/>
      <w:r w:rsidRPr="00FC251F">
        <w:rPr>
          <w:noProof/>
          <w:lang w:val="en-IE"/>
        </w:rPr>
        <w:t>) – ICO Green Line and Enterprises and Entrepreneurs Line</w:t>
      </w:r>
    </w:p>
    <w:p w14:paraId="651485A1" w14:textId="5AF5E694" w:rsidR="0065073E" w:rsidRDefault="000A0998">
      <w:pPr>
        <w:pStyle w:val="P68B1DB1-Normal4"/>
        <w:spacing w:line="240" w:lineRule="auto"/>
        <w:jc w:val="both"/>
        <w:rPr>
          <w:rFonts w:cs="Times New Roman"/>
          <w:noProof/>
        </w:rPr>
      </w:pPr>
      <w:r>
        <w:rPr>
          <w:noProof/>
        </w:rPr>
        <w:t>Tämä toimenpide koostuu investoinnista kahteen rahoitusalueeseen: ICO Green Line ja ICO Enterprises and Entrepreneurs Line.</w:t>
      </w:r>
    </w:p>
    <w:p w14:paraId="5F576ED7" w14:textId="7E236BB9" w:rsidR="0065073E" w:rsidRDefault="000A0998">
      <w:pPr>
        <w:pStyle w:val="P68B1DB1-Normal17"/>
        <w:rPr>
          <w:rFonts w:cs="Times New Roman"/>
          <w:noProof/>
        </w:rPr>
      </w:pPr>
      <w:r>
        <w:rPr>
          <w:noProof/>
        </w:rPr>
        <w:t>ICO:n vihreä linja</w:t>
      </w:r>
    </w:p>
    <w:p w14:paraId="4825AEBB" w14:textId="1F539370" w:rsidR="0065073E" w:rsidRDefault="000A0998">
      <w:pPr>
        <w:pStyle w:val="P68B1DB1-Normal4"/>
        <w:spacing w:line="240" w:lineRule="auto"/>
        <w:jc w:val="both"/>
        <w:rPr>
          <w:rFonts w:cs="Times New Roman"/>
          <w:noProof/>
        </w:rPr>
      </w:pPr>
      <w:bookmarkStart w:id="30" w:name="_Hlk145872780"/>
      <w:r>
        <w:rPr>
          <w:noProof/>
        </w:rPr>
        <w:t>Tämä toimenpide koostuu julkisesta investoinnista rahoitusvälineeseen, vihreään ICO-linjaan, jotta voidaan kannustaa yksityisiä investointeja ja parantaa rahoituksen saantia Espanjan vihreillä aloilla sekä kehittää pääomamarkkinoita tällä alalla erityisesti seuraavilla seitsemällä eri alalla: kestävä liikenne, mukaan lukien rautatieliikenne; II) energiatehokkuus; III) uusiutuva energia, mukaan lukien energian varastointi ja sähköverkko; energiasiirtymään liittyvät teollisuuden hiilestä irtautuminen ja vähähiiliset teollisuuden arvoketjut; v) vesihuolto; VI) kiertotalous; VII) ilmastonmuutokseen sopeutuminen</w:t>
      </w:r>
      <w:bookmarkStart w:id="31" w:name="_Hlk145872817"/>
      <w:r>
        <w:rPr>
          <w:noProof/>
        </w:rPr>
        <w:t xml:space="preserve">. </w:t>
      </w:r>
      <w:bookmarkEnd w:id="30"/>
      <w:bookmarkEnd w:id="31"/>
      <w:r>
        <w:rPr>
          <w:noProof/>
        </w:rPr>
        <w:t>Investointikehys toimii tarjoamalla suoraa rahoitusta, yritysten joukkovelkakirjojen ostoja sekä oman pääoman ehtoisia ja oman pääoman luonteisia sijoituksia joko suoraan tai välittäjien kautta yksityiselle sektorille ja kotitalouksille sekä vastaavaa toimintaa harjoittaville julkisyhteisöille ja julkisoikeudellisille laitoksille. Elpymis- ja palautumistukivälineen investointien perusteella tukivälineestä on alun perin tarkoitus myöntää rahoitusta vähintään 22000000000 euroa.</w:t>
      </w:r>
    </w:p>
    <w:p w14:paraId="6F778440" w14:textId="15C6A539" w:rsidR="0065073E" w:rsidRDefault="000A0998">
      <w:pPr>
        <w:pStyle w:val="P68B1DB1-Normal4"/>
        <w:spacing w:line="240" w:lineRule="auto"/>
        <w:jc w:val="both"/>
        <w:rPr>
          <w:rFonts w:cs="Times New Roman"/>
          <w:noProof/>
        </w:rPr>
      </w:pPr>
      <w:r>
        <w:rPr>
          <w:noProof/>
        </w:rPr>
        <w:t>Investointikehystä hallinnoivat toteutuskumppaneina Instituto de Crédito Oficial (ICO) ja Axis (ICO:n yritys/yksityinen pääomajohtaja). Lainajärjestelyn on sisällettävä seuraavat tuotelinjat:</w:t>
      </w:r>
    </w:p>
    <w:p w14:paraId="335641C8" w14:textId="2307009F" w:rsidR="0065073E" w:rsidRDefault="000A0998">
      <w:pPr>
        <w:pStyle w:val="P68B1DB1-ListParagraph6"/>
        <w:numPr>
          <w:ilvl w:val="0"/>
          <w:numId w:val="754"/>
        </w:numPr>
        <w:spacing w:line="240" w:lineRule="auto"/>
        <w:jc w:val="both"/>
        <w:rPr>
          <w:rFonts w:cs="Times New Roman"/>
          <w:noProof/>
        </w:rPr>
      </w:pPr>
      <w:r>
        <w:rPr>
          <w:noProof/>
        </w:rPr>
        <w:t xml:space="preserve">Sovittelulinja: sovittelulinja koostuu ICO:n liikepankeille myöntämistä lainoista, jotka puolestaan myöntävät lopullisille edunsaajille lainoja vihreiden hankkeiden rahoittamiseksi. Lopullisia tuensaajia ovat yksityiset yritykset (kuten pk-yritykset, pienet midcap-yritykset, suuret yritykset tai yrittäjät) ja kotitaloudet. </w:t>
      </w:r>
    </w:p>
    <w:p w14:paraId="50365F2E" w14:textId="2E0A6386" w:rsidR="0065073E" w:rsidRDefault="000A0998">
      <w:pPr>
        <w:pStyle w:val="P68B1DB1-ListParagraph6"/>
        <w:numPr>
          <w:ilvl w:val="0"/>
          <w:numId w:val="754"/>
        </w:numPr>
        <w:spacing w:line="240" w:lineRule="auto"/>
        <w:jc w:val="both"/>
        <w:rPr>
          <w:rFonts w:cs="Times New Roman"/>
          <w:noProof/>
        </w:rPr>
      </w:pPr>
      <w:r>
        <w:rPr>
          <w:noProof/>
        </w:rPr>
        <w:t xml:space="preserve">ICO:n suora rahoitus: tästä budjettikohdasta myönnetään suoria lainoja yksityisille yrityksille (kuten midcap-yrityksille) ja julkisille yrityksille vihreiden hankkeiden rahoittamiseksi. Lainat myöntää suoraan ICO ja kukin kolmannen osapuolen yksityisen sijoittajan osarahoittama hanke. ICO:n myöntämät varat ovat enintään 70 prosenttia investoinnille myönnetyn tuen kokonaismäärästä. Yksityisten sijoittajien on katettava vähintään 30 prosenttia investointituen kokonaismäärästä. </w:t>
      </w:r>
    </w:p>
    <w:p w14:paraId="50EE436C" w14:textId="5F98DC61" w:rsidR="0065073E" w:rsidRDefault="000A0998">
      <w:pPr>
        <w:pStyle w:val="P68B1DB1-ListParagraph6"/>
        <w:numPr>
          <w:ilvl w:val="0"/>
          <w:numId w:val="754"/>
        </w:numPr>
        <w:spacing w:line="240" w:lineRule="auto"/>
        <w:jc w:val="both"/>
        <w:rPr>
          <w:rFonts w:cs="Times New Roman"/>
          <w:noProof/>
        </w:rPr>
      </w:pPr>
      <w:r>
        <w:rPr>
          <w:noProof/>
        </w:rPr>
        <w:t xml:space="preserve">Yritysten joukkovelkakirjojen ostot: tämän budjettikohdan mukaisesti ICO ostaa espanjalaisten yritysten liikkeeseen laskemia keski- ja pitkäaikaisia kiinteätuottoisia etuoikeutettuja arvopapereita järjestäytyneiltä jälkimarkkinoilta (kuten vaihtoehtoisilla kiinteätuottoisilla markkinoilla (MARF) tai rahoitusvarojen välittäjien liitto (AIAF)). Arvopaperien on liityttävä arvopaperin liikkeeseen laskevan yrityksen tiettyyn vihreään investointihankkeeseen. </w:t>
      </w:r>
    </w:p>
    <w:p w14:paraId="00BD4451" w14:textId="1372F4F0" w:rsidR="0065073E" w:rsidRDefault="000A0998">
      <w:pPr>
        <w:pStyle w:val="P68B1DB1-ListParagraph6"/>
        <w:numPr>
          <w:ilvl w:val="0"/>
          <w:numId w:val="754"/>
        </w:numPr>
        <w:spacing w:line="240" w:lineRule="auto"/>
        <w:jc w:val="both"/>
        <w:rPr>
          <w:rFonts w:cs="Times New Roman"/>
          <w:noProof/>
        </w:rPr>
      </w:pPr>
      <w:r>
        <w:rPr>
          <w:noProof/>
        </w:rPr>
        <w:t>Oman pääoman ehtoiset ja luonteiset sijoitukset: tämä budjettikohta koostuu suorien pääomasijoitusten tarjoamisesta toimintalinjan kautta (ICO:n riskipääoman hoitaja/yksityinen pääomanhoitaja) ja/tai varojen siirrosta pääomarahastoihin tai muihin sijoitusvälineisiin, joita hallinnoivat yksityiset rahoituksen välittäjät, jotka tekevät pääomasijoituksia vihreitä hankkeita toteuttavissa yrityksissä. Linjan enimmäisosuus saa olla enintään 49 prosenttia sijoitusrahastoista. Linjan tekemät pääomasijoitukset eivät saa johtaa siihen, että julkisessa omistuksessa olevan pääoman osuus lopullisesta tuensaajasta ylittää 49 prosenttia koko pääomasta.</w:t>
      </w:r>
    </w:p>
    <w:p w14:paraId="10EE6958" w14:textId="7CE6A57A" w:rsidR="0065073E" w:rsidRDefault="000A0998">
      <w:pPr>
        <w:pStyle w:val="P68B1DB1-Normal4"/>
        <w:spacing w:line="240" w:lineRule="auto"/>
        <w:jc w:val="both"/>
        <w:rPr>
          <w:rFonts w:cs="Times New Roman"/>
          <w:noProof/>
        </w:rPr>
      </w:pPr>
      <w:r>
        <w:rPr>
          <w:noProof/>
        </w:rPr>
        <w:t>Investointikehykseen tehtävän investoinnin toteuttamiseksi Espanjan ja ICO:n on allekirjoitettava täytäntöönpanosopimus, jonka sisältö on seuraava:</w:t>
      </w:r>
    </w:p>
    <w:p w14:paraId="1D74E591" w14:textId="604C7896" w:rsidR="0065073E" w:rsidRDefault="000A0998">
      <w:pPr>
        <w:pStyle w:val="P68B1DB1-LegalNumPar27"/>
        <w:numPr>
          <w:ilvl w:val="0"/>
          <w:numId w:val="740"/>
        </w:numPr>
        <w:jc w:val="both"/>
        <w:rPr>
          <w:rFonts w:eastAsia="Times New Roman" w:cs="Times New Roman"/>
          <w:noProof/>
        </w:rPr>
      </w:pPr>
      <w:r>
        <w:rPr>
          <w:noProof/>
        </w:rPr>
        <w:t xml:space="preserve">Tukivälineen päätöksentekoprosessin kuvaus: Investointikehyksen lopullisen investointipäätöksen tekee investointikomitea tai muu vastaava hallintoelin, ja se hyväksytään Espanjan hallituksesta riippumattomien jäsenten äänten enemmistöllä. Välitettyjen sijoitusten osalta lopullisen sijoituspäätöksen tekevät välittäjät. </w:t>
      </w:r>
    </w:p>
    <w:p w14:paraId="2897BDA6" w14:textId="77777777" w:rsidR="0065073E" w:rsidRDefault="000A0998">
      <w:pPr>
        <w:pStyle w:val="P68B1DB1-LegalNumPar27"/>
        <w:numPr>
          <w:ilvl w:val="0"/>
          <w:numId w:val="740"/>
        </w:numPr>
        <w:jc w:val="both"/>
        <w:rPr>
          <w:rFonts w:cs="Times New Roman"/>
          <w:noProof/>
        </w:rPr>
      </w:pPr>
      <w:r>
        <w:rPr>
          <w:noProof/>
        </w:rPr>
        <w:t>Asiaan liittyvän sijoituspolitiikan keskeiset vaatimukset,</w:t>
      </w:r>
      <w:r>
        <w:rPr>
          <w:b/>
          <w:noProof/>
        </w:rPr>
        <w:t xml:space="preserve"> </w:t>
      </w:r>
      <w:r>
        <w:rPr>
          <w:noProof/>
        </w:rPr>
        <w:t>joihin on sisällyttävä</w:t>
      </w:r>
    </w:p>
    <w:p w14:paraId="60535834" w14:textId="77777777" w:rsidR="0065073E" w:rsidRDefault="000A0998">
      <w:pPr>
        <w:pStyle w:val="P68B1DB1-LegalNumPar228"/>
        <w:numPr>
          <w:ilvl w:val="1"/>
          <w:numId w:val="741"/>
        </w:numPr>
        <w:jc w:val="both"/>
        <w:rPr>
          <w:rFonts w:cs="Times New Roman"/>
          <w:noProof/>
        </w:rPr>
      </w:pPr>
      <w:r>
        <w:rPr>
          <w:noProof/>
        </w:rPr>
        <w:t xml:space="preserve">Kuvaus rahoitustuotteesta (rahoitustuotteista) ja tukikelpoisista lopullisista tuensaajista toimenpiteen kuvauksen mukaisesti.   </w:t>
      </w:r>
    </w:p>
    <w:p w14:paraId="786BA6FE" w14:textId="77777777" w:rsidR="0065073E" w:rsidRDefault="000A0998">
      <w:pPr>
        <w:pStyle w:val="P68B1DB1-LegalNumPar228"/>
        <w:numPr>
          <w:ilvl w:val="1"/>
          <w:numId w:val="741"/>
        </w:numPr>
        <w:jc w:val="both"/>
        <w:rPr>
          <w:rFonts w:cs="Times New Roman"/>
          <w:noProof/>
        </w:rPr>
      </w:pPr>
      <w:r>
        <w:rPr>
          <w:noProof/>
        </w:rPr>
        <w:t>Vaatimus, jonka mukaan kaikkien tuettujen investointien on oltava taloudellisesti kannattavia</w:t>
      </w:r>
      <w:r>
        <w:rPr>
          <w:b/>
          <w:noProof/>
        </w:rPr>
        <w:t>.</w:t>
      </w:r>
    </w:p>
    <w:p w14:paraId="54F251E3" w14:textId="77777777" w:rsidR="0065073E" w:rsidRDefault="000A0998">
      <w:pPr>
        <w:pStyle w:val="P68B1DB1-LegalNumPar228"/>
        <w:numPr>
          <w:ilvl w:val="1"/>
          <w:numId w:val="741"/>
        </w:numPr>
        <w:jc w:val="both"/>
        <w:rPr>
          <w:rFonts w:cs="Times New Roman"/>
          <w:noProof/>
        </w:rPr>
      </w:pPr>
      <w:r>
        <w:rPr>
          <w:noProof/>
        </w:rPr>
        <w:t>Kielto jälleenrahoittaa kaikkia jäljellä olevia lainoja.</w:t>
      </w:r>
    </w:p>
    <w:p w14:paraId="09A6066A" w14:textId="722FCB9B" w:rsidR="0065073E" w:rsidRDefault="000A0998">
      <w:pPr>
        <w:pStyle w:val="P68B1DB1-LegalNumPar228"/>
        <w:numPr>
          <w:ilvl w:val="1"/>
          <w:numId w:val="741"/>
        </w:numPr>
        <w:jc w:val="both"/>
        <w:rPr>
          <w:rFonts w:cs="Times New Roman"/>
          <w:noProof/>
        </w:rPr>
      </w:pPr>
      <w:r>
        <w:rPr>
          <w:noProof/>
        </w:rPr>
        <w:t xml:space="preserve">Vaatimus noudattaa ”ei merkittävää haittaa” -periaatetta, sellaisena kuin se on vahvistettu ”ei merkittävää haittaa” -periaatetta (2021/C58/01), erityisesti: </w:t>
      </w:r>
    </w:p>
    <w:p w14:paraId="4150B5D3" w14:textId="52680E44" w:rsidR="0065073E" w:rsidRDefault="000A0998">
      <w:pPr>
        <w:pStyle w:val="ListParagraph"/>
        <w:numPr>
          <w:ilvl w:val="0"/>
          <w:numId w:val="742"/>
        </w:numPr>
        <w:spacing w:line="240" w:lineRule="auto"/>
        <w:jc w:val="both"/>
        <w:rPr>
          <w:rFonts w:ascii="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hAnsi="Times New Roman" w:cs="Times New Roman"/>
          <w:noProof/>
          <w:sz w:val="24"/>
        </w:rPr>
        <w:footnoteReference w:id="98"/>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99"/>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100"/>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01"/>
      </w:r>
      <w:r>
        <w:rPr>
          <w:rFonts w:ascii="Times New Roman" w:hAnsi="Times New Roman"/>
          <w:noProof/>
          <w:sz w:val="24"/>
        </w:rPr>
        <w:t>.</w:t>
      </w:r>
    </w:p>
    <w:p w14:paraId="33782BF6" w14:textId="280FA2AB" w:rsidR="0065073E" w:rsidRDefault="000A0998">
      <w:pPr>
        <w:pStyle w:val="ListParagraph"/>
        <w:numPr>
          <w:ilvl w:val="0"/>
          <w:numId w:val="742"/>
        </w:numPr>
        <w:jc w:val="both"/>
        <w:rPr>
          <w:rFonts w:ascii="Times New Roman" w:hAnsi="Times New Roman" w:cs="Times New Roman"/>
          <w:noProof/>
          <w:sz w:val="24"/>
        </w:rPr>
      </w:pPr>
      <w:r>
        <w:rPr>
          <w:rFonts w:ascii="Times New Roman" w:hAnsi="Times New Roman"/>
          <w:noProof/>
          <w:sz w:val="24"/>
        </w:rPr>
        <w:t>Oman pääoman ehtoisten, oman pääoman luonteisten, yritysten joukkovelkakirjalainojen tai vastaavien instrumenttien osalta: sijoituspolitiikassa on edellytettävä, että yritykset hyväksyvät vihreää siirtymää koskevat suunnitelmat direktiivin 2013/34/EU 19 a artiklan 2 kohdan a alakohdan iii alakohdassa esitetyn määritelmän mukaisesti,</w:t>
      </w:r>
      <w:r>
        <w:rPr>
          <w:rStyle w:val="FootnoteReference"/>
          <w:rFonts w:ascii="Times New Roman" w:hAnsi="Times New Roman" w:cs="Times New Roman"/>
          <w:noProof/>
          <w:sz w:val="24"/>
        </w:rPr>
        <w:footnoteReference w:id="102"/>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omaisuuserät, mukaan lukien loppupään käyttö,</w:t>
      </w:r>
      <w:r>
        <w:rPr>
          <w:rStyle w:val="FootnoteReference"/>
          <w:rFonts w:ascii="Times New Roman" w:hAnsi="Times New Roman" w:cs="Times New Roman"/>
          <w:noProof/>
          <w:sz w:val="24"/>
        </w:rPr>
        <w:footnoteReference w:id="103"/>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04"/>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105"/>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06"/>
      </w:r>
      <w:r>
        <w:rPr>
          <w:rFonts w:ascii="Times New Roman" w:hAnsi="Times New Roman"/>
          <w:noProof/>
          <w:sz w:val="24"/>
        </w:rPr>
        <w:t xml:space="preserve">.  </w:t>
      </w:r>
    </w:p>
    <w:p w14:paraId="243B4054" w14:textId="77777777" w:rsidR="0065073E" w:rsidRDefault="000A0998">
      <w:pPr>
        <w:pStyle w:val="P68B1DB1-ListParagraph6"/>
        <w:numPr>
          <w:ilvl w:val="0"/>
          <w:numId w:val="742"/>
        </w:numPr>
        <w:jc w:val="both"/>
        <w:rPr>
          <w:rFonts w:cs="Times New Roman"/>
          <w:noProof/>
        </w:rPr>
      </w:pPr>
      <w:r>
        <w:rPr>
          <w:noProof/>
        </w:rPr>
        <w:t>Lisäksi investointipolitiikassa on edellytettävä, että tukivälineen lopulliset edunsaajat noudattavat asiaankuuluvaa EU:n ja kansallista ympäristölainsäädäntöä.</w:t>
      </w:r>
    </w:p>
    <w:p w14:paraId="101FA6B1" w14:textId="77777777" w:rsidR="0065073E" w:rsidRDefault="000A0998">
      <w:pPr>
        <w:pStyle w:val="P68B1DB1-ListParagraph6"/>
        <w:numPr>
          <w:ilvl w:val="1"/>
          <w:numId w:val="741"/>
        </w:numPr>
        <w:spacing w:line="240" w:lineRule="auto"/>
        <w:jc w:val="both"/>
        <w:rPr>
          <w:rFonts w:cs="Times New Roman"/>
          <w:noProof/>
        </w:rPr>
      </w:pPr>
      <w:r>
        <w:rPr>
          <w:noProof/>
        </w:rPr>
        <w:t>Vaatimus, jonka mukaan lainajärjestelyn lopulliset edunsaajat eivät saa saada tukea muista unionin välineistä samojen kustannusten kattamiseksi.</w:t>
      </w:r>
    </w:p>
    <w:p w14:paraId="294A956A" w14:textId="5298560B" w:rsidR="0065073E" w:rsidRDefault="000A0998">
      <w:pPr>
        <w:pStyle w:val="P68B1DB1-LegalNumPar27"/>
        <w:numPr>
          <w:ilvl w:val="0"/>
          <w:numId w:val="740"/>
        </w:numPr>
        <w:jc w:val="both"/>
        <w:rPr>
          <w:rFonts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2D52D76E" w14:textId="77777777" w:rsidR="0065073E" w:rsidRDefault="000A0998">
      <w:pPr>
        <w:pStyle w:val="P68B1DB1-ListParagraph6"/>
        <w:numPr>
          <w:ilvl w:val="0"/>
          <w:numId w:val="740"/>
        </w:numPr>
        <w:spacing w:line="240" w:lineRule="auto"/>
        <w:jc w:val="both"/>
        <w:rPr>
          <w:rFonts w:cs="Times New Roman"/>
          <w:noProof/>
        </w:rPr>
      </w:pPr>
      <w:r>
        <w:rPr>
          <w:noProof/>
        </w:rPr>
        <w:t>Seuranta-, auditointi- ja valvontavaatimukset, mukaan lukien</w:t>
      </w:r>
    </w:p>
    <w:p w14:paraId="5E1F5B38" w14:textId="7191556F" w:rsidR="0065073E" w:rsidRDefault="000A0998">
      <w:pPr>
        <w:pStyle w:val="P68B1DB1-ListParagraph6"/>
        <w:numPr>
          <w:ilvl w:val="1"/>
          <w:numId w:val="743"/>
        </w:numPr>
        <w:spacing w:line="240" w:lineRule="auto"/>
        <w:jc w:val="both"/>
        <w:rPr>
          <w:rFonts w:cs="Times New Roman"/>
          <w:noProof/>
        </w:rPr>
      </w:pPr>
      <w:r>
        <w:rPr>
          <w:noProof/>
        </w:rPr>
        <w:t>Kuvaus toteutuskumppanin seurantajärjestelmästä, jolla raportoidaan käyttöön otetuista investoinneista.</w:t>
      </w:r>
    </w:p>
    <w:p w14:paraId="73FB5F63" w14:textId="6828617C" w:rsidR="0065073E" w:rsidRDefault="000A0998">
      <w:pPr>
        <w:pStyle w:val="P68B1DB1-ListParagraph6"/>
        <w:numPr>
          <w:ilvl w:val="1"/>
          <w:numId w:val="743"/>
        </w:numPr>
        <w:spacing w:line="240" w:lineRule="auto"/>
        <w:jc w:val="both"/>
        <w:rPr>
          <w:rFonts w:cs="Times New Roman"/>
          <w:noProof/>
        </w:rPr>
      </w:pPr>
      <w:r>
        <w:rPr>
          <w:noProof/>
        </w:rPr>
        <w:t>Kuvaus toteutuskumppanin menettelyistä, joilla varmistetaan petosten, lahjonnan ja eturistiriitojen ehkäiseminen, havaitseminen ja korjaaminen.</w:t>
      </w:r>
    </w:p>
    <w:p w14:paraId="0D875653" w14:textId="7390CB07" w:rsidR="0065073E" w:rsidRDefault="000A0998">
      <w:pPr>
        <w:pStyle w:val="P68B1DB1-ListParagraph6"/>
        <w:numPr>
          <w:ilvl w:val="1"/>
          <w:numId w:val="743"/>
        </w:numPr>
        <w:spacing w:line="240" w:lineRule="auto"/>
        <w:jc w:val="both"/>
        <w:rPr>
          <w:rFonts w:cs="Times New Roman"/>
          <w:noProof/>
        </w:rPr>
      </w:pPr>
      <w:r>
        <w:rPr>
          <w:noProof/>
        </w:rPr>
        <w:t>Velvollisuus tarkistaa jokaisen toimen tukikelpoisuus täytäntöönpanosopimuksessa vahvistettujen vaatimusten mukaisesti, myös käyttämällä positiiviluetteloa ja/tai omaa ilmoitusta alle 10000000 euron suuruisista toimista, ennen kuin sitoudutaan rahoittamaan toimea.</w:t>
      </w:r>
    </w:p>
    <w:p w14:paraId="1C075D49" w14:textId="0E3B02E8" w:rsidR="0065073E" w:rsidRDefault="000A0998">
      <w:pPr>
        <w:pStyle w:val="P68B1DB1-ListParagraph6"/>
        <w:numPr>
          <w:ilvl w:val="1"/>
          <w:numId w:val="743"/>
        </w:numPr>
        <w:spacing w:line="240" w:lineRule="auto"/>
        <w:jc w:val="both"/>
        <w:rPr>
          <w:rFonts w:cs="Times New Roman"/>
          <w:noProof/>
        </w:rPr>
      </w:pPr>
      <w:r>
        <w:rPr>
          <w:noProof/>
        </w:rPr>
        <w:t>Velvollisuus suorittaa riskiperusteisia jälkitarkastuksia ICO:n tarkastussuunnitelman mukaisesti. Näillä tarkastuksilla todennetaan i) valvontajärjestelmien tehokkuus, mukaan lukien petosten, korruption ja eturistiriitojen havaitseminen; II) ”ei merkittävää haittaa” -periaatteen, valtiontukisääntöjen ja ilmastotavoitteita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täytäntöönpanosopimuksen ja rahoitussopimusten ehtoja noudatetaan, muun muassa käyttämällä positiiviluetteloa ja/tai omia ilmoituksia alle 10000000 euron suuruisista toimista, ennen kuin sitoudutaan rahoittamaan toimea.</w:t>
      </w:r>
    </w:p>
    <w:p w14:paraId="619276A9" w14:textId="3B972D0B" w:rsidR="0065073E" w:rsidRDefault="000A0998">
      <w:pPr>
        <w:pStyle w:val="ListParagraph"/>
        <w:numPr>
          <w:ilvl w:val="0"/>
          <w:numId w:val="740"/>
        </w:numPr>
        <w:spacing w:line="240" w:lineRule="auto"/>
        <w:jc w:val="both"/>
        <w:rPr>
          <w:rFonts w:ascii="Times New Roman" w:hAnsi="Times New Roman" w:cs="Times New Roman"/>
          <w:noProof/>
          <w:sz w:val="24"/>
        </w:rPr>
      </w:pPr>
      <w:r>
        <w:rPr>
          <w:rFonts w:ascii="Times New Roman" w:hAnsi="Times New Roman"/>
          <w:noProof/>
          <w:sz w:val="24"/>
        </w:rPr>
        <w:t>Toteutuskumppanin toteuttamia ilmastoinvestointeja koskevat vaatimukset: vähintään 17800000000 eurolla elpymis- ja palautumistukivälineen investointivälineestä tukivälineeseen on edistettävä ilmastotavoitteita elpymis- ja palautumistukivälinettä koskevan asetuksen liitteen VI mukaisesti.</w:t>
      </w:r>
      <w:r>
        <w:rPr>
          <w:rStyle w:val="FootnoteReference"/>
          <w:rFonts w:ascii="Times New Roman" w:hAnsi="Times New Roman" w:cs="Times New Roman"/>
          <w:noProof/>
          <w:sz w:val="24"/>
        </w:rPr>
        <w:footnoteReference w:id="107"/>
      </w:r>
    </w:p>
    <w:p w14:paraId="4ADF13A0" w14:textId="452AEB42" w:rsidR="0065073E" w:rsidRDefault="000A0998">
      <w:pPr>
        <w:pStyle w:val="P68B1DB1-ListParagraph6"/>
        <w:numPr>
          <w:ilvl w:val="0"/>
          <w:numId w:val="740"/>
        </w:numPr>
        <w:rPr>
          <w:rFonts w:cs="Times New Roman"/>
          <w:noProof/>
        </w:rPr>
      </w:pPr>
      <w:r>
        <w:rPr>
          <w:noProof/>
        </w:rPr>
        <w:t xml:space="preserve">Rahoituksen välittäjien valintaa koskevat vaatimukset: ICO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6B00BFFB" w14:textId="77777777" w:rsidR="0065073E" w:rsidRDefault="000A0998">
      <w:pPr>
        <w:pStyle w:val="P68B1DB1-ListParagraph6"/>
        <w:numPr>
          <w:ilvl w:val="0"/>
          <w:numId w:val="740"/>
        </w:numPr>
        <w:spacing w:line="240" w:lineRule="auto"/>
        <w:jc w:val="both"/>
        <w:rPr>
          <w:rFonts w:cs="Times New Roman"/>
          <w:noProof/>
        </w:rPr>
      </w:pPr>
      <w:r>
        <w:rPr>
          <w:noProof/>
        </w:rPr>
        <w:t xml:space="preserve">Vaatimus rahoitussopimusten allekirjoittamisesta: ICO allekirjoittaa rahoitussopimukset rahoituksen välittäjien kanssa täytäntöönpanosopimuksen liitteenä toimitettavien keskeisten vaatimusten mukaisesti. Rahoitussopimuksen keskeisiin vaatimuksiin on sisällyttävä kaikki rahaston toimintaa koskevat vaatimukset, mukaan lukien seuraavat: </w:t>
      </w:r>
    </w:p>
    <w:p w14:paraId="16D1FEBE" w14:textId="77777777" w:rsidR="0065073E" w:rsidRDefault="000A0998">
      <w:pPr>
        <w:pStyle w:val="P68B1DB1-Normal4"/>
        <w:numPr>
          <w:ilvl w:val="0"/>
          <w:numId w:val="744"/>
        </w:numPr>
        <w:spacing w:after="160" w:line="240" w:lineRule="auto"/>
        <w:jc w:val="both"/>
        <w:rPr>
          <w:rFonts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w:t>
      </w:r>
    </w:p>
    <w:p w14:paraId="3CEEEB74" w14:textId="0F25D43E" w:rsidR="0065073E" w:rsidRDefault="000A0998">
      <w:pPr>
        <w:pStyle w:val="P68B1DB1-Normal4"/>
        <w:numPr>
          <w:ilvl w:val="0"/>
          <w:numId w:val="744"/>
        </w:numPr>
        <w:spacing w:after="160" w:line="240" w:lineRule="auto"/>
        <w:jc w:val="both"/>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28406941" w14:textId="77777777" w:rsidR="0065073E" w:rsidRDefault="000A0998">
      <w:pPr>
        <w:pStyle w:val="P68B1DB1-Normal4"/>
        <w:spacing w:line="240" w:lineRule="auto"/>
        <w:rPr>
          <w:rFonts w:eastAsia="Times New Roman" w:cs="Times New Roman"/>
          <w:noProof/>
        </w:rPr>
      </w:pPr>
      <w:r>
        <w:rPr>
          <w:noProof/>
        </w:rPr>
        <w:t>Toimenpiteen täytäntöönpano on saatettava päätökseen 31 päivään elokuuta 2026 mennessä.</w:t>
      </w:r>
    </w:p>
    <w:p w14:paraId="4A12B21D" w14:textId="7C864473" w:rsidR="0065073E" w:rsidRDefault="000A0998">
      <w:pPr>
        <w:pStyle w:val="P68B1DB1-Normal17"/>
        <w:rPr>
          <w:rFonts w:cs="Times New Roman"/>
          <w:noProof/>
        </w:rPr>
      </w:pPr>
      <w:r>
        <w:rPr>
          <w:noProof/>
        </w:rPr>
        <w:t>ICO Enterprises and Entrepreneurs Line</w:t>
      </w:r>
    </w:p>
    <w:p w14:paraId="301F8344" w14:textId="78C41B9F" w:rsidR="0065073E" w:rsidRDefault="000A0998">
      <w:pPr>
        <w:pStyle w:val="P68B1DB1-LegalNumPar228"/>
        <w:numPr>
          <w:ilvl w:val="1"/>
          <w:numId w:val="0"/>
        </w:numPr>
        <w:spacing w:line="240" w:lineRule="auto"/>
        <w:jc w:val="both"/>
        <w:rPr>
          <w:rFonts w:cs="Times New Roman"/>
          <w:noProof/>
        </w:rPr>
      </w:pPr>
      <w:bookmarkStart w:id="32" w:name="_Hlk145873324"/>
      <w:r>
        <w:rPr>
          <w:noProof/>
        </w:rPr>
        <w:t xml:space="preserve">Tämä toimenpiteen osa koostuu julkisesta investoinnista välineeseen, yrityksiin ja yrittäjiin ICO Linein, jotta voidaan kannustaa yksityisiä investointeja ja parantaa rahoituksen saatavuutta aloilla, jotka liittyvät yrityksen taloudelliseen toimintaan, ja kehittää pääomamarkkinoita näillä aloilla, hankkeet, jotka liittyvät julkisten ja yksityisten yliopistojen digitalisointiin osana uutta kielitaloutta (NEL) sekä </w:t>
      </w:r>
      <w:bookmarkEnd w:id="32"/>
      <w:r>
        <w:rPr>
          <w:noProof/>
        </w:rPr>
        <w:t xml:space="preserve">matkailualan yritysten hankkeita, jotka liittyvät kestävyyteen, digitalisaatioon, inhimillisten voimavarojen ja laitteiden täydennyskoulutusjärjestelmiin sekä yrityksen kilpailukyvyn ja häiriönsietokyvyn vahvistamiseen. [Linjasta katetaan myös käyttöpääomatarpeet, joiden avulla yritykset voivat saavuttaa edellä mainitut tavoitteet.] Investointikehys toimii tarjoamalla suoraa rahoitusta, yritysten joukkovelkakirjojen ostoja sekä oman pääoman ehtoisia ja oman pääoman luonteisia sijoituksia joko suoraan tai välittäjien kautta yksityiselle sektorille sekä vastaavaa toimintaa harjoittaville julkisyhteisöille ja julkisoikeudellisille laitoksille. Elpymis- ja palautumistukivälineen investointien perusteella tukivälineestä on alun perin tarkoitus myöntää rahoitusta vähintään 8 150 00 000 euroa. </w:t>
      </w:r>
    </w:p>
    <w:p w14:paraId="43FB884B" w14:textId="3EE89197" w:rsidR="0065073E" w:rsidRDefault="000A0998">
      <w:pPr>
        <w:pStyle w:val="P68B1DB1-Normal4"/>
        <w:spacing w:line="240" w:lineRule="auto"/>
        <w:jc w:val="both"/>
        <w:rPr>
          <w:rFonts w:cs="Times New Roman"/>
          <w:noProof/>
        </w:rPr>
      </w:pPr>
      <w:r>
        <w:rPr>
          <w:noProof/>
        </w:rPr>
        <w:t>Investointikehystä hallinnoivat toteutuskumppaneina Instituto de Crédito Oficial (ICO) ja Axis (ICO:n yritys/yksityinen pääomajohtaja). Lainajärjestelyn on sisällettävä seuraavat tuotelinjat:</w:t>
      </w:r>
    </w:p>
    <w:p w14:paraId="683E4DE2" w14:textId="77777777" w:rsidR="0065073E" w:rsidRDefault="000A0998">
      <w:pPr>
        <w:pStyle w:val="P68B1DB1-ListParagraph6"/>
        <w:numPr>
          <w:ilvl w:val="0"/>
          <w:numId w:val="352"/>
        </w:numPr>
        <w:jc w:val="both"/>
        <w:rPr>
          <w:rFonts w:eastAsia="Times New Roman" w:cs="Times New Roman"/>
          <w:noProof/>
        </w:rPr>
      </w:pPr>
      <w:r>
        <w:rPr>
          <w:noProof/>
        </w:rPr>
        <w:t xml:space="preserve">Sovittelulinja: sovittelulinja koostuu ICO:n liikepankeille myöntämistä lainoista, jotka puolestaan myöntävät lopullisille edunsaajille lainoja niiden taloudelliseen toimintaan liittyvien hankkeiden rahoittamiseksi; digitalisaatio ja tekoäly yliopistoille; sekä kestävyyttä, digitalisaatiota, uudelleen- ja täydennyskoulutusta koskevia järjestelmiä, jotka koskevat henkilöresursseja ja laitteita, sekä hankkeita, joilla vahvistetaan matkailualan kilpailukykyä ja häiriönsietokykyä. Lopullisia edunsaajia ovat yksityiset yritykset (kuten itsenäiset ammatinharjoittajat, pk-yritykset, pienet mid-cap-yritykset, suuryritykset tai yrittäjät) ja vastaavaa toimintaa harjoittavat julkiset yhteisöt. </w:t>
      </w:r>
    </w:p>
    <w:p w14:paraId="393EBC7B" w14:textId="77777777" w:rsidR="0065073E" w:rsidRDefault="000A0998">
      <w:pPr>
        <w:pStyle w:val="P68B1DB1-ListParagraph6"/>
        <w:numPr>
          <w:ilvl w:val="0"/>
          <w:numId w:val="352"/>
        </w:numPr>
        <w:jc w:val="both"/>
        <w:rPr>
          <w:rFonts w:eastAsia="Times New Roman" w:cs="Times New Roman"/>
          <w:noProof/>
        </w:rPr>
      </w:pPr>
      <w:r>
        <w:rPr>
          <w:noProof/>
        </w:rPr>
        <w:t xml:space="preserve">ICO:n suora rahoitus: tästä budjettikohdasta myönnetään suoria lainoja yksityisille yrityksille (kuten mid-cap-yrityksille ja suurille yrityksille) ja julkisille yrityksille niiden taloudelliseen toimintaan liittyvien hankkeiden rahoittamiseksi. Lainat myöntää suoraan ICO ja kukin kolmannen osapuolen yksityisen sijoittajan osarahoittama hanke. ICO:n myöntämät varat ovat enintään 70 prosenttia investoinnille myönnetyn tuen kokonaismäärästä. Yksityisten sijoittajien on katettava vähintään 30 prosenttia investointituen kokonaismäärästä. </w:t>
      </w:r>
    </w:p>
    <w:p w14:paraId="36D18B4F" w14:textId="77777777" w:rsidR="0065073E" w:rsidRDefault="000A0998">
      <w:pPr>
        <w:pStyle w:val="P68B1DB1-ListParagraph6"/>
        <w:numPr>
          <w:ilvl w:val="0"/>
          <w:numId w:val="352"/>
        </w:numPr>
        <w:jc w:val="both"/>
        <w:rPr>
          <w:rFonts w:eastAsia="Times New Roman" w:cs="Times New Roman"/>
          <w:noProof/>
        </w:rPr>
      </w:pPr>
      <w:r>
        <w:rPr>
          <w:noProof/>
        </w:rPr>
        <w:t xml:space="preserve">Yritysten joukkovelkakirjojen ostot: tämän budjettikohdan mukaisesti ICO ostaa espanjalaisten yritysten liikkeeseen laskemia keski- ja pitkäaikaisia kiinteätuottoisia etuoikeutettuja arvopapereita organisoiduilla jälkimarkkinoilla (kuten vaihtoehtoisilla kiinteätuottoisilla markkinoilla (MARF) tai rahoitusvarojen välittäjien liitto (AIAF)). Arvopaperien on liityttävä arvopaperin liikkeeseen laskevan yhtiön tiettyyn investointihankkeeseen. </w:t>
      </w:r>
    </w:p>
    <w:p w14:paraId="1FDA1A43" w14:textId="3E6AFF88" w:rsidR="0065073E" w:rsidRDefault="000A0998">
      <w:pPr>
        <w:pStyle w:val="P68B1DB1-ListParagraph6"/>
        <w:numPr>
          <w:ilvl w:val="0"/>
          <w:numId w:val="352"/>
        </w:numPr>
        <w:jc w:val="both"/>
        <w:rPr>
          <w:rFonts w:eastAsia="Times New Roman" w:cs="Times New Roman"/>
          <w:noProof/>
        </w:rPr>
      </w:pPr>
      <w:r>
        <w:rPr>
          <w:noProof/>
        </w:rPr>
        <w:t>Oman pääoman ehtoiset ja luonteiset sijoitukset: tämä budjettikohta koostuu suorien pääomasijoitusten tarjoamisesta toimintalinjan kautta (ICO:n riskipääoman hoitaja/yksityinen pääomanhoitaja) ja/tai varojen siirrosta pääomarahastoihin tai muihin sijoitusvälineisiin, joita hallinnoivat yksityiset rahoituksen välittäjät, jotka toteuttavat pääomasijoituksia yrityksissä (start-up-yritykset, pk-yritykset, midcap-yritykset ja suuret yhteisöt). Linjan enimmäisosuus saa olla enintään 49 prosenttia sijoitusrahastoista. Linjan tekemät pääomasijoitukset eivät saa johtaa siihen, että julkisessa omistuksessa olevan pääoman osuus lopullisesta tuensaajasta ylittää 49 prosenttia koko pääomasta.</w:t>
      </w:r>
    </w:p>
    <w:p w14:paraId="55E4C3C3" w14:textId="21F94008" w:rsidR="0065073E" w:rsidRDefault="000A0998">
      <w:pPr>
        <w:pStyle w:val="P68B1DB1-Normal4"/>
        <w:spacing w:line="240" w:lineRule="auto"/>
        <w:jc w:val="both"/>
        <w:rPr>
          <w:rFonts w:cs="Times New Roman"/>
          <w:noProof/>
        </w:rPr>
      </w:pPr>
      <w:r>
        <w:rPr>
          <w:noProof/>
        </w:rPr>
        <w:t>Investointikehykseen tehtävän investoinnin toteuttamiseksi Espanjan ja ICO:n on allekirjoitettava täytäntöönpanosopimus, jonka sisältö on seuraava:</w:t>
      </w:r>
    </w:p>
    <w:p w14:paraId="53A5EF28" w14:textId="725F3D04" w:rsidR="0065073E" w:rsidRDefault="000A0998">
      <w:pPr>
        <w:pStyle w:val="P68B1DB1-LegalNumPar27"/>
        <w:numPr>
          <w:ilvl w:val="0"/>
          <w:numId w:val="773"/>
        </w:numPr>
        <w:jc w:val="both"/>
        <w:rPr>
          <w:rFonts w:eastAsia="Times New Roman" w:cs="Times New Roman"/>
          <w:noProof/>
        </w:rPr>
      </w:pPr>
      <w:bookmarkStart w:id="33" w:name="_Hlk145601400"/>
      <w:r>
        <w:rPr>
          <w:noProof/>
        </w:rPr>
        <w:t>Tukivälineen päätöksentekoprosessin kuvaus: Investointikehyksen lopullisen investointipäätöksen tekee investointikomitea tai muu vastaava hallintoelin, ja se hyväksytään hallituksesta riippumattomien jäsenten äänten enemmistöllä. Välitettyjen sijoitusten osalta lopullisen sijoituspäätöksen tekevät välittäjät.</w:t>
      </w:r>
    </w:p>
    <w:bookmarkEnd w:id="33"/>
    <w:p w14:paraId="1FD4C11A" w14:textId="77777777" w:rsidR="0065073E" w:rsidRDefault="000A0998">
      <w:pPr>
        <w:pStyle w:val="P68B1DB1-LegalNumPar27"/>
        <w:numPr>
          <w:ilvl w:val="0"/>
          <w:numId w:val="773"/>
        </w:numPr>
        <w:jc w:val="both"/>
        <w:rPr>
          <w:rFonts w:cs="Times New Roman"/>
          <w:noProof/>
        </w:rPr>
      </w:pPr>
      <w:r>
        <w:rPr>
          <w:noProof/>
        </w:rPr>
        <w:t>Asiaan liittyvän sijoituspolitiikan keskeiset vaatimukset,</w:t>
      </w:r>
      <w:r>
        <w:rPr>
          <w:b/>
          <w:noProof/>
        </w:rPr>
        <w:t xml:space="preserve"> </w:t>
      </w:r>
      <w:r>
        <w:rPr>
          <w:noProof/>
        </w:rPr>
        <w:t>joihin on sisällyttävä</w:t>
      </w:r>
    </w:p>
    <w:p w14:paraId="4000C7AE" w14:textId="245DDE76" w:rsidR="0065073E" w:rsidRDefault="000A0998">
      <w:pPr>
        <w:pStyle w:val="P68B1DB1-LegalNumPar228"/>
        <w:numPr>
          <w:ilvl w:val="0"/>
          <w:numId w:val="774"/>
        </w:numPr>
        <w:jc w:val="both"/>
        <w:rPr>
          <w:rFonts w:cs="Times New Roman"/>
          <w:noProof/>
        </w:rPr>
      </w:pPr>
      <w:r>
        <w:rPr>
          <w:noProof/>
        </w:rPr>
        <w:t xml:space="preserve">Kuvaus rahoitustuotteesta (rahoitustuotteista) ja tukikelpoisista lopullisista tuensaajista toimenpiteen kuvauksen mukaisesti.   </w:t>
      </w:r>
    </w:p>
    <w:p w14:paraId="651DD390" w14:textId="77777777" w:rsidR="0065073E" w:rsidRDefault="000A0998">
      <w:pPr>
        <w:pStyle w:val="P68B1DB1-LegalNumPar228"/>
        <w:numPr>
          <w:ilvl w:val="0"/>
          <w:numId w:val="774"/>
        </w:numPr>
        <w:jc w:val="both"/>
        <w:rPr>
          <w:rFonts w:cs="Times New Roman"/>
          <w:noProof/>
        </w:rPr>
      </w:pPr>
      <w:r>
        <w:rPr>
          <w:noProof/>
        </w:rPr>
        <w:t>Vaatimus, jonka mukaan kaikkien tuettujen investointien on oltava taloudellisesti kannattavia</w:t>
      </w:r>
      <w:r>
        <w:rPr>
          <w:b/>
          <w:noProof/>
        </w:rPr>
        <w:t>.</w:t>
      </w:r>
    </w:p>
    <w:p w14:paraId="0AF6A743" w14:textId="77777777" w:rsidR="0065073E" w:rsidRDefault="000A0998">
      <w:pPr>
        <w:pStyle w:val="P68B1DB1-LegalNumPar228"/>
        <w:numPr>
          <w:ilvl w:val="0"/>
          <w:numId w:val="774"/>
        </w:numPr>
        <w:jc w:val="both"/>
        <w:rPr>
          <w:rFonts w:cs="Times New Roman"/>
          <w:noProof/>
        </w:rPr>
      </w:pPr>
      <w:r>
        <w:rPr>
          <w:noProof/>
        </w:rPr>
        <w:t>Kielto jälleenrahoittaa kaikkia jäljellä olevia lainoja.</w:t>
      </w:r>
    </w:p>
    <w:p w14:paraId="444A2BA1" w14:textId="3CF710F2" w:rsidR="0065073E" w:rsidRDefault="000A0998">
      <w:pPr>
        <w:pStyle w:val="P68B1DB1-LegalNumPar228"/>
        <w:numPr>
          <w:ilvl w:val="0"/>
          <w:numId w:val="774"/>
        </w:numPr>
        <w:jc w:val="both"/>
        <w:rPr>
          <w:rFonts w:cs="Times New Roman"/>
          <w:noProof/>
        </w:rPr>
      </w:pPr>
      <w:r>
        <w:rPr>
          <w:noProof/>
        </w:rPr>
        <w:t xml:space="preserve">Vaatimus noudattaa ”ei merkittävää haittaa” -periaatetta, sellaisena kuin se on vahvistettu ”ei merkittävää haittaa” -periaatetta (2021/C58/01), erityisesti: </w:t>
      </w:r>
    </w:p>
    <w:p w14:paraId="6C78A40A" w14:textId="1A390A71" w:rsidR="0065073E" w:rsidRDefault="000A0998">
      <w:pPr>
        <w:pStyle w:val="ListParagraph"/>
        <w:numPr>
          <w:ilvl w:val="0"/>
          <w:numId w:val="775"/>
        </w:numPr>
        <w:spacing w:line="240" w:lineRule="auto"/>
        <w:jc w:val="both"/>
        <w:rPr>
          <w:rFonts w:ascii="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hAnsi="Times New Roman" w:cs="Times New Roman"/>
          <w:noProof/>
          <w:sz w:val="24"/>
        </w:rPr>
        <w:footnoteReference w:id="108"/>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09"/>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110"/>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11"/>
      </w:r>
      <w:r>
        <w:rPr>
          <w:rFonts w:ascii="Times New Roman" w:hAnsi="Times New Roman"/>
          <w:noProof/>
          <w:sz w:val="24"/>
        </w:rPr>
        <w:t xml:space="preserve">. </w:t>
      </w:r>
    </w:p>
    <w:p w14:paraId="210FD2C8" w14:textId="049D1AE6" w:rsidR="0065073E" w:rsidRDefault="000A0998">
      <w:pPr>
        <w:pStyle w:val="ListParagraph"/>
        <w:numPr>
          <w:ilvl w:val="0"/>
          <w:numId w:val="775"/>
        </w:numPr>
        <w:jc w:val="both"/>
        <w:rPr>
          <w:rFonts w:ascii="Times New Roman" w:hAnsi="Times New Roman" w:cs="Times New Roman"/>
          <w:noProof/>
          <w:sz w:val="24"/>
        </w:rPr>
      </w:pPr>
      <w:r>
        <w:rPr>
          <w:rFonts w:ascii="Times New Roman" w:hAnsi="Times New Roman"/>
          <w:noProof/>
          <w:sz w:val="24"/>
        </w:rPr>
        <w:t>Oman pääoman ehtoisten, oman pääoman luonteisten, yritysten joukkovelkakirjalainojen tai vastaavien instrumenttien osalta: sijoituspolitiikassa on edellytettävä, että yritykset hyväksyvät vihreää siirtymää koskevat suunnitelmat direktiivin 2013/34/EU 19 a artiklan 2 kohdan a alakohdan iii alakohdassa esitetyn määritelmän mukaisesti,</w:t>
      </w:r>
      <w:r>
        <w:rPr>
          <w:rStyle w:val="FootnoteReference"/>
          <w:rFonts w:ascii="Times New Roman" w:hAnsi="Times New Roman" w:cs="Times New Roman"/>
          <w:noProof/>
          <w:sz w:val="24"/>
        </w:rPr>
        <w:footnoteReference w:id="112"/>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omaisuuserät, mukaan lukien loppupään käyttö,</w:t>
      </w:r>
      <w:r>
        <w:rPr>
          <w:rStyle w:val="FootnoteReference"/>
          <w:rFonts w:ascii="Times New Roman" w:hAnsi="Times New Roman" w:cs="Times New Roman"/>
          <w:noProof/>
          <w:sz w:val="24"/>
        </w:rPr>
        <w:footnoteReference w:id="113"/>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14"/>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115"/>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16"/>
      </w:r>
      <w:r>
        <w:rPr>
          <w:rFonts w:ascii="Times New Roman" w:hAnsi="Times New Roman"/>
          <w:noProof/>
          <w:sz w:val="24"/>
        </w:rPr>
        <w:t xml:space="preserve">.  </w:t>
      </w:r>
    </w:p>
    <w:p w14:paraId="173B651D" w14:textId="77777777" w:rsidR="0065073E" w:rsidRDefault="000A0998">
      <w:pPr>
        <w:pStyle w:val="P68B1DB1-ListParagraph6"/>
        <w:numPr>
          <w:ilvl w:val="0"/>
          <w:numId w:val="775"/>
        </w:numPr>
        <w:jc w:val="both"/>
        <w:rPr>
          <w:rFonts w:cs="Times New Roman"/>
          <w:noProof/>
        </w:rPr>
      </w:pPr>
      <w:r>
        <w:rPr>
          <w:noProof/>
        </w:rPr>
        <w:t>Lisäksi investointipolitiikassa on edellytettävä, että tukivälineen lopulliset edunsaajat noudattavat asiaankuuluvaa EU:n ja kansallista ympäristölainsäädäntöä.</w:t>
      </w:r>
    </w:p>
    <w:p w14:paraId="2A73A449" w14:textId="009DF5DE" w:rsidR="0065073E" w:rsidRDefault="000A0998">
      <w:pPr>
        <w:pStyle w:val="P68B1DB1-ListParagraph6"/>
        <w:numPr>
          <w:ilvl w:val="0"/>
          <w:numId w:val="774"/>
        </w:numPr>
        <w:spacing w:line="240" w:lineRule="auto"/>
        <w:jc w:val="both"/>
        <w:rPr>
          <w:rFonts w:cs="Times New Roman"/>
          <w:noProof/>
        </w:rPr>
      </w:pPr>
      <w:r>
        <w:rPr>
          <w:noProof/>
        </w:rPr>
        <w:t>Vaatimus, jonka mukaan lainajärjestelyn lopulliset edunsaajat eivät saa saada tukea muista unionin välineistä samojen kustannusten kattamiseksi.</w:t>
      </w:r>
    </w:p>
    <w:p w14:paraId="73052689" w14:textId="7E01235C" w:rsidR="0065073E" w:rsidRDefault="000A0998">
      <w:pPr>
        <w:pStyle w:val="P68B1DB1-LegalNumPar27"/>
        <w:numPr>
          <w:ilvl w:val="0"/>
          <w:numId w:val="773"/>
        </w:numPr>
        <w:jc w:val="both"/>
        <w:rPr>
          <w:rFonts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1C13B238" w14:textId="77777777" w:rsidR="0065073E" w:rsidRDefault="000A0998">
      <w:pPr>
        <w:pStyle w:val="P68B1DB1-ListParagraph6"/>
        <w:numPr>
          <w:ilvl w:val="0"/>
          <w:numId w:val="773"/>
        </w:numPr>
        <w:spacing w:line="240" w:lineRule="auto"/>
        <w:jc w:val="both"/>
        <w:rPr>
          <w:rFonts w:cs="Times New Roman"/>
          <w:noProof/>
        </w:rPr>
      </w:pPr>
      <w:r>
        <w:rPr>
          <w:noProof/>
        </w:rPr>
        <w:t>Seuranta-, auditointi- ja valvontavaatimukset, mukaan lukien</w:t>
      </w:r>
    </w:p>
    <w:p w14:paraId="3AA8D0CE" w14:textId="0CB66D85" w:rsidR="0065073E" w:rsidRDefault="000A0998">
      <w:pPr>
        <w:pStyle w:val="P68B1DB1-ListParagraph6"/>
        <w:numPr>
          <w:ilvl w:val="0"/>
          <w:numId w:val="776"/>
        </w:numPr>
        <w:spacing w:line="240" w:lineRule="auto"/>
        <w:jc w:val="both"/>
        <w:rPr>
          <w:rFonts w:cs="Times New Roman"/>
          <w:noProof/>
        </w:rPr>
      </w:pPr>
      <w:r>
        <w:rPr>
          <w:noProof/>
        </w:rPr>
        <w:t>Kuvaus toteutuskumppanin seurantajärjestelmästä, jolla raportoidaan käyttöön otetuista investoinneista.</w:t>
      </w:r>
    </w:p>
    <w:p w14:paraId="795F4D18" w14:textId="4D944CC6" w:rsidR="0065073E" w:rsidRDefault="000A0998">
      <w:pPr>
        <w:pStyle w:val="P68B1DB1-ListParagraph6"/>
        <w:numPr>
          <w:ilvl w:val="0"/>
          <w:numId w:val="776"/>
        </w:numPr>
        <w:spacing w:line="240" w:lineRule="auto"/>
        <w:jc w:val="both"/>
        <w:rPr>
          <w:rFonts w:cs="Times New Roman"/>
          <w:noProof/>
        </w:rPr>
      </w:pPr>
      <w:r>
        <w:rPr>
          <w:noProof/>
        </w:rPr>
        <w:t xml:space="preserve">Kuvaus toteutuskumppanin menettelyistä, joilla varmistetaan petosten, lahjonnan ja eturistiriitojen ehkäiseminen, havaitseminen ja korjaaminen. </w:t>
      </w:r>
    </w:p>
    <w:p w14:paraId="581D7EE3" w14:textId="4D523061" w:rsidR="0065073E" w:rsidRDefault="000A0998">
      <w:pPr>
        <w:pStyle w:val="P68B1DB1-ListParagraph6"/>
        <w:numPr>
          <w:ilvl w:val="0"/>
          <w:numId w:val="776"/>
        </w:numPr>
        <w:spacing w:line="240" w:lineRule="auto"/>
        <w:jc w:val="both"/>
        <w:rPr>
          <w:rFonts w:cs="Times New Roman"/>
          <w:noProof/>
        </w:rPr>
      </w:pPr>
      <w:bookmarkStart w:id="34" w:name="_Hlk145681811"/>
      <w:r>
        <w:rPr>
          <w:noProof/>
        </w:rPr>
        <w:t>Velvollisuus tarkistaa jokaisen toimen tukikelpoisuus täytäntöönpanosopimuksessa vahvistettujen vaatimusten mukaisesti, myös käyttämällä omaa ilmoitusta alle 10000000 euron suuruisista toimista, ennen kuin sitoudutaan rahoittamaan toimea.</w:t>
      </w:r>
    </w:p>
    <w:bookmarkEnd w:id="34"/>
    <w:p w14:paraId="7E99BD54" w14:textId="4CB77C30" w:rsidR="0065073E" w:rsidRDefault="000A0998">
      <w:pPr>
        <w:pStyle w:val="ListParagraph"/>
        <w:numPr>
          <w:ilvl w:val="0"/>
          <w:numId w:val="776"/>
        </w:numPr>
        <w:spacing w:line="240" w:lineRule="auto"/>
        <w:jc w:val="both"/>
        <w:rPr>
          <w:rFonts w:ascii="Times New Roman" w:hAnsi="Times New Roman" w:cs="Times New Roman"/>
          <w:noProof/>
          <w:sz w:val="24"/>
        </w:rPr>
      </w:pPr>
      <w:r>
        <w:rPr>
          <w:rFonts w:ascii="Times New Roman" w:hAnsi="Times New Roman"/>
          <w:noProof/>
          <w:sz w:val="24"/>
        </w:rPr>
        <w:t>Velvollisuus suorittaa riskiperusteisia jälkitarkastuksia ICO:n tarkastussuunnitelman mukaisesti. Näillä tarkastuksilla todennetaan i) valvontajärjestelmien tehokkuus, mukaan lukien petosten, korruption ja eturistiriitojen havaitseminen; II) ”ei merkittävää haittaa” -periaatteen, valtiontukisääntöjen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varmennettava toimien laillisuus ja se, että sovellettavan täytäntöönpanosopimuksen ja rahoitussopimusten ehtoja noudatetaan,</w:t>
      </w:r>
      <w:r>
        <w:rPr>
          <w:noProof/>
        </w:rPr>
        <w:t xml:space="preserve"> myös käyttämällä omia ilmoituksia alle 10000000 euron suuruisista toimista, ennen kuin sitoudutaan rahoittamaan toimea. </w:t>
      </w:r>
    </w:p>
    <w:p w14:paraId="46EDF36E" w14:textId="7F08766F" w:rsidR="0065073E" w:rsidRDefault="000A0998">
      <w:pPr>
        <w:pStyle w:val="ListParagraph"/>
        <w:numPr>
          <w:ilvl w:val="0"/>
          <w:numId w:val="773"/>
        </w:numPr>
        <w:spacing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koskevat vaatimukset: vähintään 150000000 eurolla elpymis- ja palautumistukivälineen investointivälineestä tukivälineeseen on edistettävä digitaalisia tavoitteita elpymis- ja palautumistukivälinettä koskevan asetuksen liitteen VII mukaisesti.</w:t>
      </w:r>
      <w:r>
        <w:rPr>
          <w:rStyle w:val="FootnoteReference"/>
          <w:rFonts w:ascii="Times New Roman" w:hAnsi="Times New Roman" w:cs="Times New Roman"/>
          <w:noProof/>
          <w:sz w:val="24"/>
        </w:rPr>
        <w:footnoteReference w:id="117"/>
      </w:r>
    </w:p>
    <w:p w14:paraId="73ED57F1" w14:textId="62856346" w:rsidR="0065073E" w:rsidRDefault="000A0998">
      <w:pPr>
        <w:pStyle w:val="P68B1DB1-ListParagraph6"/>
        <w:numPr>
          <w:ilvl w:val="0"/>
          <w:numId w:val="773"/>
        </w:numPr>
        <w:jc w:val="both"/>
        <w:rPr>
          <w:rFonts w:cs="Times New Roman"/>
          <w:noProof/>
        </w:rPr>
      </w:pPr>
      <w:r>
        <w:rPr>
          <w:noProof/>
        </w:rPr>
        <w:t xml:space="preserve">Rahoituksen välittäjien valintaa koskevat vaatimukset: ICO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28D7ED99" w14:textId="30EF4715" w:rsidR="0065073E" w:rsidRDefault="000A0998">
      <w:pPr>
        <w:pStyle w:val="P68B1DB1-ListParagraph6"/>
        <w:numPr>
          <w:ilvl w:val="0"/>
          <w:numId w:val="773"/>
        </w:numPr>
        <w:spacing w:line="240" w:lineRule="auto"/>
        <w:jc w:val="both"/>
        <w:rPr>
          <w:rFonts w:cs="Times New Roman"/>
          <w:noProof/>
        </w:rPr>
      </w:pPr>
      <w:r>
        <w:rPr>
          <w:noProof/>
        </w:rPr>
        <w:t xml:space="preserve">Vaatimus rahoitussopimusten allekirjoittamisesta: ICO allekirjoittaa rahoitussopimukset rahoituksen välittäjien kanssa täytäntöönpanosopimuksen liitteenä toimitettavien keskeisten vaatimusten mukaisesti. Rahoitussopimuksen keskeisiin vaatimuksiin on sisällyttävä kaikki rahaston toimintaa koskevat vaatimukset, mukaan lukien seuraavat: </w:t>
      </w:r>
    </w:p>
    <w:p w14:paraId="7EC2D567" w14:textId="77777777" w:rsidR="0065073E" w:rsidRDefault="000A0998">
      <w:pPr>
        <w:pStyle w:val="P68B1DB1-Normal4"/>
        <w:numPr>
          <w:ilvl w:val="0"/>
          <w:numId w:val="791"/>
        </w:numPr>
        <w:spacing w:after="160" w:line="240" w:lineRule="auto"/>
        <w:jc w:val="both"/>
        <w:rPr>
          <w:rFonts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w:t>
      </w:r>
    </w:p>
    <w:p w14:paraId="1381D3EC" w14:textId="77777777" w:rsidR="0065073E" w:rsidRDefault="000A0998">
      <w:pPr>
        <w:pStyle w:val="P68B1DB1-Normal4"/>
        <w:numPr>
          <w:ilvl w:val="0"/>
          <w:numId w:val="791"/>
        </w:numPr>
        <w:spacing w:after="160" w:line="240" w:lineRule="auto"/>
        <w:jc w:val="both"/>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3EFDD5CC" w14:textId="77777777" w:rsidR="0065073E" w:rsidRDefault="000A0998">
      <w:pPr>
        <w:pStyle w:val="P68B1DB1-Normal4"/>
        <w:spacing w:before="120" w:after="120" w:line="240" w:lineRule="auto"/>
        <w:jc w:val="both"/>
        <w:rPr>
          <w:rFonts w:eastAsia="Times New Roman" w:cs="Times New Roman"/>
          <w:noProof/>
        </w:rPr>
      </w:pPr>
      <w:r>
        <w:rPr>
          <w:noProof/>
        </w:rPr>
        <w:t>Toimenpiteen täytäntöönpano on saatettava päätökseen 31 päivään elokuuta 2026 mennessä.</w:t>
      </w:r>
    </w:p>
    <w:p w14:paraId="2AFFB725" w14:textId="77777777" w:rsidR="0065073E" w:rsidRPr="00FC251F" w:rsidRDefault="000A0998">
      <w:pPr>
        <w:pStyle w:val="P68B1DB1-Normal5"/>
        <w:rPr>
          <w:rFonts w:cs="Times New Roman"/>
          <w:noProof/>
          <w:lang w:val="en-IE"/>
        </w:rPr>
      </w:pPr>
      <w:r w:rsidRPr="00FC251F">
        <w:rPr>
          <w:noProof/>
          <w:lang w:val="en-IE"/>
        </w:rPr>
        <w:t>Investointi 7 (C13.I7) – ICO Next Tech Fund</w:t>
      </w:r>
    </w:p>
    <w:p w14:paraId="358C72D6" w14:textId="323E53E4" w:rsidR="0065073E" w:rsidRDefault="000A0998">
      <w:pPr>
        <w:pStyle w:val="P68B1DB1-LegalNumPar228"/>
        <w:numPr>
          <w:ilvl w:val="1"/>
          <w:numId w:val="0"/>
        </w:numPr>
        <w:spacing w:line="240" w:lineRule="auto"/>
        <w:jc w:val="both"/>
        <w:rPr>
          <w:rFonts w:cs="Times New Roman"/>
          <w:noProof/>
        </w:rPr>
      </w:pPr>
      <w:bookmarkStart w:id="35" w:name="_Hlk140650645"/>
      <w:r>
        <w:rPr>
          <w:noProof/>
        </w:rPr>
        <w:t xml:space="preserve">Tämä toimenpide koostuu julkisesta investoinnista </w:t>
      </w:r>
      <w:bookmarkEnd w:id="35"/>
      <w:r>
        <w:rPr>
          <w:noProof/>
        </w:rPr>
        <w:t xml:space="preserve">rahoitusvälineeseen, ICO Next Tech Fund -rahastoon, jotta voidaan kannustaa yksityisiä investointeja ja parantaa rahoituksen saantia Espanjan strategisilla aloilla, jotka ovat sidoksissa digitaaliseen siirtymään, ja kehittää pääomamarkkinoita tällä alalla. Lainajärjestely toimii tarjoamalla taloudellisia kannustimia yhteissijoituksilla muiden rahastojen kanssa suoraan tai välittäjien kautta yksityiselle sektorille sekä vastaavaa toimintaa harjoittaville julkisyhteisöille ja julkisoikeudellisille laitoksille. Elpymis- ja palautumistukivälineen investointien perusteella tukivälineestä on alun perin tarkoitus myöntää rahoitusta vähintään 4000000000 euroa. </w:t>
      </w:r>
    </w:p>
    <w:p w14:paraId="69A5E882" w14:textId="754DE619" w:rsidR="0065073E" w:rsidRDefault="000A0998">
      <w:pPr>
        <w:pStyle w:val="P68B1DB1-LegalNumPar228"/>
        <w:numPr>
          <w:ilvl w:val="1"/>
          <w:numId w:val="0"/>
        </w:numPr>
        <w:spacing w:line="240" w:lineRule="auto"/>
        <w:jc w:val="both"/>
        <w:rPr>
          <w:rFonts w:cs="Times New Roman"/>
          <w:noProof/>
        </w:rPr>
      </w:pPr>
      <w:r>
        <w:rPr>
          <w:noProof/>
        </w:rPr>
        <w:t>Toteutuskumppaneina rahastoa hallinnoi toimintalinja (ICO:n riskipääoman hoitaja/yksityinen pääomajohtaja). Lainajärjestelyn on sisällettävä seuraavat tuotelinjat:</w:t>
      </w:r>
    </w:p>
    <w:p w14:paraId="15D3E958" w14:textId="3C30DF7B" w:rsidR="0065073E" w:rsidRDefault="000A0998">
      <w:pPr>
        <w:pStyle w:val="P68B1DB1-ListParagraph6"/>
        <w:numPr>
          <w:ilvl w:val="0"/>
          <w:numId w:val="352"/>
        </w:numPr>
        <w:jc w:val="both"/>
        <w:rPr>
          <w:rFonts w:eastAsia="Times New Roman" w:cs="Times New Roman"/>
          <w:noProof/>
        </w:rPr>
      </w:pPr>
      <w:r>
        <w:rPr>
          <w:noProof/>
        </w:rPr>
        <w:t>Ohivalinta: tämä budjettikohta koostuu suorista oman pääoman ehtoisista tai oman pääoman luonteisista sijoituksista ICO:n riskipääoman hoitajan AXISin kautta Espanjassa perustetuille yrityksille niiden koosta ja pääomaomistuksesta riippumatta, jotka sitoutuvat toteuttamaan uusia teknologiahankkeita. Rahaston oman pääoman ehtoiset sijoitukset eivät saa johtaa siihen, että julkisessa omistuksessa olevan pääoman osuus lopullisesta tuensaajasta ylittää 49 prosenttia koko pääomasta.</w:t>
      </w:r>
    </w:p>
    <w:p w14:paraId="7DAB95B4" w14:textId="0342F73A" w:rsidR="0065073E" w:rsidRDefault="000A0998">
      <w:pPr>
        <w:pStyle w:val="P68B1DB1-ListParagraph6"/>
        <w:numPr>
          <w:ilvl w:val="0"/>
          <w:numId w:val="352"/>
        </w:numPr>
        <w:jc w:val="both"/>
        <w:rPr>
          <w:rFonts w:eastAsia="Times New Roman" w:cs="Times New Roman"/>
          <w:noProof/>
        </w:rPr>
      </w:pPr>
      <w:r>
        <w:rPr>
          <w:noProof/>
        </w:rPr>
        <w:t>Välillinen viiva: tämä budjettikohta koostuu varojen siirrosta olemassa oleviin sijoitusvälineisiin, joita hallinnoivat yksityiset rahoituksen välittäjät, mukaan lukien riskipääomarahastot, jotka tekevät pääomasijoituksia rahaston kohteena olevilla teknologian aloilla. Rahaston enimmäisosuus saa olla enintään 49 prosenttia sijoitusrahastosta.</w:t>
      </w:r>
    </w:p>
    <w:p w14:paraId="3A9B1832" w14:textId="0262FC3D" w:rsidR="0065073E" w:rsidRDefault="000A0998">
      <w:pPr>
        <w:pStyle w:val="P68B1DB1-ListParagraph6"/>
        <w:numPr>
          <w:ilvl w:val="0"/>
          <w:numId w:val="352"/>
        </w:numPr>
        <w:jc w:val="both"/>
        <w:rPr>
          <w:rFonts w:cs="Times New Roman"/>
          <w:noProof/>
        </w:rPr>
      </w:pPr>
      <w:r>
        <w:rPr>
          <w:noProof/>
        </w:rPr>
        <w:t xml:space="preserve">Euroopan teknologiamestaruusaloite (ETCI): tämä budjettikohta koostuu Espanjan toteuttamasta enintään miljardin euron varojen siirrosta Euroopan investointirahaston (EIR) hallinnoimaan rahastojen rahastoon ETCI:lle, joka kanavoi myöhäisen vaiheen kasvupääoman lupaaville eurooppalaisille innovoijille.  </w:t>
      </w:r>
    </w:p>
    <w:p w14:paraId="2B91A638" w14:textId="77777777" w:rsidR="0065073E" w:rsidRDefault="000A0998">
      <w:pPr>
        <w:pStyle w:val="P68B1DB1-Normal4"/>
        <w:spacing w:line="240" w:lineRule="auto"/>
        <w:jc w:val="both"/>
        <w:rPr>
          <w:rFonts w:cs="Times New Roman"/>
          <w:noProof/>
        </w:rPr>
      </w:pPr>
      <w:r>
        <w:rPr>
          <w:noProof/>
        </w:rPr>
        <w:t>Investointivälineeseen tehtävän investoinnin toteuttamiseksi Espanjan ja toimintalinjan on allekirjoitettava täytäntöönpanosopimus, jonka sisältö on seuraava:</w:t>
      </w:r>
    </w:p>
    <w:p w14:paraId="16740221" w14:textId="728E4441" w:rsidR="0065073E" w:rsidRDefault="000A0998">
      <w:pPr>
        <w:pStyle w:val="P68B1DB1-ListParagraph6"/>
        <w:numPr>
          <w:ilvl w:val="0"/>
          <w:numId w:val="766"/>
        </w:numPr>
        <w:jc w:val="both"/>
        <w:rPr>
          <w:rFonts w:cs="Times New Roman"/>
          <w:noProof/>
        </w:rPr>
      </w:pPr>
      <w:r>
        <w:rPr>
          <w:noProof/>
        </w:rPr>
        <w:t>Tukivälineen päätöksentekoprosessin kuvaus: Investointikehyksen lopullisen investointipäätöksen tekee investointikomitea tai muu vastaava hallintoelin, ja se hyväksytään Espanjan hallituksesta riippumattomien jäsenten äänten enemmistöllä. Välitettyjen sijoitusten osalta lopullisen sijoituspäätöksen tekevät välittäjät.</w:t>
      </w:r>
    </w:p>
    <w:p w14:paraId="0E765F69" w14:textId="77777777" w:rsidR="0065073E" w:rsidRDefault="000A0998">
      <w:pPr>
        <w:pStyle w:val="P68B1DB1-LegalNumPar27"/>
        <w:numPr>
          <w:ilvl w:val="0"/>
          <w:numId w:val="766"/>
        </w:numPr>
        <w:jc w:val="both"/>
        <w:rPr>
          <w:rFonts w:cs="Times New Roman"/>
          <w:noProof/>
        </w:rPr>
      </w:pPr>
      <w:r>
        <w:rPr>
          <w:noProof/>
        </w:rPr>
        <w:t>Asiaan liittyvän sijoituspolitiikan keskeiset vaatimukset,</w:t>
      </w:r>
      <w:r>
        <w:rPr>
          <w:b/>
          <w:noProof/>
        </w:rPr>
        <w:t xml:space="preserve"> </w:t>
      </w:r>
      <w:r>
        <w:rPr>
          <w:noProof/>
        </w:rPr>
        <w:t>joihin on sisällyttävä</w:t>
      </w:r>
    </w:p>
    <w:p w14:paraId="54A323D4" w14:textId="77777777" w:rsidR="0065073E" w:rsidRDefault="000A0998">
      <w:pPr>
        <w:pStyle w:val="P68B1DB1-LegalNumPar27"/>
        <w:numPr>
          <w:ilvl w:val="1"/>
          <w:numId w:val="780"/>
        </w:numPr>
        <w:jc w:val="both"/>
        <w:rPr>
          <w:rFonts w:cs="Times New Roman"/>
          <w:noProof/>
        </w:rPr>
      </w:pPr>
      <w:r>
        <w:rPr>
          <w:noProof/>
        </w:rPr>
        <w:t xml:space="preserve">Kuvaus rahoitustuotteesta (rahoitustuotteista) ja tukikelpoisista lopullisista tuensaajista toimenpiteen kuvauksen mukaisesti.   </w:t>
      </w:r>
    </w:p>
    <w:p w14:paraId="11A25243" w14:textId="77777777" w:rsidR="0065073E" w:rsidRDefault="000A0998">
      <w:pPr>
        <w:pStyle w:val="P68B1DB1-LegalNumPar27"/>
        <w:numPr>
          <w:ilvl w:val="1"/>
          <w:numId w:val="780"/>
        </w:numPr>
        <w:jc w:val="both"/>
        <w:rPr>
          <w:rFonts w:cs="Times New Roman"/>
          <w:noProof/>
        </w:rPr>
      </w:pPr>
      <w:r>
        <w:rPr>
          <w:noProof/>
        </w:rPr>
        <w:t>Vaatimus, jonka mukaan kaikkien tuettujen investointien on oltava taloudellisesti kannattavia.</w:t>
      </w:r>
    </w:p>
    <w:p w14:paraId="1B3A8A71" w14:textId="77777777" w:rsidR="0065073E" w:rsidRDefault="000A0998">
      <w:pPr>
        <w:pStyle w:val="P68B1DB1-LegalNumPar27"/>
        <w:numPr>
          <w:ilvl w:val="1"/>
          <w:numId w:val="780"/>
        </w:numPr>
        <w:jc w:val="both"/>
        <w:rPr>
          <w:rFonts w:cs="Times New Roman"/>
          <w:noProof/>
        </w:rPr>
      </w:pPr>
      <w:r>
        <w:rPr>
          <w:noProof/>
        </w:rPr>
        <w:t>Kielto jälleenrahoittaa kaikkia jäljellä olevia lainoja.</w:t>
      </w:r>
    </w:p>
    <w:p w14:paraId="5B86B0AC" w14:textId="784E47DB" w:rsidR="0065073E" w:rsidRDefault="000A0998">
      <w:pPr>
        <w:pStyle w:val="P68B1DB1-LegalNumPar27"/>
        <w:numPr>
          <w:ilvl w:val="1"/>
          <w:numId w:val="780"/>
        </w:numPr>
        <w:jc w:val="both"/>
        <w:rPr>
          <w:rFonts w:eastAsia="Times New Roman" w:cs="Times New Roman"/>
          <w:noProof/>
        </w:rPr>
      </w:pPr>
      <w:r>
        <w:rPr>
          <w:noProof/>
        </w:rPr>
        <w:t xml:space="preserve">Vaatimus noudattaa ”ei merkittävää haittaa” -periaatetta, sellaisena kuin se on vahvistettu ”ei merkittävää haittaa” -periaatetta (2021/C58/01), erityisesti: </w:t>
      </w:r>
    </w:p>
    <w:p w14:paraId="5934AFCB" w14:textId="6E278741" w:rsidR="0065073E" w:rsidRDefault="000A0998">
      <w:pPr>
        <w:pStyle w:val="LegalNumPar3"/>
        <w:numPr>
          <w:ilvl w:val="2"/>
          <w:numId w:val="766"/>
        </w:numPr>
        <w:spacing w:line="240" w:lineRule="auto"/>
        <w:jc w:val="both"/>
        <w:rPr>
          <w:rStyle w:val="normaltextrun"/>
          <w:rFonts w:ascii="Times New Roman" w:eastAsiaTheme="minorEastAsia" w:hAnsi="Times New Roman" w:cs="Times New Roman"/>
          <w:noProof/>
          <w:sz w:val="24"/>
        </w:rPr>
      </w:pPr>
      <w:bookmarkStart w:id="36" w:name="_Hlk145663647"/>
      <w:r>
        <w:rPr>
          <w:rStyle w:val="normaltextrun"/>
          <w:rFonts w:ascii="Times New Roman" w:hAnsi="Times New Roman"/>
          <w:noProof/>
          <w:sz w:val="24"/>
        </w:rPr>
        <w:t>Oman pääoman ehtoisten, oman pääoman luonteisten, yritysten joukkovelkakirjalainojen tai vastaavien instrumenttien osalta: sijoituspolitiikassa on edellytettävä, että yritykset hyväksyvät vihreää siirtymää koskevat suunnitelmat direktiivin 2013/34/EU 19 a artiklan 2 kohdan a alakohdan iii alakohdassa esitetyn määritelmän mukaisesti,</w:t>
      </w:r>
      <w:r>
        <w:rPr>
          <w:rStyle w:val="FootnoteReference"/>
          <w:rFonts w:ascii="Times New Roman" w:eastAsiaTheme="minorEastAsia" w:hAnsi="Times New Roman" w:cs="Times New Roman"/>
          <w:noProof/>
          <w:sz w:val="24"/>
        </w:rPr>
        <w:footnoteReference w:id="118"/>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omaisuuserät, mukaan lukien loppupään käyttö,</w:t>
      </w:r>
      <w:r>
        <w:rPr>
          <w:rStyle w:val="FootnoteReference"/>
          <w:rFonts w:ascii="Times New Roman" w:eastAsiaTheme="minorEastAsia" w:hAnsi="Times New Roman" w:cs="Times New Roman"/>
          <w:noProof/>
          <w:sz w:val="24"/>
        </w:rPr>
        <w:footnoteReference w:id="119"/>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heme="minorEastAsia" w:hAnsi="Times New Roman" w:cs="Times New Roman"/>
          <w:noProof/>
          <w:sz w:val="24"/>
        </w:rPr>
        <w:footnoteReference w:id="120"/>
      </w:r>
      <w:r>
        <w:rPr>
          <w:rStyle w:val="normaltextrun"/>
          <w:rFonts w:ascii="Times New Roman" w:hAnsi="Times New Roman"/>
          <w:noProof/>
          <w:sz w:val="24"/>
        </w:rPr>
        <w:t>iii) jätteen kaatopaikkoihin, polttolaitoksiin ja mekaanisiin biologisiin käsittelylaitoksiin liittyvät toiminnot</w:t>
      </w:r>
      <w:r>
        <w:rPr>
          <w:rStyle w:val="FootnoteReference"/>
          <w:rFonts w:ascii="Times New Roman" w:eastAsiaTheme="minorEastAsia" w:hAnsi="Times New Roman" w:cs="Times New Roman"/>
          <w:noProof/>
          <w:sz w:val="24"/>
        </w:rPr>
        <w:footnoteReference w:id="121"/>
      </w:r>
      <w:r>
        <w:rPr>
          <w:rStyle w:val="normaltextrun"/>
          <w:rFonts w:ascii="Times New Roman" w:hAnsi="Times New Roman"/>
          <w:noProof/>
          <w:sz w:val="24"/>
        </w:rPr>
        <w:t xml:space="preserve"> ja omaisuuserät</w:t>
      </w:r>
      <w:r>
        <w:rPr>
          <w:rStyle w:val="FootnoteReference"/>
          <w:rFonts w:ascii="Times New Roman" w:eastAsiaTheme="minorEastAsia" w:hAnsi="Times New Roman" w:cs="Times New Roman"/>
          <w:noProof/>
          <w:sz w:val="24"/>
        </w:rPr>
        <w:footnoteReference w:id="122"/>
      </w:r>
      <w:r>
        <w:rPr>
          <w:rStyle w:val="normaltextrun"/>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 xml:space="preserve"> </w:t>
      </w:r>
    </w:p>
    <w:bookmarkEnd w:id="36"/>
    <w:p w14:paraId="5BF6741F" w14:textId="77777777" w:rsidR="0065073E" w:rsidRDefault="000A0998">
      <w:pPr>
        <w:pStyle w:val="P68B1DB1-LegalNumPar316"/>
        <w:numPr>
          <w:ilvl w:val="2"/>
          <w:numId w:val="766"/>
        </w:numPr>
        <w:spacing w:line="240" w:lineRule="auto"/>
        <w:rPr>
          <w:rFonts w:cs="Times New Roman"/>
          <w:noProof/>
        </w:rPr>
      </w:pPr>
      <w:r>
        <w:rPr>
          <w:noProof/>
        </w:rPr>
        <w:t>Lisäksi investointipolitiikassa on edellytettävä, että tukivälineen lopulliset edunsaajat</w:t>
      </w:r>
      <w:r>
        <w:rPr>
          <w:b/>
          <w:noProof/>
        </w:rPr>
        <w:t xml:space="preserve"> </w:t>
      </w:r>
      <w:r>
        <w:rPr>
          <w:noProof/>
        </w:rPr>
        <w:t>noudattavat asiaankuuluvaa EU:n ja kansallista ympäristölainsäädäntöä.</w:t>
      </w:r>
    </w:p>
    <w:p w14:paraId="54798F0F" w14:textId="77777777" w:rsidR="0065073E" w:rsidRDefault="000A0998">
      <w:pPr>
        <w:pStyle w:val="P68B1DB1-LegalNumPar27"/>
        <w:numPr>
          <w:ilvl w:val="1"/>
          <w:numId w:val="780"/>
        </w:numPr>
        <w:spacing w:line="240" w:lineRule="auto"/>
        <w:jc w:val="both"/>
        <w:rPr>
          <w:rFonts w:cs="Times New Roman"/>
          <w:noProof/>
        </w:rPr>
      </w:pPr>
      <w:r>
        <w:rPr>
          <w:noProof/>
        </w:rPr>
        <w:t>Vaatimus, jonka mukaan lainajärjestelyn lopulliset edunsaajat eivät saa saada tukea muista unionin välineistä samojen kustannusten kattamiseksi.</w:t>
      </w:r>
    </w:p>
    <w:p w14:paraId="184D6B7B" w14:textId="1BC2B2B2" w:rsidR="0065073E" w:rsidRDefault="000A0998">
      <w:pPr>
        <w:pStyle w:val="P68B1DB1-LegalNumPar27"/>
        <w:numPr>
          <w:ilvl w:val="0"/>
          <w:numId w:val="766"/>
        </w:numPr>
        <w:spacing w:line="240" w:lineRule="auto"/>
        <w:jc w:val="both"/>
        <w:rPr>
          <w:rFonts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50AE8E30" w14:textId="216C3656" w:rsidR="0065073E" w:rsidRDefault="000A0998">
      <w:pPr>
        <w:pStyle w:val="P68B1DB1-ListParagraph6"/>
        <w:numPr>
          <w:ilvl w:val="0"/>
          <w:numId w:val="766"/>
        </w:numPr>
        <w:spacing w:line="240" w:lineRule="auto"/>
        <w:jc w:val="both"/>
        <w:rPr>
          <w:rFonts w:cs="Times New Roman"/>
          <w:noProof/>
        </w:rPr>
      </w:pPr>
      <w:r>
        <w:rPr>
          <w:noProof/>
        </w:rPr>
        <w:t xml:space="preserve">Seuranta-, auditointi- ja valvontavaatimukset, mukaan lukien </w:t>
      </w:r>
    </w:p>
    <w:p w14:paraId="0DE7F897" w14:textId="290BEAA4" w:rsidR="0065073E" w:rsidRDefault="000A0998">
      <w:pPr>
        <w:pStyle w:val="P68B1DB1-ListParagraph6"/>
        <w:numPr>
          <w:ilvl w:val="1"/>
          <w:numId w:val="781"/>
        </w:numPr>
        <w:spacing w:line="240" w:lineRule="auto"/>
        <w:jc w:val="both"/>
        <w:rPr>
          <w:rFonts w:cs="Times New Roman"/>
          <w:noProof/>
        </w:rPr>
      </w:pPr>
      <w:r>
        <w:rPr>
          <w:noProof/>
        </w:rPr>
        <w:t>Kuvaus toteutuskumppanin seurantajärjestelmästä, jolla raportoidaan käyttöön otetuista investoinneista.</w:t>
      </w:r>
    </w:p>
    <w:p w14:paraId="70CB4626" w14:textId="7D7CBBA0" w:rsidR="0065073E" w:rsidRDefault="000A0998">
      <w:pPr>
        <w:pStyle w:val="P68B1DB1-Normal4"/>
        <w:numPr>
          <w:ilvl w:val="1"/>
          <w:numId w:val="781"/>
        </w:numPr>
        <w:spacing w:after="160" w:line="240" w:lineRule="auto"/>
        <w:jc w:val="both"/>
        <w:rPr>
          <w:rFonts w:cs="Times New Roman"/>
          <w:noProof/>
        </w:rPr>
      </w:pPr>
      <w:r>
        <w:rPr>
          <w:noProof/>
        </w:rPr>
        <w:t xml:space="preserve">Kuvaus toteutuskumppanin menettelyistä, joilla varmistetaan petosten, lahjonnan ja eturistiriitojen ehkäiseminen, havaitseminen ja korjaaminen. </w:t>
      </w:r>
    </w:p>
    <w:p w14:paraId="414F081B" w14:textId="3CF341EB" w:rsidR="0065073E" w:rsidRDefault="000A0998">
      <w:pPr>
        <w:pStyle w:val="P68B1DB1-Normal4"/>
        <w:numPr>
          <w:ilvl w:val="1"/>
          <w:numId w:val="781"/>
        </w:numPr>
        <w:spacing w:after="160" w:line="240" w:lineRule="auto"/>
        <w:jc w:val="both"/>
        <w:rPr>
          <w:rFonts w:cs="Times New Roman"/>
          <w:noProof/>
        </w:rPr>
      </w:pPr>
      <w:r>
        <w:rPr>
          <w:noProof/>
        </w:rPr>
        <w:t>Velvollisuus tarkistaa jokaisen toimen tukikelpoisuus täytäntöönpanosopimuksessa vahvistettujen vaatimusten mukaisesti, myös käyttämällä omaa ilmoitusta alle 10000000 euron suuruisista toimista, ennen kuin sitoudutaan rahoittamaan toimea, ennen kuin sitoudutaan rahoittamaan toimi.</w:t>
      </w:r>
    </w:p>
    <w:p w14:paraId="19D89E60" w14:textId="2F4BC095" w:rsidR="0065073E" w:rsidRDefault="000A0998">
      <w:pPr>
        <w:pStyle w:val="P68B1DB1-Normal4"/>
        <w:numPr>
          <w:ilvl w:val="1"/>
          <w:numId w:val="781"/>
        </w:numPr>
        <w:spacing w:line="240" w:lineRule="auto"/>
        <w:jc w:val="both"/>
        <w:rPr>
          <w:rFonts w:cs="Times New Roman"/>
          <w:noProof/>
        </w:rPr>
      </w:pPr>
      <w:r>
        <w:rPr>
          <w:noProof/>
        </w:rPr>
        <w:t>Velvollisuus suorittaa riskiperusteisia jälkitarkastuksia ICO:n tarkastussuunnitelman mukaisesti. Näillä tarkastuksilla todennetaan i) valvontajärjestelmien tehokkuus, mukaan lukien petosten, korruption ja eturistiriitojen havaitseminen; II) ”ei merkittävää haittaa” -periaatteen, valtiontukisääntöjen ja ilmastotavoitteita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varmennettava toimien laillisuus ja se, että sovellettavan täytäntöönpanosopimuksen ja rahoitussopimusten ehtoja noudatetaan, myös käyttämällä omia ilmoituksia alle 10000000 euron suuruisista toimista, ennen kuin sitoudutaan rahoittamaan toimea.</w:t>
      </w:r>
    </w:p>
    <w:p w14:paraId="27C1B162" w14:textId="0827D70B" w:rsidR="0065073E" w:rsidRDefault="000A0998">
      <w:pPr>
        <w:numPr>
          <w:ilvl w:val="0"/>
          <w:numId w:val="766"/>
        </w:numPr>
        <w:spacing w:after="160"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koskevat vaatimukset: vähintään 4000000000 eurolla elpymis- ja palautumistukivälineestä tukivälineeseen tehtävistä investoinneista on edistettävä digitaalista muutosta koskevia tavoitteita elpymis- ja palautumistukivälinettä koskevan asetuksen liitteen VII mukaisesti.</w:t>
      </w:r>
      <w:r>
        <w:rPr>
          <w:rStyle w:val="FootnoteReference"/>
          <w:rFonts w:ascii="Times New Roman" w:hAnsi="Times New Roman" w:cs="Times New Roman"/>
          <w:noProof/>
          <w:sz w:val="24"/>
        </w:rPr>
        <w:footnoteReference w:id="123"/>
      </w:r>
      <w:r>
        <w:rPr>
          <w:rFonts w:ascii="Times New Roman" w:hAnsi="Times New Roman"/>
          <w:noProof/>
          <w:sz w:val="24"/>
        </w:rPr>
        <w:t xml:space="preserve"> </w:t>
      </w:r>
    </w:p>
    <w:p w14:paraId="347335BE" w14:textId="7DF526FE" w:rsidR="0065073E" w:rsidRDefault="000A0998">
      <w:pPr>
        <w:pStyle w:val="P68B1DB1-ListParagraph6"/>
        <w:numPr>
          <w:ilvl w:val="0"/>
          <w:numId w:val="766"/>
        </w:numPr>
        <w:jc w:val="both"/>
        <w:rPr>
          <w:rFonts w:cs="Times New Roman"/>
          <w:noProof/>
        </w:rPr>
      </w:pPr>
      <w:r>
        <w:rPr>
          <w:noProof/>
        </w:rPr>
        <w:t xml:space="preserve">Rahoituksen välittäjien valintaa koskevat vaatimukset: ICO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6AC5F13F" w14:textId="1599992A" w:rsidR="0065073E" w:rsidRDefault="000A0998">
      <w:pPr>
        <w:pStyle w:val="P68B1DB1-Normal4"/>
        <w:numPr>
          <w:ilvl w:val="0"/>
          <w:numId w:val="766"/>
        </w:numPr>
        <w:spacing w:after="160" w:line="240" w:lineRule="auto"/>
        <w:jc w:val="both"/>
        <w:rPr>
          <w:rFonts w:cs="Times New Roman"/>
          <w:noProof/>
        </w:rPr>
      </w:pPr>
      <w:r>
        <w:rPr>
          <w:noProof/>
        </w:rPr>
        <w:t xml:space="preserve">Vaatimus rahoitussopimusten allekirjoittamisesta: Toimintalinja allekirjoittaa rahoitussopimukset rahoituksen välittäjien kanssa täytäntöönpanosopimuksen liitteenä toimitettavien keskeisten vaatimusten mukaisesti. Rahoitussopimuksen keskeisiin vaatimuksiin on sisällyttävä kaikki rahaston toimintaa koskevat vaatimukset, mukaan lukien seuraavat: </w:t>
      </w:r>
    </w:p>
    <w:p w14:paraId="46C4FBEB" w14:textId="409595C2" w:rsidR="0065073E" w:rsidRDefault="000A0998">
      <w:pPr>
        <w:pStyle w:val="P68B1DB1-Normal4"/>
        <w:numPr>
          <w:ilvl w:val="1"/>
          <w:numId w:val="766"/>
        </w:numPr>
        <w:spacing w:after="160" w:line="240" w:lineRule="auto"/>
        <w:jc w:val="both"/>
        <w:rPr>
          <w:rFonts w:cs="Times New Roman"/>
          <w:noProof/>
        </w:rPr>
      </w:pPr>
      <w:r>
        <w:rPr>
          <w:noProof/>
        </w:rPr>
        <w:t>Rahoituksen välittäjän velvollisuus tehdä päätöksensä soveltuvin osin edellä esitettyjen päätöksentekoa ja sijoituspolitiikkaa koskevien vaatimusten mukaisesti, mukaan lukien ”ei merkittävää haittaa” -periaatteen noudattaminen.</w:t>
      </w:r>
    </w:p>
    <w:p w14:paraId="5E4BC8D8" w14:textId="63FFD13C" w:rsidR="0065073E" w:rsidRDefault="000A0998">
      <w:pPr>
        <w:pStyle w:val="P68B1DB1-Normal4"/>
        <w:numPr>
          <w:ilvl w:val="1"/>
          <w:numId w:val="766"/>
        </w:numPr>
        <w:spacing w:after="160" w:line="240" w:lineRule="auto"/>
        <w:jc w:val="both"/>
        <w:rPr>
          <w:rFonts w:eastAsia="Times New Roman" w:cs="Times New Roman"/>
          <w:noProof/>
        </w:rPr>
      </w:pPr>
      <w:r>
        <w:rPr>
          <w:noProof/>
        </w:rPr>
        <w:t xml:space="preserve">Kuvaus rahoituksen välittäjän käyttöön ottamasta seuranta-, tarkastus- ja valvontakehyksestä, johon sovelletaan soveltuvin osin kaikkia edellä määriteltyjä seuranta-, tarkastus- ja valvontavaatimuksia. </w:t>
      </w:r>
    </w:p>
    <w:p w14:paraId="1C64E7F4" w14:textId="77777777" w:rsidR="0065073E" w:rsidRDefault="000A0998">
      <w:pPr>
        <w:pStyle w:val="P68B1DB1-Normal4"/>
        <w:jc w:val="both"/>
        <w:rPr>
          <w:rFonts w:eastAsia="Times New Roman" w:cs="Times New Roman"/>
          <w:noProof/>
        </w:rPr>
      </w:pPr>
      <w:r>
        <w:rPr>
          <w:noProof/>
        </w:rPr>
        <w:t>Toimenpiteen täytäntöönpano on saatettava päätökseen 31 päivään elokuuta 2026 mennessä.</w:t>
      </w:r>
    </w:p>
    <w:p w14:paraId="0EAADD34" w14:textId="77777777" w:rsidR="0065073E" w:rsidRDefault="0065073E">
      <w:pPr>
        <w:tabs>
          <w:tab w:val="left" w:pos="7280"/>
        </w:tabs>
        <w:rPr>
          <w:rFonts w:ascii="Times New Roman" w:hAnsi="Times New Roman"/>
          <w:noProof/>
          <w:sz w:val="24"/>
          <w:u w:val="single"/>
        </w:rPr>
        <w:sectPr w:rsidR="0065073E" w:rsidSect="009F15CE">
          <w:headerReference w:type="even" r:id="rId312"/>
          <w:headerReference w:type="default" r:id="rId313"/>
          <w:footerReference w:type="even" r:id="rId314"/>
          <w:footerReference w:type="default" r:id="rId315"/>
          <w:headerReference w:type="first" r:id="rId316"/>
          <w:footerReference w:type="first" r:id="rId317"/>
          <w:type w:val="continuous"/>
          <w:pgSz w:w="11907" w:h="16839"/>
          <w:pgMar w:top="1134" w:right="1134" w:bottom="1134" w:left="1134" w:header="567" w:footer="567" w:gutter="0"/>
          <w:cols w:space="720"/>
          <w:docGrid w:linePitch="360"/>
        </w:sectPr>
      </w:pPr>
    </w:p>
    <w:p w14:paraId="66233B2E" w14:textId="0466CC2F" w:rsidR="0065073E" w:rsidRDefault="000A0998">
      <w:pPr>
        <w:pStyle w:val="P68B1DB1-Normal5"/>
        <w:tabs>
          <w:tab w:val="left" w:pos="7280"/>
        </w:tabs>
        <w:rPr>
          <w:rFonts w:cs="Times New Roman"/>
          <w:noProof/>
        </w:rPr>
      </w:pPr>
      <w:r>
        <w:rPr>
          <w:noProof/>
        </w:rPr>
        <w:t xml:space="preserve">Investointi 8 </w:t>
      </w:r>
      <w:bookmarkStart w:id="37" w:name="_Hlk141289356"/>
      <w:r>
        <w:rPr>
          <w:noProof/>
        </w:rPr>
        <w:t>(C13.I8) – Yhteisinvestointirahasto (FOCO)</w:t>
      </w:r>
      <w:bookmarkEnd w:id="37"/>
    </w:p>
    <w:p w14:paraId="70A22EBF" w14:textId="152CC236"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bookmarkStart w:id="38" w:name="_Hlk140753831"/>
      <w:r>
        <w:rPr>
          <w:rStyle w:val="normaltextrun"/>
          <w:rFonts w:ascii="Times New Roman" w:hAnsi="Times New Roman"/>
          <w:noProof/>
          <w:sz w:val="24"/>
          <w:shd w:val="clear" w:color="auto" w:fill="FFFFFF"/>
        </w:rPr>
        <w:t>Tämä toimenpide koostuu julkisesta investoinnista välineeseen, yhteissijoitusrahastoon, jotta voidaan kannustaa yksityisiä investointeja ja parantaa rahoituksen saantia Espanjan strategisilla aloilla, erityisesti niillä, jotka liittyvät vihreään siirtymään ja digitaaliseen siirtymään sekä PERTE-yrityksiin, ja kehittää pääomamarkkinoita näillä aloilla. Investointikehyksen on toimittava tarjoamalla lainoja, oman pääoman ehtoisia ja oman pääoman luonteisia sijoituksia yhteissijoituksilla kolmansien osapuolten ulkomaisten ja monenvälisten institutionaalisten sijoittajien kanssa joko suoraan tai yksityisen sektorin välittäjien kautta. Elpymis- ja palautumistukivälineen investointien perusteella tukivälineestä on alun perin tarkoitus myöntää rahoitusta vähintään 2000000000 euroa.</w:t>
      </w:r>
    </w:p>
    <w:p w14:paraId="18E849D4" w14:textId="339B9B0A"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Välinettä hallinnoi toteutuskumppanina Compañía Española de Financiación del Desarrollo (COFIDES). Investointikehyksen on sisällettävä seuraavat tuotelinjat: </w:t>
      </w:r>
    </w:p>
    <w:bookmarkEnd w:id="38"/>
    <w:p w14:paraId="2F08DC91" w14:textId="1D0A116A" w:rsidR="0065073E" w:rsidRDefault="000A0998">
      <w:pPr>
        <w:pStyle w:val="P68B1DB1-ListParagraph6"/>
        <w:numPr>
          <w:ilvl w:val="0"/>
          <w:numId w:val="614"/>
        </w:numPr>
        <w:jc w:val="both"/>
        <w:rPr>
          <w:rFonts w:cs="Times New Roman"/>
          <w:noProof/>
        </w:rPr>
      </w:pPr>
      <w:r>
        <w:rPr>
          <w:noProof/>
        </w:rPr>
        <w:t>Ohivalinta: Lainajärjestely sijoittaa suoraan kolmansien osapuolten ulkomaisten institutionaalisten sijoittajien kanssa yrityksiin, jotka ovat sitoutuneet toteuttamaan uusia hankkeita Espanjan strategisilla talouden aloilla, mukaan lukien vihreään ja digitaaliseen siirtymään sekä PERTE-yrityksiin liittyvät hankkeet. Investointikehyksen on voitava sijoittaa käyttämällä lainoja, oman pääoman ehtoisia ja oman pääoman luonteisia välineitä. Rahaston oman pääoman ehtoiset sijoitukset eivät saa johtaa siihen, että julkisessa omistuksessa olevan pääoman osuus lopullisesta tuensaajasta ylittää 49 prosenttia koko pääomasta.</w:t>
      </w:r>
    </w:p>
    <w:p w14:paraId="18F00A58" w14:textId="5694BED6" w:rsidR="0065073E" w:rsidRDefault="000A0998">
      <w:pPr>
        <w:pStyle w:val="P68B1DB1-ListParagraph6"/>
        <w:numPr>
          <w:ilvl w:val="0"/>
          <w:numId w:val="614"/>
        </w:numPr>
        <w:jc w:val="both"/>
        <w:rPr>
          <w:rFonts w:cs="Times New Roman"/>
          <w:noProof/>
        </w:rPr>
      </w:pPr>
      <w:r>
        <w:rPr>
          <w:noProof/>
        </w:rPr>
        <w:t xml:space="preserve">Välillinen viiva: Lainajärjestelyn on investoitava olemassa oleviin rahastoihin, jotka investoivat tukivälineen kohteena oleville aloille, ja sen on voitava luoda räätälöityjä rahoitusvälineitä, jotka on suunnattu samoille aloille. Investointikehyksen enimmäisosuus ei saa ylittää 49:ää prosenttia minkään rahaston tai muun sijoitusvälineen kokonaismäärästä, eikä se saa johtaa siihen, että julkisessa omistuksessa olevan pääoman osuus rahaston tai sijoitusvälineen pääomasta ylittää 49 prosenttia. </w:t>
      </w:r>
    </w:p>
    <w:p w14:paraId="4BC9837F" w14:textId="2369EFA3"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bookmarkStart w:id="39" w:name="_Hlk140753801"/>
      <w:r>
        <w:rPr>
          <w:rStyle w:val="normaltextrun"/>
          <w:rFonts w:ascii="Times New Roman" w:hAnsi="Times New Roman"/>
          <w:noProof/>
          <w:sz w:val="24"/>
          <w:shd w:val="clear" w:color="auto" w:fill="FFFFFF"/>
        </w:rPr>
        <w:t>Kolmansien osapuolten sijoittajien yhteissijoituksen on vastattava vähintään investointikehyksen rahoitusosuutta ja investointeja tasavertaisin ehdoin. Kolmansien osapuolten yhteissijoittajia voivat olla muun muassa seuraavat:</w:t>
      </w:r>
    </w:p>
    <w:p w14:paraId="357ABC3A" w14:textId="1E36AF4D" w:rsidR="0065073E" w:rsidRDefault="000A0998">
      <w:pPr>
        <w:pStyle w:val="P68B1DB1-ListParagraph6"/>
        <w:numPr>
          <w:ilvl w:val="0"/>
          <w:numId w:val="614"/>
        </w:numPr>
        <w:jc w:val="both"/>
        <w:rPr>
          <w:rFonts w:cs="Times New Roman"/>
          <w:noProof/>
        </w:rPr>
      </w:pPr>
      <w:r>
        <w:rPr>
          <w:noProof/>
        </w:rPr>
        <w:t xml:space="preserve">Ulkomaiset julkiset laitokset, kuten julkiset eläkerahastot, valtiolliset ja valtiotasoa alemmat rahastot, yksityisille pääomamarkkinoille sijoittavat monenväliset laitokset (kuten Euroopan investointirahasto). </w:t>
      </w:r>
    </w:p>
    <w:p w14:paraId="7F753F2C" w14:textId="295DC384" w:rsidR="0065073E" w:rsidRDefault="000A0998">
      <w:pPr>
        <w:pStyle w:val="P68B1DB1-ListParagraph6"/>
        <w:numPr>
          <w:ilvl w:val="0"/>
          <w:numId w:val="614"/>
        </w:numPr>
        <w:jc w:val="both"/>
        <w:rPr>
          <w:rFonts w:cs="Times New Roman"/>
          <w:noProof/>
        </w:rPr>
      </w:pPr>
      <w:r>
        <w:rPr>
          <w:noProof/>
        </w:rPr>
        <w:t xml:space="preserve">Ulkomaiset yksityiset pitkäaikaiset yhteisösijoittajat, kuten sijoitusrahastot, eläkerahastot tai vakuutusyhtiöt. </w:t>
      </w:r>
    </w:p>
    <w:p w14:paraId="7B0C2C5C" w14:textId="0D226C0F" w:rsidR="0065073E" w:rsidRDefault="000A0998">
      <w:pPr>
        <w:pStyle w:val="P68B1DB1-ListParagraph6"/>
        <w:numPr>
          <w:ilvl w:val="0"/>
          <w:numId w:val="614"/>
        </w:numPr>
        <w:jc w:val="both"/>
        <w:rPr>
          <w:rFonts w:cs="Times New Roman"/>
          <w:noProof/>
        </w:rPr>
      </w:pPr>
      <w:r>
        <w:rPr>
          <w:noProof/>
        </w:rPr>
        <w:t>Kotimaiset yksityiset sijoitusvälineet ja -yhteisöt edellyttäen, että ne mobilisoivat rahoitusvaroja ulkomaisilta yksityisiltä sijoittajilta.</w:t>
      </w:r>
    </w:p>
    <w:p w14:paraId="1D0EBDC2" w14:textId="6D957821" w:rsidR="0065073E" w:rsidRDefault="000A0998">
      <w:pPr>
        <w:pStyle w:val="P68B1DB1-ListParagraph6"/>
        <w:numPr>
          <w:ilvl w:val="0"/>
          <w:numId w:val="614"/>
        </w:numPr>
        <w:jc w:val="both"/>
        <w:rPr>
          <w:rFonts w:cs="Times New Roman"/>
          <w:noProof/>
        </w:rPr>
      </w:pPr>
      <w:r>
        <w:rPr>
          <w:noProof/>
        </w:rPr>
        <w:t>Ulkomaiset pääomayhtiöt, jotka osallistuvat Espanjassa yrityslukuihin toteuttaakseen investointihankkeita ja tuottavaa toimintaa, jota rahastosta voitaisiin tukea.</w:t>
      </w:r>
    </w:p>
    <w:p w14:paraId="59928A86" w14:textId="1BBF7AFF" w:rsidR="0065073E" w:rsidRDefault="000A0998">
      <w:pPr>
        <w:pStyle w:val="P68B1DB1-Normal4"/>
        <w:spacing w:line="240" w:lineRule="auto"/>
        <w:jc w:val="both"/>
        <w:rPr>
          <w:rFonts w:eastAsia="Times New Roman" w:cs="Times New Roman"/>
          <w:noProof/>
        </w:rPr>
      </w:pPr>
      <w:bookmarkStart w:id="40" w:name="_Hlk145620018"/>
      <w:r>
        <w:rPr>
          <w:noProof/>
        </w:rPr>
        <w:t xml:space="preserve">Investointivälineeseen tehtävän investoinnin toteuttamiseksi Espanjan on hyväksyttävä tukivälineen perustamista ja hallinnointia koskeva asetus ja kaikki siihen liittyvät asiakirjat, joiden sisältö on seuraava: </w:t>
      </w:r>
    </w:p>
    <w:bookmarkEnd w:id="40"/>
    <w:p w14:paraId="51770341" w14:textId="02C8A9BD" w:rsidR="0065073E" w:rsidRDefault="000A0998">
      <w:pPr>
        <w:pStyle w:val="P68B1DB1-ListParagraph6"/>
        <w:numPr>
          <w:ilvl w:val="0"/>
          <w:numId w:val="745"/>
        </w:numPr>
        <w:spacing w:line="240" w:lineRule="auto"/>
        <w:contextualSpacing w:val="0"/>
        <w:jc w:val="both"/>
        <w:rPr>
          <w:rFonts w:eastAsia="Times New Roman" w:cs="Times New Roman"/>
          <w:noProof/>
        </w:rPr>
      </w:pPr>
      <w:r>
        <w:rPr>
          <w:noProof/>
        </w:rPr>
        <w:t>Tukivälineen päätöksentekoprosessin kuvaus:  Investointikehyksen alkuperäisen investointipäätöksen tekee investointikomitea tai muu vastaava hallintoelin, ja se hyväksytään Espanjan hallituksesta riippumattomien jäsenten äänten enemmistöllä. Investointikehyksen lopullinen investointipäätös rajoittuu investointikomitean tai vastaavan hallintoelimen ehdottaman investointipäätöksen hyväksymiseen (ilman muutoksia) tai veto-oikeuden käyttämiseen. Välitettyjen sijoitusten osalta välittäjien on tehtävä lopullinen sijoituspäätös.</w:t>
      </w:r>
    </w:p>
    <w:p w14:paraId="5DC4A5C2" w14:textId="77777777" w:rsidR="0065073E" w:rsidRDefault="000A0998">
      <w:pPr>
        <w:pStyle w:val="P68B1DB1-ListParagraph6"/>
        <w:numPr>
          <w:ilvl w:val="0"/>
          <w:numId w:val="745"/>
        </w:numPr>
        <w:spacing w:line="240" w:lineRule="auto"/>
        <w:jc w:val="both"/>
        <w:rPr>
          <w:rFonts w:eastAsia="Times New Roman" w:cs="Times New Roman"/>
          <w:noProof/>
        </w:rPr>
      </w:pPr>
      <w:r>
        <w:rPr>
          <w:noProof/>
        </w:rPr>
        <w:t>Asiaan liittyvän sijoituspolitiikan keskeiset vaatimukset, joihin on sisällyttävä</w:t>
      </w:r>
    </w:p>
    <w:p w14:paraId="5C17F8D0" w14:textId="6C581C56" w:rsidR="0065073E" w:rsidRDefault="000A0998">
      <w:pPr>
        <w:pStyle w:val="ListParagraph"/>
        <w:numPr>
          <w:ilvl w:val="1"/>
          <w:numId w:val="745"/>
        </w:numPr>
        <w:spacing w:line="240" w:lineRule="auto"/>
        <w:jc w:val="both"/>
        <w:rPr>
          <w:rFonts w:ascii="Times New Roman" w:eastAsia="Times New Roman" w:hAnsi="Times New Roman" w:cs="Times New Roman"/>
          <w:noProof/>
          <w:sz w:val="24"/>
        </w:rPr>
      </w:pPr>
      <w:r>
        <w:rPr>
          <w:rFonts w:ascii="Times New Roman" w:hAnsi="Times New Roman"/>
          <w:noProof/>
          <w:sz w:val="24"/>
        </w:rPr>
        <w:t>Kuvaus rahoitustuotteista ja tukikelpoisista lopullisista tuensaajista toimenpiteen kuvauksen mukaisesti. Strategisiin investointeihin eli Euroopan puolustusrahaston vuotuisessa työohjelmassa yksilöityihin puolustusteknologioihin ja -tuotteisiin; avaruusinvestoinnit atomikelloihin, strategisiin kantoraketteihin; ja avaruustuotteet;  ja investoinnit, joissa keskitytään yksinomaan kyberturvallisuusvälineiden ja -ratkaisujen kehittämiseen ja käyttöönottoon, myös silloin, kun ne ovat osa digitaalisten verkkojen ja datainfrastruktuurin käyttöönottoa tai parantamista; lopulliset tuensaajat eivät saa olla kolmannen maan tai kolmansien maiden yhteisöjen määräysvallassa, ja niiden toimeenpaneva johto on unionissa, lukuun ottamatta alle 10000000 euron investointeja. Jos lopullinen tuensaaja osallistuu 5G-yhteyksien alan strategiseen investointiin, 5G-kyberturvallisuusvälineistön mukaisia toimenpiteitä ja riskinhallintasuunnitelmia</w:t>
      </w:r>
      <w:r>
        <w:rPr>
          <w:rStyle w:val="FootnoteReference"/>
          <w:rFonts w:ascii="Times New Roman" w:eastAsia="Times New Roman" w:hAnsi="Times New Roman" w:cs="Times New Roman"/>
          <w:noProof/>
          <w:sz w:val="24"/>
        </w:rPr>
        <w:footnoteReference w:id="124"/>
      </w:r>
      <w:r>
        <w:rPr>
          <w:rFonts w:ascii="Times New Roman" w:hAnsi="Times New Roman"/>
          <w:noProof/>
          <w:sz w:val="24"/>
        </w:rPr>
        <w:t xml:space="preserve"> sovelletaan myös sen toimittajiin. Tällaisia toimittajia ovat erityisesti televiestintälaitteiden myyjät ja valmistajat sekä muut ulkopuoliset toimittajat, kuten pilvi-infrastruktuurin tarjoajat, hallintapalvelujen tarjoajat, järjestelmäintegroijat, turvallisuudesta ja ylläpidosta vastaavat toimeksisaajat sekä siirtojärjestelmien valmistajat. Jos lopullinen tuensaaja osallistuu puolustusalan strategiseen investointiin, tätä rajoitusta sovelletaan myös sen tavarantoimittajiin ja alihankkijoihin. Edellä olevissa kolmessa kohdassa vahvistettuja rajoituksia, jotka koskevat kolmannen maan tai kolmannen maan yhteisön määräysvallan puuttumista, ei sovelleta tiettyyn rahoitus- ja investointitoimeen, jos lopullinen tuensaaja voi osoittaa, että se on oikeussubjekti, johon se on sijoittautunut, on hyväksynyt takauksen Euroopan puolustusrahastoa, jäljempänä ’EKR’, koskevan asetuksen asiaa koskevissa säännöksissä vahvistettujen tukikelpoisia yhteisöjä koskevien periaatteiden mukaisesti</w:t>
      </w:r>
      <w:r>
        <w:rPr>
          <w:rStyle w:val="FootnoteReference"/>
          <w:rFonts w:ascii="Times New Roman" w:eastAsia="Times New Roman" w:hAnsi="Times New Roman" w:cs="Times New Roman"/>
          <w:noProof/>
          <w:sz w:val="24"/>
        </w:rPr>
        <w:footnoteReference w:id="125"/>
      </w:r>
      <w:r>
        <w:rPr>
          <w:rFonts w:ascii="Times New Roman" w:hAnsi="Times New Roman"/>
          <w:noProof/>
          <w:sz w:val="24"/>
        </w:rPr>
        <w:t xml:space="preserve"> tai avaruusasetuksen asiaa koskevissa säännöksissä vahvistettujen, tukikelpoisia yhteisöjä koskevien komission poikkeusluvan periaatteiden mukaisesti</w:t>
      </w:r>
      <w:r>
        <w:rPr>
          <w:rStyle w:val="FootnoteReference"/>
          <w:rFonts w:ascii="Times New Roman" w:eastAsia="Times New Roman" w:hAnsi="Times New Roman" w:cs="Times New Roman"/>
          <w:noProof/>
          <w:sz w:val="24"/>
        </w:rPr>
        <w:footnoteReference w:id="126"/>
      </w:r>
      <w:r>
        <w:rPr>
          <w:rFonts w:ascii="Times New Roman" w:hAnsi="Times New Roman"/>
          <w:noProof/>
          <w:sz w:val="24"/>
        </w:rPr>
        <w:t xml:space="preserve">. Toteutuskumppanin on ilmoitettava hallitukselle kaikista rajoituksista myönnetyistä poikkeuksista.   </w:t>
      </w:r>
    </w:p>
    <w:p w14:paraId="1EB12EA3" w14:textId="77777777" w:rsidR="0065073E" w:rsidRDefault="000A0998">
      <w:pPr>
        <w:pStyle w:val="P68B1DB1-ListParagraph6"/>
        <w:numPr>
          <w:ilvl w:val="1"/>
          <w:numId w:val="745"/>
        </w:numPr>
        <w:spacing w:line="240" w:lineRule="auto"/>
        <w:jc w:val="both"/>
        <w:rPr>
          <w:rFonts w:eastAsia="Times New Roman" w:cs="Times New Roman"/>
          <w:noProof/>
        </w:rPr>
      </w:pPr>
      <w:r>
        <w:rPr>
          <w:noProof/>
        </w:rPr>
        <w:t>Vaatimus, jonka mukaan kaikkien tuettujen investointien on oltava taloudellisesti kannattavia.</w:t>
      </w:r>
    </w:p>
    <w:p w14:paraId="0E56EC59" w14:textId="77777777" w:rsidR="0065073E" w:rsidRDefault="000A0998">
      <w:pPr>
        <w:pStyle w:val="P68B1DB1-ListParagraph6"/>
        <w:numPr>
          <w:ilvl w:val="1"/>
          <w:numId w:val="745"/>
        </w:numPr>
        <w:spacing w:line="240" w:lineRule="auto"/>
        <w:jc w:val="both"/>
        <w:rPr>
          <w:rFonts w:eastAsia="Times New Roman" w:cs="Times New Roman"/>
          <w:noProof/>
        </w:rPr>
      </w:pPr>
      <w:r>
        <w:rPr>
          <w:noProof/>
        </w:rPr>
        <w:t xml:space="preserve">Kielto jälleenrahoittaa kaikkia jäljellä olevia lainoja.  </w:t>
      </w:r>
    </w:p>
    <w:p w14:paraId="37B5D099" w14:textId="77777777" w:rsidR="0065073E" w:rsidRDefault="000A0998">
      <w:pPr>
        <w:pStyle w:val="P68B1DB1-ListParagraph6"/>
        <w:numPr>
          <w:ilvl w:val="1"/>
          <w:numId w:val="745"/>
        </w:numPr>
        <w:spacing w:line="240" w:lineRule="auto"/>
        <w:jc w:val="both"/>
        <w:rPr>
          <w:rFonts w:eastAsia="Times New Roman" w:cs="Times New Roman"/>
          <w:noProof/>
        </w:rPr>
      </w:pPr>
      <w:r>
        <w:rPr>
          <w:noProof/>
        </w:rPr>
        <w:t xml:space="preserve">Vaatimus noudattaa ”ei merkittävää haittaa” -periaatetta, sellaisena kuin se on vahvistettu ”ei merkittävää haittaa” -periaatetta (2021/C58/01), erityisesti: </w:t>
      </w:r>
    </w:p>
    <w:p w14:paraId="6CF4F264" w14:textId="6D012AC6" w:rsidR="0065073E" w:rsidRDefault="000A0998">
      <w:pPr>
        <w:pStyle w:val="ListParagraph"/>
        <w:numPr>
          <w:ilvl w:val="2"/>
          <w:numId w:val="745"/>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127"/>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28"/>
      </w:r>
      <w:r>
        <w:rPr>
          <w:rFonts w:ascii="Times New Roman" w:hAnsi="Times New Roman"/>
          <w:noProof/>
          <w:sz w:val="24"/>
        </w:rPr>
        <w:t xml:space="preserve"> iii) jätteen kaatopaikkoihin, polttolaitoksiin ja mekaanisiin biologisiin käsittelylaitoksiin liittyvät toiminnot</w:t>
      </w:r>
      <w:r>
        <w:rPr>
          <w:rStyle w:val="FootnoteReference"/>
          <w:rFonts w:ascii="Times New Roman" w:hAnsi="Times New Roman" w:cs="Times New Roman"/>
          <w:noProof/>
          <w:sz w:val="24"/>
        </w:rPr>
        <w:footnoteReference w:id="129"/>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30"/>
      </w:r>
      <w:r>
        <w:rPr>
          <w:rFonts w:ascii="Times New Roman" w:hAnsi="Times New Roman"/>
          <w:noProof/>
          <w:sz w:val="24"/>
        </w:rPr>
        <w:t>.  Oman pääoman ehtoisten, oman pääoman luonteisten, yritysten joukkovelkakirjalainojen tai vastaavien instrumenttien osalta:  investointipolitiikan ulkopuolelle on jätettävä yritykset,</w:t>
      </w:r>
      <w:r>
        <w:rPr>
          <w:rStyle w:val="FootnoteReference"/>
          <w:rFonts w:ascii="Times New Roman" w:eastAsia="Times New Roman" w:hAnsi="Times New Roman" w:cs="Times New Roman"/>
          <w:noProof/>
          <w:sz w:val="24"/>
        </w:rPr>
        <w:footnoteReference w:id="131"/>
      </w:r>
      <w:r>
        <w:rPr>
          <w:rFonts w:ascii="Times New Roman" w:hAnsi="Times New Roman"/>
          <w:noProof/>
          <w:sz w:val="24"/>
        </w:rPr>
        <w:t xml:space="preserve"> jotka keskittyvät erityisesti seuraaviin aloihin: I) fossiilisiin polttoaineisiin perustuva energiantuotanto ja siihen liittyvä toiminta</w:t>
      </w:r>
      <w:r>
        <w:rPr>
          <w:rStyle w:val="FootnoteReference"/>
          <w:rFonts w:ascii="Times New Roman" w:eastAsia="Times New Roman" w:hAnsi="Times New Roman" w:cs="Times New Roman"/>
          <w:noProof/>
          <w:sz w:val="24"/>
        </w:rPr>
        <w:footnoteReference w:id="132"/>
      </w:r>
      <w:r>
        <w:rPr>
          <w:rFonts w:ascii="Times New Roman" w:hAnsi="Times New Roman"/>
          <w:noProof/>
          <w:sz w:val="24"/>
        </w:rPr>
        <w:t>; II) energiaintensiiviset ja/tai paljon hiilidioksidipäästöjä aiheuttavat teollisuudenalat</w:t>
      </w:r>
      <w:r>
        <w:rPr>
          <w:rStyle w:val="FootnoteReference"/>
          <w:rFonts w:ascii="Times New Roman" w:eastAsia="Times New Roman" w:hAnsi="Times New Roman" w:cs="Times New Roman"/>
          <w:noProof/>
          <w:sz w:val="24"/>
        </w:rPr>
        <w:footnoteReference w:id="133"/>
      </w:r>
      <w:r>
        <w:rPr>
          <w:rFonts w:ascii="Times New Roman" w:hAnsi="Times New Roman"/>
          <w:noProof/>
          <w:sz w:val="24"/>
        </w:rPr>
        <w:t>; saastuttavien ajoneuvojen tuotanto, vuokraus tai myynti</w:t>
      </w:r>
      <w:r>
        <w:rPr>
          <w:rStyle w:val="FootnoteReference"/>
          <w:rFonts w:ascii="Times New Roman" w:eastAsia="Times New Roman" w:hAnsi="Times New Roman" w:cs="Times New Roman"/>
          <w:noProof/>
          <w:sz w:val="24"/>
        </w:rPr>
        <w:footnoteReference w:id="134"/>
      </w:r>
      <w:r>
        <w:rPr>
          <w:rFonts w:ascii="Times New Roman" w:hAnsi="Times New Roman"/>
          <w:noProof/>
          <w:sz w:val="24"/>
        </w:rPr>
        <w:t>; IV) jätteiden keruu, käsittely ja</w:t>
      </w:r>
      <w:r>
        <w:rPr>
          <w:rStyle w:val="FootnoteReference"/>
          <w:rFonts w:ascii="Times New Roman" w:eastAsia="Times New Roman" w:hAnsi="Times New Roman" w:cs="Times New Roman"/>
          <w:noProof/>
          <w:sz w:val="24"/>
        </w:rPr>
        <w:footnoteReference w:id="135"/>
      </w:r>
      <w:r>
        <w:rPr>
          <w:rFonts w:ascii="Times New Roman" w:hAnsi="Times New Roman"/>
          <w:noProof/>
          <w:sz w:val="24"/>
        </w:rPr>
        <w:t>loppusijoitus, v) ydinpolttoaineen käsittely, ydinenergian tuotanto.</w:t>
      </w:r>
    </w:p>
    <w:p w14:paraId="07CDEDD8" w14:textId="77777777" w:rsidR="0065073E" w:rsidRDefault="000A0998">
      <w:pPr>
        <w:pStyle w:val="P68B1DB1-ListParagraph6"/>
        <w:numPr>
          <w:ilvl w:val="2"/>
          <w:numId w:val="745"/>
        </w:numPr>
        <w:jc w:val="both"/>
        <w:rPr>
          <w:rFonts w:eastAsia="Times New Roman" w:cs="Times New Roman"/>
          <w:noProof/>
        </w:rPr>
      </w:pPr>
      <w:r>
        <w:rPr>
          <w:noProof/>
        </w:rPr>
        <w:t>Lisäksi investointipolitiikassa on edellytettävä, että tukivälineen lopulliset edunsaajat noudattavat asiaankuuluvaa EU:n ja kansallista ympäristölainsäädäntöä.</w:t>
      </w:r>
    </w:p>
    <w:p w14:paraId="022A3AD5" w14:textId="77777777" w:rsidR="0065073E" w:rsidRDefault="000A0998">
      <w:pPr>
        <w:pStyle w:val="P68B1DB1-ListParagraph6"/>
        <w:numPr>
          <w:ilvl w:val="1"/>
          <w:numId w:val="745"/>
        </w:numPr>
        <w:jc w:val="both"/>
        <w:rPr>
          <w:rFonts w:eastAsia="Times New Roman" w:cs="Times New Roman"/>
          <w:noProof/>
        </w:rPr>
      </w:pPr>
      <w:r>
        <w:rPr>
          <w:noProof/>
        </w:rPr>
        <w:t>Vaatimus, jonka mukaan lainajärjestelyn lopulliset edunsaajat eivät saa saada tukea muista unionin välineistä samojen kustannusten kattamiseksi.</w:t>
      </w:r>
    </w:p>
    <w:p w14:paraId="291FBC2C" w14:textId="54BBCD14" w:rsidR="0065073E" w:rsidRDefault="000A0998">
      <w:pPr>
        <w:pStyle w:val="P68B1DB1-ListParagraph6"/>
        <w:numPr>
          <w:ilvl w:val="0"/>
          <w:numId w:val="745"/>
        </w:numPr>
        <w:jc w:val="both"/>
        <w:rPr>
          <w:rFonts w:eastAsia="Times New Roman" w:cs="Times New Roman"/>
          <w:noProof/>
        </w:rPr>
      </w:pPr>
      <w:r>
        <w:rPr>
          <w:noProof/>
        </w:rPr>
        <w:t>Asetusten ja niihin liittyvien tukivälineen perustamisasiakirjojen kattama määrä, toteutuskumppanin maksurakenne ja vaatimus sijoittaa takaisin saadut varat tukivälineen investointipolitiikan mukaisesti, paitsi jos niitä käytetään elpymis- ja palautumistukivälineen lainojen takaisinmaksuun.</w:t>
      </w:r>
    </w:p>
    <w:p w14:paraId="41829FB4" w14:textId="77777777" w:rsidR="0065073E" w:rsidRDefault="000A0998">
      <w:pPr>
        <w:pStyle w:val="P68B1DB1-ListParagraph6"/>
        <w:numPr>
          <w:ilvl w:val="0"/>
          <w:numId w:val="745"/>
        </w:numPr>
        <w:jc w:val="both"/>
        <w:rPr>
          <w:rFonts w:eastAsia="Times New Roman" w:cs="Times New Roman"/>
          <w:noProof/>
        </w:rPr>
      </w:pPr>
      <w:r>
        <w:rPr>
          <w:noProof/>
        </w:rPr>
        <w:t>Seuranta-, auditointi- ja valvontavaatimukset, mukaan lukien</w:t>
      </w:r>
    </w:p>
    <w:p w14:paraId="4B35A451" w14:textId="77777777" w:rsidR="0065073E" w:rsidRDefault="000A0998">
      <w:pPr>
        <w:pStyle w:val="P68B1DB1-ListParagraph6"/>
        <w:numPr>
          <w:ilvl w:val="1"/>
          <w:numId w:val="745"/>
        </w:numPr>
        <w:jc w:val="both"/>
        <w:rPr>
          <w:rFonts w:eastAsia="Times New Roman" w:cs="Times New Roman"/>
          <w:noProof/>
        </w:rPr>
      </w:pPr>
      <w:r>
        <w:rPr>
          <w:noProof/>
        </w:rPr>
        <w:t>Kuvaus toteutuskumppanin seurantajärjestelmästä, jolla raportoidaan käyttöön otetuista investoinneista.</w:t>
      </w:r>
    </w:p>
    <w:p w14:paraId="63ED8ECA" w14:textId="77777777" w:rsidR="0065073E" w:rsidRDefault="000A0998">
      <w:pPr>
        <w:pStyle w:val="P68B1DB1-ListParagraph6"/>
        <w:numPr>
          <w:ilvl w:val="1"/>
          <w:numId w:val="745"/>
        </w:numPr>
        <w:jc w:val="both"/>
        <w:rPr>
          <w:rFonts w:eastAsia="Times New Roman" w:cs="Times New Roman"/>
          <w:noProof/>
        </w:rPr>
      </w:pPr>
      <w:r>
        <w:rPr>
          <w:noProof/>
        </w:rPr>
        <w:t xml:space="preserve">Kuvaus toteutuskumppanin menettelyistä, joilla varmistetaan petosten, lahjonnan ja eturistiriitojen ehkäiseminen, havaitseminen ja korjaaminen. </w:t>
      </w:r>
    </w:p>
    <w:p w14:paraId="2B8BD3A5" w14:textId="507378C4" w:rsidR="0065073E" w:rsidRDefault="000A0998">
      <w:pPr>
        <w:pStyle w:val="P68B1DB1-ListParagraph6"/>
        <w:numPr>
          <w:ilvl w:val="1"/>
          <w:numId w:val="745"/>
        </w:numPr>
        <w:jc w:val="both"/>
        <w:rPr>
          <w:rFonts w:eastAsia="Times New Roman" w:cs="Times New Roman"/>
          <w:noProof/>
        </w:rPr>
      </w:pPr>
      <w:r>
        <w:rPr>
          <w:noProof/>
        </w:rPr>
        <w:t>Velvollisuus tarkistaa jokaisen toimen tukikelpoisuus tukivälineen perustamisesta annetuissa asetuksissa vahvistettujen vaatimusten mukaisesti ennen kuin sitoudutaan rahoittamaan toimea.</w:t>
      </w:r>
    </w:p>
    <w:p w14:paraId="2E4328E0" w14:textId="5D1F4667" w:rsidR="0065073E" w:rsidRDefault="000A0998">
      <w:pPr>
        <w:pStyle w:val="P68B1DB1-ListParagraph6"/>
        <w:numPr>
          <w:ilvl w:val="1"/>
          <w:numId w:val="745"/>
        </w:numPr>
        <w:jc w:val="both"/>
        <w:rPr>
          <w:rFonts w:eastAsia="Times New Roman" w:cs="Times New Roman"/>
          <w:noProof/>
        </w:rPr>
      </w:pPr>
      <w:r>
        <w:rPr>
          <w:noProof/>
        </w:rPr>
        <w:t xml:space="preserve">Velvollisuus suorittaa riskiperusteisia jälkitarkastuksia COFIDESin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asetuksen ja siihen liittyvien tukivälineen perustamisasiakirjojen ja rahoitussopimusten ehtoja noudatetaan. </w:t>
      </w:r>
    </w:p>
    <w:p w14:paraId="6183DB3C" w14:textId="1785D899" w:rsidR="0065073E" w:rsidRDefault="000A0998">
      <w:pPr>
        <w:pStyle w:val="P68B1DB1-ListParagraph6"/>
        <w:numPr>
          <w:ilvl w:val="0"/>
          <w:numId w:val="745"/>
        </w:numPr>
        <w:jc w:val="both"/>
        <w:rPr>
          <w:rFonts w:eastAsia="Times New Roman" w:cs="Times New Roman"/>
          <w:noProof/>
        </w:rPr>
      </w:pPr>
      <w:r>
        <w:rPr>
          <w:noProof/>
        </w:rPr>
        <w:t xml:space="preserve">Rahoituksen välittäjien valintaa koskevat vaatimukset: COFIDES-työryhmä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1A7E800A" w14:textId="373DEF41" w:rsidR="0065073E" w:rsidRDefault="000A0998">
      <w:pPr>
        <w:pStyle w:val="P68B1DB1-ListParagraph6"/>
        <w:numPr>
          <w:ilvl w:val="0"/>
          <w:numId w:val="745"/>
        </w:numPr>
        <w:jc w:val="both"/>
        <w:rPr>
          <w:rFonts w:eastAsia="Times New Roman" w:cs="Times New Roman"/>
          <w:noProof/>
        </w:rPr>
      </w:pPr>
      <w:r>
        <w:rPr>
          <w:noProof/>
        </w:rPr>
        <w:t xml:space="preserve">Vaatimus rahoitussopimusten allekirjoittamisesta: COFIDES allekirjoittaa rahoitussopimukset rahoituksen välittäjien kanssa niiden keskeisten vaatimusten mukaisesti, jotka esitetään osana rahaston perustamisasiakirjoja. Rahoitussopimuksen keskeisiin vaatimuksiin on sisällyttävä kaikki rahaston toimintaa koskevat vaatimukset, mukaan lukien seuraavat:  </w:t>
      </w:r>
    </w:p>
    <w:p w14:paraId="7FAEF67A" w14:textId="211B2007" w:rsidR="0065073E" w:rsidRDefault="000A0998">
      <w:pPr>
        <w:pStyle w:val="P68B1DB1-ListParagraph6"/>
        <w:numPr>
          <w:ilvl w:val="1"/>
          <w:numId w:val="745"/>
        </w:numPr>
        <w:jc w:val="both"/>
        <w:rPr>
          <w:rFonts w:cs="Times New Roman"/>
          <w:noProof/>
        </w:rPr>
      </w:pPr>
      <w:bookmarkStart w:id="41" w:name="_Hlk139304194"/>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 </w:t>
      </w:r>
    </w:p>
    <w:p w14:paraId="7632968F" w14:textId="28A85F92" w:rsidR="0065073E" w:rsidRDefault="000A0998">
      <w:pPr>
        <w:pStyle w:val="P68B1DB1-ListParagraph6"/>
        <w:numPr>
          <w:ilvl w:val="1"/>
          <w:numId w:val="745"/>
        </w:numPr>
        <w:jc w:val="both"/>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bookmarkEnd w:id="39"/>
    <w:p w14:paraId="0DC6F00D" w14:textId="77777777" w:rsidR="0065073E" w:rsidRDefault="000A0998">
      <w:pPr>
        <w:pStyle w:val="P68B1DB1-Normal4"/>
        <w:spacing w:line="240" w:lineRule="auto"/>
        <w:jc w:val="both"/>
        <w:rPr>
          <w:rFonts w:eastAsia="Times New Roman" w:cs="Times New Roman"/>
          <w:noProof/>
        </w:rPr>
      </w:pPr>
      <w:r>
        <w:rPr>
          <w:noProof/>
        </w:rPr>
        <w:t>Toimenpiteen täytäntöönpano on saatettava päätökseen 31 päivään elokuuta 2026 mennessä.</w:t>
      </w:r>
    </w:p>
    <w:bookmarkEnd w:id="41"/>
    <w:p w14:paraId="23F3DF31" w14:textId="790E6F5B" w:rsidR="0065073E" w:rsidRDefault="000A0998">
      <w:pPr>
        <w:pStyle w:val="P68B1DB1-Normal5"/>
        <w:spacing w:line="240" w:lineRule="auto"/>
        <w:jc w:val="both"/>
        <w:rPr>
          <w:rFonts w:cs="Times New Roman"/>
          <w:noProof/>
        </w:rPr>
      </w:pPr>
      <w:r>
        <w:rPr>
          <w:noProof/>
        </w:rPr>
        <w:t>Investointi 9 (C13.I9) – Strategisten yritysten vakavaraisuustukirahasto (FASEE)</w:t>
      </w:r>
    </w:p>
    <w:p w14:paraId="5DC624AE" w14:textId="0DEAAB55" w:rsidR="0065073E" w:rsidRDefault="000A0998">
      <w:pPr>
        <w:pStyle w:val="P68B1DB1-Normal4"/>
        <w:spacing w:line="240" w:lineRule="auto"/>
        <w:jc w:val="both"/>
        <w:rPr>
          <w:rFonts w:cs="Times New Roman"/>
          <w:noProof/>
        </w:rPr>
      </w:pPr>
      <w:r>
        <w:rPr>
          <w:noProof/>
        </w:rPr>
        <w:t xml:space="preserve">Tämä investointi koostuu strategisten yritysten vakavaraisuustukirahastosta, joka tarjoaa väliaikaista vakavaraisuustukea elinkelpoisille ja strategisille yrityksille covid-19-pandemian koettelemilla taloudellisesti strategisilla aloilla. Tämä investointi kattaa ainoastaan toimet, jotka ovat ”ei merkittävää haittaa” -periaatteen, valtiontukisääntöjen, eturistiriitojen välttämisen ja päällekkäisen rahoituksen periaatteen mukaisia. Riippumattoman tarkastajan on tehtävä jälkitarkastus, jolla todennetaan, että nämä vaatimukset täyttyvät ja että tietoja kerätään elpymis- ja palautumistukivälinettä koskevan asetuksen 22 artiklan mukaisesti. </w:t>
      </w:r>
    </w:p>
    <w:p w14:paraId="3D70B6E5" w14:textId="5FFDBA70" w:rsidR="0065073E" w:rsidRDefault="000A0998">
      <w:pPr>
        <w:pStyle w:val="P68B1DB1-Normal4"/>
        <w:spacing w:line="240" w:lineRule="auto"/>
        <w:jc w:val="both"/>
        <w:rPr>
          <w:rFonts w:eastAsia="Times New Roman" w:cs="Times New Roman"/>
          <w:noProof/>
        </w:rPr>
      </w:pPr>
      <w:r>
        <w:rPr>
          <w:noProof/>
        </w:rPr>
        <w:t>Rahaston toimiin liittyvät takaisin saadut varat on sijoitettava uudelleen samalla tavalla, kunnes ne käytetään elpymis- ja palautumistukivälineen lainojen takaisinmaksuun.</w:t>
      </w:r>
    </w:p>
    <w:p w14:paraId="3FD64375" w14:textId="3F0A0ED4" w:rsidR="0065073E" w:rsidRDefault="000A0998">
      <w:pPr>
        <w:pStyle w:val="P68B1DB1-Normal4"/>
        <w:spacing w:line="240" w:lineRule="auto"/>
        <w:jc w:val="both"/>
        <w:rPr>
          <w:rFonts w:eastAsia="Times New Roman" w:cs="Times New Roman"/>
          <w:noProof/>
        </w:rPr>
      </w:pPr>
      <w:r>
        <w:rPr>
          <w:noProof/>
        </w:rPr>
        <w:t>Toimenpiteen täytäntöönpano on saatettava päätökseen 30 päivään kesäkuuta 2024 mennessä.</w:t>
      </w:r>
    </w:p>
    <w:p w14:paraId="0516DAEF" w14:textId="13F6AB23" w:rsidR="0065073E" w:rsidRDefault="000A0998">
      <w:pPr>
        <w:pStyle w:val="P68B1DB1-Normal5"/>
        <w:spacing w:line="240" w:lineRule="auto"/>
        <w:jc w:val="both"/>
        <w:rPr>
          <w:rFonts w:cs="Times New Roman"/>
          <w:noProof/>
        </w:rPr>
      </w:pPr>
      <w:r>
        <w:rPr>
          <w:noProof/>
        </w:rPr>
        <w:t>Investointi 10 (C13.I10) – Covid-19-liiketoiminnan pääomapohjan vahvistamisrahasto (FONREC)</w:t>
      </w:r>
    </w:p>
    <w:p w14:paraId="58D9A79D" w14:textId="629A39B2" w:rsidR="0065073E" w:rsidRDefault="000A0998">
      <w:pPr>
        <w:pStyle w:val="P68B1DB1-Normal4"/>
        <w:spacing w:line="240" w:lineRule="auto"/>
        <w:jc w:val="both"/>
        <w:rPr>
          <w:rFonts w:eastAsia="Times New Roman" w:cs="Times New Roman"/>
          <w:noProof/>
        </w:rPr>
      </w:pPr>
      <w:r>
        <w:rPr>
          <w:noProof/>
        </w:rPr>
        <w:t xml:space="preserve">Tämä investointi koostuu covid-19-pandemiaan liittyvästä yritysten pääomapohjan vahvistamisrahastosta, josta tarjotaan väliaikaista vakavaraisuustukea elinkelpoisille keskisuurille yrityksille (10–400 miljoonan euron liikevaihto), joihin covid-19-pandemia vaikutti. Tämä investointi kattaa ainoastaan toimet, jotka ovat ”ei merkittävää haittaa” -periaatteen, valtiontukisääntöjen, eturistiriitojen välttämisen ja päällekkäisen rahoituksen periaatteen mukaisia. Riippumattoman tarkastajan on tehtävä jälkitarkastus, jolla todennetaan, että nämä vaatimukset täyttyvät ja että tietoja kerätään elpymis- ja palautumistukivälinettä koskevan asetuksen 22 artiklan mukaisesti. </w:t>
      </w:r>
    </w:p>
    <w:p w14:paraId="028BA1F7" w14:textId="23E64E01" w:rsidR="0065073E" w:rsidRDefault="000A0998">
      <w:pPr>
        <w:pStyle w:val="P68B1DB1-Normal4"/>
        <w:spacing w:line="240" w:lineRule="auto"/>
        <w:jc w:val="both"/>
        <w:rPr>
          <w:rFonts w:eastAsia="Times New Roman" w:cs="Times New Roman"/>
          <w:noProof/>
        </w:rPr>
      </w:pPr>
      <w:r>
        <w:rPr>
          <w:noProof/>
        </w:rPr>
        <w:t>Rahaston toimiin liittyvät takaisin saadut varat on sijoitettava uudelleen samalla tavalla, kunnes ne käytetään elpymis- ja palautumistukivälineen lainojen takaisinmaksuun.</w:t>
      </w:r>
    </w:p>
    <w:p w14:paraId="00630E32" w14:textId="3A62C748" w:rsidR="0065073E" w:rsidRDefault="000A0998">
      <w:pPr>
        <w:pStyle w:val="P68B1DB1-Normal4"/>
        <w:spacing w:line="240" w:lineRule="auto"/>
        <w:jc w:val="both"/>
        <w:rPr>
          <w:rFonts w:eastAsia="Times New Roman" w:cs="Times New Roman"/>
          <w:noProof/>
        </w:rPr>
      </w:pPr>
      <w:r>
        <w:rPr>
          <w:noProof/>
        </w:rPr>
        <w:t>Toimenpiteen täytäntöönpano on saatettava päätökseen 30 päivään kesäkuuta 2025 mennessä.</w:t>
      </w:r>
    </w:p>
    <w:p w14:paraId="6AE575C2" w14:textId="77777777" w:rsidR="0065073E" w:rsidRDefault="000A0998">
      <w:pPr>
        <w:pStyle w:val="P68B1DB1-Normal5"/>
        <w:spacing w:line="240" w:lineRule="auto"/>
        <w:jc w:val="both"/>
        <w:rPr>
          <w:rFonts w:cs="Times New Roman"/>
          <w:noProof/>
        </w:rPr>
      </w:pPr>
      <w:r>
        <w:rPr>
          <w:noProof/>
        </w:rPr>
        <w:t>Investointi 11 (C13.I11) – Takuuväline SGR-CERSA</w:t>
      </w:r>
    </w:p>
    <w:p w14:paraId="7FE38B5C" w14:textId="6E240A57" w:rsidR="0065073E" w:rsidRDefault="000A0998">
      <w:pPr>
        <w:pStyle w:val="P68B1DB1-Normal4"/>
        <w:spacing w:line="240" w:lineRule="auto"/>
        <w:jc w:val="both"/>
        <w:rPr>
          <w:rFonts w:cs="Times New Roman"/>
          <w:noProof/>
        </w:rPr>
      </w:pPr>
      <w:r>
        <w:rPr>
          <w:noProof/>
        </w:rPr>
        <w:t>Tämän investoinnin tarkoituksena on täydentää toimenpidettä C13.I2. Se parantaa pk-yritysten ja markkina-arvoltaan keskisuurten yritysten rahoituksen saantia tarjoamalla tukea taloudellisten, kaupallisten ja teknisten takuiden muodossa vahvistamalla Compañia Española de Reafianzamiento SME S.A. -yritystä (CERSA). Osana tätä toimintalinjaa CERSA antaa vastatakaustensa kautta pitkäaikaista tukea alueellisille keskinäisille takausyhtiöille niiden kantaman riskin tukemiseksi. CERSA edistää pk-yritysten ja mid-cap-yritysten kilpailukykyä ja häiriönsietokykyä myös kolmella uudella erityisellä toimintalinjalla, jotka mahdollistavat pääsyn pitkäaikaiseen rahoitukseen ja käyttöpääomaan tämän investoinnin puitteissa toteutettaviin toimiin seuraavilla aloilla: digitalisaatio kestävyys; kasvu ja elpyminen (vahvistaa häiriönsietokykyä pääasiassa covid-19-pandemiasta kärsineiden pk-yritysten osalta, jotka ovat valmiita toteuttamaan merkittäviä muutos- ja kasvusuunnitelmia). Digitaali-innovointikeskittymät edistävät CERSA- ja SGR-ohjelmien mukaisia takuita ja muita aloitteita, joilla yrityksille tiedotetaan saatavilla olevasta digitalisaatiotuesta.</w:t>
      </w:r>
    </w:p>
    <w:p w14:paraId="214C2E76" w14:textId="2A00B354" w:rsidR="0065073E" w:rsidRDefault="000A0998">
      <w:pPr>
        <w:pStyle w:val="P68B1DB1-Normal4"/>
        <w:spacing w:line="240" w:lineRule="auto"/>
        <w:jc w:val="both"/>
        <w:rPr>
          <w:rFonts w:cs="Times New Roman"/>
          <w:noProof/>
        </w:rPr>
      </w:pPr>
      <w:r>
        <w:rPr>
          <w:noProof/>
        </w:rPr>
        <w:t>Elpymis- ja palautumistukivälineen 630000000 euron investointien perusteella CERSA pyrkii alun perin tarjoamaan vähintään 2100000000 euroa rahoitusta.</w:t>
      </w:r>
    </w:p>
    <w:p w14:paraId="58BE6325" w14:textId="77777777" w:rsidR="0065073E" w:rsidRDefault="000A0998">
      <w:pPr>
        <w:pStyle w:val="P68B1DB1-Normal4"/>
        <w:spacing w:line="240" w:lineRule="auto"/>
        <w:jc w:val="both"/>
        <w:rPr>
          <w:rFonts w:eastAsia="Times New Roman" w:cs="Times New Roman"/>
          <w:noProof/>
        </w:rPr>
      </w:pPr>
      <w:r>
        <w:rPr>
          <w:noProof/>
        </w:rPr>
        <w:t>Toimenpiteen täytäntöönpano on saatettava päätökseen 31 päivään elokuuta 2026 mennessä.</w:t>
      </w:r>
    </w:p>
    <w:p w14:paraId="57663A3D" w14:textId="77777777" w:rsidR="0065073E" w:rsidRDefault="000A0998">
      <w:pPr>
        <w:pStyle w:val="P68B1DB1-Normal5"/>
        <w:spacing w:line="240" w:lineRule="auto"/>
        <w:rPr>
          <w:rFonts w:cs="Times New Roman"/>
          <w:noProof/>
        </w:rPr>
      </w:pPr>
      <w:r>
        <w:rPr>
          <w:noProof/>
        </w:rPr>
        <w:t>Investointi 12 (</w:t>
      </w:r>
      <w:bookmarkStart w:id="42" w:name="_Hlk141289377"/>
      <w:r>
        <w:rPr>
          <w:noProof/>
        </w:rPr>
        <w:t>C13.I12) – ENISAn yrittäjyys- ja pk-yritysrahasto</w:t>
      </w:r>
      <w:bookmarkEnd w:id="42"/>
    </w:p>
    <w:p w14:paraId="1ACF6A29" w14:textId="76ABBE32" w:rsidR="0065073E" w:rsidRDefault="000A0998">
      <w:pPr>
        <w:pStyle w:val="P68B1DB1-Normal4"/>
        <w:jc w:val="both"/>
        <w:rPr>
          <w:rFonts w:cs="Times New Roman"/>
          <w:noProof/>
        </w:rPr>
      </w:pPr>
      <w:r>
        <w:rPr>
          <w:noProof/>
        </w:rPr>
        <w:t>Tämä toimenpide koostuu julkisesta investoinnista välineeseen, ENISAn yrittäjyys- ja pk-yritysrahastoon, jotta voidaan kannustaa yksityisiä investointeja ja parantaa pienten ja keskisuurten yritysten (pk-yritysten) rahoituksen saantia, jotta ne voivat investoida elinkelpoisiin ja innovatiivisiin hankkeisiin ja hankkeisiin, jotka liittyvät kieliteknologiaan, osana PERTE New Economy of the Language -hanketta (NEL). Lainajärjestely toimii myöntämällä osallistavia lainoja suoraan yksityiselle sektorille sekä vastaavaa toimintaa harjoittaville julkisyhteisöille ja julkisoikeudellisille laitoksille. Elpymis- ja palautumistukivälineen investointien perusteella tukivälineestä on alun perin tarkoitus myöntää rahoitusta vähintään 303000000 euroa.</w:t>
      </w:r>
    </w:p>
    <w:p w14:paraId="439990B7" w14:textId="77777777" w:rsidR="0065073E" w:rsidRDefault="000A0998">
      <w:pPr>
        <w:pStyle w:val="P68B1DB1-LegalNumPar228"/>
        <w:numPr>
          <w:ilvl w:val="1"/>
          <w:numId w:val="0"/>
        </w:numPr>
        <w:spacing w:line="240" w:lineRule="auto"/>
        <w:jc w:val="both"/>
        <w:rPr>
          <w:rFonts w:cs="Times New Roman"/>
          <w:noProof/>
        </w:rPr>
      </w:pPr>
      <w:r>
        <w:rPr>
          <w:noProof/>
        </w:rPr>
        <w:t xml:space="preserve">Tukivälinettä hallinnoi toteutuskumppanina toimiva valtion innovaatioyritys (Empresa Nacional de Innovación, SA – ENISA). </w:t>
      </w:r>
    </w:p>
    <w:p w14:paraId="75519CE9" w14:textId="1DC569E6" w:rsidR="0065073E" w:rsidRDefault="000A0998">
      <w:pPr>
        <w:pStyle w:val="P68B1DB1-LegalNumPar228"/>
        <w:numPr>
          <w:ilvl w:val="1"/>
          <w:numId w:val="0"/>
        </w:numPr>
        <w:spacing w:line="240" w:lineRule="auto"/>
        <w:jc w:val="both"/>
        <w:rPr>
          <w:rFonts w:cs="Times New Roman"/>
          <w:noProof/>
        </w:rPr>
      </w:pPr>
      <w:r>
        <w:rPr>
          <w:noProof/>
        </w:rPr>
        <w:t>Investointikehykseen tehtävän investoinnin toteuttamiseksi Espanja ja ENISA allekirjoittavat täytäntöönpanosopimuksen, jonka sisältö on seuraava:</w:t>
      </w:r>
    </w:p>
    <w:p w14:paraId="1B9FEF74" w14:textId="650190A0" w:rsidR="0065073E" w:rsidRDefault="000A0998">
      <w:pPr>
        <w:pStyle w:val="P68B1DB1-LegalNumPar27"/>
        <w:numPr>
          <w:ilvl w:val="0"/>
          <w:numId w:val="777"/>
        </w:numPr>
        <w:jc w:val="both"/>
        <w:rPr>
          <w:rFonts w:eastAsia="Times New Roman" w:cs="Times New Roman"/>
          <w:noProof/>
        </w:rPr>
      </w:pPr>
      <w:r>
        <w:rPr>
          <w:noProof/>
        </w:rPr>
        <w:t>Tukivälineen päätöksentekoprosessin kuvaus: Investointikehyksen ensimmäisen investointipäätöksen tekee investointikomitea, ja se hyväksytään Espanjan hallituksesta riippumattomien jäsenten äänten enemmistöllä. ENISAn tapauksessa investointikomiteaan osallistuvat ENISAn henkilöstön jäsenet (jotka ovat riippumattomia hallituksesta). Investointikehyksen lopullinen investointipäätös rajoittuu investointikomitean tai vastaavan hallintoelimen ehdottaman investointipäätöksen hyväksymiseen (ilman muutoksia) tai veto-oikeuden käyttämiseen. </w:t>
      </w:r>
    </w:p>
    <w:p w14:paraId="1A8676AB" w14:textId="77777777" w:rsidR="0065073E" w:rsidRDefault="000A0998">
      <w:pPr>
        <w:pStyle w:val="P68B1DB1-LegalNumPar27"/>
        <w:numPr>
          <w:ilvl w:val="0"/>
          <w:numId w:val="777"/>
        </w:numPr>
        <w:jc w:val="both"/>
        <w:rPr>
          <w:rFonts w:cs="Times New Roman"/>
          <w:noProof/>
        </w:rPr>
      </w:pPr>
      <w:r>
        <w:rPr>
          <w:noProof/>
        </w:rPr>
        <w:t>Asiaan liittyvän sijoituspolitiikan keskeiset vaatimukset,</w:t>
      </w:r>
      <w:r>
        <w:rPr>
          <w:b/>
          <w:noProof/>
        </w:rPr>
        <w:t xml:space="preserve"> </w:t>
      </w:r>
      <w:r>
        <w:rPr>
          <w:noProof/>
        </w:rPr>
        <w:t>joihin on sisällyttävä</w:t>
      </w:r>
    </w:p>
    <w:p w14:paraId="53167A26" w14:textId="77777777" w:rsidR="0065073E" w:rsidRDefault="000A0998">
      <w:pPr>
        <w:pStyle w:val="P68B1DB1-LegalNumPar228"/>
        <w:numPr>
          <w:ilvl w:val="1"/>
          <w:numId w:val="777"/>
        </w:numPr>
        <w:rPr>
          <w:rFonts w:cs="Times New Roman"/>
          <w:noProof/>
        </w:rPr>
      </w:pPr>
      <w:r>
        <w:rPr>
          <w:noProof/>
        </w:rPr>
        <w:t xml:space="preserve">Kuvaus rahoitustuotteesta ja tukikelpoisista lopullisista tuensaajista toimenpiteen kuvauksen mukaisesti.   </w:t>
      </w:r>
    </w:p>
    <w:p w14:paraId="2058F386" w14:textId="77777777" w:rsidR="0065073E" w:rsidRDefault="000A0998">
      <w:pPr>
        <w:pStyle w:val="P68B1DB1-LegalNumPar228"/>
        <w:numPr>
          <w:ilvl w:val="1"/>
          <w:numId w:val="777"/>
        </w:numPr>
        <w:rPr>
          <w:rFonts w:cs="Times New Roman"/>
          <w:noProof/>
        </w:rPr>
      </w:pPr>
      <w:r>
        <w:rPr>
          <w:noProof/>
        </w:rPr>
        <w:t>Vaatimus, jonka mukaan kaikkien tuettujen investointien on oltava taloudellisesti kannattavia</w:t>
      </w:r>
      <w:r>
        <w:rPr>
          <w:b/>
          <w:noProof/>
        </w:rPr>
        <w:t>.</w:t>
      </w:r>
    </w:p>
    <w:p w14:paraId="0F832EDA" w14:textId="77777777" w:rsidR="0065073E" w:rsidRDefault="000A0998">
      <w:pPr>
        <w:pStyle w:val="P68B1DB1-LegalNumPar228"/>
        <w:numPr>
          <w:ilvl w:val="1"/>
          <w:numId w:val="777"/>
        </w:numPr>
        <w:rPr>
          <w:rFonts w:cs="Times New Roman"/>
          <w:noProof/>
        </w:rPr>
      </w:pPr>
      <w:r>
        <w:rPr>
          <w:noProof/>
        </w:rPr>
        <w:t>Kielto jälleenrahoittaa kaikkia jäljellä olevia lainoja.</w:t>
      </w:r>
    </w:p>
    <w:p w14:paraId="36A92C80" w14:textId="77777777" w:rsidR="0065073E" w:rsidRDefault="000A0998">
      <w:pPr>
        <w:pStyle w:val="P68B1DB1-LegalNumPar228"/>
        <w:numPr>
          <w:ilvl w:val="1"/>
          <w:numId w:val="777"/>
        </w:numPr>
        <w:rPr>
          <w:rFonts w:cs="Times New Roman"/>
          <w:noProof/>
        </w:rPr>
      </w:pPr>
      <w:r>
        <w:rPr>
          <w:noProof/>
        </w:rPr>
        <w:t xml:space="preserve">Vaatimus noudattaa ”ei merkittävää haittaa” -periaatetta, sellaisena kuin se on vahvistettu ”ei merkittävää haittaa” -periaatetta (2021/C58/01), erityisesti: </w:t>
      </w:r>
    </w:p>
    <w:p w14:paraId="7796D9D1" w14:textId="08163042" w:rsidR="0065073E" w:rsidRDefault="000A0998">
      <w:pPr>
        <w:pStyle w:val="LegalNumPar2"/>
        <w:numPr>
          <w:ilvl w:val="2"/>
          <w:numId w:val="777"/>
        </w:numPr>
        <w:spacing w:line="240" w:lineRule="auto"/>
        <w:jc w:val="both"/>
        <w:rPr>
          <w:rFonts w:ascii="Times New Roman" w:hAnsi="Times New Roman" w:cs="Times New Roman"/>
          <w:noProof/>
          <w:sz w:val="24"/>
        </w:rPr>
      </w:pPr>
      <w:r>
        <w:rPr>
          <w:rFonts w:ascii="Times New Roman" w:hAnsi="Times New Roman"/>
          <w:noProof/>
          <w:sz w:val="24"/>
        </w:rPr>
        <w:t>sijoituspolitiikassa ei oteta huomioon seuraavaa luetteloa toiminnoista ja omaisuuseristä: I) fossiilisiin polttoaineisiin liittyvät toiminnot ja omaisuuserät, mukaan lukien loppupään käyttö,</w:t>
      </w:r>
      <w:r>
        <w:rPr>
          <w:rStyle w:val="FootnoteReference"/>
          <w:rFonts w:ascii="Times New Roman" w:hAnsi="Times New Roman" w:cs="Times New Roman"/>
          <w:noProof/>
          <w:sz w:val="24"/>
        </w:rPr>
        <w:footnoteReference w:id="136"/>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37"/>
      </w:r>
      <w:r>
        <w:rPr>
          <w:rFonts w:ascii="Times New Roman" w:hAnsi="Times New Roman"/>
          <w:noProof/>
          <w:sz w:val="24"/>
        </w:rPr>
        <w:t xml:space="preserve">iii) jätteen kaatopaikkoihin, polttolaitoksiin ja mekaanisiin biologisiin käsittelylaitoksiin liittyvät toiminnot ja omaisuuserät. </w:t>
      </w:r>
    </w:p>
    <w:p w14:paraId="712F106C" w14:textId="5645F731" w:rsidR="0065073E" w:rsidRDefault="000A0998">
      <w:pPr>
        <w:pStyle w:val="P68B1DB1-LegalNumPar228"/>
        <w:numPr>
          <w:ilvl w:val="2"/>
          <w:numId w:val="777"/>
        </w:numPr>
        <w:spacing w:line="240" w:lineRule="auto"/>
        <w:jc w:val="both"/>
        <w:rPr>
          <w:rFonts w:cs="Times New Roman"/>
          <w:noProof/>
        </w:rPr>
      </w:pPr>
      <w:r>
        <w:rPr>
          <w:noProof/>
        </w:rPr>
        <w:t>investointipolitiikassa on edellytettävä, että tukivälineen lopulliset edunsaajat noudattavat asiaankuuluvaa EU:n ja kansallista ympäristölainsäädäntöä.</w:t>
      </w:r>
    </w:p>
    <w:p w14:paraId="51AB1F5E" w14:textId="77777777" w:rsidR="0065073E" w:rsidRDefault="000A0998">
      <w:pPr>
        <w:pStyle w:val="P68B1DB1-ListParagraph6"/>
        <w:numPr>
          <w:ilvl w:val="1"/>
          <w:numId w:val="777"/>
        </w:numPr>
        <w:rPr>
          <w:rFonts w:cs="Times New Roman"/>
          <w:noProof/>
        </w:rPr>
      </w:pPr>
      <w:r>
        <w:rPr>
          <w:noProof/>
        </w:rPr>
        <w:t>Vaatimus, jonka mukaan lainajärjestelyn lopulliset edunsaajat eivät saa saada tukea muista unionin välineistä samojen kustannusten kattamiseksi.</w:t>
      </w:r>
    </w:p>
    <w:p w14:paraId="0B9EDD04" w14:textId="202D48AE" w:rsidR="0065073E" w:rsidRDefault="000A0998">
      <w:pPr>
        <w:pStyle w:val="P68B1DB1-LegalNumPar27"/>
        <w:numPr>
          <w:ilvl w:val="0"/>
          <w:numId w:val="777"/>
        </w:numPr>
        <w:jc w:val="both"/>
        <w:rPr>
          <w:rFonts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241C198C" w14:textId="77777777" w:rsidR="0065073E" w:rsidRDefault="000A0998">
      <w:pPr>
        <w:pStyle w:val="P68B1DB1-LegalNumPar27"/>
        <w:numPr>
          <w:ilvl w:val="0"/>
          <w:numId w:val="777"/>
        </w:numPr>
        <w:jc w:val="both"/>
        <w:rPr>
          <w:rFonts w:cs="Times New Roman"/>
          <w:noProof/>
        </w:rPr>
      </w:pPr>
      <w:r>
        <w:rPr>
          <w:noProof/>
        </w:rPr>
        <w:t>Seuranta-, auditointi- ja valvontavaatimukset, mukaan lukien</w:t>
      </w:r>
    </w:p>
    <w:p w14:paraId="7B5D7055" w14:textId="77777777" w:rsidR="0065073E" w:rsidRDefault="000A0998">
      <w:pPr>
        <w:pStyle w:val="P68B1DB1-Normal4"/>
        <w:numPr>
          <w:ilvl w:val="1"/>
          <w:numId w:val="777"/>
        </w:numPr>
        <w:spacing w:after="160" w:line="240" w:lineRule="auto"/>
        <w:jc w:val="both"/>
        <w:rPr>
          <w:rFonts w:cs="Times New Roman"/>
          <w:noProof/>
        </w:rPr>
      </w:pPr>
      <w:bookmarkStart w:id="43" w:name="_Hlk139218377"/>
      <w:r>
        <w:rPr>
          <w:noProof/>
        </w:rPr>
        <w:t>Kuvaus toteutuskumppanin seurantajärjestelmästä, jolla raportoidaan käyttöön otetuista investoinneista.</w:t>
      </w:r>
    </w:p>
    <w:p w14:paraId="4AAB5BEC" w14:textId="77777777" w:rsidR="0065073E" w:rsidRDefault="000A0998">
      <w:pPr>
        <w:pStyle w:val="P68B1DB1-Normal4"/>
        <w:numPr>
          <w:ilvl w:val="1"/>
          <w:numId w:val="777"/>
        </w:numPr>
        <w:spacing w:after="160" w:line="259" w:lineRule="auto"/>
        <w:jc w:val="both"/>
        <w:rPr>
          <w:rFonts w:cs="Times New Roman"/>
          <w:noProof/>
        </w:rPr>
      </w:pPr>
      <w:r>
        <w:rPr>
          <w:noProof/>
        </w:rPr>
        <w:t xml:space="preserve">Kuvaus toteutuskumppanin menettelyistä, joilla varmistetaan petosten, lahjonnan ja eturistiriitojen ehkäiseminen, havaitseminen ja korjaaminen. </w:t>
      </w:r>
    </w:p>
    <w:p w14:paraId="2AF24E11" w14:textId="77777777" w:rsidR="0065073E" w:rsidRDefault="000A0998">
      <w:pPr>
        <w:pStyle w:val="P68B1DB1-Normal4"/>
        <w:numPr>
          <w:ilvl w:val="1"/>
          <w:numId w:val="777"/>
        </w:numPr>
        <w:spacing w:after="160" w:line="259" w:lineRule="auto"/>
        <w:jc w:val="both"/>
        <w:rPr>
          <w:rFonts w:cs="Times New Roman"/>
          <w:noProof/>
        </w:rPr>
      </w:pPr>
      <w:r>
        <w:rPr>
          <w:noProof/>
        </w:rPr>
        <w:t>Velvollisuus tarkistaa jokaisen toimen tukikelpoisuus täytäntöönpanosopimuksessa vahvistettujen vaatimusten mukaisesti ennen kuin sitoudutaan rahoittamaan toimi.</w:t>
      </w:r>
    </w:p>
    <w:p w14:paraId="2CA9BA25" w14:textId="044A04DF" w:rsidR="0065073E" w:rsidRDefault="000A0998">
      <w:pPr>
        <w:pStyle w:val="P68B1DB1-Normal4"/>
        <w:numPr>
          <w:ilvl w:val="1"/>
          <w:numId w:val="777"/>
        </w:numPr>
        <w:spacing w:after="160" w:line="240" w:lineRule="auto"/>
        <w:jc w:val="both"/>
        <w:rPr>
          <w:rFonts w:cs="Times New Roman"/>
          <w:noProof/>
        </w:rPr>
      </w:pPr>
      <w:bookmarkStart w:id="44" w:name="_Hlk145675948"/>
      <w:bookmarkEnd w:id="43"/>
      <w:r>
        <w:rPr>
          <w:noProof/>
        </w:rPr>
        <w:t>Velvoite suorittaa riskiperusteisia jälkitarkastuksia ENISAn tarkastussuunnitelman</w:t>
      </w:r>
      <w:bookmarkEnd w:id="44"/>
      <w:r>
        <w:rPr>
          <w:noProof/>
        </w:rPr>
        <w:t xml:space="preserve"> mukaisesti. Näillä tarkastuksilla todennetaan i) valvontajärjestelmien tehokkuus, mukaan lukien petosten, korruption ja eturistiriitojen havaitseminen; II) ”ei merkittävää haittaa” -periaatteen, valtiontukisääntöjen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täytäntöönpanosopimuksen ja rahoitussopimusten ehtoja noudatetaan. </w:t>
      </w:r>
    </w:p>
    <w:p w14:paraId="7D1D5A8A" w14:textId="36DDAC75" w:rsidR="0065073E" w:rsidRDefault="000A0998">
      <w:pPr>
        <w:numPr>
          <w:ilvl w:val="0"/>
          <w:numId w:val="777"/>
        </w:numPr>
        <w:spacing w:after="160" w:line="240" w:lineRule="auto"/>
        <w:jc w:val="both"/>
        <w:rPr>
          <w:rFonts w:ascii="Times New Roman" w:hAnsi="Times New Roman" w:cs="Times New Roman"/>
          <w:noProof/>
          <w:sz w:val="24"/>
        </w:rPr>
      </w:pPr>
      <w:r>
        <w:rPr>
          <w:noProof/>
        </w:rPr>
        <w:t>Toteutuskumppanin tekemiä digitaalisia investointeja koskevat</w:t>
      </w:r>
      <w:r>
        <w:rPr>
          <w:rFonts w:ascii="Times New Roman" w:hAnsi="Times New Roman"/>
          <w:noProof/>
          <w:sz w:val="24"/>
        </w:rPr>
        <w:t>vaatimukset: vähintään 20000000 eurolla elpymis- ja palautumistukivälineen investointivälineestä tukivälineeseen on edistettävä digitaalisia tavoitteita elpymis- ja palautumistukivälinettä koskevan asetuksen liitteen VII mukaisesti.</w:t>
      </w:r>
    </w:p>
    <w:p w14:paraId="22285CFF" w14:textId="77777777" w:rsidR="0065073E" w:rsidRDefault="000A0998">
      <w:pPr>
        <w:pStyle w:val="P68B1DB1-Normal4"/>
        <w:rPr>
          <w:rFonts w:cs="Times New Roman"/>
          <w:noProof/>
        </w:rPr>
      </w:pPr>
      <w:r>
        <w:rPr>
          <w:noProof/>
        </w:rPr>
        <w:t>Toimenpiteen täytäntöönpano on saatettava päätökseen 31 päivään elokuuta 2026 mennessä.</w:t>
      </w:r>
    </w:p>
    <w:p w14:paraId="01845BA9" w14:textId="77777777" w:rsidR="0065073E" w:rsidRDefault="000A0998">
      <w:pPr>
        <w:pStyle w:val="P68B1DB1-Normal5"/>
        <w:rPr>
          <w:rFonts w:cs="Times New Roman"/>
          <w:noProof/>
        </w:rPr>
      </w:pPr>
      <w:bookmarkStart w:id="45" w:name="_Hlk141697321"/>
      <w:r>
        <w:rPr>
          <w:noProof/>
        </w:rPr>
        <w:t>Investointi 13 (C13.I13) – Alueellinen elpymisrahasto (FRA)</w:t>
      </w:r>
    </w:p>
    <w:p w14:paraId="1757DEF3" w14:textId="77777777" w:rsidR="0065073E" w:rsidRDefault="000A0998">
      <w:pPr>
        <w:pStyle w:val="P68B1DB1-Normal4"/>
        <w:spacing w:before="160" w:after="0" w:line="240" w:lineRule="auto"/>
        <w:jc w:val="both"/>
        <w:rPr>
          <w:rFonts w:eastAsia="@MS Mincho" w:cs="Times New Roman"/>
          <w:noProof/>
        </w:rPr>
      </w:pPr>
      <w:bookmarkStart w:id="46" w:name="_Hlk138428161"/>
      <w:r>
        <w:rPr>
          <w:noProof/>
        </w:rPr>
        <w:t xml:space="preserve">Tämä toimenpide koostuu julkisesta investoinnista InvestEU-jäsenvaltio-osioon ja alueelliseen elpymis- ja palautumistukivälineeseen, jolla kannustetaan yksityisiä investointeja ja parannetaan rahoituksen saantia Espanjan itsehallintoalueilla seuraavilla painopistealoilla: sosiaalinen ja kohtuuhintainen asuminen ja kaupunkien elvyttäminen; kestävä liikenne; teollisuuden ja pk-yritysten kilpailukyky tutkimus, kehittäminen ja innovointi; kestävä matkailu hoivatalous; vesi- ja jätehuolto; ja energiasiirtymä; sekä kehittämään pääomamarkkinoita näillä aloilla. </w:t>
      </w:r>
    </w:p>
    <w:p w14:paraId="4DBD1EA3" w14:textId="62FBFDEC" w:rsidR="0065073E" w:rsidRDefault="000A0998">
      <w:pPr>
        <w:pStyle w:val="P68B1DB1-Normal4"/>
        <w:spacing w:before="160" w:after="0" w:line="240" w:lineRule="auto"/>
        <w:jc w:val="both"/>
        <w:rPr>
          <w:rFonts w:cs="Times New Roman"/>
          <w:noProof/>
        </w:rPr>
      </w:pPr>
      <w:r>
        <w:rPr>
          <w:noProof/>
        </w:rPr>
        <w:t>Lainajärjestely toimii tarjoamalla rahoitusta suoraan tai välittäjien kautta yksityiselle sektorille, vastaavaa toimintaa harjoittaville julkisyhteisöille ja julkisoikeudellisille yhteisöille sekä julkisyhteisöille, kuten alue- ja paikallishallinnolle. Elpymis- ja palautumistukivälineen investointien perusteella tukivälineen tavoitteena on tarjota rahoitusta vähintään 19500000000 euroa. InvestEU:n jäsenvaltio-osioon osoitetaan 500000000 euron lisärahoitus.</w:t>
      </w:r>
    </w:p>
    <w:p w14:paraId="62C4CD55" w14:textId="13EEB42C" w:rsidR="0065073E" w:rsidRDefault="000A0998">
      <w:pPr>
        <w:pStyle w:val="P68B1DB1-Normal4"/>
        <w:spacing w:before="160" w:after="0" w:line="240" w:lineRule="auto"/>
        <w:jc w:val="both"/>
        <w:rPr>
          <w:rFonts w:cs="Times New Roman"/>
          <w:noProof/>
        </w:rPr>
      </w:pPr>
      <w:r>
        <w:rPr>
          <w:noProof/>
        </w:rPr>
        <w:t>EIP-ryhmä hallinnoi investointikehystä toteutuskumppanina. Investointikehyksen on sisällettävä seuraavat tuotelinjat:</w:t>
      </w:r>
    </w:p>
    <w:p w14:paraId="2BA9E56C" w14:textId="4A743B87" w:rsidR="0065073E" w:rsidRDefault="000A0998">
      <w:pPr>
        <w:pStyle w:val="P68B1DB1-ListParagraph6"/>
        <w:numPr>
          <w:ilvl w:val="0"/>
          <w:numId w:val="483"/>
        </w:numPr>
        <w:spacing w:before="160" w:after="0"/>
        <w:ind w:left="714" w:hanging="357"/>
        <w:jc w:val="both"/>
        <w:rPr>
          <w:rFonts w:cs="Times New Roman"/>
          <w:noProof/>
        </w:rPr>
      </w:pPr>
      <w:r>
        <w:rPr>
          <w:noProof/>
        </w:rPr>
        <w:t>Suora julkinen linja (3500000000 euroa): Suora yhteisrahoitusväline, jolla rahoitetaan alue- ja paikallishallinnon kaltaisten julkisyhteisöjen hankkeita.</w:t>
      </w:r>
    </w:p>
    <w:p w14:paraId="2FD334C1" w14:textId="5D6913B9" w:rsidR="0065073E" w:rsidRDefault="000A0998">
      <w:pPr>
        <w:pStyle w:val="P68B1DB1-ListParagraph6"/>
        <w:numPr>
          <w:ilvl w:val="0"/>
          <w:numId w:val="483"/>
        </w:numPr>
        <w:spacing w:before="160" w:after="0"/>
        <w:ind w:left="714" w:hanging="357"/>
        <w:jc w:val="both"/>
        <w:rPr>
          <w:rFonts w:cs="Times New Roman"/>
          <w:noProof/>
        </w:rPr>
      </w:pPr>
      <w:r>
        <w:rPr>
          <w:noProof/>
        </w:rPr>
        <w:t>Muut budjettikohdat (16000000000 euroa): Linjat, jotka kohdistuvat vastaavanlaista toimintaa harjoittaviin yksityisiin yhteisöihin tai julkisyhteisöihin, erityisesti seuraaviin:</w:t>
      </w:r>
    </w:p>
    <w:p w14:paraId="549BA5C1" w14:textId="4782C26B" w:rsidR="0065073E" w:rsidRDefault="000A0998">
      <w:pPr>
        <w:pStyle w:val="P68B1DB1-ListParagraph6"/>
        <w:numPr>
          <w:ilvl w:val="1"/>
          <w:numId w:val="483"/>
        </w:numPr>
        <w:spacing w:before="160" w:after="0"/>
        <w:ind w:left="1434" w:hanging="357"/>
        <w:jc w:val="both"/>
        <w:rPr>
          <w:rFonts w:cs="Times New Roman"/>
          <w:noProof/>
        </w:rPr>
      </w:pPr>
      <w:r>
        <w:rPr>
          <w:noProof/>
        </w:rPr>
        <w:t>Suora yhteisrahoitusväline hankkeiden rahoittamiseksi lainoilla, omaisuuserien hankinnoilla tai osallistumalla hankerahoitukseen.</w:t>
      </w:r>
    </w:p>
    <w:p w14:paraId="7232CE8D" w14:textId="053F98AB" w:rsidR="0065073E" w:rsidRDefault="000A0998">
      <w:pPr>
        <w:pStyle w:val="P68B1DB1-ListParagraph6"/>
        <w:numPr>
          <w:ilvl w:val="1"/>
          <w:numId w:val="483"/>
        </w:numPr>
        <w:spacing w:before="160" w:after="0"/>
        <w:ind w:left="1434" w:hanging="357"/>
        <w:jc w:val="both"/>
        <w:rPr>
          <w:rFonts w:cs="Times New Roman"/>
          <w:noProof/>
        </w:rPr>
      </w:pPr>
      <w:r>
        <w:rPr>
          <w:noProof/>
        </w:rPr>
        <w:t>Välitetty rahoitus pk-yrityksille, mid-cap-yrityksille ja yksityishenkilöille muun muassa oman pääoman ehtoisten sijoitusten, oman pääoman luonteisten sijoitusten, takausten ja omaisuusvakuudellisen arvopaperistamisen kautta olemassa olevien lainasalkkujen osalta, etuoikeutettujen yksityisten luottojen sekä uuden tukikelpoisen lainasalkun muodostavien rahoitusyhteisöjen liikkeeseen laskemien vihreiden joukkolainojen oston kautta.</w:t>
      </w:r>
    </w:p>
    <w:p w14:paraId="7D5D4DF7" w14:textId="2B516A66" w:rsidR="0065073E" w:rsidRDefault="000A0998">
      <w:pPr>
        <w:pStyle w:val="P68B1DB1-Normal4"/>
        <w:spacing w:before="160" w:after="0" w:line="240" w:lineRule="auto"/>
        <w:jc w:val="both"/>
        <w:rPr>
          <w:rFonts w:cs="Times New Roman"/>
          <w:noProof/>
        </w:rPr>
      </w:pPr>
      <w:r>
        <w:rPr>
          <w:noProof/>
        </w:rPr>
        <w:t>Investointikehykseen tehtävän investoinnin toteuttamiseksi Espanjan ja EIP-ryhmän on allekirjoitettava täytäntöönpanosopimus, jonka sisältö on seuraava:</w:t>
      </w:r>
    </w:p>
    <w:p w14:paraId="3C6F4765" w14:textId="78492C8F" w:rsidR="0065073E" w:rsidRDefault="000A0998">
      <w:pPr>
        <w:pStyle w:val="P68B1DB1-ListParagraph6"/>
        <w:numPr>
          <w:ilvl w:val="0"/>
          <w:numId w:val="755"/>
        </w:numPr>
        <w:spacing w:before="160" w:after="0" w:line="240" w:lineRule="auto"/>
        <w:jc w:val="both"/>
        <w:rPr>
          <w:rFonts w:cs="Times New Roman"/>
          <w:noProof/>
        </w:rPr>
      </w:pPr>
      <w:r>
        <w:rPr>
          <w:noProof/>
        </w:rPr>
        <w:t>EIP-ryhmä tekee investointikehyksen ensimmäisen investointipäätöksen Espanjan hallituksesta riippumatta. Investointikehyksen lopullinen investointipäätös rajoittuu investointikomitean tai vastaavan hallintoelimen ehdottaman investointipäätöksen hyväksymiseen (ilman muutoksia) tai veto-oikeuden käyttämiseen.   Välitettyjen sijoitusten osalta välittäjien on tehtävä lopullinen sijoituspäätös.</w:t>
      </w:r>
    </w:p>
    <w:p w14:paraId="6068387E" w14:textId="77777777" w:rsidR="0065073E" w:rsidRDefault="000A0998">
      <w:pPr>
        <w:pStyle w:val="P68B1DB1-ListParagraph6"/>
        <w:numPr>
          <w:ilvl w:val="0"/>
          <w:numId w:val="755"/>
        </w:numPr>
        <w:spacing w:line="240" w:lineRule="auto"/>
        <w:jc w:val="both"/>
        <w:rPr>
          <w:rFonts w:eastAsia="Times New Roman" w:cs="Times New Roman"/>
          <w:noProof/>
        </w:rPr>
      </w:pPr>
      <w:r>
        <w:rPr>
          <w:noProof/>
        </w:rPr>
        <w:t>Asiaan liittyvän sijoituspolitiikan keskeiset vaatimukset, joihin on sisällyttävä</w:t>
      </w:r>
    </w:p>
    <w:p w14:paraId="194C34BC" w14:textId="77777777" w:rsidR="0065073E" w:rsidRDefault="000A0998">
      <w:pPr>
        <w:pStyle w:val="P68B1DB1-ListParagraph6"/>
        <w:numPr>
          <w:ilvl w:val="1"/>
          <w:numId w:val="755"/>
        </w:numPr>
        <w:spacing w:line="240" w:lineRule="auto"/>
        <w:jc w:val="both"/>
        <w:rPr>
          <w:rFonts w:eastAsia="Times New Roman" w:cs="Times New Roman"/>
          <w:noProof/>
        </w:rPr>
      </w:pPr>
      <w:r>
        <w:rPr>
          <w:noProof/>
        </w:rPr>
        <w:t xml:space="preserve">Kuvaus rahoitustuotteista ja tukikelpoisista lopullisista tuensaajista toimenpiteen kuvauksen mukaisesti.     </w:t>
      </w:r>
    </w:p>
    <w:p w14:paraId="1B8FC68C" w14:textId="77777777" w:rsidR="0065073E" w:rsidRDefault="000A0998">
      <w:pPr>
        <w:pStyle w:val="P68B1DB1-ListParagraph6"/>
        <w:numPr>
          <w:ilvl w:val="1"/>
          <w:numId w:val="755"/>
        </w:numPr>
        <w:spacing w:line="240" w:lineRule="auto"/>
        <w:jc w:val="both"/>
        <w:rPr>
          <w:rFonts w:eastAsia="Times New Roman" w:cs="Times New Roman"/>
          <w:noProof/>
        </w:rPr>
      </w:pPr>
      <w:r>
        <w:rPr>
          <w:noProof/>
        </w:rPr>
        <w:t>Vaatimus, jonka mukaan kaikkien tuettujen investointien on oltava taloudellisesti kannattavia.</w:t>
      </w:r>
    </w:p>
    <w:p w14:paraId="75C0AFD0" w14:textId="77777777" w:rsidR="0065073E" w:rsidRDefault="000A0998">
      <w:pPr>
        <w:pStyle w:val="P68B1DB1-ListParagraph6"/>
        <w:numPr>
          <w:ilvl w:val="1"/>
          <w:numId w:val="755"/>
        </w:numPr>
        <w:spacing w:line="240" w:lineRule="auto"/>
        <w:jc w:val="both"/>
        <w:rPr>
          <w:rFonts w:eastAsia="Times New Roman" w:cs="Times New Roman"/>
          <w:noProof/>
        </w:rPr>
      </w:pPr>
      <w:r>
        <w:rPr>
          <w:noProof/>
        </w:rPr>
        <w:t xml:space="preserve">Kielto jälleenrahoittaa kaikkia jäljellä olevia lainoja.  </w:t>
      </w:r>
    </w:p>
    <w:p w14:paraId="7C25BF49" w14:textId="77777777" w:rsidR="0065073E" w:rsidRDefault="000A0998">
      <w:pPr>
        <w:pStyle w:val="P68B1DB1-ListParagraph6"/>
        <w:numPr>
          <w:ilvl w:val="1"/>
          <w:numId w:val="755"/>
        </w:numPr>
        <w:spacing w:line="240" w:lineRule="auto"/>
        <w:jc w:val="both"/>
        <w:rPr>
          <w:rFonts w:eastAsia="Times New Roman" w:cs="Times New Roman"/>
          <w:noProof/>
        </w:rPr>
      </w:pPr>
      <w:r>
        <w:rPr>
          <w:noProof/>
        </w:rPr>
        <w:t xml:space="preserve">Vaatimus noudattaa ”ei merkittävää haittaa” -periaatetta, sellaisena kuin se on vahvistettu ”ei merkittävää haittaa” -periaatetta (2021/C58/01), erityisesti: </w:t>
      </w:r>
    </w:p>
    <w:p w14:paraId="4F28561E" w14:textId="011EFE25" w:rsidR="0065073E" w:rsidRDefault="000A0998">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138"/>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39"/>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hAnsi="Times New Roman" w:cs="Times New Roman"/>
          <w:noProof/>
          <w:sz w:val="24"/>
        </w:rPr>
        <w:footnoteReference w:id="140"/>
      </w:r>
      <w:r>
        <w:rPr>
          <w:rFonts w:ascii="Times New Roman" w:hAnsi="Times New Roman"/>
          <w:noProof/>
          <w:sz w:val="24"/>
        </w:rPr>
        <w:t xml:space="preserve"> ja omaisuuserät</w:t>
      </w:r>
      <w:r>
        <w:rPr>
          <w:rStyle w:val="FootnoteReference"/>
          <w:rFonts w:ascii="Times New Roman" w:hAnsi="Times New Roman" w:cs="Times New Roman"/>
          <w:noProof/>
          <w:sz w:val="24"/>
        </w:rPr>
        <w:footnoteReference w:id="141"/>
      </w:r>
      <w:r>
        <w:rPr>
          <w:rFonts w:ascii="Times New Roman" w:hAnsi="Times New Roman"/>
          <w:noProof/>
          <w:sz w:val="24"/>
        </w:rPr>
        <w:t xml:space="preserve">.  </w:t>
      </w:r>
    </w:p>
    <w:p w14:paraId="16C8C54F" w14:textId="1AD523F7" w:rsidR="0065073E" w:rsidRDefault="000A0998">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Oman pääoman ehtoisten, oman pääoman luonteisten, yritysten joukkovelkakirjalainojen tai vastaavien instrumenttien osalta: sijoituspolitiikassa on edellytettävä, että yritykset hyväksyvät vihreää siirtymää koskevat suunnitelmat direktiivin 2013/34/EU 19 a artiklan 2 kohdan a alakohdan iii alakohdassa esitetyn määritelmän mukaisesti,</w:t>
      </w:r>
      <w:r>
        <w:rPr>
          <w:rStyle w:val="FootnoteReference"/>
          <w:rFonts w:ascii="Times New Roman" w:eastAsia="Times New Roman" w:hAnsi="Times New Roman" w:cs="Times New Roman"/>
          <w:noProof/>
          <w:sz w:val="24"/>
        </w:rPr>
        <w:footnoteReference w:id="142"/>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143"/>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44"/>
      </w:r>
      <w:r>
        <w:rPr>
          <w:rFonts w:ascii="Times New Roman" w:hAnsi="Times New Roman"/>
          <w:noProof/>
          <w:sz w:val="24"/>
        </w:rPr>
        <w:t>iii) jätteen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145"/>
      </w:r>
      <w:r>
        <w:rPr>
          <w:rFonts w:ascii="Times New Roman" w:hAnsi="Times New Roman"/>
          <w:noProof/>
          <w:sz w:val="24"/>
        </w:rPr>
        <w:t xml:space="preserve"> ja omaisuuserät</w:t>
      </w:r>
      <w:r>
        <w:rPr>
          <w:rStyle w:val="FootnoteReference"/>
          <w:rFonts w:ascii="Times New Roman" w:eastAsia="Times New Roman" w:hAnsi="Times New Roman" w:cs="Times New Roman"/>
          <w:noProof/>
          <w:sz w:val="24"/>
        </w:rPr>
        <w:footnoteReference w:id="146"/>
      </w:r>
      <w:r>
        <w:rPr>
          <w:rFonts w:ascii="Times New Roman" w:hAnsi="Times New Roman"/>
          <w:noProof/>
          <w:sz w:val="24"/>
        </w:rPr>
        <w:t xml:space="preserve">. </w:t>
      </w:r>
    </w:p>
    <w:p w14:paraId="1F24FA81" w14:textId="77777777" w:rsidR="0065073E" w:rsidRDefault="000A0998">
      <w:pPr>
        <w:pStyle w:val="P68B1DB1-ListParagraph6"/>
        <w:numPr>
          <w:ilvl w:val="2"/>
          <w:numId w:val="755"/>
        </w:numPr>
        <w:rPr>
          <w:rFonts w:eastAsia="Times New Roman" w:cs="Times New Roman"/>
          <w:noProof/>
        </w:rPr>
      </w:pPr>
      <w:r>
        <w:rPr>
          <w:noProof/>
        </w:rPr>
        <w:t>Lisäksi investointipolitiikassa on edellytettävä, että tukivälineen lopulliset edunsaajat noudattavat asiaankuuluvaa EU:n ja kansallista ympäristölainsäädäntöä.</w:t>
      </w:r>
    </w:p>
    <w:p w14:paraId="68AAD697" w14:textId="77777777" w:rsidR="0065073E" w:rsidRDefault="000A0998">
      <w:pPr>
        <w:pStyle w:val="P68B1DB1-ListParagraph6"/>
        <w:numPr>
          <w:ilvl w:val="1"/>
          <w:numId w:val="755"/>
        </w:numPr>
        <w:rPr>
          <w:rFonts w:eastAsia="Times New Roman" w:cs="Times New Roman"/>
          <w:noProof/>
        </w:rPr>
      </w:pPr>
      <w:r>
        <w:rPr>
          <w:noProof/>
        </w:rPr>
        <w:t>Vaatimus, jonka mukaan lainajärjestelyn lopulliset edunsaajat eivät saa saada tukea muista unionin välineistä samojen kustannusten kattamiseksi.</w:t>
      </w:r>
    </w:p>
    <w:p w14:paraId="7CF753BD" w14:textId="4346533E" w:rsidR="0065073E" w:rsidRDefault="000A0998">
      <w:pPr>
        <w:pStyle w:val="P68B1DB1-ListParagraph6"/>
        <w:numPr>
          <w:ilvl w:val="0"/>
          <w:numId w:val="755"/>
        </w:numPr>
        <w:jc w:val="both"/>
        <w:rPr>
          <w:rFonts w:eastAsia="Times New Roman"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375487A6" w14:textId="77777777" w:rsidR="0065073E" w:rsidRDefault="000A0998">
      <w:pPr>
        <w:pStyle w:val="P68B1DB1-ListParagraph6"/>
        <w:numPr>
          <w:ilvl w:val="0"/>
          <w:numId w:val="755"/>
        </w:numPr>
        <w:jc w:val="both"/>
        <w:rPr>
          <w:rFonts w:eastAsia="Times New Roman" w:cs="Times New Roman"/>
          <w:noProof/>
        </w:rPr>
      </w:pPr>
      <w:r>
        <w:rPr>
          <w:noProof/>
        </w:rPr>
        <w:t>Seuranta-, auditointi- ja valvontavaatimukset, mukaan lukien</w:t>
      </w:r>
    </w:p>
    <w:p w14:paraId="044F541F" w14:textId="77777777" w:rsidR="0065073E" w:rsidRDefault="000A0998">
      <w:pPr>
        <w:pStyle w:val="P68B1DB1-ListParagraph6"/>
        <w:numPr>
          <w:ilvl w:val="1"/>
          <w:numId w:val="755"/>
        </w:numPr>
        <w:jc w:val="both"/>
        <w:rPr>
          <w:rFonts w:eastAsia="Times New Roman" w:cs="Times New Roman"/>
          <w:noProof/>
        </w:rPr>
      </w:pPr>
      <w:r>
        <w:rPr>
          <w:noProof/>
        </w:rPr>
        <w:t>Velvollisuus tarkistaa jokaisen toimen tukikelpoisuus tukivälineen perustamisesta annetuissa asetuksissa vahvistettujen vaatimusten mukaisesti ennen kuin sitoudutaan rahoittamaan toimea.</w:t>
      </w:r>
    </w:p>
    <w:p w14:paraId="725AD338" w14:textId="6F276A3B" w:rsidR="0065073E" w:rsidRDefault="000A0998">
      <w:pPr>
        <w:pStyle w:val="P68B1DB1-ListParagraph6"/>
        <w:numPr>
          <w:ilvl w:val="1"/>
          <w:numId w:val="755"/>
        </w:numPr>
        <w:jc w:val="both"/>
        <w:rPr>
          <w:rFonts w:eastAsia="Times New Roman" w:cs="Times New Roman"/>
          <w:noProof/>
        </w:rPr>
      </w:pPr>
      <w:r>
        <w:rPr>
          <w:noProof/>
        </w:rPr>
        <w:t xml:space="preserve">Velvoite tehdä riskiperusteisia jälkitarkastuksia EIP-ryhmän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täytäntöönpanosopimuksen ja rahoitussopimusten ehtoja noudatetaan. </w:t>
      </w:r>
    </w:p>
    <w:p w14:paraId="618D5455" w14:textId="76DF3653" w:rsidR="0065073E" w:rsidRDefault="000A0998">
      <w:pPr>
        <w:pStyle w:val="P68B1DB1-ListParagraph6"/>
        <w:numPr>
          <w:ilvl w:val="1"/>
          <w:numId w:val="755"/>
        </w:numPr>
        <w:jc w:val="both"/>
        <w:rPr>
          <w:rFonts w:eastAsia="Times New Roman" w:cs="Times New Roman"/>
          <w:noProof/>
        </w:rPr>
      </w:pPr>
      <w:r>
        <w:rPr>
          <w:noProof/>
        </w:rPr>
        <w:t>EIP-ryhmän velvollisuus toimittaa valtionhallinnon yleiselle valvojalle, jäljempänä ’IGAE’, ulkoisten tilintarkastajiensa laatima vuotuinen tilintarkastuskertomus.</w:t>
      </w:r>
    </w:p>
    <w:p w14:paraId="557E207F" w14:textId="5CFAD5F2" w:rsidR="0065073E" w:rsidRDefault="000A0998">
      <w:pPr>
        <w:pStyle w:val="ListParagraph"/>
        <w:numPr>
          <w:ilvl w:val="0"/>
          <w:numId w:val="755"/>
        </w:numPr>
        <w:jc w:val="both"/>
        <w:rPr>
          <w:rFonts w:ascii="Times New Roman" w:eastAsia="Times New Roman" w:hAnsi="Times New Roman" w:cs="Times New Roman"/>
          <w:noProof/>
          <w:sz w:val="24"/>
        </w:rPr>
      </w:pPr>
      <w:r>
        <w:rPr>
          <w:rFonts w:ascii="Times New Roman" w:hAnsi="Times New Roman"/>
          <w:noProof/>
          <w:sz w:val="24"/>
        </w:rPr>
        <w:t>Toteutuskumppanin toteuttamia ilmastoinvestointeja koskevat vaatimukset: vähintään 9750000000 eurolla elpymis- ja palautumistukivälineen investointivälineestä tukivälineeseen on edistettävä ilmastonmuutosta koskevia tavoitteita elpymis- ja palautumistukivälinettä koskevan asetuksen liitteen VI mukaisesti.</w:t>
      </w:r>
      <w:r>
        <w:rPr>
          <w:rStyle w:val="FootnoteReference"/>
          <w:rFonts w:ascii="Times New Roman" w:hAnsi="Times New Roman" w:cs="Times New Roman"/>
          <w:noProof/>
          <w:sz w:val="24"/>
        </w:rPr>
        <w:footnoteReference w:id="147"/>
      </w:r>
    </w:p>
    <w:p w14:paraId="216600C2" w14:textId="1EE967AA" w:rsidR="0065073E" w:rsidRDefault="000A0998">
      <w:pPr>
        <w:pStyle w:val="P68B1DB1-ListParagraph6"/>
        <w:numPr>
          <w:ilvl w:val="0"/>
          <w:numId w:val="755"/>
        </w:numPr>
        <w:jc w:val="both"/>
        <w:rPr>
          <w:rFonts w:eastAsia="Times New Roman" w:cs="Times New Roman"/>
          <w:noProof/>
        </w:rPr>
      </w:pPr>
      <w:r>
        <w:rPr>
          <w:noProof/>
        </w:rPr>
        <w:t xml:space="preserve">Rahoituksen välittäjien valintaa koskevat vaatimukset: EIP-ryhmä valitsee rahoituksen välittäjät avoimella, läpinäkyvällä ja syrjimättömällä tavalla. Kaikkien asianomaisten taloushallinnon toimijoiden on valvottava, ettei rahoituksen välittäjillä ole eturistiriitoja, ja ne on suoritettava etukäteen.  </w:t>
      </w:r>
    </w:p>
    <w:p w14:paraId="6137DE3A" w14:textId="15766C8D" w:rsidR="0065073E" w:rsidRDefault="000A0998">
      <w:pPr>
        <w:pStyle w:val="P68B1DB1-ListParagraph6"/>
        <w:numPr>
          <w:ilvl w:val="0"/>
          <w:numId w:val="755"/>
        </w:numPr>
        <w:jc w:val="both"/>
        <w:rPr>
          <w:rFonts w:eastAsia="Times New Roman" w:cs="Times New Roman"/>
          <w:noProof/>
        </w:rPr>
      </w:pPr>
      <w:r>
        <w:rPr>
          <w:noProof/>
        </w:rPr>
        <w:t xml:space="preserve">Vaatimus rahoitussopimusten allekirjoittamisesta: EIP-ryhmä allekirjoittaa rahoitussopimukset rahoituksen välittäjien kanssa täytäntöönpanosopimuksen liitteenä olevien keskeisten vaatimusten mukaisesti. Rahoitussopimuksen keskeisiin vaatimuksiin on sisällyttävä kaikki rahaston toimintaa koskevat vaatimukset, mukaan lukien seuraavat:  </w:t>
      </w:r>
    </w:p>
    <w:p w14:paraId="5DEE2206" w14:textId="77777777" w:rsidR="0065073E" w:rsidRDefault="000A0998">
      <w:pPr>
        <w:pStyle w:val="P68B1DB1-ListParagraph6"/>
        <w:numPr>
          <w:ilvl w:val="1"/>
          <w:numId w:val="755"/>
        </w:numPr>
        <w:rPr>
          <w:rFonts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 </w:t>
      </w:r>
    </w:p>
    <w:p w14:paraId="139C3B11" w14:textId="77777777" w:rsidR="0065073E" w:rsidRDefault="000A0998">
      <w:pPr>
        <w:pStyle w:val="P68B1DB1-ListParagraph6"/>
        <w:numPr>
          <w:ilvl w:val="1"/>
          <w:numId w:val="755"/>
        </w:numPr>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1FF0C1AA" w14:textId="373609A2" w:rsidR="0065073E" w:rsidRDefault="000A0998">
      <w:pPr>
        <w:pStyle w:val="P68B1DB1-Normal4"/>
        <w:spacing w:before="160" w:after="0" w:line="240" w:lineRule="auto"/>
        <w:jc w:val="both"/>
        <w:rPr>
          <w:rFonts w:eastAsia="Times New Roman" w:cs="Times New Roman"/>
          <w:noProof/>
        </w:rPr>
      </w:pPr>
      <w:r>
        <w:rPr>
          <w:noProof/>
        </w:rPr>
        <w:t>InvestEU-jäsenvaltio-osioon osoitettu rahoitusosuus (500000000 euroa) käytetään</w:t>
      </w:r>
      <w:r>
        <w:rPr>
          <w:b/>
          <w:noProof/>
        </w:rPr>
        <w:t xml:space="preserve"> </w:t>
      </w:r>
      <w:r>
        <w:rPr>
          <w:noProof/>
        </w:rPr>
        <w:t>pk-yritysten, mid-cap-yritysten ja yksityishenkilöiden rahoittamiseen, myös joukkovelkakirjojen, lainojen, leasing-sopimusten, huonommassa etuoikeusasemassa olevan velan, factoring-rahoituksen, pankkitakauksien tai kaupan rahoituksen kautta.</w:t>
      </w:r>
    </w:p>
    <w:p w14:paraId="7242546C" w14:textId="160DC2FB" w:rsidR="0065073E" w:rsidRDefault="000A0998">
      <w:pPr>
        <w:pStyle w:val="P68B1DB1-Normal4"/>
        <w:spacing w:before="160" w:after="0" w:line="240" w:lineRule="auto"/>
        <w:jc w:val="both"/>
        <w:rPr>
          <w:rFonts w:eastAsia="Times New Roman" w:cs="Times New Roman"/>
          <w:noProof/>
        </w:rPr>
      </w:pPr>
      <w:r>
        <w:rPr>
          <w:noProof/>
        </w:rPr>
        <w:t>Komission ja toteutuskumppanin välinen takuusopimus, joka on valittu InvestEU-ohjelman perustamisesta ja asetuksen (EU) 2015/1017 muuttamisesta 24 päivänä maaliskuuta 2021 annetun Euroopan parlamentin ja neuvoston asetuksen (EU) 2021/523 asiaa koskevien säännösten mukaisesti, tulee voimaan. Espanja on ehdottanut EIR:ää toteutuskumppaniksi tämän toimenpiteen toteuttamiseksi.</w:t>
      </w:r>
    </w:p>
    <w:p w14:paraId="75AD9FE1" w14:textId="37B3A716" w:rsidR="0065073E" w:rsidRDefault="000A0998">
      <w:pPr>
        <w:pStyle w:val="P68B1DB1-Normal4"/>
        <w:spacing w:before="160" w:after="0" w:line="240" w:lineRule="auto"/>
        <w:jc w:val="both"/>
        <w:rPr>
          <w:rFonts w:eastAsia="Times New Roman" w:cs="Times New Roman"/>
          <w:noProof/>
        </w:rPr>
      </w:pPr>
      <w:r>
        <w:rPr>
          <w:noProof/>
        </w:rPr>
        <w:t xml:space="preserve">Espanjan on allekirjoitettava Euroopan komission kanssa rahoitusosuussopimus, joka sisältää </w:t>
      </w:r>
    </w:p>
    <w:p w14:paraId="20DB6344" w14:textId="77777777" w:rsidR="0065073E" w:rsidRDefault="000A0998">
      <w:pPr>
        <w:pStyle w:val="P68B1DB1-ListParagraph6"/>
        <w:numPr>
          <w:ilvl w:val="0"/>
          <w:numId w:val="719"/>
        </w:numPr>
        <w:spacing w:before="160" w:after="0" w:line="240" w:lineRule="auto"/>
        <w:jc w:val="both"/>
        <w:rPr>
          <w:rFonts w:eastAsia="Times New Roman" w:cs="Times New Roman"/>
          <w:noProof/>
        </w:rPr>
      </w:pPr>
      <w:r>
        <w:rPr>
          <w:noProof/>
        </w:rPr>
        <w:t xml:space="preserve">Ehdotettu toteutuskumppani. </w:t>
      </w:r>
    </w:p>
    <w:p w14:paraId="13495C88" w14:textId="22C269EB" w:rsidR="0065073E" w:rsidRDefault="000A0998">
      <w:pPr>
        <w:pStyle w:val="ListParagraph"/>
        <w:numPr>
          <w:ilvl w:val="0"/>
          <w:numId w:val="719"/>
        </w:numPr>
        <w:spacing w:before="160" w:after="0" w:line="240" w:lineRule="auto"/>
        <w:jc w:val="both"/>
        <w:rPr>
          <w:rFonts w:ascii="Times New Roman" w:eastAsia="Times New Roman" w:hAnsi="Times New Roman" w:cs="Times New Roman"/>
          <w:noProof/>
          <w:sz w:val="24"/>
        </w:rPr>
      </w:pPr>
      <w:r>
        <w:rPr>
          <w:rFonts w:ascii="Times New Roman" w:hAnsi="Times New Roman"/>
          <w:noProof/>
          <w:sz w:val="24"/>
        </w:rPr>
        <w:t>Vaatimus noudattaa ”ei merkittävää haittaa” -periaatetta koskevia teknisiä ohjeita (2021/C58/01). Takuusopimuksessa ei tarvittaessa oteta huomioon seuraavaa luetteloa toimista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148"/>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49"/>
      </w:r>
      <w:r>
        <w:rPr>
          <w:rFonts w:ascii="Times New Roman" w:hAnsi="Times New Roman"/>
          <w:noProof/>
          <w:sz w:val="24"/>
        </w:rPr>
        <w:t>; III) jätteen kaatopaikkoihin, polttolaitoksiin ja mekaanisiin biologisiin käsittelylaitoksiin liittyvä toiminta</w:t>
      </w:r>
      <w:r>
        <w:rPr>
          <w:rStyle w:val="FootnoteReference"/>
          <w:rFonts w:ascii="Times New Roman" w:eastAsia="Times New Roman" w:hAnsi="Times New Roman" w:cs="Times New Roman"/>
          <w:noProof/>
          <w:sz w:val="24"/>
        </w:rPr>
        <w:footnoteReference w:id="150"/>
      </w:r>
      <w:r>
        <w:rPr>
          <w:rFonts w:ascii="Times New Roman" w:hAnsi="Times New Roman"/>
          <w:noProof/>
          <w:sz w:val="24"/>
        </w:rPr>
        <w:t xml:space="preserve"> ja omaisuus</w:t>
      </w:r>
      <w:r>
        <w:rPr>
          <w:rStyle w:val="FootnoteReference"/>
          <w:rFonts w:ascii="Times New Roman" w:eastAsia="Times New Roman" w:hAnsi="Times New Roman" w:cs="Times New Roman"/>
          <w:noProof/>
          <w:sz w:val="24"/>
        </w:rPr>
        <w:footnoteReference w:id="151"/>
      </w:r>
      <w:r>
        <w:rPr>
          <w:rFonts w:ascii="Times New Roman" w:hAnsi="Times New Roman"/>
          <w:noProof/>
          <w:sz w:val="24"/>
        </w:rPr>
        <w:t>.</w:t>
      </w:r>
    </w:p>
    <w:p w14:paraId="600CE2FF" w14:textId="0CCDA3A4" w:rsidR="0065073E" w:rsidRDefault="000A0998">
      <w:pPr>
        <w:pStyle w:val="P68B1DB1-Normal4"/>
        <w:rPr>
          <w:rFonts w:eastAsia="Times New Roman" w:cs="Times New Roman"/>
          <w:noProof/>
        </w:rPr>
      </w:pPr>
      <w:r>
        <w:rPr>
          <w:noProof/>
        </w:rPr>
        <w:t>Toimenpiteen täytäntöönpano on saatettava päätökseen 31 päivään elokuuta 2026 mennessä.</w:t>
      </w:r>
    </w:p>
    <w:bookmarkEnd w:id="45"/>
    <w:bookmarkEnd w:id="46"/>
    <w:p w14:paraId="63516851" w14:textId="5495836A" w:rsidR="0065073E" w:rsidRDefault="000A0998">
      <w:pPr>
        <w:pStyle w:val="paragraph"/>
        <w:spacing w:before="0" w:beforeAutospacing="0" w:after="0" w:afterAutospacing="0"/>
        <w:ind w:left="720"/>
        <w:jc w:val="both"/>
        <w:textAlignment w:val="baseline"/>
        <w:rPr>
          <w:rFonts w:ascii="Times New Roman" w:hAnsi="Times New Roman" w:cs="Times New Roman"/>
          <w:b/>
          <w:noProof/>
          <w:u w:val="single"/>
        </w:rPr>
      </w:pPr>
      <w:r>
        <w:rPr>
          <w:rFonts w:ascii="Times New Roman" w:hAnsi="Times New Roman"/>
          <w:b/>
          <w:noProof/>
          <w:u w:val="single"/>
        </w:rPr>
        <w:t xml:space="preserve">M.4. </w:t>
      </w:r>
      <w:r>
        <w:rPr>
          <w:noProof/>
        </w:rPr>
        <w:t></w:t>
      </w:r>
      <w:r>
        <w:rPr>
          <w:rFonts w:ascii="Times New Roman" w:hAnsi="Times New Roman"/>
          <w:b/>
          <w:noProof/>
          <w:u w:val="single"/>
        </w:rPr>
        <w:t>Lainatuen seurannan ja täytäntöönpanon välitavoitteet, tavoitteet, indikaattorit ja aikataulu</w:t>
      </w:r>
    </w:p>
    <w:p w14:paraId="06DF55F9" w14:textId="3E7724DF" w:rsidR="0065073E" w:rsidRDefault="0065073E">
      <w:pPr>
        <w:pStyle w:val="paragraph"/>
        <w:spacing w:before="0" w:beforeAutospacing="0" w:after="0" w:afterAutospacing="0"/>
        <w:jc w:val="both"/>
        <w:textAlignment w:val="baseline"/>
        <w:rPr>
          <w:rFonts w:ascii="Times New Roman" w:hAnsi="Times New Roman" w:cs="Times New Roman"/>
          <w:b/>
          <w:noProof/>
          <w:u w:val="single"/>
        </w:rPr>
      </w:pPr>
    </w:p>
    <w:p w14:paraId="7BCE618A" w14:textId="59223A2F" w:rsidR="0065073E" w:rsidRDefault="000A0998">
      <w:pPr>
        <w:pStyle w:val="P68B1DB1-paragraph24"/>
        <w:spacing w:before="0" w:beforeAutospacing="0" w:after="0" w:afterAutospacing="0"/>
        <w:jc w:val="both"/>
        <w:textAlignment w:val="baseline"/>
        <w:rPr>
          <w:rFonts w:cs="Times New Roman"/>
          <w:b/>
          <w:noProof/>
          <w:u w:val="single"/>
        </w:rPr>
      </w:pPr>
      <w:r>
        <w:rPr>
          <w:i/>
          <w:noProof/>
        </w:rPr>
        <w:t>Ks. taulukko jäljempänä.</w:t>
      </w:r>
      <w:r>
        <w:rPr>
          <w:noProof/>
        </w:rPr>
        <w:t xml:space="preserve"> </w:t>
      </w:r>
      <w:r>
        <w:rPr>
          <w:i/>
          <w:noProof/>
        </w:rPr>
        <w:t>Kaikkien indikaattoreiden perustason päivämäärä on 1. helmikuuta 2020, ellei toimen kuvauksessa toisin mainita.</w:t>
      </w:r>
    </w:p>
    <w:p w14:paraId="1DAFA8BA" w14:textId="77777777" w:rsidR="0065073E" w:rsidRDefault="0065073E">
      <w:pPr>
        <w:rPr>
          <w:rFonts w:ascii="Times New Roman" w:hAnsi="Times New Roman" w:cs="Times New Roman"/>
          <w:noProof/>
          <w:sz w:val="24"/>
        </w:rPr>
        <w:sectPr w:rsidR="0065073E" w:rsidSect="0035528A">
          <w:headerReference w:type="even" r:id="rId318"/>
          <w:headerReference w:type="default" r:id="rId319"/>
          <w:footerReference w:type="even" r:id="rId320"/>
          <w:footerReference w:type="default" r:id="rId321"/>
          <w:headerReference w:type="first" r:id="rId322"/>
          <w:footerReference w:type="first" r:id="rId323"/>
          <w:pgSz w:w="11907" w:h="16839"/>
          <w:pgMar w:top="1134" w:right="1134" w:bottom="1134" w:left="1134" w:header="567" w:footer="567"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9"/>
        <w:gridCol w:w="833"/>
        <w:gridCol w:w="835"/>
        <w:gridCol w:w="2224"/>
        <w:gridCol w:w="1112"/>
        <w:gridCol w:w="696"/>
        <w:gridCol w:w="973"/>
        <w:gridCol w:w="696"/>
        <w:gridCol w:w="696"/>
        <w:gridCol w:w="696"/>
        <w:gridCol w:w="4861"/>
      </w:tblGrid>
      <w:tr w:rsidR="0065073E" w14:paraId="009AA642" w14:textId="77777777">
        <w:trPr>
          <w:trHeight w:val="300"/>
          <w:tblHeader/>
        </w:trPr>
        <w:tc>
          <w:tcPr>
            <w:tcW w:w="846" w:type="dxa"/>
            <w:vMerge w:val="restart"/>
            <w:shd w:val="clear" w:color="auto" w:fill="C6D9F1" w:themeFill="text2" w:themeFillTint="33"/>
            <w:vAlign w:val="center"/>
            <w:hideMark/>
          </w:tcPr>
          <w:p w14:paraId="228A799E" w14:textId="77777777" w:rsidR="0065073E" w:rsidRDefault="000A0998">
            <w:pPr>
              <w:pStyle w:val="P68B1DB1-Normal12"/>
              <w:spacing w:after="0" w:line="240" w:lineRule="auto"/>
              <w:jc w:val="center"/>
              <w:textAlignment w:val="baseline"/>
              <w:rPr>
                <w:rFonts w:eastAsia="Times New Roman" w:cs="Times New Roman"/>
                <w:noProof/>
              </w:rPr>
            </w:pPr>
            <w:r>
              <w:rPr>
                <w:b/>
                <w:noProof/>
              </w:rPr>
              <w:t>Määrä</w:t>
            </w:r>
            <w:r>
              <w:rPr>
                <w:noProof/>
              </w:rPr>
              <w:t xml:space="preserve"> </w:t>
            </w:r>
          </w:p>
          <w:p w14:paraId="54770E32" w14:textId="35686B28"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850" w:type="dxa"/>
            <w:vMerge w:val="restart"/>
            <w:shd w:val="clear" w:color="auto" w:fill="C6D9F1" w:themeFill="text2" w:themeFillTint="33"/>
            <w:vAlign w:val="center"/>
            <w:hideMark/>
          </w:tcPr>
          <w:p w14:paraId="16242CC3" w14:textId="77777777" w:rsidR="0065073E" w:rsidRDefault="000A0998">
            <w:pPr>
              <w:pStyle w:val="P68B1DB1-Normal12"/>
              <w:spacing w:after="0" w:line="240" w:lineRule="auto"/>
              <w:jc w:val="center"/>
              <w:textAlignment w:val="baseline"/>
              <w:rPr>
                <w:rFonts w:eastAsia="Times New Roman" w:cs="Times New Roman"/>
                <w:noProof/>
              </w:rPr>
            </w:pPr>
            <w:r>
              <w:rPr>
                <w:b/>
                <w:noProof/>
              </w:rPr>
              <w:t>Toimenpide</w:t>
            </w:r>
            <w:r>
              <w:rPr>
                <w:noProof/>
              </w:rPr>
              <w:t xml:space="preserve"> </w:t>
            </w:r>
          </w:p>
          <w:p w14:paraId="76686C5A" w14:textId="04D5F8CE"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851" w:type="dxa"/>
            <w:vMerge w:val="restart"/>
            <w:shd w:val="clear" w:color="auto" w:fill="C6D9F1" w:themeFill="text2" w:themeFillTint="33"/>
            <w:vAlign w:val="center"/>
            <w:hideMark/>
          </w:tcPr>
          <w:p w14:paraId="4C2BB3AE" w14:textId="77777777" w:rsidR="0065073E" w:rsidRDefault="000A0998">
            <w:pPr>
              <w:spacing w:after="0" w:line="240" w:lineRule="auto"/>
              <w:textAlignment w:val="baseline"/>
              <w:rPr>
                <w:rFonts w:ascii="Times New Roman" w:eastAsia="Times New Roman" w:hAnsi="Times New Roman" w:cs="Times New Roman"/>
                <w:noProof/>
                <w:sz w:val="18"/>
              </w:rPr>
            </w:pPr>
            <w:r>
              <w:rPr>
                <w:rFonts w:ascii="Times New Roman" w:hAnsi="Times New Roman"/>
                <w:b/>
                <w:noProof/>
                <w:sz w:val="18"/>
              </w:rPr>
              <w:t>Välitavoite</w:t>
            </w:r>
            <w:r>
              <w:rPr>
                <w:rFonts w:ascii="Times New Roman" w:hAnsi="Times New Roman"/>
                <w:noProof/>
                <w:sz w:val="18"/>
              </w:rPr>
              <w:t xml:space="preserve"> </w:t>
            </w:r>
            <w:r>
              <w:rPr>
                <w:noProof/>
              </w:rPr>
              <w:t xml:space="preserve"> </w:t>
            </w:r>
            <w:r>
              <w:rPr>
                <w:noProof/>
              </w:rPr>
              <w:br/>
            </w:r>
            <w:r>
              <w:rPr>
                <w:rFonts w:ascii="Times New Roman" w:hAnsi="Times New Roman"/>
                <w:b/>
                <w:noProof/>
                <w:sz w:val="18"/>
              </w:rPr>
              <w:t>/Tarkoitus</w:t>
            </w:r>
            <w:r>
              <w:rPr>
                <w:rFonts w:ascii="Times New Roman" w:hAnsi="Times New Roman"/>
                <w:noProof/>
                <w:sz w:val="18"/>
              </w:rPr>
              <w:t xml:space="preserve"> </w:t>
            </w:r>
          </w:p>
          <w:p w14:paraId="1F11B0E2" w14:textId="43990835" w:rsidR="0065073E" w:rsidRDefault="000A0998">
            <w:pPr>
              <w:pStyle w:val="P68B1DB1-Normal12"/>
              <w:spacing w:after="0" w:line="240" w:lineRule="auto"/>
              <w:textAlignment w:val="baseline"/>
              <w:rPr>
                <w:rFonts w:eastAsia="Times New Roman" w:cs="Times New Roman"/>
                <w:noProof/>
              </w:rPr>
            </w:pPr>
            <w:r>
              <w:rPr>
                <w:noProof/>
              </w:rPr>
              <w:t xml:space="preserve"> </w:t>
            </w:r>
          </w:p>
        </w:tc>
        <w:tc>
          <w:tcPr>
            <w:tcW w:w="2268" w:type="dxa"/>
            <w:vMerge w:val="restart"/>
            <w:shd w:val="clear" w:color="auto" w:fill="C6D9F1" w:themeFill="text2" w:themeFillTint="33"/>
            <w:vAlign w:val="center"/>
            <w:hideMark/>
          </w:tcPr>
          <w:p w14:paraId="67F7FFCD" w14:textId="77777777" w:rsidR="0065073E" w:rsidRDefault="000A0998">
            <w:pPr>
              <w:pStyle w:val="P68B1DB1-Normal12"/>
              <w:spacing w:after="0" w:line="240" w:lineRule="auto"/>
              <w:jc w:val="center"/>
              <w:textAlignment w:val="baseline"/>
              <w:rPr>
                <w:rFonts w:eastAsia="Times New Roman" w:cs="Times New Roman"/>
                <w:noProof/>
              </w:rPr>
            </w:pPr>
            <w:r>
              <w:rPr>
                <w:b/>
                <w:noProof/>
              </w:rPr>
              <w:t>Nimi</w:t>
            </w:r>
            <w:r>
              <w:rPr>
                <w:noProof/>
              </w:rPr>
              <w:t xml:space="preserve"> </w:t>
            </w:r>
          </w:p>
          <w:p w14:paraId="04BB8F11" w14:textId="301D47E5" w:rsidR="0065073E" w:rsidRDefault="000A0998">
            <w:pPr>
              <w:pStyle w:val="P68B1DB1-Normal12"/>
              <w:spacing w:after="0" w:line="240" w:lineRule="auto"/>
              <w:textAlignment w:val="baseline"/>
              <w:rPr>
                <w:rFonts w:eastAsia="Times New Roman" w:cs="Times New Roman"/>
                <w:noProof/>
              </w:rPr>
            </w:pPr>
            <w:r>
              <w:rPr>
                <w:noProof/>
              </w:rPr>
              <w:t xml:space="preserve"> </w:t>
            </w:r>
          </w:p>
        </w:tc>
        <w:tc>
          <w:tcPr>
            <w:tcW w:w="1134" w:type="dxa"/>
            <w:vMerge w:val="restart"/>
            <w:shd w:val="clear" w:color="auto" w:fill="C6D9F1" w:themeFill="text2" w:themeFillTint="33"/>
            <w:vAlign w:val="center"/>
            <w:hideMark/>
          </w:tcPr>
          <w:p w14:paraId="1FD58E81" w14:textId="77777777" w:rsidR="0065073E" w:rsidRDefault="000A0998">
            <w:pPr>
              <w:pStyle w:val="P68B1DB1-Normal12"/>
              <w:spacing w:after="0" w:line="240" w:lineRule="auto"/>
              <w:jc w:val="center"/>
              <w:textAlignment w:val="baseline"/>
              <w:rPr>
                <w:rFonts w:eastAsia="Times New Roman" w:cs="Times New Roman"/>
                <w:noProof/>
              </w:rPr>
            </w:pPr>
            <w:r>
              <w:rPr>
                <w:b/>
                <w:noProof/>
              </w:rPr>
              <w:t>Välitavoitteiden laadullinen indikaattori</w:t>
            </w:r>
            <w:r>
              <w:rPr>
                <w:noProof/>
              </w:rPr>
              <w:t xml:space="preserve"> </w:t>
            </w:r>
          </w:p>
          <w:p w14:paraId="2A6C4529" w14:textId="5EC89C64"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2126" w:type="dxa"/>
            <w:gridSpan w:val="3"/>
            <w:shd w:val="clear" w:color="auto" w:fill="C6D9F1" w:themeFill="text2" w:themeFillTint="33"/>
            <w:vAlign w:val="center"/>
            <w:hideMark/>
          </w:tcPr>
          <w:p w14:paraId="16A60266" w14:textId="77777777" w:rsidR="0065073E" w:rsidRDefault="000A0998">
            <w:pPr>
              <w:pStyle w:val="P68B1DB1-Normal12"/>
              <w:spacing w:after="0" w:line="240" w:lineRule="auto"/>
              <w:jc w:val="center"/>
              <w:textAlignment w:val="baseline"/>
              <w:rPr>
                <w:rFonts w:eastAsia="Times New Roman" w:cs="Times New Roman"/>
                <w:noProof/>
              </w:rPr>
            </w:pPr>
            <w:r>
              <w:rPr>
                <w:b/>
                <w:noProof/>
              </w:rPr>
              <w:t>Määrällinen indikaattori tavoitteelle</w:t>
            </w:r>
            <w:r>
              <w:rPr>
                <w:noProof/>
              </w:rPr>
              <w:t xml:space="preserve"> </w:t>
            </w:r>
          </w:p>
        </w:tc>
        <w:tc>
          <w:tcPr>
            <w:tcW w:w="1418" w:type="dxa"/>
            <w:gridSpan w:val="2"/>
            <w:shd w:val="clear" w:color="auto" w:fill="C6D9F1" w:themeFill="text2" w:themeFillTint="33"/>
            <w:vAlign w:val="center"/>
            <w:hideMark/>
          </w:tcPr>
          <w:p w14:paraId="79B6C7FC" w14:textId="77777777" w:rsidR="0065073E" w:rsidRDefault="000A0998">
            <w:pPr>
              <w:pStyle w:val="P68B1DB1-Normal12"/>
              <w:spacing w:after="0" w:line="240" w:lineRule="auto"/>
              <w:jc w:val="center"/>
              <w:textAlignment w:val="baseline"/>
              <w:rPr>
                <w:rFonts w:eastAsia="Times New Roman" w:cs="Times New Roman"/>
                <w:noProof/>
              </w:rPr>
            </w:pPr>
            <w:r>
              <w:rPr>
                <w:b/>
                <w:noProof/>
              </w:rPr>
              <w:t>Aika</w:t>
            </w:r>
            <w:r>
              <w:rPr>
                <w:noProof/>
              </w:rPr>
              <w:t xml:space="preserve"> </w:t>
            </w:r>
          </w:p>
        </w:tc>
        <w:tc>
          <w:tcPr>
            <w:tcW w:w="4958" w:type="dxa"/>
            <w:vMerge w:val="restart"/>
            <w:shd w:val="clear" w:color="auto" w:fill="C6D9F1" w:themeFill="text2" w:themeFillTint="33"/>
            <w:vAlign w:val="center"/>
            <w:hideMark/>
          </w:tcPr>
          <w:p w14:paraId="76717449" w14:textId="77777777" w:rsidR="0065073E" w:rsidRDefault="000A0998">
            <w:pPr>
              <w:pStyle w:val="P68B1DB1-Normal12"/>
              <w:spacing w:after="0" w:line="240" w:lineRule="auto"/>
              <w:jc w:val="center"/>
              <w:textAlignment w:val="baseline"/>
              <w:rPr>
                <w:rFonts w:eastAsia="Times New Roman" w:cs="Times New Roman"/>
                <w:noProof/>
              </w:rPr>
            </w:pPr>
            <w:r>
              <w:rPr>
                <w:b/>
                <w:noProof/>
              </w:rPr>
              <w:t>Kunkin välitavoitteen ja tavoitteen kuvaus</w:t>
            </w:r>
            <w:r>
              <w:rPr>
                <w:noProof/>
              </w:rPr>
              <w:t xml:space="preserve"> </w:t>
            </w:r>
          </w:p>
          <w:p w14:paraId="742312F1" w14:textId="79871565" w:rsidR="0065073E" w:rsidRDefault="000A0998">
            <w:pPr>
              <w:pStyle w:val="P68B1DB1-Normal12"/>
              <w:spacing w:after="0" w:line="240" w:lineRule="auto"/>
              <w:textAlignment w:val="baseline"/>
              <w:rPr>
                <w:rFonts w:eastAsia="Times New Roman" w:cs="Times New Roman"/>
                <w:noProof/>
              </w:rPr>
            </w:pPr>
            <w:r>
              <w:rPr>
                <w:noProof/>
              </w:rPr>
              <w:t xml:space="preserve"> </w:t>
            </w:r>
          </w:p>
        </w:tc>
      </w:tr>
      <w:tr w:rsidR="0065073E" w14:paraId="65A4F62D" w14:textId="77777777">
        <w:trPr>
          <w:trHeight w:val="495"/>
          <w:tblHeader/>
        </w:trPr>
        <w:tc>
          <w:tcPr>
            <w:tcW w:w="846" w:type="dxa"/>
            <w:vMerge/>
            <w:shd w:val="clear" w:color="auto" w:fill="C6D9F1" w:themeFill="text2" w:themeFillTint="33"/>
            <w:hideMark/>
          </w:tcPr>
          <w:p w14:paraId="47E8EB72" w14:textId="3890B55D"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850" w:type="dxa"/>
            <w:vMerge/>
            <w:shd w:val="clear" w:color="auto" w:fill="C6D9F1" w:themeFill="text2" w:themeFillTint="33"/>
            <w:hideMark/>
          </w:tcPr>
          <w:p w14:paraId="4D9D5A78" w14:textId="6C04FB28"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851" w:type="dxa"/>
            <w:vMerge/>
            <w:shd w:val="clear" w:color="auto" w:fill="C6D9F1" w:themeFill="text2" w:themeFillTint="33"/>
            <w:hideMark/>
          </w:tcPr>
          <w:p w14:paraId="28A47BAC" w14:textId="3B79D6A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2268" w:type="dxa"/>
            <w:vMerge/>
            <w:shd w:val="clear" w:color="auto" w:fill="C6D9F1" w:themeFill="text2" w:themeFillTint="33"/>
            <w:hideMark/>
          </w:tcPr>
          <w:p w14:paraId="4929334D" w14:textId="7F2FCDD2" w:rsidR="0065073E" w:rsidRDefault="0065073E">
            <w:pPr>
              <w:spacing w:after="0" w:line="240" w:lineRule="auto"/>
              <w:textAlignment w:val="baseline"/>
              <w:rPr>
                <w:rFonts w:ascii="Times New Roman" w:eastAsia="Times New Roman" w:hAnsi="Times New Roman" w:cs="Times New Roman"/>
                <w:noProof/>
                <w:sz w:val="18"/>
              </w:rPr>
            </w:pPr>
          </w:p>
        </w:tc>
        <w:tc>
          <w:tcPr>
            <w:tcW w:w="1134" w:type="dxa"/>
            <w:vMerge/>
            <w:shd w:val="clear" w:color="auto" w:fill="C6D9F1" w:themeFill="text2" w:themeFillTint="33"/>
            <w:hideMark/>
          </w:tcPr>
          <w:p w14:paraId="4CA1E531" w14:textId="522CE838"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77777777" w:rsidR="0065073E" w:rsidRDefault="000A0998">
            <w:pPr>
              <w:pStyle w:val="P68B1DB1-Normal12"/>
              <w:spacing w:after="0" w:line="240" w:lineRule="auto"/>
              <w:jc w:val="center"/>
              <w:textAlignment w:val="baseline"/>
              <w:rPr>
                <w:rFonts w:eastAsia="Times New Roman" w:cs="Times New Roman"/>
                <w:noProof/>
              </w:rPr>
            </w:pPr>
            <w:r>
              <w:rPr>
                <w:b/>
                <w:noProof/>
              </w:rPr>
              <w:t>Yksikkö</w:t>
            </w:r>
            <w:r>
              <w:rPr>
                <w:noProof/>
              </w:rPr>
              <w:t xml:space="preserve"> </w:t>
            </w:r>
          </w:p>
        </w:tc>
        <w:tc>
          <w:tcPr>
            <w:tcW w:w="992" w:type="dxa"/>
            <w:shd w:val="clear" w:color="auto" w:fill="C6D9F1" w:themeFill="text2" w:themeFillTint="33"/>
            <w:vAlign w:val="center"/>
            <w:hideMark/>
          </w:tcPr>
          <w:p w14:paraId="7DE07462" w14:textId="380052B9" w:rsidR="0065073E" w:rsidRDefault="000A0998">
            <w:pPr>
              <w:pStyle w:val="P68B1DB1-Normal12"/>
              <w:spacing w:after="0" w:line="240" w:lineRule="auto"/>
              <w:jc w:val="center"/>
              <w:textAlignment w:val="baseline"/>
              <w:rPr>
                <w:rFonts w:eastAsia="Times New Roman" w:cs="Times New Roman"/>
                <w:noProof/>
              </w:rPr>
            </w:pPr>
            <w:r>
              <w:rPr>
                <w:b/>
                <w:noProof/>
              </w:rPr>
              <w:t>Lähtötaso</w:t>
            </w:r>
            <w:r>
              <w:rPr>
                <w:noProof/>
              </w:rPr>
              <w:t xml:space="preserve"> </w:t>
            </w:r>
          </w:p>
        </w:tc>
        <w:tc>
          <w:tcPr>
            <w:tcW w:w="709" w:type="dxa"/>
            <w:shd w:val="clear" w:color="auto" w:fill="C6D9F1" w:themeFill="text2" w:themeFillTint="33"/>
            <w:vAlign w:val="center"/>
            <w:hideMark/>
          </w:tcPr>
          <w:p w14:paraId="26DDD29B" w14:textId="77777777" w:rsidR="0065073E" w:rsidRDefault="000A0998">
            <w:pPr>
              <w:pStyle w:val="P68B1DB1-Normal12"/>
              <w:spacing w:after="0" w:line="240" w:lineRule="auto"/>
              <w:jc w:val="center"/>
              <w:textAlignment w:val="baseline"/>
              <w:rPr>
                <w:rFonts w:eastAsia="Times New Roman" w:cs="Times New Roman"/>
                <w:noProof/>
              </w:rPr>
            </w:pPr>
            <w:r>
              <w:rPr>
                <w:b/>
                <w:noProof/>
              </w:rPr>
              <w:t>Päämäärä</w:t>
            </w:r>
            <w:r>
              <w:rPr>
                <w:noProof/>
              </w:rPr>
              <w:t xml:space="preserve"> </w:t>
            </w:r>
          </w:p>
        </w:tc>
        <w:tc>
          <w:tcPr>
            <w:tcW w:w="709" w:type="dxa"/>
            <w:shd w:val="clear" w:color="auto" w:fill="C6D9F1" w:themeFill="text2" w:themeFillTint="33"/>
            <w:vAlign w:val="center"/>
            <w:hideMark/>
          </w:tcPr>
          <w:p w14:paraId="26E559A7" w14:textId="77777777" w:rsidR="0065073E" w:rsidRDefault="000A0998">
            <w:pPr>
              <w:pStyle w:val="P68B1DB1-Normal12"/>
              <w:spacing w:after="0" w:line="240" w:lineRule="auto"/>
              <w:jc w:val="center"/>
              <w:textAlignment w:val="baseline"/>
              <w:rPr>
                <w:rFonts w:eastAsia="Times New Roman" w:cs="Times New Roman"/>
                <w:noProof/>
              </w:rPr>
            </w:pPr>
            <w:r>
              <w:rPr>
                <w:b/>
                <w:noProof/>
              </w:rPr>
              <w:t>Q</w:t>
            </w:r>
            <w:r>
              <w:rPr>
                <w:noProof/>
              </w:rPr>
              <w:t xml:space="preserve"> </w:t>
            </w:r>
          </w:p>
        </w:tc>
        <w:tc>
          <w:tcPr>
            <w:tcW w:w="709" w:type="dxa"/>
            <w:shd w:val="clear" w:color="auto" w:fill="C6D9F1" w:themeFill="text2" w:themeFillTint="33"/>
            <w:vAlign w:val="center"/>
            <w:hideMark/>
          </w:tcPr>
          <w:p w14:paraId="47AD313C" w14:textId="77777777" w:rsidR="0065073E" w:rsidRDefault="000A0998">
            <w:pPr>
              <w:pStyle w:val="P68B1DB1-Normal12"/>
              <w:spacing w:after="0" w:line="240" w:lineRule="auto"/>
              <w:jc w:val="center"/>
              <w:textAlignment w:val="baseline"/>
              <w:rPr>
                <w:rFonts w:eastAsia="Times New Roman" w:cs="Times New Roman"/>
                <w:noProof/>
              </w:rPr>
            </w:pPr>
            <w:r>
              <w:rPr>
                <w:b/>
                <w:noProof/>
              </w:rPr>
              <w:t>Vuosi</w:t>
            </w:r>
            <w:r>
              <w:rPr>
                <w:noProof/>
              </w:rPr>
              <w:t xml:space="preserve"> </w:t>
            </w:r>
          </w:p>
        </w:tc>
        <w:tc>
          <w:tcPr>
            <w:tcW w:w="4958" w:type="dxa"/>
            <w:vMerge/>
            <w:shd w:val="clear" w:color="auto" w:fill="C6D9F1" w:themeFill="text2" w:themeFillTint="33"/>
            <w:hideMark/>
          </w:tcPr>
          <w:p w14:paraId="5A46B545" w14:textId="0E052537" w:rsidR="0065073E" w:rsidRDefault="0065073E">
            <w:pPr>
              <w:spacing w:after="0" w:line="240" w:lineRule="auto"/>
              <w:textAlignment w:val="baseline"/>
              <w:rPr>
                <w:rFonts w:ascii="Times New Roman" w:eastAsia="Times New Roman" w:hAnsi="Times New Roman" w:cs="Times New Roman"/>
                <w:noProof/>
                <w:sz w:val="18"/>
              </w:rPr>
            </w:pPr>
          </w:p>
        </w:tc>
      </w:tr>
      <w:tr w:rsidR="0065073E" w14:paraId="38DD0C1A" w14:textId="77777777">
        <w:trPr>
          <w:trHeight w:val="300"/>
        </w:trPr>
        <w:tc>
          <w:tcPr>
            <w:tcW w:w="846" w:type="dxa"/>
            <w:shd w:val="clear" w:color="auto" w:fill="C6EFCE"/>
            <w:hideMark/>
          </w:tcPr>
          <w:p w14:paraId="0484FB96" w14:textId="43DAF472" w:rsidR="0065073E" w:rsidRDefault="000A0998">
            <w:pPr>
              <w:pStyle w:val="P68B1DB1-Normal12"/>
              <w:spacing w:after="0" w:line="240" w:lineRule="auto"/>
              <w:jc w:val="center"/>
              <w:textAlignment w:val="baseline"/>
              <w:rPr>
                <w:rFonts w:eastAsia="Times New Roman" w:cs="Times New Roman"/>
                <w:noProof/>
              </w:rPr>
            </w:pPr>
            <w:r>
              <w:rPr>
                <w:noProof/>
              </w:rPr>
              <w:t xml:space="preserve">L25 </w:t>
            </w:r>
          </w:p>
        </w:tc>
        <w:tc>
          <w:tcPr>
            <w:tcW w:w="850" w:type="dxa"/>
            <w:shd w:val="clear" w:color="auto" w:fill="C6EFCE"/>
            <w:hideMark/>
          </w:tcPr>
          <w:p w14:paraId="7CB457CB"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hideMark/>
          </w:tcPr>
          <w:p w14:paraId="2D9910B1" w14:textId="77777777" w:rsidR="0065073E" w:rsidRDefault="000A0998">
            <w:pPr>
              <w:pStyle w:val="P68B1DB1-Normal12"/>
              <w:spacing w:after="0" w:line="240" w:lineRule="auto"/>
              <w:jc w:val="center"/>
              <w:textAlignment w:val="baseline"/>
              <w:rPr>
                <w:rFonts w:eastAsia="Times New Roman" w:cs="Times New Roman"/>
                <w:noProof/>
              </w:rPr>
            </w:pPr>
            <w:r>
              <w:rPr>
                <w:noProof/>
              </w:rPr>
              <w:t>M </w:t>
            </w:r>
          </w:p>
        </w:tc>
        <w:tc>
          <w:tcPr>
            <w:tcW w:w="2268" w:type="dxa"/>
            <w:shd w:val="clear" w:color="auto" w:fill="C6EFCE"/>
            <w:hideMark/>
          </w:tcPr>
          <w:p w14:paraId="64221936" w14:textId="34F95960" w:rsidR="0065073E" w:rsidRDefault="000A0998">
            <w:pPr>
              <w:pStyle w:val="P68B1DB1-Normal12"/>
              <w:spacing w:after="0" w:line="240" w:lineRule="auto"/>
              <w:textAlignment w:val="baseline"/>
              <w:rPr>
                <w:rFonts w:eastAsia="Times New Roman" w:cs="Times New Roman"/>
                <w:noProof/>
              </w:rPr>
            </w:pPr>
            <w:r>
              <w:rPr>
                <w:noProof/>
              </w:rPr>
              <w:t>ICO:n kanssa tehty täytäntöönpanosopimus ICO:n vihreän linjan osalta</w:t>
            </w:r>
          </w:p>
        </w:tc>
        <w:tc>
          <w:tcPr>
            <w:tcW w:w="1134" w:type="dxa"/>
            <w:shd w:val="clear" w:color="auto" w:fill="C6EFCE"/>
            <w:hideMark/>
          </w:tcPr>
          <w:p w14:paraId="0B2E0E54" w14:textId="3DD972FE" w:rsidR="0065073E" w:rsidRDefault="000A0998">
            <w:pPr>
              <w:pStyle w:val="P68B1DB1-Normal12"/>
              <w:spacing w:after="0" w:line="240" w:lineRule="auto"/>
              <w:jc w:val="center"/>
              <w:textAlignment w:val="baseline"/>
              <w:rPr>
                <w:rFonts w:eastAsia="Times New Roman" w:cs="Times New Roman"/>
                <w:noProof/>
              </w:rPr>
            </w:pPr>
            <w:r>
              <w:rPr>
                <w:noProof/>
              </w:rPr>
              <w:t>Täytäntöönpanosopimuksen voimaantulo </w:t>
            </w:r>
          </w:p>
        </w:tc>
        <w:tc>
          <w:tcPr>
            <w:tcW w:w="709" w:type="dxa"/>
            <w:shd w:val="clear" w:color="auto" w:fill="C6EFCE"/>
            <w:hideMark/>
          </w:tcPr>
          <w:p w14:paraId="00E85A9A" w14:textId="77777777"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992" w:type="dxa"/>
            <w:shd w:val="clear" w:color="auto" w:fill="C6EFCE"/>
            <w:hideMark/>
          </w:tcPr>
          <w:p w14:paraId="6CE86E41" w14:textId="77777777" w:rsidR="0065073E" w:rsidRDefault="000A0998">
            <w:pPr>
              <w:pStyle w:val="P68B1DB1-Normal12"/>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hideMark/>
          </w:tcPr>
          <w:p w14:paraId="2BDAA92E" w14:textId="77777777" w:rsidR="0065073E" w:rsidRDefault="000A0998">
            <w:pPr>
              <w:pStyle w:val="P68B1DB1-Normal12"/>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hideMark/>
          </w:tcPr>
          <w:p w14:paraId="7E990893" w14:textId="77777777" w:rsidR="0065073E" w:rsidRDefault="000A0998">
            <w:pPr>
              <w:pStyle w:val="P68B1DB1-Normal12"/>
              <w:spacing w:after="0" w:line="240" w:lineRule="auto"/>
              <w:jc w:val="center"/>
              <w:textAlignment w:val="baseline"/>
              <w:rPr>
                <w:rFonts w:eastAsia="Times New Roman" w:cs="Times New Roman"/>
                <w:noProof/>
              </w:rPr>
            </w:pPr>
            <w:r>
              <w:rPr>
                <w:noProof/>
              </w:rPr>
              <w:t>Q4 </w:t>
            </w:r>
          </w:p>
        </w:tc>
        <w:tc>
          <w:tcPr>
            <w:tcW w:w="709" w:type="dxa"/>
            <w:shd w:val="clear" w:color="auto" w:fill="C6EFCE"/>
            <w:hideMark/>
          </w:tcPr>
          <w:p w14:paraId="4FEAD874" w14:textId="77777777" w:rsidR="0065073E" w:rsidRDefault="000A0998">
            <w:pPr>
              <w:pStyle w:val="P68B1DB1-Normal12"/>
              <w:spacing w:after="0" w:line="240" w:lineRule="auto"/>
              <w:jc w:val="center"/>
              <w:textAlignment w:val="baseline"/>
              <w:rPr>
                <w:rFonts w:eastAsia="Times New Roman" w:cs="Times New Roman"/>
                <w:noProof/>
              </w:rPr>
            </w:pPr>
            <w:r>
              <w:rPr>
                <w:noProof/>
              </w:rPr>
              <w:t>2023 </w:t>
            </w:r>
          </w:p>
        </w:tc>
        <w:tc>
          <w:tcPr>
            <w:tcW w:w="4958" w:type="dxa"/>
            <w:shd w:val="clear" w:color="auto" w:fill="C6EFCE"/>
            <w:hideMark/>
          </w:tcPr>
          <w:p w14:paraId="7F7EA717" w14:textId="799CAC09" w:rsidR="0065073E" w:rsidRDefault="000A0998">
            <w:pPr>
              <w:pStyle w:val="P68B1DB1-Normal12"/>
              <w:spacing w:after="0" w:line="240" w:lineRule="auto"/>
              <w:textAlignment w:val="baseline"/>
              <w:rPr>
                <w:rFonts w:eastAsia="Times New Roman" w:cs="Times New Roman"/>
                <w:noProof/>
              </w:rPr>
            </w:pPr>
            <w:r>
              <w:rPr>
                <w:noProof/>
              </w:rPr>
              <w:t>Täytäntöönpanosopimuksen voimaantulo.</w:t>
            </w:r>
          </w:p>
        </w:tc>
      </w:tr>
      <w:tr w:rsidR="0065073E" w14:paraId="58AE24B1" w14:textId="77777777">
        <w:trPr>
          <w:trHeight w:val="300"/>
        </w:trPr>
        <w:tc>
          <w:tcPr>
            <w:tcW w:w="846" w:type="dxa"/>
            <w:shd w:val="clear" w:color="auto" w:fill="C6EFCE"/>
          </w:tcPr>
          <w:p w14:paraId="3E5F2996" w14:textId="7B963C64" w:rsidR="0065073E" w:rsidRDefault="000A0998">
            <w:pPr>
              <w:pStyle w:val="P68B1DB1-Normal12"/>
              <w:spacing w:after="0" w:line="240" w:lineRule="auto"/>
              <w:jc w:val="center"/>
              <w:textAlignment w:val="baseline"/>
              <w:rPr>
                <w:rFonts w:eastAsia="Times New Roman" w:cs="Times New Roman"/>
                <w:noProof/>
              </w:rPr>
            </w:pPr>
            <w:r>
              <w:rPr>
                <w:noProof/>
              </w:rPr>
              <w:t>L25a</w:t>
            </w:r>
          </w:p>
        </w:tc>
        <w:tc>
          <w:tcPr>
            <w:tcW w:w="850" w:type="dxa"/>
            <w:shd w:val="clear" w:color="auto" w:fill="C6EFCE"/>
          </w:tcPr>
          <w:p w14:paraId="63CB3941" w14:textId="08A2DD43"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066063AF" w14:textId="6B0F0504"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ADCE7B9" w14:textId="2F5A5236" w:rsidR="0065073E" w:rsidRDefault="000A0998">
            <w:pPr>
              <w:pStyle w:val="P68B1DB1-Normal12"/>
              <w:spacing w:after="0" w:line="240" w:lineRule="auto"/>
              <w:textAlignment w:val="baseline"/>
              <w:rPr>
                <w:rFonts w:eastAsia="Times New Roman" w:cs="Times New Roman"/>
                <w:noProof/>
              </w:rPr>
            </w:pPr>
            <w:r>
              <w:rPr>
                <w:noProof/>
              </w:rPr>
              <w:t>ICO:n vihreä linja – lopullisten edunsaajien (mukaan lukien pääomarahastot) kanssa allekirjoitetut oikeudelliset sopimukset (I)</w:t>
            </w:r>
          </w:p>
        </w:tc>
        <w:tc>
          <w:tcPr>
            <w:tcW w:w="1134" w:type="dxa"/>
            <w:shd w:val="clear" w:color="auto" w:fill="C6EFCE"/>
          </w:tcPr>
          <w:p w14:paraId="47B2720F"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42FA31CA" w14:textId="45ECE08F" w:rsidR="0065073E" w:rsidRDefault="000A0998">
            <w:pPr>
              <w:pStyle w:val="P68B1DB1-Normal12"/>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2B6F9941" w14:textId="77777777" w:rsidR="0065073E" w:rsidRDefault="000A0998">
            <w:pPr>
              <w:pStyle w:val="P68B1DB1-Normal12"/>
              <w:spacing w:after="0" w:line="240" w:lineRule="auto"/>
              <w:jc w:val="right"/>
              <w:textAlignment w:val="baseline"/>
              <w:rPr>
                <w:rFonts w:eastAsia="Times New Roman" w:cs="Times New Roman"/>
                <w:noProof/>
              </w:rPr>
            </w:pPr>
            <w:r>
              <w:rPr>
                <w:noProof/>
              </w:rPr>
              <w:t xml:space="preserve">15 % </w:t>
            </w:r>
          </w:p>
          <w:p w14:paraId="1354F165"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BD6F75" w14:textId="37109EAF"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4A69A515" w14:textId="13A47AD7"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51EEFEB4" w14:textId="2E1A8B49" w:rsidR="0065073E" w:rsidRDefault="000A0998">
            <w:pPr>
              <w:pStyle w:val="P68B1DB1-Normal12"/>
              <w:spacing w:after="0" w:line="240" w:lineRule="auto"/>
              <w:textAlignment w:val="baseline"/>
              <w:rPr>
                <w:rFonts w:eastAsia="Times New Roman" w:cs="Times New Roman"/>
                <w:noProof/>
              </w:rPr>
            </w:pPr>
            <w:r>
              <w:rPr>
                <w:noProof/>
              </w:rPr>
              <w:t xml:space="preserve">ICO/toimintalinja ja sen valitsemat välittäjät ovat tehneet lopullisten edunsaajien (mukaan lukien oman pääoman ehtoiset rahastot) kanssa oikeudellisia rahoitussopimuksia, jotka ovat tarpeen, jotta elpymis- ja palautumistukivälineen investoinneista tukivälineeseen voidaan käyttää vähintään 15 prosenttia (ottaen huomioon hallinnointipalkkiot). Vähintään 2,5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ICO laatii kertomuksen, jossa esitetään yksityiskohtaisesti ilmastotavoitteita edistävän rahoituksen osuus käyttäen elpymis- ja palautumistukivälinettä koskevan asetuksen liitteessä VI esitettyä menetelmää. </w:t>
            </w:r>
          </w:p>
        </w:tc>
      </w:tr>
      <w:tr w:rsidR="0065073E" w14:paraId="3DE10BF1" w14:textId="77777777">
        <w:trPr>
          <w:trHeight w:val="300"/>
        </w:trPr>
        <w:tc>
          <w:tcPr>
            <w:tcW w:w="846" w:type="dxa"/>
            <w:shd w:val="clear" w:color="auto" w:fill="C6EFCE"/>
          </w:tcPr>
          <w:p w14:paraId="132606E8" w14:textId="3028137B" w:rsidR="0065073E" w:rsidRDefault="000A0998">
            <w:pPr>
              <w:pStyle w:val="P68B1DB1-Normal12"/>
              <w:spacing w:after="0" w:line="240" w:lineRule="auto"/>
              <w:jc w:val="center"/>
              <w:textAlignment w:val="baseline"/>
              <w:rPr>
                <w:rFonts w:eastAsia="Times New Roman" w:cs="Times New Roman"/>
                <w:noProof/>
              </w:rPr>
            </w:pPr>
            <w:r>
              <w:rPr>
                <w:noProof/>
              </w:rPr>
              <w:t>L26</w:t>
            </w:r>
          </w:p>
        </w:tc>
        <w:tc>
          <w:tcPr>
            <w:tcW w:w="850" w:type="dxa"/>
            <w:shd w:val="clear" w:color="auto" w:fill="C6EFCE"/>
          </w:tcPr>
          <w:p w14:paraId="34E3B45E"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1E8B5BEF"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294DF" w14:textId="280946B9" w:rsidR="0065073E" w:rsidRDefault="000A0998">
            <w:pPr>
              <w:pStyle w:val="P68B1DB1-Normal12"/>
              <w:spacing w:after="0" w:line="240" w:lineRule="auto"/>
              <w:textAlignment w:val="baseline"/>
              <w:rPr>
                <w:rFonts w:eastAsia="Times New Roman" w:cs="Times New Roman"/>
                <w:noProof/>
              </w:rPr>
            </w:pPr>
            <w:r>
              <w:rPr>
                <w:noProof/>
              </w:rPr>
              <w:t>ICO:n vihreä linja – lopullisten edunsaajien (mukaan lukien pääomarahastot) kanssa allekirjoitetut oikeudelliset sopimukset (II)</w:t>
            </w:r>
          </w:p>
        </w:tc>
        <w:tc>
          <w:tcPr>
            <w:tcW w:w="1134" w:type="dxa"/>
            <w:shd w:val="clear" w:color="auto" w:fill="C6EFCE"/>
          </w:tcPr>
          <w:p w14:paraId="72261FED" w14:textId="6022DB30"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4359F60D" w14:textId="0C8D1C03" w:rsidR="0065073E" w:rsidRDefault="000A0998">
            <w:pPr>
              <w:pStyle w:val="P68B1DB1-Normal12"/>
              <w:spacing w:after="0" w:line="240" w:lineRule="auto"/>
              <w:jc w:val="center"/>
              <w:textAlignment w:val="baseline"/>
              <w:rPr>
                <w:rFonts w:eastAsia="Times New Roman" w:cs="Times New Roman"/>
                <w:noProof/>
              </w:rPr>
            </w:pPr>
            <w:r>
              <w:rPr>
                <w:noProof/>
              </w:rPr>
              <w:t>15 %</w:t>
            </w:r>
          </w:p>
        </w:tc>
        <w:tc>
          <w:tcPr>
            <w:tcW w:w="709" w:type="dxa"/>
            <w:shd w:val="clear" w:color="auto" w:fill="C6EFCE"/>
          </w:tcPr>
          <w:p w14:paraId="6D41301B" w14:textId="6D99ABAC" w:rsidR="0065073E" w:rsidRDefault="000A0998">
            <w:pPr>
              <w:pStyle w:val="P68B1DB1-Normal12"/>
              <w:spacing w:after="0" w:line="240" w:lineRule="auto"/>
              <w:jc w:val="right"/>
              <w:textAlignment w:val="baseline"/>
              <w:rPr>
                <w:rFonts w:eastAsia="Times New Roman" w:cs="Times New Roman"/>
                <w:noProof/>
              </w:rPr>
            </w:pPr>
            <w:r>
              <w:rPr>
                <w:noProof/>
              </w:rPr>
              <w:t xml:space="preserve">50 % </w:t>
            </w:r>
          </w:p>
          <w:p w14:paraId="78DF5E69" w14:textId="1C4D9A76"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C35E3D9"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2A72BF7E"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37A7DD49" w14:textId="4A3390E4" w:rsidR="0065073E" w:rsidRDefault="000A0998">
            <w:pPr>
              <w:pStyle w:val="P68B1DB1-Normal12"/>
              <w:spacing w:after="0" w:line="240" w:lineRule="auto"/>
              <w:textAlignment w:val="baseline"/>
              <w:rPr>
                <w:rFonts w:eastAsia="Times New Roman" w:cs="Times New Roman"/>
                <w:b/>
                <w:noProof/>
              </w:rPr>
            </w:pPr>
            <w:r>
              <w:rPr>
                <w:noProof/>
              </w:rPr>
              <w:t xml:space="preserve">ICO/toimintalinja ja sen valitsemat välittäjät ovat tehneet lopullisten edunsaajien (mukaan lukien oman pääoman ehtoiset rahastot) kanssa oikeudellisia rahoitussopimuksia, jotka ovat tarpeen, jotta vähintään 50 prosenttia elpymis- ja palautumistukivälineen investoinneista voidaan käyttää tukivälineeseen (ottaen huomioon hallinnointipalkkiot). Vähintään 2,5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ICO laatii kertomuksen, jossa esitetään yksityiskohtaisesti ilmastotavoitteita edistävän rahoituksen osuus käyttäen elpymis- ja palautumistukivälinettä koskevan asetuksen liitteessä VI esitettyä menetelmää. </w:t>
            </w:r>
          </w:p>
        </w:tc>
      </w:tr>
      <w:tr w:rsidR="0065073E" w14:paraId="0DFCD043" w14:textId="77777777">
        <w:trPr>
          <w:trHeight w:val="300"/>
        </w:trPr>
        <w:tc>
          <w:tcPr>
            <w:tcW w:w="846" w:type="dxa"/>
            <w:shd w:val="clear" w:color="auto" w:fill="C6EFCE"/>
          </w:tcPr>
          <w:p w14:paraId="7D93EEE5" w14:textId="34DF8E06" w:rsidR="0065073E" w:rsidRDefault="000A0998">
            <w:pPr>
              <w:pStyle w:val="P68B1DB1-Normal12"/>
              <w:spacing w:after="0" w:line="240" w:lineRule="auto"/>
              <w:jc w:val="center"/>
              <w:textAlignment w:val="baseline"/>
              <w:rPr>
                <w:rFonts w:eastAsia="Times New Roman" w:cs="Times New Roman"/>
                <w:noProof/>
              </w:rPr>
            </w:pPr>
            <w:r>
              <w:rPr>
                <w:noProof/>
              </w:rPr>
              <w:t>L27</w:t>
            </w:r>
          </w:p>
        </w:tc>
        <w:tc>
          <w:tcPr>
            <w:tcW w:w="850" w:type="dxa"/>
            <w:shd w:val="clear" w:color="auto" w:fill="C6EFCE"/>
          </w:tcPr>
          <w:p w14:paraId="2F40B8EF"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1037879"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319704" w14:textId="619F48DE" w:rsidR="0065073E" w:rsidRDefault="000A0998">
            <w:pPr>
              <w:pStyle w:val="P68B1DB1-Normal12"/>
              <w:spacing w:after="0" w:line="240" w:lineRule="auto"/>
              <w:textAlignment w:val="baseline"/>
              <w:rPr>
                <w:rFonts w:eastAsia="Times New Roman" w:cs="Times New Roman"/>
                <w:noProof/>
              </w:rPr>
            </w:pPr>
            <w:r>
              <w:rPr>
                <w:noProof/>
              </w:rPr>
              <w:t>ICO:n vihreä linja – lopullisten edunsaajien (mukaan lukien pääomarahastot) kanssa allekirjoitetut oikeudelliset sopimukset (III)</w:t>
            </w:r>
          </w:p>
        </w:tc>
        <w:tc>
          <w:tcPr>
            <w:tcW w:w="1134" w:type="dxa"/>
            <w:shd w:val="clear" w:color="auto" w:fill="C6EFCE"/>
          </w:tcPr>
          <w:p w14:paraId="527B6538" w14:textId="24D80566"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44C9391D" w14:textId="796F0FE5" w:rsidR="0065073E" w:rsidRDefault="000A0998">
            <w:pPr>
              <w:pStyle w:val="P68B1DB1-Normal12"/>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6A0D5D7" w14:textId="1F3298FB" w:rsidR="0065073E" w:rsidRDefault="000A0998">
            <w:pPr>
              <w:pStyle w:val="P68B1DB1-Normal12"/>
              <w:spacing w:after="0" w:line="240" w:lineRule="auto"/>
              <w:jc w:val="right"/>
              <w:textAlignment w:val="baseline"/>
              <w:rPr>
                <w:rFonts w:eastAsia="Times New Roman" w:cs="Times New Roman"/>
                <w:noProof/>
              </w:rPr>
            </w:pPr>
            <w:r>
              <w:rPr>
                <w:noProof/>
              </w:rPr>
              <w:t xml:space="preserve">75 % </w:t>
            </w:r>
          </w:p>
          <w:p w14:paraId="13387DD0" w14:textId="77777777" w:rsidR="0065073E" w:rsidRDefault="0065073E">
            <w:pPr>
              <w:rPr>
                <w:rFonts w:ascii="Times New Roman" w:eastAsia="Times New Roman" w:hAnsi="Times New Roman" w:cs="Times New Roman"/>
                <w:noProof/>
                <w:sz w:val="18"/>
              </w:rPr>
            </w:pPr>
          </w:p>
        </w:tc>
        <w:tc>
          <w:tcPr>
            <w:tcW w:w="709" w:type="dxa"/>
            <w:shd w:val="clear" w:color="auto" w:fill="C6EFCE"/>
          </w:tcPr>
          <w:p w14:paraId="793F4CD5" w14:textId="62CFE6A6"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0C737108"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0094083" w14:textId="52824E20" w:rsidR="0065073E" w:rsidRDefault="000A0998">
            <w:pPr>
              <w:pStyle w:val="P68B1DB1-paragraph29"/>
              <w:spacing w:before="0" w:beforeAutospacing="0" w:after="0" w:afterAutospacing="0"/>
              <w:textAlignment w:val="baseline"/>
              <w:rPr>
                <w:noProof/>
              </w:rPr>
            </w:pPr>
            <w:r>
              <w:rPr>
                <w:noProof/>
              </w:rPr>
              <w:t xml:space="preserve">ICO/toimintalinja ja sen valitsemat välittäjät ovat tehneet lopullisten edunsaajien (mukaan lukien oman pääoman ehtoiset rahastot) kanssa oikeudellisia rahoitussopimuksia, jotka ovat tarpeen, jotta vähintään 75 prosenttia elpymis- ja palautumistukivälineen investoinneista voidaan käyttää tukivälineeseen (ottaen huomioon hallinnointipalkkiot). Vähintään 7,5 prosentin rahoituksesta on vastattava pääomarahastojen kanssa allekirjoitettuja rahoitussopimuksia ja vähintään 50 prosenttia lopullisten edunsaajien kanssa allekirjoitettuja rahoitussopimuksia, jotka koskevat kaikkia muita sijoitustuotteita (mukaan lukien toteutuskumppanin suorat pääomasijoitukset). ICO laatii kertomuksen, jossa esitetään yksityiskohtaisesti ilmastotavoitteita edistävän rahoituksen osuus käyttäen elpymis- ja palautumistukivälinettä koskevan asetuksen liitteessä VI esitettyä menetelmää. </w:t>
            </w:r>
          </w:p>
        </w:tc>
      </w:tr>
      <w:tr w:rsidR="0065073E" w14:paraId="430E365D" w14:textId="77777777">
        <w:trPr>
          <w:trHeight w:val="300"/>
        </w:trPr>
        <w:tc>
          <w:tcPr>
            <w:tcW w:w="846" w:type="dxa"/>
            <w:shd w:val="clear" w:color="auto" w:fill="C6EFCE"/>
          </w:tcPr>
          <w:p w14:paraId="36CE58AE" w14:textId="12159273" w:rsidR="0065073E" w:rsidRDefault="000A0998">
            <w:pPr>
              <w:pStyle w:val="P68B1DB1-Normal12"/>
              <w:spacing w:after="0" w:line="240" w:lineRule="auto"/>
              <w:jc w:val="center"/>
              <w:textAlignment w:val="baseline"/>
              <w:rPr>
                <w:rFonts w:eastAsia="Times New Roman" w:cs="Times New Roman"/>
                <w:noProof/>
              </w:rPr>
            </w:pPr>
            <w:r>
              <w:rPr>
                <w:noProof/>
              </w:rPr>
              <w:t>L28</w:t>
            </w:r>
          </w:p>
        </w:tc>
        <w:tc>
          <w:tcPr>
            <w:tcW w:w="850" w:type="dxa"/>
            <w:shd w:val="clear" w:color="auto" w:fill="C6EFCE"/>
          </w:tcPr>
          <w:p w14:paraId="252CE9D9"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713ED1E"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27C7615" w14:textId="6BFC11B7" w:rsidR="0065073E" w:rsidRDefault="000A0998">
            <w:pPr>
              <w:pStyle w:val="P68B1DB1-Normal12"/>
              <w:spacing w:after="0" w:line="240" w:lineRule="auto"/>
              <w:textAlignment w:val="baseline"/>
              <w:rPr>
                <w:rFonts w:eastAsia="Times New Roman" w:cs="Times New Roman"/>
                <w:noProof/>
              </w:rPr>
            </w:pPr>
            <w:r>
              <w:rPr>
                <w:noProof/>
              </w:rPr>
              <w:t>ICO:n vihreä linja – lopullisten edunsaajien (mukaan lukien pääomarahastot) kanssa allekirjoitetut oikeudelliset sopimukset (IV)</w:t>
            </w:r>
          </w:p>
        </w:tc>
        <w:tc>
          <w:tcPr>
            <w:tcW w:w="1134" w:type="dxa"/>
            <w:shd w:val="clear" w:color="auto" w:fill="C6EFCE"/>
          </w:tcPr>
          <w:p w14:paraId="5BCAE9D4" w14:textId="5F241F0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68410066" w14:textId="6362BB91" w:rsidR="0065073E" w:rsidRDefault="000A0998">
            <w:pPr>
              <w:pStyle w:val="P68B1DB1-Normal12"/>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20B9358E" w14:textId="46F5D92C" w:rsidR="0065073E" w:rsidRDefault="000A0998">
            <w:pPr>
              <w:pStyle w:val="P68B1DB1-Normal12"/>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7C483CA8" w14:textId="40408F7E"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7A4C0272"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E1B295B" w14:textId="5174B537" w:rsidR="0065073E" w:rsidRDefault="000A0998">
            <w:pPr>
              <w:pStyle w:val="P68B1DB1-paragraph29"/>
              <w:spacing w:before="0" w:beforeAutospacing="0" w:after="0" w:afterAutospacing="0"/>
              <w:textAlignment w:val="baseline"/>
              <w:rPr>
                <w:noProof/>
              </w:rPr>
            </w:pPr>
            <w:r>
              <w:rPr>
                <w:noProof/>
              </w:rPr>
              <w:t xml:space="preserve">ICO/toimintalinja ja sen valitsemat välittäjät ovat tehneet lopullisten edunsaajien (mukaan lukien oman pääoman ehtoiset rahastot) kanssa oikeudellisia rahoitussopimuksia, jotka ovat tarpeen, jotta elpymis- ja palautumistukivälineen investoinneista tukivälineeseen voidaan käyttää 100 prosenttia (ottaen huomioon hallinnointipalkkiot). Vähintään 10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Vähintään 80,9 prosentilla tästä rahoituksesta on edistettävä ilmastotavoitteita elpymis- ja palautumistukivälinettä koskevan asetuksen liitteessä VI esitetyn menetelmän mukaisesti. </w:t>
            </w:r>
          </w:p>
        </w:tc>
      </w:tr>
      <w:tr w:rsidR="0065073E" w14:paraId="65E01684" w14:textId="77777777">
        <w:trPr>
          <w:trHeight w:val="300"/>
        </w:trPr>
        <w:tc>
          <w:tcPr>
            <w:tcW w:w="846" w:type="dxa"/>
            <w:shd w:val="clear" w:color="auto" w:fill="C6EFCE"/>
          </w:tcPr>
          <w:p w14:paraId="1348715E" w14:textId="3C6DD476" w:rsidR="0065073E" w:rsidRDefault="000A0998">
            <w:pPr>
              <w:pStyle w:val="P68B1DB1-Normal12"/>
              <w:spacing w:after="0" w:line="240" w:lineRule="auto"/>
              <w:jc w:val="center"/>
              <w:textAlignment w:val="baseline"/>
              <w:rPr>
                <w:rFonts w:eastAsia="Times New Roman" w:cs="Times New Roman"/>
                <w:noProof/>
              </w:rPr>
            </w:pPr>
            <w:r>
              <w:rPr>
                <w:noProof/>
              </w:rPr>
              <w:t>L29</w:t>
            </w:r>
          </w:p>
        </w:tc>
        <w:tc>
          <w:tcPr>
            <w:tcW w:w="850" w:type="dxa"/>
            <w:shd w:val="clear" w:color="auto" w:fill="C6EFCE"/>
          </w:tcPr>
          <w:p w14:paraId="5D31E5FC"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5E50CF49" w14:textId="7A34ECF2"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2CFC15" w14:textId="606E27FF" w:rsidR="0065073E" w:rsidRDefault="000A0998">
            <w:pPr>
              <w:pStyle w:val="P68B1DB1-Normal12"/>
              <w:spacing w:after="0" w:line="240" w:lineRule="auto"/>
              <w:textAlignment w:val="baseline"/>
              <w:rPr>
                <w:rFonts w:eastAsia="Times New Roman" w:cs="Times New Roman"/>
                <w:noProof/>
              </w:rPr>
            </w:pPr>
            <w:r>
              <w:rPr>
                <w:noProof/>
              </w:rPr>
              <w:t>ICO:n vihreä linja – ministeriö on saattanut investoinnin päätökseen</w:t>
            </w:r>
          </w:p>
        </w:tc>
        <w:tc>
          <w:tcPr>
            <w:tcW w:w="1134" w:type="dxa"/>
            <w:shd w:val="clear" w:color="auto" w:fill="C6EFCE"/>
          </w:tcPr>
          <w:p w14:paraId="21CFA64B" w14:textId="6AD11D01" w:rsidR="0065073E" w:rsidRDefault="000A0998">
            <w:pPr>
              <w:pStyle w:val="P68B1DB1-Normal12"/>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38C0BAF3" w14:textId="5BFB7EFC"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4D0DD89"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BCFA1C4" w14:textId="3EA6823C" w:rsidR="0065073E" w:rsidRDefault="000A0998">
            <w:pPr>
              <w:pStyle w:val="P68B1DB1-Normal12"/>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177DC39B" w14:textId="07CDB1EA"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4EC5DE42"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7EC78B9" w14:textId="7D014BE2" w:rsidR="0065073E" w:rsidRDefault="000A0998">
            <w:pPr>
              <w:pStyle w:val="P68B1DB1-Normal12"/>
              <w:spacing w:after="0" w:line="240" w:lineRule="auto"/>
              <w:textAlignment w:val="baseline"/>
              <w:rPr>
                <w:rFonts w:eastAsia="Times New Roman" w:cs="Times New Roman"/>
                <w:noProof/>
              </w:rPr>
            </w:pPr>
            <w:r>
              <w:rPr>
                <w:noProof/>
              </w:rPr>
              <w:t xml:space="preserve">Espanjan on siirrettävä 22000000000 euroa ICO:lle lainajärjestelyä varten. </w:t>
            </w:r>
          </w:p>
        </w:tc>
      </w:tr>
      <w:tr w:rsidR="0065073E" w14:paraId="5B976FA9" w14:textId="77777777">
        <w:trPr>
          <w:trHeight w:val="300"/>
        </w:trPr>
        <w:tc>
          <w:tcPr>
            <w:tcW w:w="846" w:type="dxa"/>
            <w:shd w:val="clear" w:color="auto" w:fill="C6EFCE"/>
          </w:tcPr>
          <w:p w14:paraId="60CCA077" w14:textId="64714839" w:rsidR="0065073E" w:rsidRDefault="000A0998">
            <w:pPr>
              <w:pStyle w:val="P68B1DB1-Normal12"/>
              <w:spacing w:after="0" w:line="240" w:lineRule="auto"/>
              <w:jc w:val="center"/>
              <w:textAlignment w:val="baseline"/>
              <w:rPr>
                <w:rFonts w:eastAsia="Times New Roman" w:cs="Times New Roman"/>
                <w:noProof/>
              </w:rPr>
            </w:pPr>
            <w:r>
              <w:rPr>
                <w:noProof/>
              </w:rPr>
              <w:t>L30</w:t>
            </w:r>
          </w:p>
        </w:tc>
        <w:tc>
          <w:tcPr>
            <w:tcW w:w="850" w:type="dxa"/>
            <w:shd w:val="clear" w:color="auto" w:fill="C6EFCE"/>
          </w:tcPr>
          <w:p w14:paraId="2534DF42"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78659B46"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D02C463" w14:textId="1C79C256" w:rsidR="0065073E" w:rsidRDefault="000A0998">
            <w:pPr>
              <w:pStyle w:val="P68B1DB1-Normal12"/>
              <w:spacing w:after="0" w:line="240" w:lineRule="auto"/>
              <w:textAlignment w:val="baseline"/>
              <w:rPr>
                <w:rFonts w:eastAsia="Times New Roman" w:cs="Times New Roman"/>
                <w:noProof/>
              </w:rPr>
            </w:pPr>
            <w:r>
              <w:rPr>
                <w:noProof/>
              </w:rPr>
              <w:t xml:space="preserve">ICO Enterprises and Entrepreneurs Line -järjestelmää koskeva täytäntöönpanosopimus </w:t>
            </w:r>
          </w:p>
        </w:tc>
        <w:tc>
          <w:tcPr>
            <w:tcW w:w="1134" w:type="dxa"/>
            <w:shd w:val="clear" w:color="auto" w:fill="C6EFCE"/>
          </w:tcPr>
          <w:p w14:paraId="1E3502D4" w14:textId="40958563" w:rsidR="0065073E" w:rsidRDefault="000A0998">
            <w:pPr>
              <w:pStyle w:val="P68B1DB1-Normal12"/>
              <w:spacing w:after="0" w:line="240" w:lineRule="auto"/>
              <w:jc w:val="center"/>
              <w:textAlignment w:val="baseline"/>
              <w:rPr>
                <w:rFonts w:eastAsia="Times New Roman" w:cs="Times New Roman"/>
                <w:noProof/>
              </w:rPr>
            </w:pPr>
            <w:r>
              <w:rPr>
                <w:noProof/>
              </w:rPr>
              <w:t>Täytäntöönpanosopimuksen voimaantulo </w:t>
            </w:r>
          </w:p>
        </w:tc>
        <w:tc>
          <w:tcPr>
            <w:tcW w:w="709" w:type="dxa"/>
            <w:shd w:val="clear" w:color="auto" w:fill="C6EFCE"/>
          </w:tcPr>
          <w:p w14:paraId="72BA320A"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C1E9E38" w14:textId="62944D50"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A8BC75"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D52C6EA" w14:textId="77777777" w:rsidR="0065073E" w:rsidRDefault="000A0998">
            <w:pPr>
              <w:pStyle w:val="P68B1DB1-Normal12"/>
              <w:spacing w:after="0" w:line="240" w:lineRule="auto"/>
              <w:jc w:val="center"/>
              <w:textAlignment w:val="baseline"/>
              <w:rPr>
                <w:rFonts w:eastAsia="Times New Roman" w:cs="Times New Roman"/>
                <w:noProof/>
              </w:rPr>
            </w:pPr>
            <w:r>
              <w:rPr>
                <w:noProof/>
              </w:rPr>
              <w:t xml:space="preserve">Q4 </w:t>
            </w:r>
          </w:p>
        </w:tc>
        <w:tc>
          <w:tcPr>
            <w:tcW w:w="709" w:type="dxa"/>
            <w:shd w:val="clear" w:color="auto" w:fill="C6EFCE"/>
          </w:tcPr>
          <w:p w14:paraId="6BA60D4B" w14:textId="77777777" w:rsidR="0065073E" w:rsidRDefault="000A0998">
            <w:pPr>
              <w:pStyle w:val="P68B1DB1-Normal12"/>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5C58F40D" w14:textId="144A278F" w:rsidR="0065073E" w:rsidRDefault="000A0998">
            <w:pPr>
              <w:pStyle w:val="P68B1DB1-paragraph29"/>
              <w:spacing w:before="0" w:beforeAutospacing="0" w:after="0" w:afterAutospacing="0"/>
              <w:textAlignment w:val="baseline"/>
              <w:rPr>
                <w:rFonts w:cs="Times New Roman"/>
                <w:noProof/>
              </w:rPr>
            </w:pPr>
            <w:r>
              <w:rPr>
                <w:noProof/>
              </w:rPr>
              <w:t>Täytäntöönpanosopimuksen voimaantulo.</w:t>
            </w:r>
          </w:p>
        </w:tc>
      </w:tr>
      <w:tr w:rsidR="0065073E" w14:paraId="42C2B01A" w14:textId="77777777">
        <w:trPr>
          <w:trHeight w:val="300"/>
        </w:trPr>
        <w:tc>
          <w:tcPr>
            <w:tcW w:w="846" w:type="dxa"/>
            <w:shd w:val="clear" w:color="auto" w:fill="C6EFCE"/>
          </w:tcPr>
          <w:p w14:paraId="5BA39789" w14:textId="20179638" w:rsidR="0065073E" w:rsidRDefault="000A0998">
            <w:pPr>
              <w:pStyle w:val="P68B1DB1-Normal12"/>
              <w:spacing w:after="0" w:line="240" w:lineRule="auto"/>
              <w:jc w:val="center"/>
              <w:textAlignment w:val="baseline"/>
              <w:rPr>
                <w:rFonts w:eastAsia="Times New Roman" w:cs="Times New Roman"/>
                <w:noProof/>
              </w:rPr>
            </w:pPr>
            <w:r>
              <w:rPr>
                <w:noProof/>
              </w:rPr>
              <w:t>L31</w:t>
            </w:r>
          </w:p>
        </w:tc>
        <w:tc>
          <w:tcPr>
            <w:tcW w:w="850" w:type="dxa"/>
            <w:shd w:val="clear" w:color="auto" w:fill="C6EFCE"/>
          </w:tcPr>
          <w:p w14:paraId="2DF94740"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F2F2BFB"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FB70BD5" w14:textId="79DD556A" w:rsidR="0065073E" w:rsidRDefault="000A0998">
            <w:pPr>
              <w:pStyle w:val="P68B1DB1-Normal12"/>
              <w:spacing w:after="0" w:line="240" w:lineRule="auto"/>
              <w:textAlignment w:val="baseline"/>
              <w:rPr>
                <w:rFonts w:eastAsia="Times New Roman" w:cs="Times New Roman"/>
                <w:noProof/>
              </w:rPr>
            </w:pPr>
            <w:r>
              <w:rPr>
                <w:noProof/>
              </w:rPr>
              <w:t>ICO Enterprises and Entrepreneurs Line – Lopullisten edunsaajien (mukaan lukien pääomarahastot) kanssa allekirjoitetut oikeudelliset sopimukset (I)</w:t>
            </w:r>
          </w:p>
        </w:tc>
        <w:tc>
          <w:tcPr>
            <w:tcW w:w="1134" w:type="dxa"/>
            <w:shd w:val="clear" w:color="auto" w:fill="C6EFCE"/>
          </w:tcPr>
          <w:p w14:paraId="0C4DC771" w14:textId="2B7CD62E"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1EE90475" w14:textId="35C90CAC"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6C5CBE24" w14:textId="0A385553" w:rsidR="0065073E" w:rsidRDefault="000A0998">
            <w:pPr>
              <w:pStyle w:val="P68B1DB1-Normal12"/>
              <w:spacing w:after="0" w:line="240" w:lineRule="auto"/>
              <w:jc w:val="center"/>
              <w:textAlignment w:val="baseline"/>
              <w:rPr>
                <w:rFonts w:eastAsia="Times New Roman" w:cs="Times New Roman"/>
                <w:noProof/>
              </w:rPr>
            </w:pPr>
            <w:r>
              <w:rPr>
                <w:noProof/>
              </w:rPr>
              <w:t>0 %</w:t>
            </w:r>
          </w:p>
        </w:tc>
        <w:tc>
          <w:tcPr>
            <w:tcW w:w="709" w:type="dxa"/>
            <w:shd w:val="clear" w:color="auto" w:fill="C6EFCE"/>
          </w:tcPr>
          <w:p w14:paraId="3CF7496A" w14:textId="451036C1" w:rsidR="0065073E" w:rsidRDefault="000A0998">
            <w:pPr>
              <w:pStyle w:val="P68B1DB1-Normal12"/>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5C8355B"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1CB3D9B3"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D2A9A4" w14:textId="58E129A9" w:rsidR="0065073E" w:rsidRDefault="000A0998">
            <w:pPr>
              <w:pStyle w:val="P68B1DB1-paragraph29"/>
              <w:spacing w:before="0" w:beforeAutospacing="0" w:after="0" w:afterAutospacing="0"/>
              <w:textAlignment w:val="baseline"/>
              <w:rPr>
                <w:rStyle w:val="normaltextrun"/>
                <w:rFonts w:eastAsiaTheme="minorHAnsi" w:cs="Times New Roman"/>
                <w:noProof/>
                <w:u w:val="single"/>
              </w:rPr>
            </w:pPr>
            <w:r>
              <w:rPr>
                <w:noProof/>
              </w:rPr>
              <w:t>ICO/toimintalinja ja sen valitsemat välittäjät ovat tehneet lopullisten edunsaajien (mukaan lukien oman pääoman ehtoiset rahastot) kanssa oikeudellisia rahoitussopimuksia, jotka ovat tarpeen, jotta vähintään 50 prosenttia elpymis- ja palautumistukivälineen investoinneista voidaan käyttää tukivälineeseen (ottaen huomioon hallinnointipalkkiot). Vähintään 2,5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w:t>
            </w:r>
          </w:p>
        </w:tc>
      </w:tr>
      <w:tr w:rsidR="0065073E" w14:paraId="680EF42C" w14:textId="77777777">
        <w:trPr>
          <w:trHeight w:val="300"/>
        </w:trPr>
        <w:tc>
          <w:tcPr>
            <w:tcW w:w="846" w:type="dxa"/>
            <w:shd w:val="clear" w:color="auto" w:fill="C6EFCE"/>
          </w:tcPr>
          <w:p w14:paraId="41EA9FC6" w14:textId="28DEC1A9" w:rsidR="0065073E" w:rsidRDefault="000A0998">
            <w:pPr>
              <w:pStyle w:val="P68B1DB1-Normal12"/>
              <w:spacing w:after="0" w:line="240" w:lineRule="auto"/>
              <w:jc w:val="center"/>
              <w:textAlignment w:val="baseline"/>
              <w:rPr>
                <w:rFonts w:eastAsia="Times New Roman" w:cs="Times New Roman"/>
                <w:noProof/>
              </w:rPr>
            </w:pPr>
            <w:r>
              <w:rPr>
                <w:noProof/>
              </w:rPr>
              <w:t>L32</w:t>
            </w:r>
          </w:p>
        </w:tc>
        <w:tc>
          <w:tcPr>
            <w:tcW w:w="850" w:type="dxa"/>
            <w:shd w:val="clear" w:color="auto" w:fill="C6EFCE"/>
          </w:tcPr>
          <w:p w14:paraId="61004FF6"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40872D2"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329D60E" w14:textId="06EAFF07" w:rsidR="0065073E" w:rsidRDefault="000A0998">
            <w:pPr>
              <w:pStyle w:val="P68B1DB1-Normal12"/>
              <w:spacing w:after="0" w:line="240" w:lineRule="auto"/>
              <w:textAlignment w:val="baseline"/>
              <w:rPr>
                <w:rFonts w:eastAsia="Times New Roman" w:cs="Times New Roman"/>
                <w:noProof/>
              </w:rPr>
            </w:pPr>
            <w:r>
              <w:rPr>
                <w:noProof/>
              </w:rPr>
              <w:t>ICO Enterprises and Entrepreneurs Line – Lopullisten edunsaajien (mukaan lukien pääomarahastot) kanssa allekirjoitetut oikeudelliset sopimukset (II)</w:t>
            </w:r>
          </w:p>
        </w:tc>
        <w:tc>
          <w:tcPr>
            <w:tcW w:w="1134" w:type="dxa"/>
            <w:shd w:val="clear" w:color="auto" w:fill="C6EFCE"/>
          </w:tcPr>
          <w:p w14:paraId="6705A2E9" w14:textId="1D274F3E"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014F1668" w14:textId="6E2E8268" w:rsidR="0065073E" w:rsidRDefault="000A0998">
            <w:pPr>
              <w:pStyle w:val="P68B1DB1-Normal12"/>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521B4250" w14:textId="66A66A9F" w:rsidR="0065073E" w:rsidRDefault="000A0998">
            <w:pPr>
              <w:pStyle w:val="P68B1DB1-Normal12"/>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7ACBC92F"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6F1F85F"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22CC94" w14:textId="3E48EBFB" w:rsidR="0065073E" w:rsidRDefault="000A0998">
            <w:pPr>
              <w:pStyle w:val="P68B1DB1-paragraph29"/>
              <w:spacing w:before="0" w:beforeAutospacing="0" w:after="0" w:afterAutospacing="0"/>
              <w:textAlignment w:val="baseline"/>
              <w:rPr>
                <w:rStyle w:val="normaltextrun"/>
                <w:rFonts w:eastAsiaTheme="minorEastAsia" w:cs="Times New Roman"/>
                <w:noProof/>
              </w:rPr>
            </w:pPr>
            <w:r>
              <w:rPr>
                <w:noProof/>
              </w:rPr>
              <w:t xml:space="preserve">ICO/toimintalinja ja sen valitsemat välittäjät ovat tehneet lopullisten edunsaajien (mukaan lukien oman pääoman ehtoiset rahastot) kanssa oikeudellisia rahoitussopimuksia, jotka ovat tarpeen, jotta vähintään 75 prosenttia elpymis- ja palautumistukivälineen investoinneista voidaan käyttää tukivälineeseen (ottaen huomioon hallinnointipalkkiot). Vähintään 7,5 prosentin rahoituksesta on vastattava pääomarahastojen kanssa allekirjoitettuja rahoitussopimuksia ja vähintään 50 prosenttia lopullisten edunsaajien kanssa allekirjoitettuja rahoitussopimuksia, jotka koskevat kaikkia muita sijoitustuotteita (mukaan lukien toteutuskumppanin suorat pääomasijoitukset). </w:t>
            </w:r>
          </w:p>
        </w:tc>
      </w:tr>
      <w:tr w:rsidR="0065073E" w14:paraId="3AA7BE6B" w14:textId="77777777">
        <w:trPr>
          <w:trHeight w:val="300"/>
        </w:trPr>
        <w:tc>
          <w:tcPr>
            <w:tcW w:w="846" w:type="dxa"/>
            <w:shd w:val="clear" w:color="auto" w:fill="C6EFCE"/>
          </w:tcPr>
          <w:p w14:paraId="20BA34D9" w14:textId="74A64304" w:rsidR="0065073E" w:rsidRDefault="000A0998">
            <w:pPr>
              <w:pStyle w:val="P68B1DB1-Normal12"/>
              <w:spacing w:after="0" w:line="240" w:lineRule="auto"/>
              <w:jc w:val="center"/>
              <w:textAlignment w:val="baseline"/>
              <w:rPr>
                <w:rFonts w:eastAsia="Times New Roman" w:cs="Times New Roman"/>
                <w:noProof/>
              </w:rPr>
            </w:pPr>
            <w:r>
              <w:rPr>
                <w:noProof/>
              </w:rPr>
              <w:t>L33</w:t>
            </w:r>
          </w:p>
        </w:tc>
        <w:tc>
          <w:tcPr>
            <w:tcW w:w="850" w:type="dxa"/>
            <w:shd w:val="clear" w:color="auto" w:fill="C6EFCE"/>
          </w:tcPr>
          <w:p w14:paraId="228A1BC9"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58B547"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12F34AB" w14:textId="00465E87" w:rsidR="0065073E" w:rsidRDefault="000A0998">
            <w:pPr>
              <w:pStyle w:val="P68B1DB1-Normal12"/>
              <w:spacing w:after="0" w:line="240" w:lineRule="auto"/>
              <w:textAlignment w:val="baseline"/>
              <w:rPr>
                <w:rFonts w:eastAsia="Times New Roman" w:cs="Times New Roman"/>
                <w:noProof/>
              </w:rPr>
            </w:pPr>
            <w:r>
              <w:rPr>
                <w:noProof/>
              </w:rPr>
              <w:t>ICO Enterprises and Entrepreneurs Line – Lopullisten edunsaajien (mukaan lukien pääomarahastot) kanssa allekirjoitetut oikeudelliset sopimukset (III)</w:t>
            </w:r>
          </w:p>
        </w:tc>
        <w:tc>
          <w:tcPr>
            <w:tcW w:w="1134" w:type="dxa"/>
            <w:shd w:val="clear" w:color="auto" w:fill="C6EFCE"/>
          </w:tcPr>
          <w:p w14:paraId="5B044FB9" w14:textId="12E53D49"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4F73509C" w14:textId="35C98BE7"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15E859CD" w14:textId="40231C8F" w:rsidR="0065073E" w:rsidRDefault="000A0998">
            <w:pPr>
              <w:pStyle w:val="P68B1DB1-Normal12"/>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0DC9BAE2" w14:textId="0980F094" w:rsidR="0065073E" w:rsidRDefault="000A0998">
            <w:pPr>
              <w:pStyle w:val="P68B1DB1-Normal12"/>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0F13266E" w14:textId="0E91D221"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6CB5F185"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5A87545" w14:textId="691A5EE9" w:rsidR="0065073E" w:rsidRDefault="000A0998">
            <w:pPr>
              <w:pStyle w:val="P68B1DB1-paragraph29"/>
              <w:spacing w:before="0" w:beforeAutospacing="0" w:after="0" w:afterAutospacing="0"/>
              <w:textAlignment w:val="baseline"/>
              <w:rPr>
                <w:rStyle w:val="normaltextrun"/>
                <w:rFonts w:eastAsiaTheme="minorEastAsia" w:cs="Times New Roman"/>
                <w:noProof/>
                <w:u w:val="single"/>
              </w:rPr>
            </w:pPr>
            <w:r>
              <w:rPr>
                <w:noProof/>
              </w:rPr>
              <w:t xml:space="preserve">ICO/toimintalinja ja sen valitsemat välittäjät ovat tehneet lopullisten edunsaajien (mukaan lukien oman pääoman ehtoiset rahastot) kanssa oikeudellisia rahoitussopimuksia, jotka ovat tarpeen, jotta elpymis- ja palautumistukivälineen investoinneista tukivälineeseen voidaan käyttää 100 prosenttia (ottaen huomioon hallinnointipalkkiot). Vähintään 10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Vähintään 1,84 prosentilla tästä rahoituksesta on edistettävä digitaalisia tavoitteita käyttäen elpymis- ja palautumistukivälinettä koskevan asetuksen liitteessä VII esitettyä menetelmää. </w:t>
            </w:r>
          </w:p>
        </w:tc>
      </w:tr>
      <w:tr w:rsidR="0065073E" w14:paraId="326480BC" w14:textId="77777777">
        <w:trPr>
          <w:trHeight w:val="300"/>
        </w:trPr>
        <w:tc>
          <w:tcPr>
            <w:tcW w:w="846" w:type="dxa"/>
            <w:shd w:val="clear" w:color="auto" w:fill="C6EFCE"/>
          </w:tcPr>
          <w:p w14:paraId="5040ED5B" w14:textId="08B036AA" w:rsidR="0065073E" w:rsidRDefault="000A0998">
            <w:pPr>
              <w:pStyle w:val="P68B1DB1-Normal12"/>
              <w:spacing w:after="0" w:line="240" w:lineRule="auto"/>
              <w:jc w:val="center"/>
              <w:textAlignment w:val="baseline"/>
              <w:rPr>
                <w:rFonts w:eastAsia="Times New Roman" w:cs="Times New Roman"/>
                <w:noProof/>
              </w:rPr>
            </w:pPr>
            <w:r>
              <w:rPr>
                <w:noProof/>
              </w:rPr>
              <w:t>L34</w:t>
            </w:r>
          </w:p>
        </w:tc>
        <w:tc>
          <w:tcPr>
            <w:tcW w:w="850" w:type="dxa"/>
            <w:shd w:val="clear" w:color="auto" w:fill="C6EFCE"/>
          </w:tcPr>
          <w:p w14:paraId="65DE97C5" w14:textId="77777777" w:rsidR="0065073E" w:rsidRDefault="000A0998">
            <w:pPr>
              <w:pStyle w:val="P68B1DB1-Normal12"/>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7146FF"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3FBD63BA" w14:textId="26A51040" w:rsidR="0065073E" w:rsidRDefault="000A0998">
            <w:pPr>
              <w:pStyle w:val="P68B1DB1-Normal12"/>
              <w:spacing w:after="0" w:line="240" w:lineRule="auto"/>
              <w:textAlignment w:val="baseline"/>
              <w:rPr>
                <w:rFonts w:eastAsia="Times New Roman" w:cs="Times New Roman"/>
                <w:noProof/>
              </w:rPr>
            </w:pPr>
            <w:r>
              <w:rPr>
                <w:noProof/>
              </w:rPr>
              <w:t>ICO Enterprises and Entrepreneurs Line – ministeriö on saattanut investoinnin päätökseen.</w:t>
            </w:r>
          </w:p>
        </w:tc>
        <w:tc>
          <w:tcPr>
            <w:tcW w:w="1134" w:type="dxa"/>
            <w:shd w:val="clear" w:color="auto" w:fill="C6EFCE"/>
          </w:tcPr>
          <w:p w14:paraId="5FA7AE29" w14:textId="4AF971AC" w:rsidR="0065073E" w:rsidRDefault="000A0998">
            <w:pPr>
              <w:pStyle w:val="P68B1DB1-Normal12"/>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3ED141B2"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CD22B98"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5DF4F92"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02FC5681" w14:textId="11ACCF2D"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258F4AC3"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33E1A7" w14:textId="5E8DB829" w:rsidR="0065073E" w:rsidRDefault="000A0998">
            <w:pPr>
              <w:pStyle w:val="P68B1DB1-Normal12"/>
              <w:spacing w:after="0" w:line="240" w:lineRule="auto"/>
              <w:textAlignment w:val="baseline"/>
              <w:rPr>
                <w:rFonts w:eastAsia="Times New Roman" w:cs="Times New Roman"/>
                <w:noProof/>
              </w:rPr>
            </w:pPr>
            <w:r>
              <w:rPr>
                <w:noProof/>
              </w:rPr>
              <w:t>Espanjan on siirrettävä 8150000000 euroa ICO:lle lainajärjestelyä varten.</w:t>
            </w:r>
          </w:p>
        </w:tc>
      </w:tr>
      <w:tr w:rsidR="0065073E" w14:paraId="4FC8E8BF" w14:textId="77777777">
        <w:trPr>
          <w:trHeight w:val="677"/>
        </w:trPr>
        <w:tc>
          <w:tcPr>
            <w:tcW w:w="846" w:type="dxa"/>
            <w:shd w:val="clear" w:color="auto" w:fill="C6EFCE"/>
          </w:tcPr>
          <w:p w14:paraId="54AB878F" w14:textId="43BD63A3" w:rsidR="0065073E" w:rsidRDefault="000A0998">
            <w:pPr>
              <w:pStyle w:val="P68B1DB1-Normal12"/>
              <w:spacing w:after="0" w:line="240" w:lineRule="auto"/>
              <w:jc w:val="center"/>
              <w:textAlignment w:val="baseline"/>
              <w:rPr>
                <w:rFonts w:eastAsia="Times New Roman" w:cs="Times New Roman"/>
                <w:noProof/>
              </w:rPr>
            </w:pPr>
            <w:r>
              <w:rPr>
                <w:noProof/>
              </w:rPr>
              <w:t>L35</w:t>
            </w:r>
          </w:p>
        </w:tc>
        <w:tc>
          <w:tcPr>
            <w:tcW w:w="850" w:type="dxa"/>
            <w:shd w:val="clear" w:color="auto" w:fill="C6EFCE"/>
          </w:tcPr>
          <w:p w14:paraId="537C5BEE" w14:textId="77777777" w:rsidR="0065073E" w:rsidRDefault="000A0998">
            <w:pPr>
              <w:pStyle w:val="P68B1DB1-Normal12"/>
              <w:spacing w:after="0" w:line="240" w:lineRule="auto"/>
              <w:jc w:val="center"/>
              <w:rPr>
                <w:rFonts w:eastAsia="Times New Roman" w:cs="Times New Roman"/>
                <w:noProof/>
              </w:rPr>
            </w:pPr>
            <w:r>
              <w:rPr>
                <w:noProof/>
              </w:rPr>
              <w:t>C13.I7</w:t>
            </w:r>
          </w:p>
        </w:tc>
        <w:tc>
          <w:tcPr>
            <w:tcW w:w="851" w:type="dxa"/>
            <w:shd w:val="clear" w:color="auto" w:fill="C6EFCE"/>
          </w:tcPr>
          <w:p w14:paraId="64DF9146"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FD52622" w14:textId="256D2B5D" w:rsidR="0065073E" w:rsidRDefault="000A0998">
            <w:pPr>
              <w:pStyle w:val="P68B1DB1-Normal12"/>
              <w:spacing w:after="0" w:line="240" w:lineRule="auto"/>
              <w:textAlignment w:val="baseline"/>
              <w:rPr>
                <w:rFonts w:eastAsia="Times New Roman" w:cs="Times New Roman"/>
                <w:noProof/>
              </w:rPr>
            </w:pPr>
            <w:r>
              <w:rPr>
                <w:noProof/>
              </w:rPr>
              <w:t xml:space="preserve">Seuraava teknologiarahasto – täytäntöönpanosopimus toimintalinjan kanssa </w:t>
            </w:r>
          </w:p>
        </w:tc>
        <w:tc>
          <w:tcPr>
            <w:tcW w:w="1134" w:type="dxa"/>
            <w:shd w:val="clear" w:color="auto" w:fill="C6EFCE"/>
          </w:tcPr>
          <w:p w14:paraId="5F24E248" w14:textId="77777777" w:rsidR="0065073E" w:rsidRDefault="000A0998">
            <w:pPr>
              <w:pStyle w:val="P68B1DB1-Normal12"/>
              <w:spacing w:after="0" w:line="240" w:lineRule="auto"/>
              <w:jc w:val="center"/>
              <w:textAlignment w:val="baseline"/>
              <w:rPr>
                <w:rFonts w:eastAsia="Times New Roman" w:cs="Times New Roman"/>
                <w:noProof/>
              </w:rPr>
            </w:pPr>
            <w:r>
              <w:rPr>
                <w:noProof/>
              </w:rPr>
              <w:t>Muutetun täytäntöönpanosopimuksen allekirjoittaminen</w:t>
            </w:r>
          </w:p>
        </w:tc>
        <w:tc>
          <w:tcPr>
            <w:tcW w:w="709" w:type="dxa"/>
            <w:shd w:val="clear" w:color="auto" w:fill="C6EFCE"/>
          </w:tcPr>
          <w:p w14:paraId="2509CEC8"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044E9458"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9DA499"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BC05701"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3CD67789" w14:textId="77777777" w:rsidR="0065073E" w:rsidRDefault="000A0998">
            <w:pPr>
              <w:pStyle w:val="P68B1DB1-Normal12"/>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0AB4A920" w14:textId="13C39BAB" w:rsidR="0065073E" w:rsidRDefault="000A0998">
            <w:pPr>
              <w:pStyle w:val="paragraph"/>
              <w:spacing w:before="0" w:beforeAutospacing="0" w:after="0" w:afterAutospacing="0"/>
              <w:textAlignment w:val="baseline"/>
              <w:rPr>
                <w:rFonts w:ascii="Times New Roman" w:hAnsi="Times New Roman" w:cs="Times New Roman"/>
                <w:noProof/>
                <w:sz w:val="18"/>
              </w:rPr>
            </w:pPr>
            <w:r>
              <w:rPr>
                <w:rStyle w:val="normaltextrun"/>
                <w:rFonts w:ascii="Times New Roman" w:hAnsi="Times New Roman"/>
                <w:noProof/>
                <w:sz w:val="18"/>
              </w:rPr>
              <w:t xml:space="preserve">Täytäntöönpanosopimuksen voimaantulo </w:t>
            </w:r>
          </w:p>
        </w:tc>
      </w:tr>
      <w:tr w:rsidR="0065073E" w14:paraId="6E488E46" w14:textId="77777777">
        <w:trPr>
          <w:trHeight w:val="300"/>
        </w:trPr>
        <w:tc>
          <w:tcPr>
            <w:tcW w:w="846" w:type="dxa"/>
            <w:shd w:val="clear" w:color="auto" w:fill="C6EFCE"/>
          </w:tcPr>
          <w:p w14:paraId="6995C319" w14:textId="1FBC5C27" w:rsidR="0065073E" w:rsidRDefault="000A0998">
            <w:pPr>
              <w:pStyle w:val="P68B1DB1-Normal12"/>
              <w:spacing w:after="0" w:line="240" w:lineRule="auto"/>
              <w:jc w:val="center"/>
              <w:textAlignment w:val="baseline"/>
              <w:rPr>
                <w:rFonts w:eastAsia="Times New Roman" w:cs="Times New Roman"/>
                <w:noProof/>
              </w:rPr>
            </w:pPr>
            <w:r>
              <w:rPr>
                <w:noProof/>
              </w:rPr>
              <w:t>L36</w:t>
            </w:r>
          </w:p>
        </w:tc>
        <w:tc>
          <w:tcPr>
            <w:tcW w:w="850" w:type="dxa"/>
            <w:shd w:val="clear" w:color="auto" w:fill="C6EFCE"/>
          </w:tcPr>
          <w:p w14:paraId="316A7C83" w14:textId="77777777" w:rsidR="0065073E" w:rsidRDefault="000A0998">
            <w:pPr>
              <w:pStyle w:val="P68B1DB1-Normal12"/>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5D376CAE"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25126CE" w14:textId="682554EA" w:rsidR="0065073E" w:rsidRDefault="000A0998">
            <w:pPr>
              <w:pStyle w:val="P68B1DB1-Normal12"/>
              <w:spacing w:after="0" w:line="240" w:lineRule="auto"/>
              <w:textAlignment w:val="baseline"/>
              <w:rPr>
                <w:rFonts w:eastAsia="Times New Roman" w:cs="Times New Roman"/>
                <w:noProof/>
              </w:rPr>
            </w:pPr>
            <w:r>
              <w:rPr>
                <w:noProof/>
              </w:rPr>
              <w:t>Seuraava teknologia – lopullisten edunsaajien ja pääomarahastojen kanssa allekirjoitetut oikeudelliset sopimukset (I)</w:t>
            </w:r>
          </w:p>
        </w:tc>
        <w:tc>
          <w:tcPr>
            <w:tcW w:w="1134" w:type="dxa"/>
            <w:shd w:val="clear" w:color="auto" w:fill="C6EFCE"/>
          </w:tcPr>
          <w:p w14:paraId="6E4A6D46" w14:textId="216F8E54"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65073E" w:rsidRDefault="000A0998">
            <w:pPr>
              <w:pStyle w:val="P68B1DB1-Normal12"/>
              <w:spacing w:after="0" w:line="360" w:lineRule="auto"/>
              <w:jc w:val="center"/>
              <w:textAlignment w:val="baseline"/>
              <w:rPr>
                <w:rFonts w:eastAsia="Times New Roman" w:cs="Times New Roman"/>
                <w:noProof/>
              </w:rPr>
            </w:pPr>
            <w:r>
              <w:rPr>
                <w:noProof/>
              </w:rPr>
              <w:t>%</w:t>
            </w:r>
          </w:p>
        </w:tc>
        <w:tc>
          <w:tcPr>
            <w:tcW w:w="992" w:type="dxa"/>
            <w:shd w:val="clear" w:color="auto" w:fill="C6EFCE"/>
          </w:tcPr>
          <w:p w14:paraId="489ACAD9" w14:textId="391305EC" w:rsidR="0065073E" w:rsidRDefault="000A0998">
            <w:pPr>
              <w:pStyle w:val="P68B1DB1-Normal12"/>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7564B01C" w14:textId="6038F89D"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2C514BD"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4DB96629"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D0D321F" w14:textId="0E04BA48" w:rsidR="0065073E" w:rsidRDefault="000A0998">
            <w:pPr>
              <w:pStyle w:val="P68B1DB1-Normal12"/>
              <w:spacing w:after="0" w:line="240" w:lineRule="auto"/>
              <w:textAlignment w:val="baseline"/>
              <w:rPr>
                <w:rFonts w:eastAsia="Times New Roman" w:cs="Times New Roman"/>
                <w:noProof/>
              </w:rPr>
            </w:pPr>
            <w:r>
              <w:rPr>
                <w:noProof/>
              </w:rPr>
              <w:t xml:space="preserve">Toimintalinjan ja toimintalinjan avulla valittujen välittäjien on täytynyt tehdä lopullisten edunsaajien ja pääomarahastojen kanssa oikeudellinen rahoitussopimus määrästä, joka on tarpeen, jotta vähintään 50 prosenttia elpymis- ja palautumistukivälineen investoinneista voidaan käyttää tukivälineeseen (ottaen huomioon hallinnointipalkkiot). Toimintalinjan on laadittava kertomus, jossa esitetään yksityiskohtaisesti tämän rahoituksen osuus, jolla edistetään digitaalisia tavoitteita, käyttäen elpymis- ja palautumistukivälinettä koskevan asetuksen liitteessä VII esitettyä menetelmää. </w:t>
            </w:r>
          </w:p>
        </w:tc>
      </w:tr>
      <w:tr w:rsidR="0065073E" w14:paraId="4597898A" w14:textId="77777777">
        <w:trPr>
          <w:trHeight w:val="300"/>
        </w:trPr>
        <w:tc>
          <w:tcPr>
            <w:tcW w:w="846" w:type="dxa"/>
            <w:shd w:val="clear" w:color="auto" w:fill="C6EFCE"/>
          </w:tcPr>
          <w:p w14:paraId="70870A6A" w14:textId="13F3C568" w:rsidR="0065073E" w:rsidRDefault="000A0998">
            <w:pPr>
              <w:pStyle w:val="P68B1DB1-Normal12"/>
              <w:spacing w:after="0" w:line="240" w:lineRule="auto"/>
              <w:jc w:val="center"/>
              <w:textAlignment w:val="baseline"/>
              <w:rPr>
                <w:rFonts w:eastAsia="Times New Roman" w:cs="Times New Roman"/>
                <w:noProof/>
              </w:rPr>
            </w:pPr>
            <w:r>
              <w:rPr>
                <w:noProof/>
              </w:rPr>
              <w:t>L37</w:t>
            </w:r>
          </w:p>
        </w:tc>
        <w:tc>
          <w:tcPr>
            <w:tcW w:w="850" w:type="dxa"/>
            <w:shd w:val="clear" w:color="auto" w:fill="C6EFCE"/>
          </w:tcPr>
          <w:p w14:paraId="07A76F6F" w14:textId="77777777" w:rsidR="0065073E" w:rsidRDefault="000A0998">
            <w:pPr>
              <w:pStyle w:val="P68B1DB1-Normal12"/>
              <w:spacing w:after="0" w:line="240" w:lineRule="auto"/>
              <w:jc w:val="center"/>
              <w:textAlignment w:val="baseline"/>
              <w:rPr>
                <w:rFonts w:eastAsia="Times New Roman" w:cs="Times New Roman"/>
                <w:noProof/>
              </w:rPr>
            </w:pPr>
            <w:r>
              <w:rPr>
                <w:noProof/>
              </w:rPr>
              <w:t>C13.I7</w:t>
            </w:r>
          </w:p>
          <w:p w14:paraId="3D6AB098"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851" w:type="dxa"/>
            <w:shd w:val="clear" w:color="auto" w:fill="C6EFCE"/>
          </w:tcPr>
          <w:p w14:paraId="410584B2"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BC07377" w14:textId="7B3795CE" w:rsidR="0065073E" w:rsidRDefault="000A0998">
            <w:pPr>
              <w:pStyle w:val="P68B1DB1-Normal12"/>
              <w:spacing w:after="0" w:line="240" w:lineRule="auto"/>
              <w:textAlignment w:val="baseline"/>
              <w:rPr>
                <w:rFonts w:eastAsia="Times New Roman" w:cs="Times New Roman"/>
                <w:noProof/>
              </w:rPr>
            </w:pPr>
            <w:r>
              <w:rPr>
                <w:noProof/>
              </w:rPr>
              <w:t>Seuraava teknologia – lopullisten edunsaajien ja pääomarahastojen kanssa allekirjoitetut oikeudelliset sopimukset (II)</w:t>
            </w:r>
          </w:p>
        </w:tc>
        <w:tc>
          <w:tcPr>
            <w:tcW w:w="1134" w:type="dxa"/>
            <w:shd w:val="clear" w:color="auto" w:fill="C6EFCE"/>
          </w:tcPr>
          <w:p w14:paraId="711A44B0" w14:textId="275B0298"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3EF1F523" w14:textId="30DE1D69"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63560433" w14:textId="7BE776E1" w:rsidR="0065073E" w:rsidRDefault="000A0998">
            <w:pPr>
              <w:pStyle w:val="P68B1DB1-Normal12"/>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75EBF31D"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7DA9086"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16E76197" w14:textId="53BF8B2E" w:rsidR="0065073E" w:rsidRDefault="000A0998">
            <w:pPr>
              <w:pStyle w:val="P68B1DB1-Normal12"/>
              <w:spacing w:after="0" w:line="240" w:lineRule="auto"/>
              <w:textAlignment w:val="baseline"/>
              <w:rPr>
                <w:rFonts w:eastAsia="Times New Roman" w:cs="Times New Roman"/>
                <w:noProof/>
              </w:rPr>
            </w:pPr>
            <w:r>
              <w:rPr>
                <w:noProof/>
              </w:rPr>
              <w:t xml:space="preserve">Toimintalinjan ja toimintalinjan avulla valittujen välittäjien on täytynyt tehdä lopullisten edunsaajien ja pääomarahastojen kanssa oikeudellinen rahoitussopimus määrästä, joka on tarpeen, jotta vähintään 75 prosenttia elpymis- ja palautumistukivälineen investoinneista voidaan käyttää tukivälineeseen (ottaen huomioon hallinnointipalkkiot). Toimintalinjan on laadittava kertomus, jossa esitetään yksityiskohtaisesti tämän rahoituksen osuus, jolla edistetään digitaalisia tavoitteita, käyttäen elpymis- ja palautumistukivälinettä koskevan asetuksen liitteessä VII esitettyä menetelmää. </w:t>
            </w:r>
          </w:p>
        </w:tc>
      </w:tr>
      <w:tr w:rsidR="0065073E" w14:paraId="277B94BD" w14:textId="77777777">
        <w:trPr>
          <w:trHeight w:val="300"/>
        </w:trPr>
        <w:tc>
          <w:tcPr>
            <w:tcW w:w="846" w:type="dxa"/>
            <w:shd w:val="clear" w:color="auto" w:fill="C6EFCE"/>
          </w:tcPr>
          <w:p w14:paraId="61844900" w14:textId="52F53057" w:rsidR="0065073E" w:rsidRDefault="000A0998">
            <w:pPr>
              <w:pStyle w:val="P68B1DB1-Normal12"/>
              <w:spacing w:after="0" w:line="240" w:lineRule="auto"/>
              <w:jc w:val="center"/>
              <w:textAlignment w:val="baseline"/>
              <w:rPr>
                <w:rFonts w:eastAsia="Times New Roman" w:cs="Times New Roman"/>
                <w:noProof/>
              </w:rPr>
            </w:pPr>
            <w:r>
              <w:rPr>
                <w:noProof/>
              </w:rPr>
              <w:t>L38</w:t>
            </w:r>
          </w:p>
        </w:tc>
        <w:tc>
          <w:tcPr>
            <w:tcW w:w="850" w:type="dxa"/>
            <w:shd w:val="clear" w:color="auto" w:fill="C6EFCE"/>
          </w:tcPr>
          <w:p w14:paraId="2AF164FC" w14:textId="77777777" w:rsidR="0065073E" w:rsidRDefault="000A0998">
            <w:pPr>
              <w:pStyle w:val="P68B1DB1-Normal12"/>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09BBE52D"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853A9B8" w14:textId="1E7B0942" w:rsidR="0065073E" w:rsidRDefault="000A0998">
            <w:pPr>
              <w:pStyle w:val="P68B1DB1-Normal12"/>
              <w:spacing w:after="0" w:line="240" w:lineRule="auto"/>
              <w:textAlignment w:val="baseline"/>
              <w:rPr>
                <w:rFonts w:eastAsia="Times New Roman" w:cs="Times New Roman"/>
                <w:noProof/>
              </w:rPr>
            </w:pPr>
            <w:r>
              <w:rPr>
                <w:noProof/>
              </w:rPr>
              <w:t>Seuraava teknologia – lopullisten edunsaajien ja pääomarahastojen kanssa allekirjoitetut oikeudelliset sopimukset (II)</w:t>
            </w:r>
          </w:p>
        </w:tc>
        <w:tc>
          <w:tcPr>
            <w:tcW w:w="1134" w:type="dxa"/>
            <w:shd w:val="clear" w:color="auto" w:fill="C6EFCE"/>
          </w:tcPr>
          <w:p w14:paraId="0CA2BE6E" w14:textId="056C921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1E5A1461" w14:textId="61C4BED3" w:rsidR="0065073E" w:rsidRDefault="000A0998">
            <w:pPr>
              <w:pStyle w:val="P68B1DB1-Normal12"/>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00CC87E9" w14:textId="2EB5FF72"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4186B1BD" w14:textId="2D94B469"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675D6D0F"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62DD61C" w14:textId="3597952C" w:rsidR="0065073E" w:rsidRDefault="000A0998">
            <w:pPr>
              <w:pStyle w:val="P68B1DB1-Normal12"/>
              <w:spacing w:after="0" w:line="240" w:lineRule="auto"/>
              <w:textAlignment w:val="baseline"/>
              <w:rPr>
                <w:rFonts w:eastAsia="Times New Roman" w:cs="Times New Roman"/>
                <w:noProof/>
              </w:rPr>
            </w:pPr>
            <w:r>
              <w:rPr>
                <w:noProof/>
              </w:rPr>
              <w:t xml:space="preserve">Toimintalinja ja toimintalinjalla valitut välittäjät ovat tehneet lopullisten edunsaajien ja pääomarahastojen kanssa oikeudellisen rahoitussopimuksen määrästä, joka on tarpeen, jotta kaikki elpymis- ja palautumistukivälineen investoinnit tukivälineeseen voidaan käyttää (ottaen huomioon hallinnointipalkkiot). Tästä rahoituksesta 100 prosentilla edistetään digitaalisia tavoitteita elpymis- ja palautumistukivälinettä koskevan asetuksen liitteessä VII esitetyn menetelmän mukaisesti. </w:t>
            </w:r>
          </w:p>
        </w:tc>
      </w:tr>
      <w:tr w:rsidR="0065073E" w14:paraId="62E7A379" w14:textId="77777777">
        <w:trPr>
          <w:trHeight w:val="300"/>
        </w:trPr>
        <w:tc>
          <w:tcPr>
            <w:tcW w:w="846" w:type="dxa"/>
            <w:shd w:val="clear" w:color="auto" w:fill="C6EFCE"/>
          </w:tcPr>
          <w:p w14:paraId="4B05E2B6" w14:textId="382D6228" w:rsidR="0065073E" w:rsidRDefault="000A0998">
            <w:pPr>
              <w:pStyle w:val="P68B1DB1-Normal12"/>
              <w:spacing w:after="0" w:line="240" w:lineRule="auto"/>
              <w:jc w:val="center"/>
              <w:textAlignment w:val="baseline"/>
              <w:rPr>
                <w:rFonts w:eastAsia="Times New Roman" w:cs="Times New Roman"/>
                <w:noProof/>
              </w:rPr>
            </w:pPr>
            <w:r>
              <w:rPr>
                <w:noProof/>
              </w:rPr>
              <w:t>L39</w:t>
            </w:r>
          </w:p>
        </w:tc>
        <w:tc>
          <w:tcPr>
            <w:tcW w:w="850" w:type="dxa"/>
            <w:shd w:val="clear" w:color="auto" w:fill="C6EFCE"/>
          </w:tcPr>
          <w:p w14:paraId="3BD747F8" w14:textId="77777777" w:rsidR="0065073E" w:rsidRDefault="000A0998">
            <w:pPr>
              <w:pStyle w:val="P68B1DB1-Normal12"/>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4CF0C57E"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4BD548CA" w14:textId="711EE18B" w:rsidR="0065073E" w:rsidRDefault="000A0998">
            <w:pPr>
              <w:pStyle w:val="P68B1DB1-Normal12"/>
              <w:spacing w:after="0" w:line="240" w:lineRule="auto"/>
              <w:textAlignment w:val="baseline"/>
              <w:rPr>
                <w:rFonts w:eastAsia="Times New Roman" w:cs="Times New Roman"/>
                <w:noProof/>
              </w:rPr>
            </w:pPr>
            <w:r>
              <w:rPr>
                <w:noProof/>
              </w:rPr>
              <w:t xml:space="preserve">Seuraava teknologia – ministeriön investoinnit on saatu päätökseen. </w:t>
            </w:r>
          </w:p>
        </w:tc>
        <w:tc>
          <w:tcPr>
            <w:tcW w:w="1134" w:type="dxa"/>
            <w:shd w:val="clear" w:color="auto" w:fill="C6EFCE"/>
          </w:tcPr>
          <w:p w14:paraId="50565B4D" w14:textId="01BB337C" w:rsidR="0065073E" w:rsidRDefault="000A0998">
            <w:pPr>
              <w:pStyle w:val="P68B1DB1-Normal12"/>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1BF984B9" w14:textId="7509B215"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4E656853"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3601E0F" w14:textId="1001B4B6"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96DDA20" w14:textId="3CD9E96D"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4655CBB3"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64747634" w14:textId="11E345AE" w:rsidR="0065073E" w:rsidRDefault="000A0998">
            <w:pPr>
              <w:pStyle w:val="P68B1DB1-Normal12"/>
              <w:spacing w:after="0" w:line="240" w:lineRule="auto"/>
              <w:textAlignment w:val="baseline"/>
              <w:rPr>
                <w:rFonts w:eastAsia="Times New Roman" w:cs="Times New Roman"/>
                <w:noProof/>
              </w:rPr>
            </w:pPr>
            <w:r>
              <w:rPr>
                <w:noProof/>
              </w:rPr>
              <w:t>Espanjan on siirrettävä 4000000000 euroa ICO:lle lainajärjestelyä varten.</w:t>
            </w:r>
          </w:p>
        </w:tc>
      </w:tr>
      <w:tr w:rsidR="0065073E" w14:paraId="4E31ADCE" w14:textId="77777777">
        <w:trPr>
          <w:trHeight w:val="300"/>
        </w:trPr>
        <w:tc>
          <w:tcPr>
            <w:tcW w:w="846" w:type="dxa"/>
            <w:shd w:val="clear" w:color="auto" w:fill="C6EFCE"/>
          </w:tcPr>
          <w:p w14:paraId="6B773916" w14:textId="2C35DE84" w:rsidR="0065073E" w:rsidRDefault="000A0998">
            <w:pPr>
              <w:pStyle w:val="P68B1DB1-Normal12"/>
              <w:spacing w:after="0" w:line="240" w:lineRule="auto"/>
              <w:jc w:val="center"/>
              <w:textAlignment w:val="baseline"/>
              <w:rPr>
                <w:rFonts w:eastAsia="Times New Roman" w:cs="Times New Roman"/>
                <w:noProof/>
              </w:rPr>
            </w:pPr>
            <w:r>
              <w:rPr>
                <w:noProof/>
              </w:rPr>
              <w:t>L40</w:t>
            </w:r>
          </w:p>
        </w:tc>
        <w:tc>
          <w:tcPr>
            <w:tcW w:w="850" w:type="dxa"/>
            <w:shd w:val="clear" w:color="auto" w:fill="C6EFCE"/>
          </w:tcPr>
          <w:p w14:paraId="57D602EB" w14:textId="77777777" w:rsidR="0065073E" w:rsidRDefault="000A0998">
            <w:pPr>
              <w:pStyle w:val="P68B1DB1-Normal12"/>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483ACA03"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1264AA5D" w14:textId="48BF9705" w:rsidR="0065073E" w:rsidRDefault="000A0998">
            <w:pPr>
              <w:pStyle w:val="P68B1DB1-Normal12"/>
              <w:spacing w:after="0" w:line="240" w:lineRule="auto"/>
              <w:textAlignment w:val="baseline"/>
              <w:rPr>
                <w:rFonts w:eastAsia="Times New Roman" w:cs="Times New Roman"/>
                <w:noProof/>
              </w:rPr>
            </w:pPr>
            <w:r>
              <w:rPr>
                <w:noProof/>
              </w:rPr>
              <w:t>Foco – rahaston perustamista koskevat asetukset</w:t>
            </w:r>
          </w:p>
        </w:tc>
        <w:tc>
          <w:tcPr>
            <w:tcW w:w="1134" w:type="dxa"/>
            <w:shd w:val="clear" w:color="auto" w:fill="C6EFCE"/>
          </w:tcPr>
          <w:p w14:paraId="3AE85A06" w14:textId="2FE3DBE9" w:rsidR="0065073E" w:rsidRDefault="000A0998">
            <w:pPr>
              <w:pStyle w:val="P68B1DB1-Normal12"/>
              <w:spacing w:after="0" w:line="240" w:lineRule="auto"/>
              <w:jc w:val="center"/>
              <w:textAlignment w:val="baseline"/>
              <w:rPr>
                <w:rFonts w:eastAsia="Times New Roman" w:cs="Times New Roman"/>
                <w:noProof/>
              </w:rPr>
            </w:pPr>
            <w:r>
              <w:rPr>
                <w:noProof/>
              </w:rPr>
              <w:t>Tukivälineen perustamisesta annettujen asetusten voimaantulo</w:t>
            </w:r>
          </w:p>
        </w:tc>
        <w:tc>
          <w:tcPr>
            <w:tcW w:w="709" w:type="dxa"/>
            <w:shd w:val="clear" w:color="auto" w:fill="C6EFCE"/>
          </w:tcPr>
          <w:p w14:paraId="7ED26068"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7C979E1"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558F92"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8719DEB" w14:textId="2C7E5EF1" w:rsidR="0065073E" w:rsidRDefault="000A0998">
            <w:pPr>
              <w:pStyle w:val="P68B1DB1-Normal12"/>
              <w:spacing w:after="0" w:line="240" w:lineRule="auto"/>
              <w:jc w:val="center"/>
              <w:textAlignment w:val="baseline"/>
              <w:rPr>
                <w:rFonts w:eastAsia="Times New Roman" w:cs="Times New Roman"/>
                <w:noProof/>
              </w:rPr>
            </w:pPr>
            <w:r>
              <w:rPr>
                <w:noProof/>
              </w:rPr>
              <w:t>ENSIMMÄINEN VUOSINELJÄNNES</w:t>
            </w:r>
          </w:p>
        </w:tc>
        <w:tc>
          <w:tcPr>
            <w:tcW w:w="709" w:type="dxa"/>
            <w:shd w:val="clear" w:color="auto" w:fill="C6EFCE"/>
          </w:tcPr>
          <w:p w14:paraId="69C41DF4" w14:textId="070D1F91"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23BE14D3" w14:textId="6F9411AC" w:rsidR="0065073E" w:rsidRDefault="000A0998">
            <w:pPr>
              <w:pStyle w:val="P68B1DB1-Normal12"/>
              <w:spacing w:after="0" w:line="240" w:lineRule="auto"/>
              <w:textAlignment w:val="baseline"/>
              <w:rPr>
                <w:rFonts w:eastAsia="Times New Roman" w:cs="Times New Roman"/>
                <w:noProof/>
              </w:rPr>
            </w:pPr>
            <w:r>
              <w:rPr>
                <w:noProof/>
              </w:rPr>
              <w:t xml:space="preserve">Rahaston perustamista koskevan asetuksen ja siihen liittyvien asiakirjojen voimaantulo. </w:t>
            </w:r>
          </w:p>
        </w:tc>
      </w:tr>
      <w:tr w:rsidR="0065073E" w14:paraId="388D8E24" w14:textId="77777777">
        <w:trPr>
          <w:trHeight w:val="300"/>
        </w:trPr>
        <w:tc>
          <w:tcPr>
            <w:tcW w:w="846" w:type="dxa"/>
            <w:shd w:val="clear" w:color="auto" w:fill="C6EFCE"/>
          </w:tcPr>
          <w:p w14:paraId="62E598CB" w14:textId="2303095C" w:rsidR="0065073E" w:rsidRDefault="000A0998">
            <w:pPr>
              <w:pStyle w:val="P68B1DB1-Normal12"/>
              <w:spacing w:after="0" w:line="240" w:lineRule="auto"/>
              <w:jc w:val="center"/>
              <w:textAlignment w:val="baseline"/>
              <w:rPr>
                <w:rFonts w:eastAsia="Times New Roman" w:cs="Times New Roman"/>
                <w:noProof/>
              </w:rPr>
            </w:pPr>
            <w:r>
              <w:rPr>
                <w:noProof/>
              </w:rPr>
              <w:t>L41</w:t>
            </w:r>
          </w:p>
        </w:tc>
        <w:tc>
          <w:tcPr>
            <w:tcW w:w="850" w:type="dxa"/>
            <w:shd w:val="clear" w:color="auto" w:fill="C6EFCE"/>
          </w:tcPr>
          <w:p w14:paraId="1D237F3C" w14:textId="77777777" w:rsidR="0065073E" w:rsidRDefault="000A0998">
            <w:pPr>
              <w:pStyle w:val="P68B1DB1-Normal12"/>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75D4F251"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560FF3F" w14:textId="791168AA" w:rsidR="0065073E" w:rsidRDefault="000A0998">
            <w:pPr>
              <w:pStyle w:val="P68B1DB1-Normal12"/>
              <w:spacing w:after="0" w:line="240" w:lineRule="auto"/>
              <w:textAlignment w:val="baseline"/>
              <w:rPr>
                <w:rFonts w:eastAsia="Times New Roman" w:cs="Times New Roman"/>
                <w:noProof/>
              </w:rPr>
            </w:pPr>
            <w:r>
              <w:rPr>
                <w:noProof/>
              </w:rPr>
              <w:t>Foco – Lopullisten edunsaajien (mukaan lukien pääomarahastot) kanssa allekirjoitetut oikeudelliset sopimukset (I)</w:t>
            </w:r>
          </w:p>
        </w:tc>
        <w:tc>
          <w:tcPr>
            <w:tcW w:w="1134" w:type="dxa"/>
            <w:shd w:val="clear" w:color="auto" w:fill="C6EFCE"/>
          </w:tcPr>
          <w:p w14:paraId="752CC410" w14:textId="1E76E50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00758ADC" w14:textId="77777777" w:rsidR="0065073E" w:rsidRDefault="000A0998">
            <w:pPr>
              <w:pStyle w:val="P68B1DB1-Normal12"/>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385CBF3D" w14:textId="580B9033" w:rsidR="0065073E" w:rsidRDefault="000A0998">
            <w:pPr>
              <w:pStyle w:val="P68B1DB1-Normal12"/>
              <w:spacing w:after="0" w:line="240" w:lineRule="auto"/>
              <w:jc w:val="right"/>
              <w:textAlignment w:val="baseline"/>
              <w:rPr>
                <w:rFonts w:eastAsia="Times New Roman" w:cs="Times New Roman"/>
                <w:noProof/>
              </w:rPr>
            </w:pPr>
            <w:r>
              <w:rPr>
                <w:noProof/>
              </w:rPr>
              <w:t>50 %</w:t>
            </w:r>
          </w:p>
          <w:p w14:paraId="59214C2B"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73FE16"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15E7847C"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6DD25180" w14:textId="7177FB58" w:rsidR="0065073E" w:rsidRDefault="000A0998">
            <w:pPr>
              <w:pStyle w:val="P68B1DB1-Normal12"/>
              <w:spacing w:after="0" w:line="240" w:lineRule="auto"/>
              <w:textAlignment w:val="baseline"/>
              <w:rPr>
                <w:rFonts w:eastAsia="Times New Roman" w:cs="Times New Roman"/>
                <w:noProof/>
              </w:rPr>
            </w:pPr>
            <w:r>
              <w:rPr>
                <w:noProof/>
              </w:rPr>
              <w:t>Tukiväline ja COFIDESin valitsemat välittäjät ovat tehneet lopullisten edunsaajien (mukaan lukien oman pääoman ehtoiset rahastot) kanssa oikeudellisia rahoitussopimuksia, jotka ovat tarpeen, jotta vähintään 50 prosenttia elpymis- ja palautumistukivälineen investoinneista voidaan käyttää tukivälineeseen (ottaen huomioon hallinnointipalkkiot). Vähintään 20 prosenttia rahoituksesta vastaa pääomarahastojen kanssa allekirjoitettuja rahoitussopimuksia ja vähintään 20 prosenttia lopullisten tuensaajien kanssa allekirjoitettuja rahoitussopimuksia, jotka koskevat kaikkia muita sijoitustuotteita (mukaan lukien lainajärjestelyn suorat pääomasijoitukset).</w:t>
            </w:r>
          </w:p>
        </w:tc>
      </w:tr>
      <w:tr w:rsidR="0065073E" w14:paraId="4DE1B9BD" w14:textId="77777777">
        <w:trPr>
          <w:trHeight w:val="300"/>
        </w:trPr>
        <w:tc>
          <w:tcPr>
            <w:tcW w:w="846" w:type="dxa"/>
            <w:shd w:val="clear" w:color="auto" w:fill="C6EFCE"/>
          </w:tcPr>
          <w:p w14:paraId="2992D19F" w14:textId="3844CEEA" w:rsidR="0065073E" w:rsidRDefault="000A0998">
            <w:pPr>
              <w:pStyle w:val="P68B1DB1-Normal12"/>
              <w:spacing w:after="0" w:line="240" w:lineRule="auto"/>
              <w:jc w:val="center"/>
              <w:textAlignment w:val="baseline"/>
              <w:rPr>
                <w:rFonts w:eastAsia="Times New Roman" w:cs="Times New Roman"/>
                <w:noProof/>
              </w:rPr>
            </w:pPr>
            <w:r>
              <w:rPr>
                <w:noProof/>
              </w:rPr>
              <w:t>L42</w:t>
            </w:r>
          </w:p>
        </w:tc>
        <w:tc>
          <w:tcPr>
            <w:tcW w:w="850" w:type="dxa"/>
            <w:shd w:val="clear" w:color="auto" w:fill="C6EFCE"/>
          </w:tcPr>
          <w:p w14:paraId="008092BD" w14:textId="77777777" w:rsidR="0065073E" w:rsidRDefault="000A0998">
            <w:pPr>
              <w:pStyle w:val="P68B1DB1-Normal12"/>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5F8A0532"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F63345" w14:textId="2BE93766" w:rsidR="0065073E" w:rsidRDefault="000A0998">
            <w:pPr>
              <w:pStyle w:val="P68B1DB1-Normal12"/>
              <w:spacing w:after="0" w:line="240" w:lineRule="auto"/>
              <w:textAlignment w:val="baseline"/>
              <w:rPr>
                <w:rFonts w:eastAsia="Times New Roman" w:cs="Times New Roman"/>
                <w:noProof/>
              </w:rPr>
            </w:pPr>
            <w:r>
              <w:rPr>
                <w:noProof/>
              </w:rPr>
              <w:t>Foco – Lopullisten edunsaajien (mukaan lukien oman pääoman ehtoiset rahastot) kanssa allekirjoitetut oikeudelliset sopimukset (II)</w:t>
            </w:r>
          </w:p>
        </w:tc>
        <w:tc>
          <w:tcPr>
            <w:tcW w:w="1134" w:type="dxa"/>
            <w:shd w:val="clear" w:color="auto" w:fill="C6EFCE"/>
          </w:tcPr>
          <w:p w14:paraId="1C19B6C9" w14:textId="11CE6039"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65073E" w:rsidRDefault="000A0998">
            <w:pPr>
              <w:pStyle w:val="P68B1DB1-Normal12"/>
              <w:spacing w:after="0" w:line="240" w:lineRule="auto"/>
              <w:jc w:val="center"/>
              <w:textAlignment w:val="baseline"/>
              <w:rPr>
                <w:rFonts w:eastAsia="Times New Roman" w:cs="Times New Roman"/>
                <w:noProof/>
              </w:rPr>
            </w:pPr>
            <w:r>
              <w:rPr>
                <w:noProof/>
              </w:rPr>
              <w:t>%</w:t>
            </w:r>
          </w:p>
        </w:tc>
        <w:tc>
          <w:tcPr>
            <w:tcW w:w="992" w:type="dxa"/>
            <w:shd w:val="clear" w:color="auto" w:fill="C6EFCE"/>
          </w:tcPr>
          <w:p w14:paraId="2AC405AC" w14:textId="1252F274" w:rsidR="0065073E" w:rsidRDefault="000A0998">
            <w:pPr>
              <w:pStyle w:val="P68B1DB1-Normal12"/>
              <w:spacing w:after="0" w:line="240" w:lineRule="auto"/>
              <w:jc w:val="center"/>
              <w:textAlignment w:val="baseline"/>
              <w:rPr>
                <w:rFonts w:eastAsia="Times New Roman" w:cs="Times New Roman"/>
                <w:noProof/>
              </w:rPr>
            </w:pPr>
            <w:r>
              <w:rPr>
                <w:noProof/>
              </w:rPr>
              <w:t>50 %</w:t>
            </w:r>
          </w:p>
        </w:tc>
        <w:tc>
          <w:tcPr>
            <w:tcW w:w="709" w:type="dxa"/>
            <w:shd w:val="clear" w:color="auto" w:fill="C6EFCE"/>
          </w:tcPr>
          <w:p w14:paraId="3D1A6017" w14:textId="0F9BBE4D"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37E52C92" w14:textId="0EDCC6CE"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6DEBAB30"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133B97" w14:textId="2D09A65B" w:rsidR="0065073E" w:rsidRDefault="000A0998">
            <w:pPr>
              <w:pStyle w:val="P68B1DB1-Normal12"/>
              <w:spacing w:after="0" w:line="240" w:lineRule="auto"/>
              <w:textAlignment w:val="baseline"/>
              <w:rPr>
                <w:rFonts w:eastAsia="Times New Roman" w:cs="Times New Roman"/>
                <w:noProof/>
              </w:rPr>
            </w:pPr>
            <w:r>
              <w:rPr>
                <w:noProof/>
              </w:rPr>
              <w:t>Tukiväline ja COFIDESin valitsemat välittäjät ovat tehneet lopullisten edunsaajien (mukaan lukien oman pääoman ehtoiset rahastot) kanssa oikeudellisia rahoitussopimuksia, jotka ovat tarpeen, jotta 100 prosenttia elpymis- ja palautumistukivälineen investoinneista voidaan käyttää tukivälineeseen (ottaen huomioon hallinnointipalkkiot). Vähintään 20 prosenttia rahoituksesta vastaa pääomarahastojen kanssa allekirjoitettuja rahoitussopimuksia ja vähintään 20 prosenttia lopullisten tuensaajien kanssa allekirjoitettuja rahoitussopimuksia, jotka koskevat kaikkia muita sijoitustuotteita (mukaan lukien lainajärjestelyn suorat pääomasijoitukset).</w:t>
            </w:r>
          </w:p>
        </w:tc>
      </w:tr>
      <w:tr w:rsidR="0065073E" w14:paraId="413858E2" w14:textId="77777777">
        <w:trPr>
          <w:trHeight w:val="300"/>
        </w:trPr>
        <w:tc>
          <w:tcPr>
            <w:tcW w:w="846" w:type="dxa"/>
            <w:shd w:val="clear" w:color="auto" w:fill="C6EFCE"/>
          </w:tcPr>
          <w:p w14:paraId="679F761A" w14:textId="72994404" w:rsidR="0065073E" w:rsidRDefault="000A0998">
            <w:pPr>
              <w:pStyle w:val="P68B1DB1-Normal12"/>
              <w:spacing w:after="0" w:line="240" w:lineRule="auto"/>
              <w:jc w:val="center"/>
              <w:textAlignment w:val="baseline"/>
              <w:rPr>
                <w:rFonts w:eastAsia="Times New Roman" w:cs="Times New Roman"/>
                <w:noProof/>
              </w:rPr>
            </w:pPr>
            <w:r>
              <w:rPr>
                <w:noProof/>
              </w:rPr>
              <w:t>L43</w:t>
            </w:r>
          </w:p>
        </w:tc>
        <w:tc>
          <w:tcPr>
            <w:tcW w:w="850" w:type="dxa"/>
            <w:shd w:val="clear" w:color="auto" w:fill="C6EFCE"/>
          </w:tcPr>
          <w:p w14:paraId="6B82B99B" w14:textId="77777777" w:rsidR="0065073E" w:rsidRDefault="000A0998">
            <w:pPr>
              <w:pStyle w:val="P68B1DB1-Normal12"/>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11175A4F"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7F04ADC" w14:textId="2CFEFE6D" w:rsidR="0065073E" w:rsidRDefault="000A0998">
            <w:pPr>
              <w:pStyle w:val="P68B1DB1-Normal12"/>
              <w:spacing w:after="0" w:line="240" w:lineRule="auto"/>
              <w:textAlignment w:val="baseline"/>
              <w:rPr>
                <w:rFonts w:eastAsia="Times New Roman" w:cs="Times New Roman"/>
                <w:noProof/>
              </w:rPr>
            </w:pPr>
            <w:r>
              <w:rPr>
                <w:noProof/>
              </w:rPr>
              <w:t>Foco – Ministeriö on saanut investoinnin päätökseen.</w:t>
            </w:r>
          </w:p>
        </w:tc>
        <w:tc>
          <w:tcPr>
            <w:tcW w:w="1134" w:type="dxa"/>
            <w:shd w:val="clear" w:color="auto" w:fill="C6EFCE"/>
          </w:tcPr>
          <w:p w14:paraId="6874C2AB" w14:textId="5F59CDA8" w:rsidR="0065073E" w:rsidRDefault="000A0998">
            <w:pPr>
              <w:pStyle w:val="P68B1DB1-Normal12"/>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625D17C6" w14:textId="6FFA06D2"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865F839"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AF06EC2" w14:textId="65E4AC7C"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4D5F054" w14:textId="46C375E6"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3E719710"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6BD24C5" w14:textId="01188F1C" w:rsidR="0065073E" w:rsidRDefault="000A0998">
            <w:pPr>
              <w:pStyle w:val="P68B1DB1-Normal12"/>
              <w:spacing w:after="0" w:line="240" w:lineRule="auto"/>
              <w:textAlignment w:val="baseline"/>
              <w:rPr>
                <w:rFonts w:eastAsia="Times New Roman" w:cs="Times New Roman"/>
                <w:noProof/>
              </w:rPr>
            </w:pPr>
            <w:r>
              <w:rPr>
                <w:noProof/>
              </w:rPr>
              <w:t>Espanjan on siirrettävä 2000000000 euroa lainajärjestelyyn.</w:t>
            </w:r>
          </w:p>
        </w:tc>
      </w:tr>
      <w:tr w:rsidR="0065073E" w14:paraId="674A0CA5" w14:textId="77777777">
        <w:trPr>
          <w:trHeight w:val="1829"/>
        </w:trPr>
        <w:tc>
          <w:tcPr>
            <w:tcW w:w="846" w:type="dxa"/>
            <w:shd w:val="clear" w:color="auto" w:fill="C6EFCE"/>
          </w:tcPr>
          <w:p w14:paraId="29B69C3C" w14:textId="35DF434C" w:rsidR="0065073E" w:rsidRDefault="000A0998">
            <w:pPr>
              <w:pStyle w:val="P68B1DB1-Normal12"/>
              <w:spacing w:after="0" w:line="240" w:lineRule="auto"/>
              <w:jc w:val="center"/>
              <w:textAlignment w:val="baseline"/>
              <w:rPr>
                <w:rFonts w:eastAsia="Times New Roman" w:cs="Times New Roman"/>
                <w:noProof/>
              </w:rPr>
            </w:pPr>
            <w:bookmarkStart w:id="47" w:name="_Hlk144798525"/>
            <w:r>
              <w:rPr>
                <w:noProof/>
              </w:rPr>
              <w:t>L44</w:t>
            </w:r>
          </w:p>
        </w:tc>
        <w:tc>
          <w:tcPr>
            <w:tcW w:w="850" w:type="dxa"/>
            <w:shd w:val="clear" w:color="auto" w:fill="C6EFCE"/>
          </w:tcPr>
          <w:p w14:paraId="5D94843C" w14:textId="77777777" w:rsidR="0065073E" w:rsidRDefault="000A0998">
            <w:pPr>
              <w:pStyle w:val="P68B1DB1-Normal12"/>
              <w:spacing w:after="0" w:line="240" w:lineRule="auto"/>
              <w:jc w:val="center"/>
              <w:textAlignment w:val="baseline"/>
              <w:rPr>
                <w:rFonts w:eastAsia="Times New Roman" w:cs="Times New Roman"/>
                <w:noProof/>
              </w:rPr>
            </w:pPr>
            <w:r>
              <w:rPr>
                <w:noProof/>
              </w:rPr>
              <w:t>C13.I9</w:t>
            </w:r>
          </w:p>
        </w:tc>
        <w:tc>
          <w:tcPr>
            <w:tcW w:w="851" w:type="dxa"/>
            <w:shd w:val="clear" w:color="auto" w:fill="C6EFCE"/>
          </w:tcPr>
          <w:p w14:paraId="25A1D4DB"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6F8DFB" w14:textId="77777777" w:rsidR="0065073E" w:rsidRDefault="000A0998">
            <w:pPr>
              <w:pStyle w:val="P68B1DB1-Normal12"/>
              <w:spacing w:after="0" w:line="240" w:lineRule="auto"/>
              <w:textAlignment w:val="baseline"/>
              <w:rPr>
                <w:rFonts w:eastAsia="Times New Roman" w:cs="Times New Roman"/>
                <w:noProof/>
              </w:rPr>
            </w:pPr>
            <w:r>
              <w:rPr>
                <w:noProof/>
              </w:rPr>
              <w:t>Strategisten yritysten vakavaraisuustukirahasto</w:t>
            </w:r>
          </w:p>
        </w:tc>
        <w:tc>
          <w:tcPr>
            <w:tcW w:w="1134" w:type="dxa"/>
            <w:shd w:val="clear" w:color="auto" w:fill="C6EFCE"/>
          </w:tcPr>
          <w:p w14:paraId="6EA6A767"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77777777" w:rsidR="0065073E" w:rsidRDefault="000A0998">
            <w:pPr>
              <w:pStyle w:val="P68B1DB1-Normal12"/>
              <w:spacing w:after="0" w:line="240" w:lineRule="auto"/>
              <w:jc w:val="center"/>
              <w:textAlignment w:val="baseline"/>
              <w:rPr>
                <w:rFonts w:eastAsia="Times New Roman" w:cs="Times New Roman"/>
                <w:noProof/>
              </w:rPr>
            </w:pPr>
            <w:r>
              <w:rPr>
                <w:noProof/>
              </w:rPr>
              <w:t>Miljoonaa euroa</w:t>
            </w:r>
          </w:p>
        </w:tc>
        <w:tc>
          <w:tcPr>
            <w:tcW w:w="992" w:type="dxa"/>
            <w:shd w:val="clear" w:color="auto" w:fill="C6EFCE"/>
          </w:tcPr>
          <w:p w14:paraId="2F819E3C" w14:textId="77777777" w:rsidR="0065073E" w:rsidRDefault="000A0998">
            <w:pPr>
              <w:pStyle w:val="P68B1DB1-Normal12"/>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1AA03446" w14:textId="77777777" w:rsidR="0065073E" w:rsidRDefault="000A0998">
            <w:pPr>
              <w:pStyle w:val="P68B1DB1-Normal12"/>
              <w:spacing w:after="0" w:line="240" w:lineRule="auto"/>
              <w:jc w:val="right"/>
              <w:textAlignment w:val="baseline"/>
              <w:rPr>
                <w:rFonts w:eastAsia="Times New Roman" w:cs="Times New Roman"/>
                <w:noProof/>
              </w:rPr>
            </w:pPr>
            <w:r>
              <w:rPr>
                <w:noProof/>
              </w:rPr>
              <w:t>563</w:t>
            </w:r>
          </w:p>
        </w:tc>
        <w:tc>
          <w:tcPr>
            <w:tcW w:w="709" w:type="dxa"/>
            <w:shd w:val="clear" w:color="auto" w:fill="C6EFCE"/>
          </w:tcPr>
          <w:p w14:paraId="0F02180E"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5E619485" w14:textId="77777777"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08B9E70" w14:textId="751A3453" w:rsidR="0065073E" w:rsidRDefault="000A0998">
            <w:pPr>
              <w:pStyle w:val="P68B1DB1-Normal12"/>
              <w:spacing w:line="240" w:lineRule="auto"/>
              <w:rPr>
                <w:rFonts w:eastAsia="Times New Roman" w:cs="Times New Roman"/>
                <w:noProof/>
              </w:rPr>
            </w:pPr>
            <w:r>
              <w:rPr>
                <w:noProof/>
              </w:rPr>
              <w:t xml:space="preserve">Vähintään 563300000 euroa elpymis- ja palautumistukivälineen tukikelpoisia toimia on maksettu lopullisille edunsaajille. Riippumattoman tarkastajan tekemässä jälkitarkastuksessa olisi vahvistettava ainakin ”ei merkittävää haittaa” -periaatteen ja valtiontukisääntöjen noudattaminen, petosten, korruption, eturistiriitojen ja päällekkäisen rahoituksen puuttuminen sekä elpymis- ja palautumistukivälineen 22 artiklassa tarkoitettu tiedonkeruu. Jälkitarkastuksessa on varmistettava, että tukea on annettu ainoastaan yrityksille, jotka tuen myöntämishetkellä olivat elinkelpoisia ja strategisia kansalliselle tai alueelliselle tuotantorakenteelle. </w:t>
            </w:r>
          </w:p>
        </w:tc>
      </w:tr>
      <w:tr w:rsidR="0065073E" w14:paraId="3973BF9B" w14:textId="77777777">
        <w:trPr>
          <w:trHeight w:val="300"/>
        </w:trPr>
        <w:tc>
          <w:tcPr>
            <w:tcW w:w="846" w:type="dxa"/>
            <w:shd w:val="clear" w:color="auto" w:fill="C6EFCE"/>
          </w:tcPr>
          <w:p w14:paraId="1ED40D9B" w14:textId="0F2A4A88" w:rsidR="0065073E" w:rsidRDefault="000A0998">
            <w:pPr>
              <w:pStyle w:val="P68B1DB1-Normal12"/>
              <w:spacing w:after="0" w:line="240" w:lineRule="auto"/>
              <w:jc w:val="center"/>
              <w:textAlignment w:val="baseline"/>
              <w:rPr>
                <w:rFonts w:eastAsia="Times New Roman" w:cs="Times New Roman"/>
                <w:noProof/>
              </w:rPr>
            </w:pPr>
            <w:r>
              <w:rPr>
                <w:noProof/>
              </w:rPr>
              <w:t>L45</w:t>
            </w:r>
          </w:p>
        </w:tc>
        <w:tc>
          <w:tcPr>
            <w:tcW w:w="850" w:type="dxa"/>
            <w:shd w:val="clear" w:color="auto" w:fill="C6EFCE"/>
          </w:tcPr>
          <w:p w14:paraId="481AA9DB" w14:textId="77777777" w:rsidR="0065073E" w:rsidRDefault="000A0998">
            <w:pPr>
              <w:pStyle w:val="P68B1DB1-Normal12"/>
              <w:spacing w:after="0" w:line="240" w:lineRule="auto"/>
              <w:jc w:val="center"/>
              <w:textAlignment w:val="baseline"/>
              <w:rPr>
                <w:rFonts w:eastAsia="Times New Roman" w:cs="Times New Roman"/>
                <w:noProof/>
              </w:rPr>
            </w:pPr>
            <w:r>
              <w:rPr>
                <w:noProof/>
              </w:rPr>
              <w:t>C13.I10</w:t>
            </w:r>
          </w:p>
        </w:tc>
        <w:tc>
          <w:tcPr>
            <w:tcW w:w="851" w:type="dxa"/>
            <w:shd w:val="clear" w:color="auto" w:fill="C6EFCE"/>
          </w:tcPr>
          <w:p w14:paraId="41F31964"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621DB36" w14:textId="77777777" w:rsidR="0065073E" w:rsidRDefault="000A0998">
            <w:pPr>
              <w:pStyle w:val="P68B1DB1-Normal12"/>
              <w:spacing w:after="0" w:line="240" w:lineRule="auto"/>
              <w:textAlignment w:val="baseline"/>
              <w:rPr>
                <w:rFonts w:eastAsia="Times New Roman" w:cs="Times New Roman"/>
                <w:noProof/>
              </w:rPr>
            </w:pPr>
            <w:r>
              <w:rPr>
                <w:noProof/>
              </w:rPr>
              <w:t>FONREC</w:t>
            </w:r>
          </w:p>
        </w:tc>
        <w:tc>
          <w:tcPr>
            <w:tcW w:w="1134" w:type="dxa"/>
            <w:shd w:val="clear" w:color="auto" w:fill="C6EFCE"/>
          </w:tcPr>
          <w:p w14:paraId="7BE35DD6"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77777777" w:rsidR="0065073E" w:rsidRDefault="000A0998">
            <w:pPr>
              <w:pStyle w:val="P68B1DB1-Normal12"/>
              <w:spacing w:after="0" w:line="240" w:lineRule="auto"/>
              <w:jc w:val="center"/>
              <w:textAlignment w:val="baseline"/>
              <w:rPr>
                <w:rFonts w:eastAsia="Times New Roman" w:cs="Times New Roman"/>
                <w:noProof/>
              </w:rPr>
            </w:pPr>
            <w:r>
              <w:rPr>
                <w:noProof/>
              </w:rPr>
              <w:t>Miljoonaa euroa</w:t>
            </w:r>
          </w:p>
        </w:tc>
        <w:tc>
          <w:tcPr>
            <w:tcW w:w="992" w:type="dxa"/>
            <w:shd w:val="clear" w:color="auto" w:fill="C6EFCE"/>
          </w:tcPr>
          <w:p w14:paraId="2E82B041" w14:textId="77777777" w:rsidR="0065073E" w:rsidRDefault="000A0998">
            <w:pPr>
              <w:pStyle w:val="P68B1DB1-Normal12"/>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66B06835" w14:textId="538EC0B6" w:rsidR="0065073E" w:rsidRDefault="000A0998">
            <w:pPr>
              <w:pStyle w:val="P68B1DB1-Normal12"/>
              <w:spacing w:after="0" w:line="240" w:lineRule="auto"/>
              <w:jc w:val="right"/>
              <w:textAlignment w:val="baseline"/>
              <w:rPr>
                <w:rFonts w:eastAsia="Times New Roman" w:cs="Times New Roman"/>
                <w:noProof/>
              </w:rPr>
            </w:pPr>
            <w:r>
              <w:rPr>
                <w:noProof/>
              </w:rPr>
              <w:t>457,01</w:t>
            </w:r>
          </w:p>
        </w:tc>
        <w:tc>
          <w:tcPr>
            <w:tcW w:w="709" w:type="dxa"/>
            <w:shd w:val="clear" w:color="auto" w:fill="C6EFCE"/>
          </w:tcPr>
          <w:p w14:paraId="189A94BE"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7D490E8B" w14:textId="369B1A9E"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6BFDC4F" w14:textId="2BBDB0FB" w:rsidR="0065073E" w:rsidRDefault="000A0998">
            <w:pPr>
              <w:pStyle w:val="P68B1DB1-Normal12"/>
              <w:spacing w:after="0" w:line="240" w:lineRule="auto"/>
              <w:textAlignment w:val="baseline"/>
              <w:rPr>
                <w:rFonts w:eastAsia="Times New Roman" w:cs="Times New Roman"/>
                <w:noProof/>
              </w:rPr>
            </w:pPr>
            <w:r>
              <w:rPr>
                <w:noProof/>
              </w:rPr>
              <w:t>Lopullisille edunsaajille on maksettu vähintään 457010000 euroa elpymis- ja palautumistukivälineen tukikelpoisia toimia FONREC-ohjelmasta. Riippumattoman tarkastajan tekemässä jälkitarkastuksessa olisi vahvistettava ainakin ”ei merkittävää haittaa” -periaatteen ja valtiontukisääntöjen noudattaminen, petosten, korruption, eturistiriitojen ja päällekkäisen rahoituksen puuttuminen sekä elpymis- ja palautumistukivälineen 22 artiklassa tarkoitettu tiedonkeruu. Jälkitarkastuksessa on varmistettava, että tukea on annettu ainoastaan välineen oikeudellisen kehyksen nojalla tukikelpoisille yrityksille.</w:t>
            </w:r>
          </w:p>
        </w:tc>
      </w:tr>
      <w:bookmarkEnd w:id="47"/>
      <w:tr w:rsidR="0065073E" w14:paraId="6C5071F8" w14:textId="77777777">
        <w:trPr>
          <w:trHeight w:val="300"/>
        </w:trPr>
        <w:tc>
          <w:tcPr>
            <w:tcW w:w="846" w:type="dxa"/>
            <w:shd w:val="clear" w:color="auto" w:fill="C6EFCE"/>
          </w:tcPr>
          <w:p w14:paraId="288A6F5B" w14:textId="49A414C5" w:rsidR="0065073E" w:rsidRDefault="000A0998">
            <w:pPr>
              <w:pStyle w:val="P68B1DB1-Normal12"/>
              <w:spacing w:after="0" w:line="240" w:lineRule="auto"/>
              <w:jc w:val="center"/>
              <w:textAlignment w:val="baseline"/>
              <w:rPr>
                <w:rFonts w:eastAsia="Times New Roman" w:cs="Times New Roman"/>
                <w:noProof/>
              </w:rPr>
            </w:pPr>
            <w:r>
              <w:rPr>
                <w:noProof/>
              </w:rPr>
              <w:t>L46</w:t>
            </w:r>
          </w:p>
        </w:tc>
        <w:tc>
          <w:tcPr>
            <w:tcW w:w="850" w:type="dxa"/>
            <w:shd w:val="clear" w:color="auto" w:fill="C6EFCE"/>
          </w:tcPr>
          <w:p w14:paraId="61DECBED" w14:textId="77777777" w:rsidR="0065073E" w:rsidRDefault="000A0998">
            <w:pPr>
              <w:pStyle w:val="P68B1DB1-Normal12"/>
              <w:spacing w:after="0" w:line="240" w:lineRule="auto"/>
              <w:jc w:val="center"/>
              <w:textAlignment w:val="baseline"/>
              <w:rPr>
                <w:rFonts w:eastAsia="Times New Roman" w:cs="Times New Roman"/>
                <w:noProof/>
              </w:rPr>
            </w:pPr>
            <w:r>
              <w:rPr>
                <w:noProof/>
              </w:rPr>
              <w:t>C13.I11</w:t>
            </w:r>
          </w:p>
        </w:tc>
        <w:tc>
          <w:tcPr>
            <w:tcW w:w="851" w:type="dxa"/>
            <w:shd w:val="clear" w:color="auto" w:fill="C6EFCE"/>
          </w:tcPr>
          <w:p w14:paraId="3B422315"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7348AA40" w14:textId="77777777" w:rsidR="0065073E" w:rsidRDefault="000A0998">
            <w:pPr>
              <w:pStyle w:val="P68B1DB1-Normal12"/>
              <w:spacing w:after="0" w:line="240" w:lineRule="auto"/>
              <w:textAlignment w:val="baseline"/>
              <w:rPr>
                <w:rFonts w:eastAsia="Times New Roman" w:cs="Times New Roman"/>
                <w:noProof/>
              </w:rPr>
            </w:pPr>
            <w:r>
              <w:rPr>
                <w:noProof/>
              </w:rPr>
              <w:t>CERSA</w:t>
            </w:r>
          </w:p>
        </w:tc>
        <w:tc>
          <w:tcPr>
            <w:tcW w:w="1134" w:type="dxa"/>
            <w:shd w:val="clear" w:color="auto" w:fill="C6EFCE"/>
          </w:tcPr>
          <w:p w14:paraId="45B86058"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77777777" w:rsidR="0065073E" w:rsidRDefault="000A0998">
            <w:pPr>
              <w:pStyle w:val="P68B1DB1-Normal12"/>
              <w:spacing w:after="0" w:line="240" w:lineRule="auto"/>
              <w:jc w:val="center"/>
              <w:textAlignment w:val="baseline"/>
              <w:rPr>
                <w:rFonts w:eastAsia="Times New Roman" w:cs="Times New Roman"/>
                <w:noProof/>
              </w:rPr>
            </w:pPr>
            <w:r>
              <w:rPr>
                <w:noProof/>
              </w:rPr>
              <w:t>Miljoonaa euroa</w:t>
            </w:r>
          </w:p>
        </w:tc>
        <w:tc>
          <w:tcPr>
            <w:tcW w:w="992" w:type="dxa"/>
            <w:shd w:val="clear" w:color="auto" w:fill="C6EFCE"/>
          </w:tcPr>
          <w:p w14:paraId="507A5AC3" w14:textId="77777777" w:rsidR="0065073E" w:rsidRDefault="000A0998">
            <w:pPr>
              <w:pStyle w:val="P68B1DB1-Normal12"/>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00F8D76A" w14:textId="1E69D12F" w:rsidR="0065073E" w:rsidRDefault="000A0998">
            <w:pPr>
              <w:pStyle w:val="P68B1DB1-Normal12"/>
              <w:spacing w:after="0" w:line="240" w:lineRule="auto"/>
              <w:jc w:val="right"/>
              <w:textAlignment w:val="baseline"/>
              <w:rPr>
                <w:rFonts w:eastAsia="Times New Roman" w:cs="Times New Roman"/>
                <w:noProof/>
              </w:rPr>
            </w:pPr>
            <w:r>
              <w:rPr>
                <w:noProof/>
              </w:rPr>
              <w:t>2 100</w:t>
            </w:r>
          </w:p>
        </w:tc>
        <w:tc>
          <w:tcPr>
            <w:tcW w:w="709" w:type="dxa"/>
            <w:shd w:val="clear" w:color="auto" w:fill="C6EFCE"/>
          </w:tcPr>
          <w:p w14:paraId="656CB88D" w14:textId="61A4346F"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16F0D829"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3A190137" w14:textId="6C56AE2C" w:rsidR="0065073E" w:rsidRDefault="000A0998">
            <w:pPr>
              <w:pStyle w:val="P68B1DB1-Normal12"/>
              <w:spacing w:after="0" w:line="240" w:lineRule="auto"/>
              <w:rPr>
                <w:rFonts w:eastAsia="Times New Roman" w:cs="Times New Roman"/>
                <w:noProof/>
              </w:rPr>
            </w:pPr>
            <w:r>
              <w:rPr>
                <w:noProof/>
              </w:rPr>
              <w:t>CERSA-takaus: Vähintään 2100000000 euroa takauksia, jotka CERSA on myöntänyt 1. heinäkuuta 2023 alkaen, jotta pk-yritykset ja markkina-arvoltaan keskisuuret yritykset voivat saada takauksia pitkäaikaisia investointeja ja käyttöpääomaa sekä taloudellisia, kaupallisia ja teknisiä takuita varten. Valintaperusteilla on varmistettava, että tämän toimenpiteen nojalla tuettuja toimia koskevat tekniset ohjeet (2021/C58/01) täyttyvät käyttämällä poissulkemisluetteloa sekä vaatimusta asiaankuuluvan EU:n ja kansallisen ympäristölainsäädännön noudattamisesta.</w:t>
            </w:r>
          </w:p>
        </w:tc>
      </w:tr>
      <w:tr w:rsidR="0065073E" w14:paraId="5214E48A" w14:textId="77777777">
        <w:trPr>
          <w:trHeight w:val="300"/>
        </w:trPr>
        <w:tc>
          <w:tcPr>
            <w:tcW w:w="846" w:type="dxa"/>
            <w:shd w:val="clear" w:color="auto" w:fill="C6EFCE"/>
          </w:tcPr>
          <w:p w14:paraId="653132E0" w14:textId="4FDE57AF" w:rsidR="0065073E" w:rsidRDefault="000A0998">
            <w:pPr>
              <w:pStyle w:val="P68B1DB1-Normal12"/>
              <w:spacing w:after="0" w:line="240" w:lineRule="auto"/>
              <w:jc w:val="center"/>
              <w:textAlignment w:val="baseline"/>
              <w:rPr>
                <w:rFonts w:eastAsia="Times New Roman" w:cs="Times New Roman"/>
                <w:noProof/>
              </w:rPr>
            </w:pPr>
            <w:r>
              <w:rPr>
                <w:noProof/>
              </w:rPr>
              <w:t>L47</w:t>
            </w:r>
          </w:p>
        </w:tc>
        <w:tc>
          <w:tcPr>
            <w:tcW w:w="850" w:type="dxa"/>
            <w:shd w:val="clear" w:color="auto" w:fill="C6EFCE"/>
          </w:tcPr>
          <w:p w14:paraId="2B7997EA" w14:textId="77777777" w:rsidR="0065073E" w:rsidRDefault="000A0998">
            <w:pPr>
              <w:pStyle w:val="P68B1DB1-Normal12"/>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72C5ABFE"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4643420" w14:textId="56F46F61" w:rsidR="0065073E" w:rsidRDefault="000A0998">
            <w:pPr>
              <w:pStyle w:val="P68B1DB1-Normal12"/>
              <w:spacing w:after="0" w:line="240" w:lineRule="auto"/>
              <w:textAlignment w:val="baseline"/>
              <w:rPr>
                <w:rFonts w:eastAsia="Times New Roman" w:cs="Times New Roman"/>
                <w:noProof/>
              </w:rPr>
            </w:pPr>
            <w:r>
              <w:rPr>
                <w:noProof/>
              </w:rPr>
              <w:t>ENISAn yrittäjyys- ja pk-yritysrahasto – täytäntöönpanosopimus</w:t>
            </w:r>
          </w:p>
        </w:tc>
        <w:tc>
          <w:tcPr>
            <w:tcW w:w="1134" w:type="dxa"/>
            <w:shd w:val="clear" w:color="auto" w:fill="C6EFCE"/>
          </w:tcPr>
          <w:p w14:paraId="3330650D" w14:textId="6E61FA20" w:rsidR="0065073E" w:rsidRDefault="000A0998">
            <w:pPr>
              <w:pStyle w:val="P68B1DB1-Normal12"/>
              <w:spacing w:after="0" w:line="240" w:lineRule="auto"/>
              <w:jc w:val="center"/>
              <w:textAlignment w:val="baseline"/>
              <w:rPr>
                <w:rFonts w:eastAsia="Times New Roman" w:cs="Times New Roman"/>
                <w:noProof/>
              </w:rPr>
            </w:pPr>
            <w:r>
              <w:rPr>
                <w:noProof/>
              </w:rPr>
              <w:t>Täytäntöönpanosopimuksen voimaantulo</w:t>
            </w:r>
          </w:p>
        </w:tc>
        <w:tc>
          <w:tcPr>
            <w:tcW w:w="709" w:type="dxa"/>
            <w:shd w:val="clear" w:color="auto" w:fill="C6EFCE"/>
          </w:tcPr>
          <w:p w14:paraId="62A16AC1"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5894F71"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FB9A061"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F4A8C84" w14:textId="737C7CC8"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19FD97A5" w14:textId="09CC0B88"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0AF59CD" w14:textId="73FAF2A6" w:rsidR="0065073E" w:rsidRDefault="000A0998">
            <w:pPr>
              <w:pStyle w:val="P68B1DB1-Normal12"/>
              <w:spacing w:line="240" w:lineRule="auto"/>
              <w:rPr>
                <w:rFonts w:cs="Times New Roman"/>
                <w:noProof/>
              </w:rPr>
            </w:pPr>
            <w:r>
              <w:rPr>
                <w:noProof/>
              </w:rPr>
              <w:t>Täytäntöönpanosopimuksen voimaantulo.</w:t>
            </w:r>
          </w:p>
        </w:tc>
      </w:tr>
      <w:tr w:rsidR="0065073E" w14:paraId="3A5852ED" w14:textId="77777777">
        <w:trPr>
          <w:trHeight w:val="300"/>
        </w:trPr>
        <w:tc>
          <w:tcPr>
            <w:tcW w:w="846" w:type="dxa"/>
            <w:shd w:val="clear" w:color="auto" w:fill="C6EFCE"/>
          </w:tcPr>
          <w:p w14:paraId="06905E86" w14:textId="312CD56D" w:rsidR="0065073E" w:rsidRDefault="000A0998">
            <w:pPr>
              <w:pStyle w:val="P68B1DB1-Normal12"/>
              <w:spacing w:after="0" w:line="240" w:lineRule="auto"/>
              <w:jc w:val="center"/>
              <w:textAlignment w:val="baseline"/>
              <w:rPr>
                <w:rFonts w:eastAsia="Times New Roman" w:cs="Times New Roman"/>
                <w:noProof/>
              </w:rPr>
            </w:pPr>
            <w:r>
              <w:rPr>
                <w:noProof/>
              </w:rPr>
              <w:t>L48</w:t>
            </w:r>
          </w:p>
        </w:tc>
        <w:tc>
          <w:tcPr>
            <w:tcW w:w="850" w:type="dxa"/>
            <w:shd w:val="clear" w:color="auto" w:fill="C6EFCE"/>
          </w:tcPr>
          <w:p w14:paraId="6B86ECBB" w14:textId="77777777" w:rsidR="0065073E" w:rsidRDefault="000A0998">
            <w:pPr>
              <w:pStyle w:val="P68B1DB1-Normal12"/>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234A8A9"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937366F" w14:textId="1400C1EE" w:rsidR="0065073E" w:rsidRDefault="000A0998">
            <w:pPr>
              <w:pStyle w:val="P68B1DB1-Normal12"/>
              <w:spacing w:after="0" w:line="240" w:lineRule="auto"/>
              <w:textAlignment w:val="baseline"/>
              <w:rPr>
                <w:rFonts w:eastAsia="Times New Roman" w:cs="Times New Roman"/>
                <w:noProof/>
              </w:rPr>
            </w:pPr>
            <w:r>
              <w:rPr>
                <w:noProof/>
              </w:rPr>
              <w:t>ENISAn yrittäjyys- ja pk-yritysrahasto – lopullisten edunsaajien kanssa allekirjoitetut oikeudelliset sopimukset</w:t>
            </w:r>
          </w:p>
        </w:tc>
        <w:tc>
          <w:tcPr>
            <w:tcW w:w="1134" w:type="dxa"/>
            <w:shd w:val="clear" w:color="auto" w:fill="C6EFCE"/>
          </w:tcPr>
          <w:p w14:paraId="46300E66"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B112905" w14:textId="77777777" w:rsidR="0065073E" w:rsidRDefault="000A0998">
            <w:pPr>
              <w:pStyle w:val="P68B1DB1-Normal12"/>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4C5F5E96" w14:textId="77777777"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01BC7C0F"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36EFFD94"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FDFDE1A" w14:textId="168CD4F7" w:rsidR="0065073E" w:rsidRDefault="000A0998">
            <w:pPr>
              <w:pStyle w:val="P68B1DB1-Normal12"/>
              <w:spacing w:after="0" w:line="240" w:lineRule="auto"/>
              <w:textAlignment w:val="baseline"/>
              <w:rPr>
                <w:rFonts w:eastAsia="Times New Roman" w:cs="Times New Roman"/>
                <w:noProof/>
              </w:rPr>
            </w:pPr>
            <w:r>
              <w:rPr>
                <w:noProof/>
              </w:rPr>
              <w:t>ENISA on tehnyt lopullisten edunsaajien kanssa oikeudellisia rahoitussopimuksia määrästä, joka on tarpeen, jotta vähintään 50 prosenttia elpymis- ja palautumistukivälineen investoinneista voidaan käyttää tukivälineeseen (ottaen huomioon hallinnointipalkkiot).</w:t>
            </w:r>
          </w:p>
        </w:tc>
      </w:tr>
      <w:tr w:rsidR="0065073E" w14:paraId="5CF5B340" w14:textId="77777777">
        <w:trPr>
          <w:trHeight w:val="300"/>
        </w:trPr>
        <w:tc>
          <w:tcPr>
            <w:tcW w:w="846" w:type="dxa"/>
            <w:shd w:val="clear" w:color="auto" w:fill="C6EFCE"/>
          </w:tcPr>
          <w:p w14:paraId="697232E0" w14:textId="08C37CC3" w:rsidR="0065073E" w:rsidRDefault="000A0998">
            <w:pPr>
              <w:pStyle w:val="P68B1DB1-Normal12"/>
              <w:spacing w:after="0" w:line="240" w:lineRule="auto"/>
              <w:jc w:val="center"/>
              <w:textAlignment w:val="baseline"/>
              <w:rPr>
                <w:rFonts w:eastAsia="Times New Roman" w:cs="Times New Roman"/>
                <w:noProof/>
              </w:rPr>
            </w:pPr>
            <w:r>
              <w:rPr>
                <w:noProof/>
              </w:rPr>
              <w:t>L49</w:t>
            </w:r>
          </w:p>
        </w:tc>
        <w:tc>
          <w:tcPr>
            <w:tcW w:w="850" w:type="dxa"/>
            <w:shd w:val="clear" w:color="auto" w:fill="C6EFCE"/>
          </w:tcPr>
          <w:p w14:paraId="5D16A0FA" w14:textId="77777777" w:rsidR="0065073E" w:rsidRDefault="000A0998">
            <w:pPr>
              <w:pStyle w:val="P68B1DB1-Normal12"/>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482A7C59"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0F140E5" w14:textId="2DF67F0A" w:rsidR="0065073E" w:rsidRDefault="000A0998">
            <w:pPr>
              <w:pStyle w:val="P68B1DB1-Normal12"/>
              <w:spacing w:after="0" w:line="240" w:lineRule="auto"/>
              <w:textAlignment w:val="baseline"/>
              <w:rPr>
                <w:rFonts w:eastAsia="Times New Roman" w:cs="Times New Roman"/>
                <w:noProof/>
              </w:rPr>
            </w:pPr>
            <w:r>
              <w:rPr>
                <w:noProof/>
              </w:rPr>
              <w:t>ENISAn yrittäjyys- ja pk-yritysrahasto – lopullisten edunsaajien kanssa allekirjoitetut oikeudelliset sopimukset</w:t>
            </w:r>
          </w:p>
        </w:tc>
        <w:tc>
          <w:tcPr>
            <w:tcW w:w="1134" w:type="dxa"/>
            <w:shd w:val="clear" w:color="auto" w:fill="C6EFCE"/>
          </w:tcPr>
          <w:p w14:paraId="62534D82"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9F1853B" w14:textId="77777777"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19122DD" w14:textId="77777777"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67F370D8" w14:textId="73E31215"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013CF25A"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A2A1F0B" w14:textId="5DC84A80" w:rsidR="0065073E" w:rsidRDefault="000A0998">
            <w:pPr>
              <w:pStyle w:val="P68B1DB1-Normal12"/>
              <w:spacing w:after="0" w:line="240" w:lineRule="auto"/>
              <w:textAlignment w:val="baseline"/>
              <w:rPr>
                <w:rFonts w:eastAsia="Times New Roman" w:cs="Times New Roman"/>
                <w:noProof/>
              </w:rPr>
            </w:pPr>
            <w:r>
              <w:rPr>
                <w:noProof/>
              </w:rPr>
              <w:t>ENISA on tehnyt lopullisten edunsaajien kanssa oikeudellisia rahoitussopimuksia määrästä, joka on tarpeen, jotta 100 prosenttia elpymis- ja palautumistukivälineen investoinneista voidaan käyttää tukivälineeseen (ottaen huomioon hallinnointipalkkiot). Vähintään 6,6 prosentilla tästä rahoituksesta on edistettävä digitaalisia tavoitteita elpymis- ja palautumistukivälinettä koskevan asetuksen liitteessä VII esitettyä menetelmää käyttäen.</w:t>
            </w:r>
          </w:p>
        </w:tc>
      </w:tr>
      <w:tr w:rsidR="0065073E" w14:paraId="349E1D53" w14:textId="77777777">
        <w:trPr>
          <w:trHeight w:val="300"/>
        </w:trPr>
        <w:tc>
          <w:tcPr>
            <w:tcW w:w="846" w:type="dxa"/>
            <w:shd w:val="clear" w:color="auto" w:fill="C6EFCE"/>
          </w:tcPr>
          <w:p w14:paraId="58EA83D0" w14:textId="3FA7A21E" w:rsidR="0065073E" w:rsidRDefault="000A0998">
            <w:pPr>
              <w:pStyle w:val="P68B1DB1-Normal12"/>
              <w:spacing w:after="0" w:line="240" w:lineRule="auto"/>
              <w:jc w:val="center"/>
              <w:textAlignment w:val="baseline"/>
              <w:rPr>
                <w:rFonts w:eastAsia="Times New Roman" w:cs="Times New Roman"/>
                <w:noProof/>
              </w:rPr>
            </w:pPr>
            <w:r>
              <w:rPr>
                <w:noProof/>
              </w:rPr>
              <w:t>L50</w:t>
            </w:r>
          </w:p>
        </w:tc>
        <w:tc>
          <w:tcPr>
            <w:tcW w:w="850" w:type="dxa"/>
            <w:shd w:val="clear" w:color="auto" w:fill="C6EFCE"/>
          </w:tcPr>
          <w:p w14:paraId="37CFB7C0" w14:textId="77777777" w:rsidR="0065073E" w:rsidRDefault="000A0998">
            <w:pPr>
              <w:pStyle w:val="P68B1DB1-Normal12"/>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6C91DE3"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8C5ED6" w14:textId="67DEF979" w:rsidR="0065073E" w:rsidRDefault="000A0998">
            <w:pPr>
              <w:pStyle w:val="P68B1DB1-Normal12"/>
              <w:spacing w:after="0" w:line="240" w:lineRule="auto"/>
              <w:textAlignment w:val="baseline"/>
              <w:rPr>
                <w:rFonts w:eastAsia="Times New Roman" w:cs="Times New Roman"/>
                <w:noProof/>
              </w:rPr>
            </w:pPr>
            <w:r>
              <w:rPr>
                <w:noProof/>
              </w:rPr>
              <w:t xml:space="preserve">ENISAn yrittäjyys- ja pk-yritysrahasto – ministeriön investoinnit on saatu päätökseen. </w:t>
            </w:r>
          </w:p>
        </w:tc>
        <w:tc>
          <w:tcPr>
            <w:tcW w:w="1134" w:type="dxa"/>
            <w:shd w:val="clear" w:color="auto" w:fill="C6EFCE"/>
          </w:tcPr>
          <w:p w14:paraId="101F1BA0" w14:textId="111AE4F7" w:rsidR="0065073E" w:rsidRDefault="000A0998">
            <w:pPr>
              <w:pStyle w:val="P68B1DB1-Normal12"/>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14738179" w14:textId="1A7183F3"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E3AC936" w14:textId="2F0C0CD1"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045F6AF" w14:textId="6E7444D0"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1557CA" w14:textId="693999E0"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48D5AD69"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86A647E" w14:textId="70158327" w:rsidR="0065073E" w:rsidRDefault="000A0998">
            <w:pPr>
              <w:pStyle w:val="P68B1DB1-Normal12"/>
              <w:spacing w:after="0" w:line="240" w:lineRule="auto"/>
              <w:textAlignment w:val="baseline"/>
              <w:rPr>
                <w:rFonts w:eastAsia="Times New Roman" w:cs="Times New Roman"/>
                <w:noProof/>
              </w:rPr>
            </w:pPr>
            <w:r>
              <w:rPr>
                <w:noProof/>
              </w:rPr>
              <w:t xml:space="preserve">Espanjan on siirrettävä ENISAlle 303000000 euroa rahastoa varten. </w:t>
            </w:r>
          </w:p>
        </w:tc>
      </w:tr>
      <w:tr w:rsidR="0065073E" w14:paraId="2F9F6FDF" w14:textId="77777777">
        <w:trPr>
          <w:trHeight w:val="300"/>
        </w:trPr>
        <w:tc>
          <w:tcPr>
            <w:tcW w:w="846" w:type="dxa"/>
            <w:shd w:val="clear" w:color="auto" w:fill="C6EFCE"/>
          </w:tcPr>
          <w:p w14:paraId="30D7D40B" w14:textId="7A0947B4" w:rsidR="0065073E" w:rsidRDefault="000A0998">
            <w:pPr>
              <w:pStyle w:val="P68B1DB1-Normal12"/>
              <w:spacing w:after="0" w:line="240" w:lineRule="auto"/>
              <w:jc w:val="center"/>
              <w:textAlignment w:val="baseline"/>
              <w:rPr>
                <w:rFonts w:eastAsia="Times New Roman" w:cs="Times New Roman"/>
                <w:noProof/>
              </w:rPr>
            </w:pPr>
            <w:r>
              <w:rPr>
                <w:noProof/>
              </w:rPr>
              <w:t>L51</w:t>
            </w:r>
          </w:p>
        </w:tc>
        <w:tc>
          <w:tcPr>
            <w:tcW w:w="850" w:type="dxa"/>
            <w:shd w:val="clear" w:color="auto" w:fill="C6EFCE"/>
          </w:tcPr>
          <w:p w14:paraId="62EE6A22"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6F6A86C5"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4C12D66" w14:textId="77777777" w:rsidR="0065073E" w:rsidRDefault="000A0998">
            <w:pPr>
              <w:pStyle w:val="P68B1DB1-Normal12"/>
              <w:spacing w:after="0" w:line="240" w:lineRule="auto"/>
              <w:textAlignment w:val="baseline"/>
              <w:rPr>
                <w:rFonts w:eastAsia="Times New Roman" w:cs="Times New Roman"/>
                <w:noProof/>
              </w:rPr>
            </w:pPr>
            <w:r>
              <w:rPr>
                <w:noProof/>
              </w:rPr>
              <w:t>Alueellinen selviytymiskyvyn rahasto – InvestEU: Espanjan hallituksen ja Euroopan komission välisen rahoitussopimuksen allekirjoittaminen</w:t>
            </w:r>
          </w:p>
        </w:tc>
        <w:tc>
          <w:tcPr>
            <w:tcW w:w="1134" w:type="dxa"/>
            <w:shd w:val="clear" w:color="auto" w:fill="C6EFCE"/>
          </w:tcPr>
          <w:p w14:paraId="61F78961" w14:textId="77777777" w:rsidR="0065073E" w:rsidRDefault="000A0998">
            <w:pPr>
              <w:pStyle w:val="P68B1DB1-Normal12"/>
              <w:spacing w:after="0" w:line="240" w:lineRule="auto"/>
              <w:jc w:val="center"/>
              <w:textAlignment w:val="baseline"/>
              <w:rPr>
                <w:rFonts w:eastAsia="Times New Roman" w:cs="Times New Roman"/>
                <w:noProof/>
              </w:rPr>
            </w:pPr>
            <w:r>
              <w:rPr>
                <w:noProof/>
              </w:rPr>
              <w:t>Rahoitussopimuksen allekirjoittaminen</w:t>
            </w:r>
          </w:p>
        </w:tc>
        <w:tc>
          <w:tcPr>
            <w:tcW w:w="709" w:type="dxa"/>
            <w:shd w:val="clear" w:color="auto" w:fill="C6EFCE"/>
          </w:tcPr>
          <w:p w14:paraId="705E3A95"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9FA58FE"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4434F3A5"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E73E5F2"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F49490E" w14:textId="77777777"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9849D9D" w14:textId="3C8A757A" w:rsidR="0065073E" w:rsidRDefault="000A0998">
            <w:pPr>
              <w:pStyle w:val="P68B1DB1-Normal12"/>
              <w:spacing w:after="0" w:line="240" w:lineRule="auto"/>
              <w:textAlignment w:val="baseline"/>
              <w:rPr>
                <w:rFonts w:eastAsia="Times New Roman" w:cs="Times New Roman"/>
                <w:noProof/>
              </w:rPr>
            </w:pPr>
            <w:r>
              <w:rPr>
                <w:noProof/>
              </w:rPr>
              <w:t>Espanjan hallituksen ja Euroopan komission välisen 500000000 euron rahoitussopimuksen allekirjoittaminen.</w:t>
            </w:r>
          </w:p>
        </w:tc>
      </w:tr>
      <w:tr w:rsidR="0065073E" w14:paraId="77C8E513" w14:textId="77777777">
        <w:trPr>
          <w:trHeight w:val="300"/>
        </w:trPr>
        <w:tc>
          <w:tcPr>
            <w:tcW w:w="846" w:type="dxa"/>
            <w:shd w:val="clear" w:color="auto" w:fill="C6EFCE"/>
          </w:tcPr>
          <w:p w14:paraId="12937DB4" w14:textId="2F1CF206" w:rsidR="0065073E" w:rsidRDefault="000A0998">
            <w:pPr>
              <w:pStyle w:val="P68B1DB1-Normal12"/>
              <w:spacing w:after="0" w:line="240" w:lineRule="auto"/>
              <w:jc w:val="center"/>
              <w:textAlignment w:val="baseline"/>
              <w:rPr>
                <w:rFonts w:eastAsia="Times New Roman" w:cs="Times New Roman"/>
                <w:noProof/>
              </w:rPr>
            </w:pPr>
            <w:r>
              <w:rPr>
                <w:noProof/>
              </w:rPr>
              <w:t>L52</w:t>
            </w:r>
          </w:p>
        </w:tc>
        <w:tc>
          <w:tcPr>
            <w:tcW w:w="850" w:type="dxa"/>
            <w:shd w:val="clear" w:color="auto" w:fill="C6EFCE"/>
          </w:tcPr>
          <w:p w14:paraId="3F4A2501" w14:textId="6B565761"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1A7A5D33" w14:textId="0DFC98BA"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62C17" w14:textId="0E3EEB6A" w:rsidR="0065073E" w:rsidRDefault="000A0998">
            <w:pPr>
              <w:pStyle w:val="P68B1DB1-Normal12"/>
              <w:spacing w:after="0" w:line="240" w:lineRule="auto"/>
              <w:textAlignment w:val="baseline"/>
              <w:rPr>
                <w:rFonts w:eastAsia="Times New Roman" w:cs="Times New Roman"/>
                <w:noProof/>
              </w:rPr>
            </w:pPr>
            <w:r>
              <w:rPr>
                <w:noProof/>
              </w:rPr>
              <w:t>Alueellinen selviytymiskyvyn rahasto – InvestEU: InvestEU-investointikomitean hyväksymään välineeseen kohdennetut vähintään 500 miljoonan euron rahoitus- tai investointitoimet.</w:t>
            </w:r>
          </w:p>
        </w:tc>
        <w:tc>
          <w:tcPr>
            <w:tcW w:w="1134" w:type="dxa"/>
            <w:shd w:val="clear" w:color="auto" w:fill="C6EFCE"/>
          </w:tcPr>
          <w:p w14:paraId="7BE661E4"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389606B4" w14:textId="2805ABA1" w:rsidR="0065073E" w:rsidRDefault="000A0998">
            <w:pPr>
              <w:pStyle w:val="P68B1DB1-Normal12"/>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6E8C09FE" w14:textId="75923D23"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0D6856FA" w14:textId="61D11617"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76DD787A"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963E159" w14:textId="1ED9FB34" w:rsidR="0065073E" w:rsidRDefault="000A0998">
            <w:pPr>
              <w:pStyle w:val="P68B1DB1-Normal12"/>
              <w:spacing w:after="0" w:line="240" w:lineRule="auto"/>
              <w:textAlignment w:val="baseline"/>
              <w:rPr>
                <w:rFonts w:eastAsia="Times New Roman" w:cs="Times New Roman"/>
                <w:noProof/>
              </w:rPr>
            </w:pPr>
            <w:r>
              <w:rPr>
                <w:noProof/>
              </w:rPr>
              <w:t>InvestEU-investointikomitean on oltava hyväksynyt rahoitus- tai investointitoimet, joiden osuus on 100 prosenttia välineeseen osoitetuista elpymis- ja palautumistukivälineen kokonaismäärärahoista.</w:t>
            </w:r>
          </w:p>
        </w:tc>
      </w:tr>
      <w:tr w:rsidR="0065073E" w14:paraId="3B3C7B6B" w14:textId="77777777">
        <w:trPr>
          <w:trHeight w:val="1085"/>
        </w:trPr>
        <w:tc>
          <w:tcPr>
            <w:tcW w:w="846" w:type="dxa"/>
            <w:shd w:val="clear" w:color="auto" w:fill="C6EFCE"/>
          </w:tcPr>
          <w:p w14:paraId="7109109F" w14:textId="58AD46B8" w:rsidR="0065073E" w:rsidRDefault="000A0998">
            <w:pPr>
              <w:pStyle w:val="P68B1DB1-Normal12"/>
              <w:spacing w:after="0" w:line="240" w:lineRule="auto"/>
              <w:jc w:val="center"/>
              <w:textAlignment w:val="baseline"/>
              <w:rPr>
                <w:rFonts w:eastAsia="Times New Roman" w:cs="Times New Roman"/>
                <w:noProof/>
              </w:rPr>
            </w:pPr>
            <w:bookmarkStart w:id="48" w:name="_Hlk141708313"/>
            <w:r>
              <w:rPr>
                <w:noProof/>
              </w:rPr>
              <w:t>L53</w:t>
            </w:r>
          </w:p>
        </w:tc>
        <w:tc>
          <w:tcPr>
            <w:tcW w:w="850" w:type="dxa"/>
            <w:shd w:val="clear" w:color="auto" w:fill="C6EFCE"/>
          </w:tcPr>
          <w:p w14:paraId="03CF9462"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4D7C2760"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EFF7B6C" w14:textId="0F4FFA0A" w:rsidR="0065073E" w:rsidRDefault="000A0998">
            <w:pPr>
              <w:pStyle w:val="P68B1DB1-Normal12"/>
              <w:spacing w:after="0" w:line="240" w:lineRule="auto"/>
              <w:textAlignment w:val="baseline"/>
              <w:rPr>
                <w:rFonts w:eastAsia="Times New Roman" w:cs="Times New Roman"/>
                <w:noProof/>
              </w:rPr>
            </w:pPr>
            <w:r>
              <w:rPr>
                <w:noProof/>
              </w:rPr>
              <w:t xml:space="preserve">Alueellinen selviytymiskyvyn rahasto: Täytäntöönpanosopimus </w:t>
            </w:r>
          </w:p>
        </w:tc>
        <w:tc>
          <w:tcPr>
            <w:tcW w:w="1134" w:type="dxa"/>
            <w:shd w:val="clear" w:color="auto" w:fill="C6EFCE"/>
          </w:tcPr>
          <w:p w14:paraId="1A2EA724" w14:textId="0A3815AC" w:rsidR="0065073E" w:rsidRDefault="000A0998">
            <w:pPr>
              <w:pStyle w:val="P68B1DB1-Normal12"/>
              <w:spacing w:after="0" w:line="240" w:lineRule="auto"/>
              <w:jc w:val="center"/>
              <w:textAlignment w:val="baseline"/>
              <w:rPr>
                <w:rFonts w:eastAsia="Times New Roman" w:cs="Times New Roman"/>
                <w:noProof/>
              </w:rPr>
            </w:pPr>
            <w:r>
              <w:rPr>
                <w:noProof/>
              </w:rPr>
              <w:t>Täytäntöönpanosopimuksen voimaantulo</w:t>
            </w:r>
          </w:p>
        </w:tc>
        <w:tc>
          <w:tcPr>
            <w:tcW w:w="709" w:type="dxa"/>
            <w:shd w:val="clear" w:color="auto" w:fill="C6EFCE"/>
          </w:tcPr>
          <w:p w14:paraId="0ACEDFCE" w14:textId="77777777" w:rsidR="0065073E" w:rsidRDefault="000A0998">
            <w:pPr>
              <w:pStyle w:val="P68B1DB1-Normal12"/>
              <w:spacing w:after="0" w:line="240" w:lineRule="auto"/>
              <w:jc w:val="center"/>
              <w:textAlignment w:val="baseline"/>
              <w:rPr>
                <w:rFonts w:eastAsia="Times New Roman" w:cs="Times New Roman"/>
                <w:noProof/>
              </w:rPr>
            </w:pPr>
            <w:r>
              <w:rPr>
                <w:noProof/>
              </w:rPr>
              <w:t xml:space="preserve"> </w:t>
            </w:r>
          </w:p>
        </w:tc>
        <w:tc>
          <w:tcPr>
            <w:tcW w:w="992" w:type="dxa"/>
            <w:shd w:val="clear" w:color="auto" w:fill="C6EFCE"/>
          </w:tcPr>
          <w:p w14:paraId="3D6C9F81" w14:textId="77777777" w:rsidR="0065073E" w:rsidRDefault="000A0998">
            <w:pPr>
              <w:pStyle w:val="P68B1DB1-Normal12"/>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0B2FDE26" w14:textId="77777777" w:rsidR="0065073E" w:rsidRDefault="000A0998">
            <w:pPr>
              <w:pStyle w:val="P68B1DB1-Normal12"/>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466A19D1"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6F6D41BC" w14:textId="77777777" w:rsidR="0065073E" w:rsidRDefault="000A0998">
            <w:pPr>
              <w:pStyle w:val="P68B1DB1-Normal12"/>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4D7FCF31" w14:textId="533498A4" w:rsidR="0065073E" w:rsidRDefault="000A0998">
            <w:pPr>
              <w:pStyle w:val="P68B1DB1-Normal12"/>
              <w:spacing w:after="0" w:line="240" w:lineRule="auto"/>
              <w:textAlignment w:val="baseline"/>
              <w:rPr>
                <w:rFonts w:eastAsia="Times New Roman" w:cs="Times New Roman"/>
                <w:noProof/>
              </w:rPr>
            </w:pPr>
            <w:r>
              <w:rPr>
                <w:noProof/>
              </w:rPr>
              <w:t xml:space="preserve">Täytäntöönpanosopimuksen voimaantulo </w:t>
            </w:r>
          </w:p>
        </w:tc>
      </w:tr>
      <w:tr w:rsidR="0065073E" w14:paraId="362638EB" w14:textId="77777777">
        <w:trPr>
          <w:trHeight w:val="300"/>
        </w:trPr>
        <w:tc>
          <w:tcPr>
            <w:tcW w:w="846" w:type="dxa"/>
            <w:shd w:val="clear" w:color="auto" w:fill="C6EFCE"/>
          </w:tcPr>
          <w:p w14:paraId="1A5791F0" w14:textId="4751708F" w:rsidR="0065073E" w:rsidRDefault="000A0998">
            <w:pPr>
              <w:pStyle w:val="P68B1DB1-Normal12"/>
              <w:spacing w:after="0" w:line="240" w:lineRule="auto"/>
              <w:jc w:val="center"/>
              <w:textAlignment w:val="baseline"/>
              <w:rPr>
                <w:rFonts w:eastAsia="Times New Roman" w:cs="Times New Roman"/>
                <w:noProof/>
              </w:rPr>
            </w:pPr>
            <w:r>
              <w:rPr>
                <w:noProof/>
              </w:rPr>
              <w:t>L54</w:t>
            </w:r>
          </w:p>
        </w:tc>
        <w:tc>
          <w:tcPr>
            <w:tcW w:w="850" w:type="dxa"/>
            <w:shd w:val="clear" w:color="auto" w:fill="C6EFCE"/>
          </w:tcPr>
          <w:p w14:paraId="2C866467"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AC69072"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EA034C3" w14:textId="186093BA" w:rsidR="0065073E" w:rsidRDefault="000A0998">
            <w:pPr>
              <w:pStyle w:val="P68B1DB1-Normal12"/>
              <w:spacing w:after="0" w:line="240" w:lineRule="auto"/>
              <w:textAlignment w:val="baseline"/>
              <w:rPr>
                <w:rFonts w:eastAsia="Times New Roman" w:cs="Times New Roman"/>
                <w:noProof/>
              </w:rPr>
            </w:pPr>
            <w:r>
              <w:rPr>
                <w:noProof/>
              </w:rPr>
              <w:t>Alueellinen elpymisrahasto – Muut budjettikohdat: Lopullisten edunsaajien (mukaan lukien pääomarahastot) kanssa allekirjoitetut oikeudelliset sopimukset (I)</w:t>
            </w:r>
          </w:p>
        </w:tc>
        <w:tc>
          <w:tcPr>
            <w:tcW w:w="1134" w:type="dxa"/>
            <w:shd w:val="clear" w:color="auto" w:fill="C6EFCE"/>
          </w:tcPr>
          <w:p w14:paraId="13150465" w14:textId="0CF651EC"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196233A" w14:textId="77777777" w:rsidR="0065073E" w:rsidRDefault="000A0998">
            <w:pPr>
              <w:pStyle w:val="P68B1DB1-Normal12"/>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47D225E3" w14:textId="2D4969E4" w:rsidR="0065073E" w:rsidRDefault="000A0998">
            <w:pPr>
              <w:pStyle w:val="P68B1DB1-Normal12"/>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640449AF"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138B9EB6" w14:textId="77777777"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E546150" w14:textId="0A58251B"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(mukaan lukien oman pääoman ehtoiset rahastot) kanssa oikeudellisia rahoitussopimuksia, jotka ovat tarpeen, jotta elpymis- ja palautumistukivälineen investoinneista muihin budjettikohtiin voidaan käyttää vähintään 15 prosenttia (ottaen huomioon hallinnointipalkkiot). Vähintään 2,5 prosenttia rahoituksesta vastaa pääomarahastojen kanssa allekirjoitettuja rahoitussopimuksia ja vähintään 60 prosenttia lopullisten tuensaajien kanssa allekirjoitettuja rahoitussopimuksia, jotka koskevat kaikkia muita sijoitustuotteita (mukaan lukien lainajärjestelyn suorat pääomasijoitukset). EIP-ryhmän on laadittava elpymis- ja palautumistukivälinettä koskevan asetuksen liitteessä VI esitettyä menetelmää käyttäen kertomus, jossa esitetään yksityiskohtaisesti ilmastotavoitteita edistävän rahoituksen prosenttiosuus.</w:t>
            </w:r>
          </w:p>
        </w:tc>
      </w:tr>
      <w:tr w:rsidR="0065073E" w14:paraId="4292062F" w14:textId="77777777">
        <w:trPr>
          <w:trHeight w:val="300"/>
        </w:trPr>
        <w:tc>
          <w:tcPr>
            <w:tcW w:w="846" w:type="dxa"/>
            <w:shd w:val="clear" w:color="auto" w:fill="C6EFCE"/>
          </w:tcPr>
          <w:p w14:paraId="736256C6" w14:textId="6899A111" w:rsidR="0065073E" w:rsidRDefault="000A0998">
            <w:pPr>
              <w:pStyle w:val="P68B1DB1-Normal12"/>
              <w:spacing w:after="0" w:line="240" w:lineRule="auto"/>
              <w:jc w:val="center"/>
              <w:textAlignment w:val="baseline"/>
              <w:rPr>
                <w:rFonts w:eastAsia="Times New Roman" w:cs="Times New Roman"/>
                <w:noProof/>
              </w:rPr>
            </w:pPr>
            <w:r>
              <w:rPr>
                <w:noProof/>
              </w:rPr>
              <w:t>L55</w:t>
            </w:r>
          </w:p>
        </w:tc>
        <w:tc>
          <w:tcPr>
            <w:tcW w:w="850" w:type="dxa"/>
            <w:shd w:val="clear" w:color="auto" w:fill="C6EFCE"/>
          </w:tcPr>
          <w:p w14:paraId="1EA7EE1B"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2B66452C"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D7867C7" w14:textId="6286EFE1" w:rsidR="0065073E" w:rsidRDefault="000A0998">
            <w:pPr>
              <w:pStyle w:val="P68B1DB1-Normal12"/>
              <w:spacing w:after="0" w:line="240" w:lineRule="auto"/>
              <w:textAlignment w:val="baseline"/>
              <w:rPr>
                <w:rFonts w:eastAsia="Times New Roman" w:cs="Times New Roman"/>
                <w:noProof/>
              </w:rPr>
            </w:pPr>
            <w:r>
              <w:rPr>
                <w:noProof/>
              </w:rPr>
              <w:t>Alueellinen elpymisrahasto – Muut budjettikohdat: Lopullisten edunsaajien (mukaan lukien oman pääoman ehtoiset rahastot) kanssa allekirjoitetut oikeudelliset sopimukset (II)</w:t>
            </w:r>
          </w:p>
        </w:tc>
        <w:tc>
          <w:tcPr>
            <w:tcW w:w="1134" w:type="dxa"/>
            <w:shd w:val="clear" w:color="auto" w:fill="C6EFCE"/>
          </w:tcPr>
          <w:p w14:paraId="5F31F902" w14:textId="06DB7B15"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1088886" w14:textId="74701B21" w:rsidR="0065073E" w:rsidRDefault="000A0998">
            <w:pPr>
              <w:pStyle w:val="P68B1DB1-Normal12"/>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4F6A4DC0" w14:textId="37FA3D77"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C35AD1F"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723F4717"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0972C7A" w14:textId="2F98D166"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(mukaan lukien oman pääoman ehtoiset rahastot) kanssa oikeudellisia rahoitussopimuksia, jotka ovat tarpeen, jotta vähintään 50 prosenttia elpymis- ja palautumistukivälineen investoinneista muihin budjettikohtiin voidaan käyttää (ottaen huomioon hallinnointipalkkiot). Vähintään 2,5 prosenttia rahoituksesta vastaa pääomarahastojen kanssa allekirjoitettuja rahoitussopimuksia ja vähintään 60 prosenttia lopullisten tuensaajien kanssa allekirjoitettuja rahoitussopimuksia, jotka koskevat kaikkia muita sijoitustuotteita (mukaan lukien lainajärjestelyn suorat pääomasijoitukset). EIP-ryhmän on laadittava elpymis- ja palautumistukivälinettä koskevan asetuksen liitteessä VI esitettyä menetelmää käyttäen kertomus, jossa esitetään yksityiskohtaisesti ilmastotavoitteita edistävän rahoituksen prosenttiosuus.</w:t>
            </w:r>
          </w:p>
        </w:tc>
      </w:tr>
      <w:tr w:rsidR="0065073E" w14:paraId="791776F7" w14:textId="77777777">
        <w:trPr>
          <w:trHeight w:val="300"/>
        </w:trPr>
        <w:tc>
          <w:tcPr>
            <w:tcW w:w="846" w:type="dxa"/>
            <w:shd w:val="clear" w:color="auto" w:fill="C6EFCE"/>
          </w:tcPr>
          <w:p w14:paraId="770405F3" w14:textId="6E55B292" w:rsidR="0065073E" w:rsidRDefault="000A0998">
            <w:pPr>
              <w:pStyle w:val="P68B1DB1-Normal12"/>
              <w:spacing w:after="0" w:line="240" w:lineRule="auto"/>
              <w:jc w:val="center"/>
              <w:textAlignment w:val="baseline"/>
              <w:rPr>
                <w:rFonts w:eastAsia="Times New Roman" w:cs="Times New Roman"/>
                <w:noProof/>
              </w:rPr>
            </w:pPr>
            <w:r>
              <w:rPr>
                <w:noProof/>
              </w:rPr>
              <w:t>L56</w:t>
            </w:r>
          </w:p>
        </w:tc>
        <w:tc>
          <w:tcPr>
            <w:tcW w:w="850" w:type="dxa"/>
            <w:shd w:val="clear" w:color="auto" w:fill="C6EFCE"/>
          </w:tcPr>
          <w:p w14:paraId="70652E84"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4B665E0"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46F402F" w14:textId="36A8DFCD" w:rsidR="0065073E" w:rsidRDefault="000A0998">
            <w:pPr>
              <w:pStyle w:val="P68B1DB1-Normal12"/>
              <w:spacing w:after="0" w:line="240" w:lineRule="auto"/>
              <w:textAlignment w:val="baseline"/>
              <w:rPr>
                <w:rFonts w:eastAsia="Times New Roman" w:cs="Times New Roman"/>
                <w:noProof/>
              </w:rPr>
            </w:pPr>
            <w:r>
              <w:rPr>
                <w:noProof/>
              </w:rPr>
              <w:t>Alueellinen selviytymiskyvyn rahasto – Muut budjettikohdat: Lopullisten edunsaajien (mukaan lukien oman pääoman ehtoiset rahastot) kanssa allekirjoitetut oikeudelliset sopimukset (III)</w:t>
            </w:r>
          </w:p>
        </w:tc>
        <w:tc>
          <w:tcPr>
            <w:tcW w:w="1134" w:type="dxa"/>
            <w:shd w:val="clear" w:color="auto" w:fill="C6EFCE"/>
          </w:tcPr>
          <w:p w14:paraId="0AFDFDA8" w14:textId="172C6FB3"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D158BE4" w14:textId="2A2CE4E5"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EA499EC" w14:textId="593576DE" w:rsidR="0065073E" w:rsidRDefault="000A0998">
            <w:pPr>
              <w:pStyle w:val="P68B1DB1-Normal12"/>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BB1C262"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D7B06A9"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3BB7229" w14:textId="40FBFE87"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(mukaan lukien oman pääoman ehtoiset rahastot) kanssa oikeudellisia rahoitussopimuksia, jotka ovat tarpeen, jotta vähintään 75 prosenttia elpymis- ja palautumistukivälineen investoinneista voidaan käyttää muihin budjettikohtiin (ottaen huomioon hallinnointipalkkiot). Vähintään 2,5 prosenttia rahoituksesta vastaa pääomarahastojen kanssa allekirjoitettuja rahoitussopimuksia ja vähintään 60 prosenttia lopullisten tuensaajien kanssa allekirjoitettuja rahoitussopimuksia, jotka koskevat kaikkia muita sijoitustuotteita (mukaan lukien lainajärjestelyn suorat pääomasijoitukset).  EIP-ryhmän on laadittava elpymis- ja palautumistukivälinettä koskevan asetuksen liitteessä VI esitettyä menetelmää käyttäen kertomus, jossa esitetään yksityiskohtaisesti ilmastotavoitteita edistävän rahoituksen prosenttiosuus.</w:t>
            </w:r>
          </w:p>
        </w:tc>
      </w:tr>
      <w:tr w:rsidR="0065073E" w14:paraId="05D9E365" w14:textId="77777777">
        <w:trPr>
          <w:trHeight w:val="300"/>
        </w:trPr>
        <w:tc>
          <w:tcPr>
            <w:tcW w:w="846" w:type="dxa"/>
            <w:shd w:val="clear" w:color="auto" w:fill="C6EFCE"/>
          </w:tcPr>
          <w:p w14:paraId="143BED7A" w14:textId="3590908E" w:rsidR="0065073E" w:rsidRDefault="000A0998">
            <w:pPr>
              <w:pStyle w:val="P68B1DB1-Normal12"/>
              <w:spacing w:after="0" w:line="240" w:lineRule="auto"/>
              <w:jc w:val="center"/>
              <w:textAlignment w:val="baseline"/>
              <w:rPr>
                <w:rFonts w:eastAsia="Times New Roman" w:cs="Times New Roman"/>
                <w:noProof/>
              </w:rPr>
            </w:pPr>
            <w:r>
              <w:rPr>
                <w:noProof/>
              </w:rPr>
              <w:t>L57</w:t>
            </w:r>
          </w:p>
        </w:tc>
        <w:tc>
          <w:tcPr>
            <w:tcW w:w="850" w:type="dxa"/>
            <w:shd w:val="clear" w:color="auto" w:fill="C6EFCE"/>
          </w:tcPr>
          <w:p w14:paraId="5A120BA7"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155F790"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A070662" w14:textId="184B347B" w:rsidR="0065073E" w:rsidRDefault="000A0998">
            <w:pPr>
              <w:pStyle w:val="P68B1DB1-Normal12"/>
              <w:spacing w:after="0" w:line="240" w:lineRule="auto"/>
              <w:textAlignment w:val="baseline"/>
              <w:rPr>
                <w:rFonts w:eastAsia="Times New Roman" w:cs="Times New Roman"/>
                <w:noProof/>
              </w:rPr>
            </w:pPr>
            <w:r>
              <w:rPr>
                <w:noProof/>
              </w:rPr>
              <w:t>Alueellinen selviytymiskyvyn rahasto – Muut budjettikohdat: Lopullisten edunsaajien (mukaan lukien oman pääoman ehtoiset rahastot) kanssa allekirjoitetut oikeudelliset sopimukset (IV)</w:t>
            </w:r>
          </w:p>
        </w:tc>
        <w:tc>
          <w:tcPr>
            <w:tcW w:w="1134" w:type="dxa"/>
            <w:shd w:val="clear" w:color="auto" w:fill="C6EFCE"/>
          </w:tcPr>
          <w:p w14:paraId="5A8CCAD9" w14:textId="7E8BD2A5"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702EF7D" w14:textId="553D87CD" w:rsidR="0065073E" w:rsidRDefault="000A0998">
            <w:pPr>
              <w:pStyle w:val="P68B1DB1-Normal12"/>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6AA8698" w14:textId="3B25FE1D"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16FA5C8C" w14:textId="0BCDAFE3"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1DBD2CD8"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7D6E26F8" w14:textId="13BB85B1"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(mukaan lukien oman pääoman ehtoiset rahastot) kanssa oikeudellisia rahoitussopimuksia, jotka ovat tarpeen, jotta 100 prosenttia elpymis- ja palautumistukivälineen investoinneista voidaan käyttää muihin budjettikohtiin (ottaen huomioon hallinnointipalkkiot). Vähintään 2,5 prosenttia rahoituksesta vastaa pääomarahastojen kanssa allekirjoitettuja rahoitussopimuksia ja vähintään 60 prosenttia lopullisten tuensaajien kanssa allekirjoitettuja rahoitussopimuksia, jotka koskevat kaikkia muita sijoitustuotteita (mukaan lukien lainajärjestelyn suorat pääomasijoitukset). EIP-ryhmän on laadittava elpymis- ja palautumistukivälinettä koskevan asetuksen liitteessä VI esitettyä menetelmää käyttäen kertomus, jossa esitetään yksityiskohtaisesti ilmastotavoitteita edistävän rahoituksen prosenttiosuus.</w:t>
            </w:r>
          </w:p>
        </w:tc>
      </w:tr>
      <w:tr w:rsidR="0065073E" w14:paraId="06A35F8D" w14:textId="77777777">
        <w:trPr>
          <w:trHeight w:val="417"/>
        </w:trPr>
        <w:tc>
          <w:tcPr>
            <w:tcW w:w="846" w:type="dxa"/>
            <w:shd w:val="clear" w:color="auto" w:fill="C6EFCE"/>
          </w:tcPr>
          <w:p w14:paraId="12F5515E" w14:textId="01698D97" w:rsidR="0065073E" w:rsidRDefault="000A0998">
            <w:pPr>
              <w:pStyle w:val="P68B1DB1-Normal12"/>
              <w:spacing w:after="0" w:line="240" w:lineRule="auto"/>
              <w:jc w:val="center"/>
              <w:textAlignment w:val="baseline"/>
              <w:rPr>
                <w:rFonts w:eastAsia="Times New Roman" w:cs="Times New Roman"/>
                <w:noProof/>
              </w:rPr>
            </w:pPr>
            <w:r>
              <w:rPr>
                <w:noProof/>
              </w:rPr>
              <w:t>L58</w:t>
            </w:r>
          </w:p>
        </w:tc>
        <w:tc>
          <w:tcPr>
            <w:tcW w:w="850" w:type="dxa"/>
            <w:shd w:val="clear" w:color="auto" w:fill="C6EFCE"/>
          </w:tcPr>
          <w:p w14:paraId="683F350C"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5BE30C83"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063E0CC" w14:textId="6EC4301B" w:rsidR="0065073E" w:rsidRDefault="000A0998">
            <w:pPr>
              <w:pStyle w:val="P68B1DB1-Normal12"/>
              <w:spacing w:after="0" w:line="240" w:lineRule="auto"/>
              <w:textAlignment w:val="baseline"/>
              <w:rPr>
                <w:rFonts w:eastAsia="Times New Roman" w:cs="Times New Roman"/>
                <w:noProof/>
              </w:rPr>
            </w:pPr>
            <w:r>
              <w:rPr>
                <w:noProof/>
              </w:rPr>
              <w:t>Alueellinen selviytymiskyvyn rahasto – suora julkinen linja: Lopullisten edunsaajien kanssa allekirjoitetut oikeudelliset sopimukset (I)</w:t>
            </w:r>
          </w:p>
        </w:tc>
        <w:tc>
          <w:tcPr>
            <w:tcW w:w="1134" w:type="dxa"/>
            <w:shd w:val="clear" w:color="auto" w:fill="C6EFCE"/>
          </w:tcPr>
          <w:p w14:paraId="02B3B879" w14:textId="391F8EEA"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C5B8A19" w14:textId="77777777" w:rsidR="0065073E" w:rsidRDefault="000A0998">
            <w:pPr>
              <w:pStyle w:val="P68B1DB1-Normal12"/>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7ECDB1A0" w14:textId="53352305"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4245172" w14:textId="77777777" w:rsidR="0065073E" w:rsidRDefault="000A0998">
            <w:pPr>
              <w:pStyle w:val="P68B1DB1-Normal12"/>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05541E0" w14:textId="77777777" w:rsidR="0065073E" w:rsidRDefault="000A0998">
            <w:pPr>
              <w:pStyle w:val="P68B1DB1-Normal12"/>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11CD28D0" w14:textId="1D461C85"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kanssa oikeudellisia rahoitussopimuksia määrästä, joka on tarpeen, jotta vähintään 50 prosenttia elpymis- ja palautumistukivälineen investoinneista voidaan käyttää suoraan julkiseen linjaan (ottaen huomioon hallinnointipalkkiot). EIP-ryhmän on laadittava elpymis- ja palautumistukivälinettä koskevan asetuksen liitteessä VI esitettyä menetelmää käyttäen kertomus, jossa esitetään yksityiskohtaisesti ilmastotavoitteita edistävän rahoituksen prosenttiosuus.</w:t>
            </w:r>
          </w:p>
        </w:tc>
      </w:tr>
      <w:tr w:rsidR="0065073E" w14:paraId="63E8570F" w14:textId="77777777">
        <w:trPr>
          <w:trHeight w:val="417"/>
        </w:trPr>
        <w:tc>
          <w:tcPr>
            <w:tcW w:w="846" w:type="dxa"/>
            <w:shd w:val="clear" w:color="auto" w:fill="C6EFCE"/>
          </w:tcPr>
          <w:p w14:paraId="4495493D" w14:textId="6672C7F9" w:rsidR="0065073E" w:rsidRDefault="000A0998">
            <w:pPr>
              <w:pStyle w:val="P68B1DB1-Normal12"/>
              <w:spacing w:after="0" w:line="240" w:lineRule="auto"/>
              <w:jc w:val="center"/>
              <w:textAlignment w:val="baseline"/>
              <w:rPr>
                <w:rFonts w:eastAsia="Times New Roman" w:cs="Times New Roman"/>
                <w:noProof/>
              </w:rPr>
            </w:pPr>
            <w:r>
              <w:rPr>
                <w:noProof/>
              </w:rPr>
              <w:t>L59</w:t>
            </w:r>
          </w:p>
        </w:tc>
        <w:tc>
          <w:tcPr>
            <w:tcW w:w="850" w:type="dxa"/>
            <w:shd w:val="clear" w:color="auto" w:fill="C6EFCE"/>
          </w:tcPr>
          <w:p w14:paraId="2E2778A9"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4CBA85" w14:textId="77777777" w:rsidR="0065073E" w:rsidRDefault="000A0998">
            <w:pPr>
              <w:pStyle w:val="P68B1DB1-Normal12"/>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99C52F7" w14:textId="370CF6B6" w:rsidR="0065073E" w:rsidRDefault="000A0998">
            <w:pPr>
              <w:pStyle w:val="P68B1DB1-Normal12"/>
              <w:spacing w:after="0" w:line="240" w:lineRule="auto"/>
              <w:textAlignment w:val="baseline"/>
              <w:rPr>
                <w:rFonts w:eastAsia="Times New Roman" w:cs="Times New Roman"/>
                <w:noProof/>
              </w:rPr>
            </w:pPr>
            <w:r>
              <w:rPr>
                <w:noProof/>
              </w:rPr>
              <w:t>Alueellinen selviytymiskyvyn rahasto – suora julkinen linja: Lopullisten edunsaajien kanssa allekirjoitetut oikeudelliset sopimukset (II)</w:t>
            </w:r>
          </w:p>
        </w:tc>
        <w:tc>
          <w:tcPr>
            <w:tcW w:w="1134" w:type="dxa"/>
            <w:shd w:val="clear" w:color="auto" w:fill="C6EFCE"/>
          </w:tcPr>
          <w:p w14:paraId="4D278E9E" w14:textId="0BACD6D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F042AEB" w14:textId="04DA191A" w:rsidR="0065073E" w:rsidRDefault="000A0998">
            <w:pPr>
              <w:pStyle w:val="P68B1DB1-Normal12"/>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DEF3DEE" w14:textId="7267021C" w:rsidR="0065073E" w:rsidRDefault="000A0998">
            <w:pPr>
              <w:pStyle w:val="P68B1DB1-Normal12"/>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5E27C084" w14:textId="77777777" w:rsidR="0065073E" w:rsidRDefault="000A0998">
            <w:pPr>
              <w:pStyle w:val="P68B1DB1-Normal12"/>
              <w:spacing w:after="0" w:line="240" w:lineRule="auto"/>
              <w:jc w:val="center"/>
              <w:textAlignment w:val="baseline"/>
              <w:rPr>
                <w:rFonts w:eastAsia="Times New Roman" w:cs="Times New Roman"/>
                <w:noProof/>
              </w:rPr>
            </w:pPr>
            <w:r>
              <w:rPr>
                <w:noProof/>
              </w:rPr>
              <w:t>TOINEN VUOSINELJÄNNES</w:t>
            </w:r>
          </w:p>
        </w:tc>
        <w:tc>
          <w:tcPr>
            <w:tcW w:w="709" w:type="dxa"/>
            <w:shd w:val="clear" w:color="auto" w:fill="C6EFCE"/>
          </w:tcPr>
          <w:p w14:paraId="36118383" w14:textId="77777777" w:rsidR="0065073E" w:rsidRDefault="000A0998">
            <w:pPr>
              <w:pStyle w:val="P68B1DB1-Normal12"/>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8EF0038" w14:textId="1238F812" w:rsidR="0065073E" w:rsidRDefault="000A0998">
            <w:pPr>
              <w:pStyle w:val="P68B1DB1-Normal12"/>
              <w:spacing w:after="0" w:line="240" w:lineRule="auto"/>
              <w:textAlignment w:val="baseline"/>
              <w:rPr>
                <w:rFonts w:eastAsia="Times New Roman" w:cs="Times New Roman"/>
                <w:noProof/>
              </w:rPr>
            </w:pPr>
            <w:r>
              <w:rPr>
                <w:noProof/>
              </w:rPr>
              <w:t>EIP-ryhmä ja EIP-ryhmän valitsemat välittäjät ovat tehneet lopullisten edunsaajien kanssa oikeudellisia rahoitussopimuksia määrästä, joka on tarpeen, jotta 100 prosenttia elpymis- ja palautumistukivälineen investoinneista voidaan käyttää suoraan julkiseen linjaan (ottaen huomioon hallinnointipalkkiot). EIP</w:t>
            </w:r>
            <w:bookmarkStart w:id="49" w:name="_Hlk145696936"/>
            <w:r>
              <w:rPr>
                <w:noProof/>
              </w:rPr>
              <w:t>-ryhmän on laadittava elpymis- ja palautumistukivälinettä koskevan asetuksen liitteessä VI esitettyä menetelmää käyttäen kertomus, jossa esitetään yksityiskohtaisesti ilmastotavoitteita edistävän rahoituksen prosenttiosuus.</w:t>
            </w:r>
            <w:bookmarkEnd w:id="49"/>
          </w:p>
        </w:tc>
      </w:tr>
      <w:tr w:rsidR="0065073E" w14:paraId="03FB41D9" w14:textId="77777777">
        <w:trPr>
          <w:trHeight w:val="417"/>
        </w:trPr>
        <w:tc>
          <w:tcPr>
            <w:tcW w:w="846" w:type="dxa"/>
            <w:shd w:val="clear" w:color="auto" w:fill="C6EFCE"/>
          </w:tcPr>
          <w:p w14:paraId="01FCDD23" w14:textId="44738A29" w:rsidR="0065073E" w:rsidRDefault="000A0998">
            <w:pPr>
              <w:pStyle w:val="P68B1DB1-Normal12"/>
              <w:spacing w:after="0" w:line="240" w:lineRule="auto"/>
              <w:jc w:val="center"/>
              <w:textAlignment w:val="baseline"/>
              <w:rPr>
                <w:rFonts w:eastAsia="Times New Roman" w:cs="Times New Roman"/>
                <w:noProof/>
              </w:rPr>
            </w:pPr>
            <w:r>
              <w:rPr>
                <w:noProof/>
              </w:rPr>
              <w:t>L60</w:t>
            </w:r>
          </w:p>
        </w:tc>
        <w:tc>
          <w:tcPr>
            <w:tcW w:w="850" w:type="dxa"/>
            <w:shd w:val="clear" w:color="auto" w:fill="C6EFCE"/>
          </w:tcPr>
          <w:p w14:paraId="5CBC3798" w14:textId="3C89253C"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AD9EAF" w14:textId="74664483"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0EAD6F9A" w14:textId="125F4E01" w:rsidR="0065073E" w:rsidRDefault="000A0998">
            <w:pPr>
              <w:pStyle w:val="P68B1DB1-Normal12"/>
              <w:spacing w:after="0" w:line="240" w:lineRule="auto"/>
              <w:textAlignment w:val="baseline"/>
              <w:rPr>
                <w:rFonts w:eastAsia="Times New Roman" w:cs="Times New Roman"/>
                <w:noProof/>
              </w:rPr>
            </w:pPr>
            <w:r>
              <w:rPr>
                <w:noProof/>
              </w:rPr>
              <w:t>Alueellinen selviytymiskyvyn rahasto – ilmastorahoitus</w:t>
            </w:r>
          </w:p>
        </w:tc>
        <w:tc>
          <w:tcPr>
            <w:tcW w:w="1134" w:type="dxa"/>
            <w:shd w:val="clear" w:color="auto" w:fill="C6EFCE"/>
          </w:tcPr>
          <w:p w14:paraId="2E9F1A1F"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00BC601D"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BFDEE6"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D6F765" w14:textId="6CE14458"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1DDDBAD4" w14:textId="51E2A380"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E552863" w14:textId="2E918D87" w:rsidR="0065073E" w:rsidRDefault="000A0998">
            <w:pPr>
              <w:pStyle w:val="P68B1DB1-Normal12"/>
              <w:spacing w:after="0" w:line="240" w:lineRule="auto"/>
              <w:textAlignment w:val="baseline"/>
              <w:rPr>
                <w:rFonts w:eastAsia="Times New Roman" w:cs="Times New Roman"/>
                <w:noProof/>
              </w:rPr>
            </w:pPr>
            <w:r>
              <w:rPr>
                <w:noProof/>
              </w:rPr>
              <w:t>Vähintään 50 prosentilla suoran julkisen linjan ja muiden budjettikohtien rahoituksesta on edistettävä ilmastotavoitteita elpymis- ja palautumistukivälinettä koskevan asetuksen liitteessä VI esitettyä menetelmää käyttäen.</w:t>
            </w:r>
          </w:p>
        </w:tc>
      </w:tr>
      <w:tr w:rsidR="0065073E" w14:paraId="21EB8F1D" w14:textId="77777777">
        <w:trPr>
          <w:trHeight w:val="300"/>
        </w:trPr>
        <w:tc>
          <w:tcPr>
            <w:tcW w:w="846" w:type="dxa"/>
            <w:shd w:val="clear" w:color="auto" w:fill="C6EFCE"/>
          </w:tcPr>
          <w:p w14:paraId="72699A00" w14:textId="079AEF25" w:rsidR="0065073E" w:rsidRDefault="000A0998">
            <w:pPr>
              <w:pStyle w:val="P68B1DB1-Normal12"/>
              <w:spacing w:after="0" w:line="240" w:lineRule="auto"/>
              <w:jc w:val="center"/>
              <w:textAlignment w:val="baseline"/>
              <w:rPr>
                <w:rFonts w:eastAsia="Times New Roman" w:cs="Times New Roman"/>
                <w:noProof/>
              </w:rPr>
            </w:pPr>
            <w:r>
              <w:rPr>
                <w:noProof/>
              </w:rPr>
              <w:t>L61</w:t>
            </w:r>
          </w:p>
        </w:tc>
        <w:tc>
          <w:tcPr>
            <w:tcW w:w="850" w:type="dxa"/>
            <w:shd w:val="clear" w:color="auto" w:fill="C6EFCE"/>
          </w:tcPr>
          <w:p w14:paraId="5845E936"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D109629" w14:textId="49F3C68C"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05D58B1" w14:textId="5F4AF18F" w:rsidR="0065073E" w:rsidRDefault="000A0998">
            <w:pPr>
              <w:pStyle w:val="P68B1DB1-Normal12"/>
              <w:spacing w:after="0" w:line="240" w:lineRule="auto"/>
              <w:textAlignment w:val="baseline"/>
              <w:rPr>
                <w:rFonts w:eastAsia="Times New Roman" w:cs="Times New Roman"/>
                <w:noProof/>
              </w:rPr>
            </w:pPr>
            <w:r>
              <w:rPr>
                <w:noProof/>
              </w:rPr>
              <w:t>Alueellinen selviytymiskyvyn rahasto – suora julkinen linja: Hankkeiden loppuun saattaminen julkisyhteisöjen toimesta</w:t>
            </w:r>
          </w:p>
        </w:tc>
        <w:tc>
          <w:tcPr>
            <w:tcW w:w="1134" w:type="dxa"/>
            <w:shd w:val="clear" w:color="auto" w:fill="C6EFCE"/>
          </w:tcPr>
          <w:p w14:paraId="2820682D" w14:textId="40F98DA1"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E04D9BD"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729A8EC" w14:textId="40BB2BFC" w:rsidR="0065073E" w:rsidRDefault="0065073E">
            <w:pPr>
              <w:jc w:val="right"/>
              <w:rPr>
                <w:rFonts w:ascii="Times New Roman" w:eastAsia="Times New Roman" w:hAnsi="Times New Roman" w:cs="Times New Roman"/>
                <w:noProof/>
                <w:sz w:val="18"/>
              </w:rPr>
            </w:pPr>
          </w:p>
        </w:tc>
        <w:tc>
          <w:tcPr>
            <w:tcW w:w="709" w:type="dxa"/>
            <w:shd w:val="clear" w:color="auto" w:fill="C6EFCE"/>
          </w:tcPr>
          <w:p w14:paraId="4442565A" w14:textId="1907DC9B"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3FF794C2"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812BD0E" w14:textId="66C1961E" w:rsidR="0065073E" w:rsidRDefault="000A0998">
            <w:pPr>
              <w:pStyle w:val="P68B1DB1-Normal12"/>
              <w:spacing w:after="0" w:line="240" w:lineRule="auto"/>
              <w:textAlignment w:val="baseline"/>
              <w:rPr>
                <w:rFonts w:eastAsia="Times New Roman" w:cs="Times New Roman"/>
                <w:noProof/>
              </w:rPr>
            </w:pPr>
            <w:r>
              <w:rPr>
                <w:noProof/>
              </w:rPr>
              <w:t>Hankkeiden loppuun saattaminen julkisyhteisöjen toimesta, joiden arvo on vähintään 3150000000 euroa (hallintopalkkiot mukaan luettuina) suorassa julkisessa linjassa.</w:t>
            </w:r>
            <w:r>
              <w:rPr>
                <w:noProof/>
                <w:highlight w:val="yellow"/>
              </w:rPr>
              <w:t xml:space="preserve"> </w:t>
            </w:r>
          </w:p>
        </w:tc>
      </w:tr>
      <w:tr w:rsidR="0065073E" w14:paraId="16180596" w14:textId="77777777">
        <w:trPr>
          <w:trHeight w:val="300"/>
        </w:trPr>
        <w:tc>
          <w:tcPr>
            <w:tcW w:w="846" w:type="dxa"/>
            <w:shd w:val="clear" w:color="auto" w:fill="C6EFCE"/>
          </w:tcPr>
          <w:p w14:paraId="64DE1AE2" w14:textId="7B5AB5C3" w:rsidR="0065073E" w:rsidRDefault="000A0998">
            <w:pPr>
              <w:pStyle w:val="P68B1DB1-Normal12"/>
              <w:spacing w:after="0" w:line="240" w:lineRule="auto"/>
              <w:jc w:val="center"/>
              <w:textAlignment w:val="baseline"/>
              <w:rPr>
                <w:rFonts w:eastAsia="Times New Roman" w:cs="Times New Roman"/>
                <w:noProof/>
              </w:rPr>
            </w:pPr>
            <w:r>
              <w:rPr>
                <w:noProof/>
              </w:rPr>
              <w:t>L62</w:t>
            </w:r>
          </w:p>
        </w:tc>
        <w:tc>
          <w:tcPr>
            <w:tcW w:w="850" w:type="dxa"/>
            <w:shd w:val="clear" w:color="auto" w:fill="C6EFCE"/>
          </w:tcPr>
          <w:p w14:paraId="37BA37A7" w14:textId="77777777" w:rsidR="0065073E" w:rsidRDefault="000A0998">
            <w:pPr>
              <w:pStyle w:val="P68B1DB1-Normal12"/>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DF5DC8D" w14:textId="77777777" w:rsidR="0065073E" w:rsidRDefault="000A0998">
            <w:pPr>
              <w:pStyle w:val="P68B1DB1-Normal12"/>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1B1A16" w14:textId="539CE86A" w:rsidR="0065073E" w:rsidRDefault="000A0998">
            <w:pPr>
              <w:pStyle w:val="P68B1DB1-Normal12"/>
              <w:spacing w:after="0" w:line="240" w:lineRule="auto"/>
              <w:textAlignment w:val="baseline"/>
              <w:rPr>
                <w:rFonts w:eastAsia="Times New Roman" w:cs="Times New Roman"/>
                <w:noProof/>
              </w:rPr>
            </w:pPr>
            <w:r>
              <w:rPr>
                <w:noProof/>
              </w:rPr>
              <w:t>Alueellinen selviytymiskyvyn rahasto – Talous- ja digitaalisesta siirtymästä vastaava ministeriö on saanut investoinnin päätökseen</w:t>
            </w:r>
          </w:p>
        </w:tc>
        <w:tc>
          <w:tcPr>
            <w:tcW w:w="1134" w:type="dxa"/>
            <w:shd w:val="clear" w:color="auto" w:fill="C6EFCE"/>
          </w:tcPr>
          <w:p w14:paraId="16C4AA6B" w14:textId="77777777" w:rsidR="0065073E" w:rsidRDefault="000A0998">
            <w:pPr>
              <w:pStyle w:val="P68B1DB1-Normal12"/>
              <w:spacing w:after="0" w:line="240" w:lineRule="auto"/>
              <w:jc w:val="center"/>
              <w:textAlignment w:val="baseline"/>
              <w:rPr>
                <w:rFonts w:eastAsia="Times New Roman" w:cs="Times New Roman"/>
                <w:noProof/>
              </w:rPr>
            </w:pPr>
            <w:r>
              <w:rPr>
                <w:noProof/>
              </w:rPr>
              <w:t>Todistus rahastoon suoritetusta maksusta</w:t>
            </w:r>
          </w:p>
        </w:tc>
        <w:tc>
          <w:tcPr>
            <w:tcW w:w="709" w:type="dxa"/>
            <w:shd w:val="clear" w:color="auto" w:fill="C6EFCE"/>
          </w:tcPr>
          <w:p w14:paraId="11CA77FB" w14:textId="56F495F6" w:rsidR="0065073E" w:rsidRDefault="0065073E">
            <w:pPr>
              <w:spacing w:after="0" w:line="240" w:lineRule="auto"/>
              <w:jc w:val="center"/>
              <w:textAlignment w:val="baseline"/>
              <w:rPr>
                <w:rFonts w:ascii="Times New Roman" w:eastAsia="Times New Roman" w:hAnsi="Times New Roman" w:cs="Times New Roman"/>
                <w:noProof/>
                <w:sz w:val="18"/>
              </w:rPr>
            </w:pPr>
          </w:p>
          <w:p w14:paraId="1F699900" w14:textId="77777777" w:rsidR="0065073E" w:rsidRDefault="0065073E">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311F4D0C"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8DB9A1B" w14:textId="0029E818" w:rsidR="0065073E" w:rsidRDefault="0065073E">
            <w:pPr>
              <w:spacing w:after="0" w:line="240" w:lineRule="auto"/>
              <w:jc w:val="right"/>
              <w:textAlignment w:val="baseline"/>
              <w:rPr>
                <w:rFonts w:ascii="Times New Roman" w:eastAsia="Times New Roman" w:hAnsi="Times New Roman" w:cs="Times New Roman"/>
                <w:noProof/>
                <w:sz w:val="18"/>
              </w:rPr>
            </w:pPr>
          </w:p>
          <w:p w14:paraId="3BB3C1FE" w14:textId="77777777" w:rsidR="0065073E" w:rsidRDefault="0065073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A261259" w14:textId="5DA6EADE" w:rsidR="0065073E" w:rsidRDefault="000A0998">
            <w:pPr>
              <w:pStyle w:val="P68B1DB1-Normal12"/>
              <w:spacing w:after="0" w:line="240" w:lineRule="auto"/>
              <w:jc w:val="center"/>
              <w:textAlignment w:val="baseline"/>
              <w:rPr>
                <w:rFonts w:eastAsia="Times New Roman" w:cs="Times New Roman"/>
                <w:noProof/>
              </w:rPr>
            </w:pPr>
            <w:r>
              <w:rPr>
                <w:noProof/>
              </w:rPr>
              <w:t>Q3</w:t>
            </w:r>
          </w:p>
        </w:tc>
        <w:tc>
          <w:tcPr>
            <w:tcW w:w="709" w:type="dxa"/>
            <w:shd w:val="clear" w:color="auto" w:fill="C6EFCE"/>
          </w:tcPr>
          <w:p w14:paraId="219AE1CF" w14:textId="77777777" w:rsidR="0065073E" w:rsidRDefault="000A0998">
            <w:pPr>
              <w:pStyle w:val="P68B1DB1-Normal12"/>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DD5973E" w14:textId="70BFECC3" w:rsidR="0065073E" w:rsidRDefault="000A0998">
            <w:pPr>
              <w:pStyle w:val="P68B1DB1-Normal12"/>
              <w:spacing w:after="0" w:line="240" w:lineRule="auto"/>
              <w:textAlignment w:val="baseline"/>
              <w:rPr>
                <w:rFonts w:eastAsia="Times New Roman" w:cs="Times New Roman"/>
                <w:noProof/>
              </w:rPr>
            </w:pPr>
            <w:r>
              <w:rPr>
                <w:noProof/>
              </w:rPr>
              <w:t>Espanjan on siirrettävä 19500000000 euroa EIP-ryhmälle lainajärjestelyä varten.</w:t>
            </w:r>
          </w:p>
        </w:tc>
      </w:tr>
      <w:bookmarkEnd w:id="48"/>
    </w:tbl>
    <w:p w14:paraId="583CE302" w14:textId="77777777" w:rsidR="0065073E" w:rsidRDefault="0065073E">
      <w:pPr>
        <w:ind w:firstLine="720"/>
        <w:rPr>
          <w:noProof/>
        </w:rPr>
        <w:sectPr w:rsidR="0065073E" w:rsidSect="00B511EF">
          <w:headerReference w:type="even" r:id="rId324"/>
          <w:headerReference w:type="default" r:id="rId325"/>
          <w:footerReference w:type="even" r:id="rId326"/>
          <w:footerReference w:type="default" r:id="rId327"/>
          <w:headerReference w:type="first" r:id="rId328"/>
          <w:footerReference w:type="first" r:id="rId329"/>
          <w:pgSz w:w="16839" w:h="11907" w:orient="landscape"/>
          <w:pgMar w:top="1134" w:right="1134" w:bottom="1134" w:left="1134" w:header="567" w:footer="567" w:gutter="0"/>
          <w:cols w:space="720"/>
          <w:docGrid w:linePitch="360"/>
        </w:sectPr>
      </w:pPr>
    </w:p>
    <w:p w14:paraId="5EA775EA" w14:textId="585ADC6A" w:rsidR="0065073E" w:rsidRDefault="000A0998">
      <w:pPr>
        <w:pStyle w:val="Heading1"/>
        <w:tabs>
          <w:tab w:val="left" w:pos="4410"/>
          <w:tab w:val="center" w:pos="4819"/>
        </w:tabs>
        <w:jc w:val="left"/>
        <w:rPr>
          <w:rFonts w:ascii="Times New Roman" w:hAnsi="Times New Roman"/>
          <w:noProof/>
        </w:rPr>
      </w:pPr>
      <w:r>
        <w:rPr>
          <w:noProof/>
        </w:rPr>
        <w:tab/>
      </w:r>
      <w:r>
        <w:rPr>
          <w:noProof/>
        </w:rPr>
        <w:tab/>
      </w:r>
    </w:p>
    <w:p w14:paraId="23DAF294" w14:textId="77777777" w:rsidR="0065073E" w:rsidRDefault="0065073E">
      <w:pPr>
        <w:rPr>
          <w:noProof/>
        </w:rPr>
        <w:sectPr w:rsidR="0065073E" w:rsidSect="00B511EF">
          <w:headerReference w:type="even" r:id="rId330"/>
          <w:headerReference w:type="default" r:id="rId331"/>
          <w:footerReference w:type="even" r:id="rId332"/>
          <w:footerReference w:type="default" r:id="rId333"/>
          <w:headerReference w:type="first" r:id="rId334"/>
          <w:footerReference w:type="first" r:id="rId335"/>
          <w:pgSz w:w="11907" w:h="16839"/>
          <w:pgMar w:top="1134" w:right="1134" w:bottom="1134" w:left="1134" w:header="567" w:footer="567" w:gutter="0"/>
          <w:cols w:space="720"/>
          <w:docGrid w:linePitch="360"/>
        </w:sectPr>
      </w:pPr>
    </w:p>
    <w:p w14:paraId="49F00853" w14:textId="77777777" w:rsidR="0065073E" w:rsidRDefault="000A0998">
      <w:pPr>
        <w:pStyle w:val="P68B1DB1-Heading12"/>
        <w:rPr>
          <w:rFonts w:cs="Times New Roman"/>
          <w:noProof/>
        </w:rPr>
      </w:pPr>
      <w:r>
        <w:rPr>
          <w:noProof/>
        </w:rPr>
        <w:t>N. KOMPONENTTI 14: Matkailu</w:t>
      </w:r>
    </w:p>
    <w:p w14:paraId="187C3B49" w14:textId="77777777" w:rsidR="0065073E" w:rsidRDefault="000A0998">
      <w:pPr>
        <w:pStyle w:val="maintext"/>
        <w:rPr>
          <w:b/>
          <w:smallCaps/>
          <w:noProof/>
          <w:sz w:val="28"/>
        </w:rPr>
      </w:pPr>
      <w:r>
        <w:rPr>
          <w:noProof/>
        </w:rPr>
        <w:t>Espanjan elpymis- ja palautumissuunnitelman osa-alueella on vastattava seuraaviin haasteisiin:</w:t>
      </w:r>
    </w:p>
    <w:p w14:paraId="70FB1EE8" w14:textId="77777777" w:rsidR="0065073E" w:rsidRDefault="000A0998">
      <w:pPr>
        <w:pStyle w:val="P68B1DB1-ListParagraph6"/>
        <w:numPr>
          <w:ilvl w:val="0"/>
          <w:numId w:val="720"/>
        </w:numPr>
        <w:spacing w:before="120" w:line="240" w:lineRule="auto"/>
        <w:jc w:val="both"/>
        <w:rPr>
          <w:rFonts w:cs="Times New Roman"/>
          <w:noProof/>
        </w:rPr>
      </w:pPr>
      <w:r>
        <w:rPr>
          <w:noProof/>
        </w:rPr>
        <w:t xml:space="preserve">Espanjan matkailuala on covid-19-pandemian aiheuttaman kriisin seurauksena erittäin arkaluontoisessa tilanteessa, ja sen kestävyyden ja kilpailukyvyn parantamiseksi tarvitaan kiireellisiä toimia. </w:t>
      </w:r>
    </w:p>
    <w:p w14:paraId="6CDD9DBE" w14:textId="77777777" w:rsidR="0065073E" w:rsidRDefault="000A0998">
      <w:pPr>
        <w:pStyle w:val="P68B1DB1-ListParagraph6"/>
        <w:numPr>
          <w:ilvl w:val="0"/>
          <w:numId w:val="720"/>
        </w:numPr>
        <w:spacing w:before="120" w:after="120" w:line="240" w:lineRule="auto"/>
        <w:jc w:val="both"/>
        <w:rPr>
          <w:rFonts w:cs="Times New Roman"/>
          <w:noProof/>
        </w:rPr>
      </w:pPr>
      <w:r>
        <w:rPr>
          <w:noProof/>
        </w:rPr>
        <w:t>Espanjan matkailuelinkeinon moottoreina toimivat Kanariansaaret ja Baleaarit tarvitsevat erityistoimia, joilla lievennetään ulkoisvaikutuksia ja suurta riippuvuutta lomatoiminnasta.</w:t>
      </w:r>
    </w:p>
    <w:p w14:paraId="0CF97EC8" w14:textId="77777777" w:rsidR="0065073E" w:rsidRDefault="000A0998">
      <w:pPr>
        <w:pStyle w:val="P68B1DB1-ListParagraph6"/>
        <w:numPr>
          <w:ilvl w:val="0"/>
          <w:numId w:val="720"/>
        </w:numPr>
        <w:spacing w:before="120" w:after="120" w:line="240" w:lineRule="auto"/>
        <w:jc w:val="both"/>
        <w:rPr>
          <w:rFonts w:cs="Times New Roman"/>
          <w:noProof/>
        </w:rPr>
      </w:pPr>
      <w:r>
        <w:rPr>
          <w:noProof/>
        </w:rPr>
        <w:t>Espanja on tieto- ja viestintätekniikan alalla sijalla 27., Maailman talousfoorumin matkailualan kilpailukykyraportin mukaan. Lisäksi sen julkiset ja yksityiset T &amp; K-investoinnit ovat suhteellisen vähäisiä. Lisäksi monissa raporteissa todetaan, että matkailuala on ala, jolla on suurimmat mahdollisuudet hyötyä tekoälystä (128 prosentin lisäys toiminnan lisäarvossa tekoälysovelluksen kautta).</w:t>
      </w:r>
    </w:p>
    <w:p w14:paraId="5A8182C4" w14:textId="77777777" w:rsidR="0065073E" w:rsidRDefault="000A0998">
      <w:pPr>
        <w:pStyle w:val="P68B1DB1-Normal4"/>
        <w:spacing w:before="120" w:after="120" w:line="240" w:lineRule="auto"/>
        <w:jc w:val="both"/>
        <w:rPr>
          <w:rFonts w:cs="Times New Roman"/>
          <w:noProof/>
        </w:rPr>
      </w:pPr>
      <w:r>
        <w:rPr>
          <w:noProof/>
        </w:rPr>
        <w:t>Tämän komponentin tavoitteena on muuttaa ja nykyaikaistaa Espanjan matkailualaa parantamalla sen kilpailukykyä ja häiriönsietokykyä.</w:t>
      </w:r>
    </w:p>
    <w:p w14:paraId="35827750" w14:textId="77777777" w:rsidR="0065073E" w:rsidRDefault="000A0998">
      <w:pPr>
        <w:pStyle w:val="P68B1DB1-Normal4"/>
        <w:spacing w:before="120" w:after="120" w:line="240" w:lineRule="auto"/>
        <w:jc w:val="both"/>
        <w:rPr>
          <w:rFonts w:cs="Times New Roman"/>
          <w:noProof/>
        </w:rPr>
      </w:pPr>
      <w:r>
        <w:rPr>
          <w:noProof/>
        </w:rPr>
        <w:t>Komponentissa käsitellään maakohtaisia suosituksia innovointiin ja energiatehokkuuteen tehtävien investointien edistämisestä ja tutkimusta ja innovointia tukevien politiikkojen vaikuttavuuden lisäämisestä (maakohtainen suositus 3 2019), talouden ylläpitämisestä (maakohtainen suositus 1 2020), työllisyyden tukemisesta toimenpiteillä, joilla säilytetään työpaikat ja osaamisen kehittäminen ja parannetaan digitaalisen oppimisen saatavuutta (maakohtainen suositus 2 2020), julkisten ja yksityisten investointien edistämisestä sekä vihreän ja digitaalisen siirtymän edistämisestä (maakohtainen suositus 3 2020) ja hallinnon eri tasojen välisen koordinoinnin parantaminen (maakohtainen suositus 4 2020).</w:t>
      </w:r>
    </w:p>
    <w:p w14:paraId="6928174B" w14:textId="77777777" w:rsidR="0065073E" w:rsidRDefault="000A0998">
      <w:pPr>
        <w:pStyle w:val="P68B1DB1-Normal4"/>
        <w:spacing w:before="120" w:after="120" w:line="240" w:lineRule="auto"/>
        <w:ind w:left="11"/>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42129347" w14:textId="77777777" w:rsidR="0065073E" w:rsidRDefault="000A0998">
      <w:pPr>
        <w:spacing w:before="120" w:after="120" w:line="240" w:lineRule="auto"/>
        <w:ind w:left="720"/>
        <w:jc w:val="both"/>
        <w:rPr>
          <w:rFonts w:ascii="Times New Roman" w:hAnsi="Times New Roman" w:cs="Times New Roman"/>
          <w:i/>
          <w:noProof/>
          <w:sz w:val="24"/>
        </w:rPr>
      </w:pPr>
      <w:r>
        <w:rPr>
          <w:rFonts w:ascii="Times New Roman" w:hAnsi="Times New Roman"/>
          <w:b/>
          <w:noProof/>
          <w:sz w:val="24"/>
          <w:u w:val="single"/>
        </w:rPr>
        <w:t xml:space="preserve">N.1 </w:t>
      </w:r>
      <w:r>
        <w:rPr>
          <w:noProof/>
        </w:rPr>
        <w:t xml:space="preserve"> </w:t>
      </w:r>
      <w:r>
        <w:rPr>
          <w:rFonts w:ascii="Times New Roman" w:hAnsi="Times New Roman"/>
          <w:b/>
          <w:noProof/>
          <w:sz w:val="24"/>
          <w:u w:val="single"/>
        </w:rPr>
        <w:t>Kuvaus uudistuksista ja investoinneista, joita rahoitetaan rahoitustuella, jota ei makseta takaisin</w:t>
      </w:r>
    </w:p>
    <w:p w14:paraId="5DA8EE5F" w14:textId="77777777" w:rsidR="0065073E" w:rsidRDefault="000A0998">
      <w:pPr>
        <w:pStyle w:val="P68B1DB1-Normal5"/>
        <w:spacing w:before="120" w:after="120" w:line="240" w:lineRule="auto"/>
        <w:jc w:val="both"/>
        <w:rPr>
          <w:rFonts w:cs="Times New Roman"/>
          <w:noProof/>
        </w:rPr>
      </w:pPr>
      <w:r>
        <w:rPr>
          <w:noProof/>
        </w:rPr>
        <w:t>Uudistus 1 (C14.R1) – Kuninkaan asetus matkailualan kilpailukykyä edistävän valtion rahoitusrahaston (FOCIT) täytäntöönpanosta</w:t>
      </w:r>
    </w:p>
    <w:p w14:paraId="34CD9BB6" w14:textId="77777777" w:rsidR="0065073E" w:rsidRDefault="000A0998">
      <w:pPr>
        <w:pStyle w:val="P68B1DB1-Normal4"/>
        <w:spacing w:before="120" w:after="120" w:line="240" w:lineRule="auto"/>
        <w:jc w:val="both"/>
        <w:rPr>
          <w:rFonts w:cs="Times New Roman"/>
          <w:noProof/>
        </w:rPr>
      </w:pPr>
      <w:r>
        <w:rPr>
          <w:noProof/>
        </w:rPr>
        <w:t xml:space="preserve">Uudistuksen tavoitteena on parantaa matkailualan kilpailukykyä edistämällä innovointia ja tukemalla energiatehokkuutta ja kiertotaloutta. </w:t>
      </w:r>
    </w:p>
    <w:p w14:paraId="4EDB6FDB" w14:textId="77777777" w:rsidR="0065073E" w:rsidRDefault="000A0998">
      <w:pPr>
        <w:pStyle w:val="P68B1DB1-Normal4"/>
        <w:spacing w:before="120" w:after="120" w:line="240" w:lineRule="auto"/>
        <w:jc w:val="both"/>
        <w:rPr>
          <w:rFonts w:cs="Times New Roman"/>
          <w:noProof/>
        </w:rPr>
      </w:pPr>
      <w:r>
        <w:rPr>
          <w:noProof/>
        </w:rPr>
        <w:t xml:space="preserve">Uudistuksella muutetaan voimassa olevia säädöksiä, jotka koskevat matkailualan kilpailukykyä edistävän valtion rahoitusrahaston tavoitteita, luonnetta, toimintaa ja tukikelpoisia hankkeita.  </w:t>
      </w:r>
    </w:p>
    <w:p w14:paraId="535EFD1F" w14:textId="77777777" w:rsidR="0065073E" w:rsidRDefault="000A0998">
      <w:pPr>
        <w:pStyle w:val="P68B1DB1-Normal4"/>
        <w:spacing w:before="120" w:after="120" w:line="240" w:lineRule="auto"/>
        <w:jc w:val="both"/>
        <w:rPr>
          <w:rFonts w:cs="Times New Roman"/>
          <w:noProof/>
        </w:rPr>
      </w:pPr>
      <w:r>
        <w:rPr>
          <w:noProof/>
        </w:rPr>
        <w:t>Muutetulla säädöksellä annetaan matkailualan kilpailukykyä tukevalle valtion rahoitusrahastolle mahdollisuus rahoittaa matkailuyrityksiä energiatehokkuuden parantamiseksi, resurssien kulutuksen ja jätteen tuotannon vähentämiseksi sekä jätteen uudelleenkäytön ja kierrätyksen lisäämiseksi. Energiatehokkuuden ja kiertotalouden alalla rahastosta rahoitetaan innovointihankkeita.</w:t>
      </w:r>
    </w:p>
    <w:p w14:paraId="7E2182EC" w14:textId="77777777" w:rsidR="0065073E" w:rsidRDefault="000A0998">
      <w:pPr>
        <w:pStyle w:val="P68B1DB1-Normal4"/>
        <w:spacing w:before="120" w:after="120" w:line="240" w:lineRule="auto"/>
        <w:jc w:val="both"/>
        <w:rPr>
          <w:rFonts w:cs="Times New Roman"/>
          <w:noProof/>
        </w:rPr>
      </w:pPr>
      <w:r>
        <w:rPr>
          <w:noProof/>
        </w:rPr>
        <w:t>Rahoitusvälineessä voidaan käyttää rahoitusta yhdistäviä järjestelmiä, joissa yhdistetään lainoja muuntyyppisiin tukimuotoihin. Väline rahoitetaan kansallisesta talousarviosta.</w:t>
      </w:r>
    </w:p>
    <w:p w14:paraId="66A890D1" w14:textId="77777777" w:rsidR="0065073E" w:rsidRDefault="000A0998">
      <w:pPr>
        <w:pStyle w:val="P68B1DB1-Normal4"/>
        <w:spacing w:before="120" w:after="120" w:line="240" w:lineRule="auto"/>
        <w:jc w:val="both"/>
        <w:rPr>
          <w:rFonts w:cs="Times New Roman"/>
          <w:noProof/>
        </w:rPr>
      </w:pPr>
      <w:r>
        <w:rPr>
          <w:noProof/>
        </w:rPr>
        <w:t xml:space="preserve">Uudistuksen on sisällettävä myös seuraavat erityistoimenpiteet: </w:t>
      </w:r>
    </w:p>
    <w:p w14:paraId="6BC89025" w14:textId="77777777" w:rsidR="0065073E" w:rsidRDefault="000A0998">
      <w:pPr>
        <w:pStyle w:val="P68B1DB1-ListParagraph23"/>
        <w:numPr>
          <w:ilvl w:val="0"/>
          <w:numId w:val="723"/>
        </w:numPr>
        <w:spacing w:before="120" w:after="120" w:line="240" w:lineRule="auto"/>
        <w:jc w:val="both"/>
        <w:rPr>
          <w:rFonts w:cs="Times New Roman"/>
          <w:noProof/>
          <w:sz w:val="24"/>
        </w:rPr>
      </w:pPr>
      <w:r>
        <w:rPr>
          <w:noProof/>
          <w:sz w:val="24"/>
        </w:rPr>
        <w:t xml:space="preserve">matkailualanedistämissuunnitelma, jossa kuvataan matkailualan edistämistoimia ja määritellään puitteet matkailuun liittyvien toimenpiteiden toteuttamiselle. </w:t>
      </w:r>
    </w:p>
    <w:p w14:paraId="084EBCB4" w14:textId="77777777" w:rsidR="0065073E" w:rsidRDefault="000A0998">
      <w:pPr>
        <w:pStyle w:val="P68B1DB1-ListParagraph6"/>
        <w:numPr>
          <w:ilvl w:val="0"/>
          <w:numId w:val="723"/>
        </w:numPr>
        <w:spacing w:line="240" w:lineRule="auto"/>
        <w:rPr>
          <w:rFonts w:cs="Times New Roman"/>
          <w:noProof/>
        </w:rPr>
      </w:pPr>
      <w:r>
        <w:rPr>
          <w:noProof/>
        </w:rPr>
        <w:t xml:space="preserve">verkkosivusto, jossa kerätään tietoja matkailutilastojen eri lähteistä, kuten INE:n, Turespañan, Espanjan </w:t>
      </w:r>
      <w:r>
        <w:rPr>
          <w:i/>
          <w:noProof/>
        </w:rPr>
        <w:t>keskuspankin</w:t>
      </w:r>
      <w:r>
        <w:rPr>
          <w:noProof/>
        </w:rPr>
        <w:t xml:space="preserve">, AENAn ja RENFEn kaltaisilta julkisilta ja yksityisiltä elimiltä. </w:t>
      </w:r>
    </w:p>
    <w:p w14:paraId="4FA9F02D" w14:textId="77777777" w:rsidR="0065073E" w:rsidRDefault="000A0998">
      <w:pPr>
        <w:pStyle w:val="P68B1DB1-Normal4"/>
        <w:spacing w:before="120" w:after="120" w:line="240" w:lineRule="auto"/>
        <w:jc w:val="both"/>
        <w:rPr>
          <w:rFonts w:cs="Times New Roman"/>
          <w:noProof/>
        </w:rPr>
      </w:pPr>
      <w:r>
        <w:rPr>
          <w:noProof/>
        </w:rPr>
        <w:t>Uudistuksen toteutus on määrä saattaa päätökseen 31. joulukuuta 2021 mennessä.</w:t>
      </w:r>
    </w:p>
    <w:p w14:paraId="456FBD52" w14:textId="77777777" w:rsidR="0065073E" w:rsidRDefault="000A0998">
      <w:pPr>
        <w:pStyle w:val="P68B1DB1-Normal5"/>
        <w:keepNext/>
        <w:spacing w:before="120" w:after="120" w:line="240" w:lineRule="auto"/>
        <w:jc w:val="both"/>
        <w:rPr>
          <w:rFonts w:cs="Times New Roman"/>
          <w:noProof/>
        </w:rPr>
      </w:pPr>
      <w:r>
        <w:rPr>
          <w:noProof/>
        </w:rPr>
        <w:t>Investointi 1 (C14.I1) – Matkailumallin muuttaminen kestäväksi</w:t>
      </w:r>
    </w:p>
    <w:p w14:paraId="6ABEDDDC" w14:textId="77777777" w:rsidR="0065073E" w:rsidRDefault="000A0998">
      <w:pPr>
        <w:pStyle w:val="P68B1DB1-Normal4"/>
        <w:keepNext/>
        <w:spacing w:before="120" w:after="120" w:line="240" w:lineRule="auto"/>
        <w:jc w:val="both"/>
        <w:rPr>
          <w:rFonts w:cs="Times New Roman"/>
          <w:noProof/>
        </w:rPr>
      </w:pPr>
      <w:r>
        <w:rPr>
          <w:noProof/>
        </w:rPr>
        <w:t xml:space="preserve">Investoinnin tavoitteena on vahvistaa matkailun ekologista, sosioekonomista ja alueellista kestävyyttä, ja se kohdistuu matkailukohteisiin, työmarkkinaosapuoliin ja alan yksityisiin toimijoihin. </w:t>
      </w:r>
    </w:p>
    <w:p w14:paraId="3752306B" w14:textId="77777777" w:rsidR="0065073E" w:rsidRDefault="000A0998">
      <w:pPr>
        <w:pStyle w:val="P68B1DB1-Normal4"/>
        <w:spacing w:before="120" w:after="120" w:line="240" w:lineRule="auto"/>
        <w:jc w:val="both"/>
        <w:rPr>
          <w:rFonts w:cs="Times New Roman"/>
          <w:noProof/>
        </w:rPr>
      </w:pPr>
      <w:r>
        <w:rPr>
          <w:noProof/>
        </w:rPr>
        <w:t xml:space="preserve">Investointi koostuu neljästä alatoimenpiteestä: </w:t>
      </w:r>
    </w:p>
    <w:p w14:paraId="67183722" w14:textId="77777777" w:rsidR="0065073E" w:rsidRDefault="000A0998">
      <w:pPr>
        <w:pStyle w:val="P68B1DB1-Normal4"/>
        <w:numPr>
          <w:ilvl w:val="0"/>
          <w:numId w:val="114"/>
        </w:numPr>
        <w:spacing w:before="120" w:after="160" w:line="240" w:lineRule="auto"/>
        <w:ind w:left="360"/>
        <w:contextualSpacing/>
        <w:jc w:val="both"/>
        <w:rPr>
          <w:rFonts w:cs="Times New Roman"/>
          <w:noProof/>
        </w:rPr>
      </w:pPr>
      <w:r>
        <w:rPr>
          <w:noProof/>
        </w:rPr>
        <w:t>Espanjaa koskevan kestävän matkailustrategian 2030 valmistelu. Strategia muodostaa kansallisen matkailuohjelman, jolla vastataan alan keskipitkän ja pitkän aikavälin haasteisiin ja edistetään kestävyyden kolmea pilaria: sosioekonominen, ympäristöön liittyvä ja alueellinen;</w:t>
      </w:r>
    </w:p>
    <w:p w14:paraId="27081162" w14:textId="77777777" w:rsidR="0065073E" w:rsidRDefault="000A0998">
      <w:pPr>
        <w:pStyle w:val="P68B1DB1-Normal4"/>
        <w:numPr>
          <w:ilvl w:val="0"/>
          <w:numId w:val="114"/>
        </w:numPr>
        <w:spacing w:before="120" w:after="160" w:line="240" w:lineRule="auto"/>
        <w:ind w:left="360"/>
        <w:contextualSpacing/>
        <w:jc w:val="both"/>
        <w:rPr>
          <w:rFonts w:cs="Times New Roman"/>
          <w:noProof/>
        </w:rPr>
      </w:pPr>
      <w:r>
        <w:rPr>
          <w:noProof/>
        </w:rPr>
        <w:t>Matkailun kestävyyssuunnitelmat määräpaikoissa: Nämä alatoimenpiteet toteutetaan seuraavassa järjestyksessä:</w:t>
      </w:r>
    </w:p>
    <w:p w14:paraId="7B8FA401" w14:textId="77777777" w:rsidR="0065073E" w:rsidRDefault="000A0998">
      <w:pPr>
        <w:pStyle w:val="P68B1DB1-Normal4"/>
        <w:numPr>
          <w:ilvl w:val="0"/>
          <w:numId w:val="116"/>
        </w:numPr>
        <w:spacing w:before="120" w:after="160" w:line="240" w:lineRule="auto"/>
        <w:ind w:left="1069"/>
        <w:contextualSpacing/>
        <w:jc w:val="both"/>
        <w:rPr>
          <w:rFonts w:cs="Times New Roman"/>
          <w:noProof/>
        </w:rPr>
      </w:pPr>
      <w:r>
        <w:rPr>
          <w:noProof/>
        </w:rPr>
        <w:t>Matkailun kestävyysstrategian valmistelu määräpaikassa. Strategian on muodostettava perusta matkailuhallinnon toimien jäsentämiselle, suunnittelulle, kehittämiselle ja arvioinnille matkailukohteiden muuttamiseksi kestävien kriteerien ja Agenda 2030:n kestävän kehityksen tavoitteiden mukaisesti.</w:t>
      </w:r>
    </w:p>
    <w:p w14:paraId="5093BE89" w14:textId="77777777" w:rsidR="0065073E" w:rsidRDefault="000A0998">
      <w:pPr>
        <w:pStyle w:val="P68B1DB1-Normal4"/>
        <w:numPr>
          <w:ilvl w:val="0"/>
          <w:numId w:val="116"/>
        </w:numPr>
        <w:spacing w:before="120" w:after="160" w:line="240" w:lineRule="auto"/>
        <w:ind w:left="1069"/>
        <w:contextualSpacing/>
        <w:jc w:val="both"/>
        <w:rPr>
          <w:rFonts w:cs="Times New Roman"/>
          <w:noProof/>
        </w:rPr>
      </w:pPr>
      <w:r>
        <w:rPr>
          <w:noProof/>
        </w:rPr>
        <w:t xml:space="preserve">Matkailun kestävyyssuunnitelman valmistelu. Ohjelmassa vahvistetaan itsehallintoalueiden ja paikallisviranomaisten osallistumisen edellytykset, soveltamisala, investointien vähimmäiskynnykset, ehdotusten jättämismenettely sekä niiden hyväksymistä, täytäntöönpanoa ja perustelua koskevat säännöt. </w:t>
      </w:r>
    </w:p>
    <w:p w14:paraId="4F01777E" w14:textId="77777777" w:rsidR="0065073E" w:rsidRDefault="000A0998">
      <w:pPr>
        <w:pStyle w:val="P68B1DB1-Normal4"/>
        <w:numPr>
          <w:ilvl w:val="0"/>
          <w:numId w:val="116"/>
        </w:numPr>
        <w:spacing w:before="160" w:after="160" w:line="240" w:lineRule="auto"/>
        <w:ind w:left="1069"/>
        <w:contextualSpacing/>
        <w:jc w:val="both"/>
        <w:rPr>
          <w:rFonts w:cs="Times New Roman"/>
          <w:noProof/>
        </w:rPr>
      </w:pPr>
      <w:r>
        <w:rPr>
          <w:noProof/>
        </w:rPr>
        <w:t>Matkailun kestävyyttä matkakohteissa koskevien alueellisten suunnitelmien valmistelu ja täytäntöönpano. Näitä kehitetään kolmen toimivaltaisen julkishallinnon ja matkailun ekosysteemin erilaisten julkisten ja yksityisten toimijoiden välisellä osallistavalla ja yhteistyöprosessilla. Niiden on annettava kullekin alueelle ja matkakohteelle mahdollisuus vastata matkailun kestävyyden haasteisiin käyttämällä matkailun suunnitteluvaltuuksiaan ja Espanjan hallituksen hyväksymän matkailun kestävää matkailua koskevan matkailun strategian puitteissa. Näihin suunnitelmiin on sisällyttävä toimia seuraavilla aloilla:</w:t>
      </w:r>
    </w:p>
    <w:p w14:paraId="065201EE" w14:textId="77777777" w:rsidR="0065073E" w:rsidRDefault="000A0998">
      <w:pPr>
        <w:pStyle w:val="P68B1DB1-ListParagraph6"/>
        <w:numPr>
          <w:ilvl w:val="1"/>
          <w:numId w:val="117"/>
        </w:numPr>
        <w:spacing w:before="160" w:line="240" w:lineRule="auto"/>
        <w:ind w:left="1786" w:hanging="357"/>
        <w:rPr>
          <w:rFonts w:cs="Times New Roman"/>
          <w:noProof/>
        </w:rPr>
      </w:pPr>
      <w:r>
        <w:rPr>
          <w:noProof/>
        </w:rPr>
        <w:t>Vihreä siirtymä, mukaan lukien tämän investoinnin mukaiset toimet, jotka koskevat ympäristön ennallistamista, julkisen käytön hallintaa suojelluilla luonnonalueilla, matkailun sertifiointijärjestelmien täytäntöönpanoa, kiertotaloustoimenpiteiden täytäntöönpanoa julkisissa palveluissa sekä pyöräily-/kävelyreittien rakentamista.</w:t>
      </w:r>
    </w:p>
    <w:p w14:paraId="1320C32F" w14:textId="77777777" w:rsidR="0065073E" w:rsidRDefault="000A0998">
      <w:pPr>
        <w:pStyle w:val="P68B1DB1-Normal4"/>
        <w:numPr>
          <w:ilvl w:val="1"/>
          <w:numId w:val="117"/>
        </w:numPr>
        <w:spacing w:before="160" w:after="160" w:line="240" w:lineRule="auto"/>
        <w:ind w:left="1789"/>
        <w:contextualSpacing/>
        <w:jc w:val="both"/>
        <w:rPr>
          <w:rFonts w:cs="Times New Roman"/>
          <w:noProof/>
        </w:rPr>
      </w:pPr>
      <w:r>
        <w:rPr>
          <w:noProof/>
        </w:rPr>
        <w:t>Energiatehokkuus, mukaan lukien tämän investoinnin mukaiset toimet, joilla vähennetään rakennusten, julkisen infrastruktuurin ja palvelujen hiilidioksidipäästöjä, lievennetään ilmastonmuutosta, otetaan käyttöön ympäristöteknologioita, edistetään hiilestä irtautumista ja edistetään kestävää liikkuvuutta tai parannetaan kaupunkiympäristöä.</w:t>
      </w:r>
    </w:p>
    <w:p w14:paraId="6AEC8CA2" w14:textId="77777777" w:rsidR="0065073E" w:rsidRDefault="000A0998">
      <w:pPr>
        <w:pStyle w:val="P68B1DB1-Normal7"/>
        <w:numPr>
          <w:ilvl w:val="1"/>
          <w:numId w:val="117"/>
        </w:numPr>
        <w:spacing w:before="160" w:after="160" w:line="240" w:lineRule="auto"/>
        <w:ind w:left="1789"/>
        <w:contextualSpacing/>
        <w:jc w:val="both"/>
        <w:rPr>
          <w:rFonts w:cs="Times New Roman"/>
          <w:noProof/>
          <w:sz w:val="24"/>
        </w:rPr>
      </w:pPr>
      <w:r>
        <w:rPr>
          <w:noProof/>
          <w:sz w:val="24"/>
        </w:rPr>
        <w:t>Digitalisaatio, mukaan lukien tämän investoinnin mukaiset toimet, joilla digitalisoidaan matkailijoille matkakohteissa tarjottavia palveluja, kehitetään matkakohteen digitaalista jalanjälkeä tai markkinatietoisuutta ja matkailun kysynnän hallintaa</w:t>
      </w:r>
      <w:r>
        <w:rPr>
          <w:noProof/>
          <w:sz w:val="18"/>
        </w:rPr>
        <w:t xml:space="preserve">. </w:t>
      </w:r>
    </w:p>
    <w:p w14:paraId="0FDC034A" w14:textId="77777777" w:rsidR="0065073E" w:rsidRDefault="000A0998">
      <w:pPr>
        <w:pStyle w:val="P68B1DB1-Normal4"/>
        <w:numPr>
          <w:ilvl w:val="1"/>
          <w:numId w:val="117"/>
        </w:numPr>
        <w:spacing w:before="160" w:after="160" w:line="240" w:lineRule="auto"/>
        <w:ind w:left="1789"/>
        <w:contextualSpacing/>
        <w:jc w:val="both"/>
        <w:rPr>
          <w:rFonts w:cs="Times New Roman"/>
          <w:noProof/>
        </w:rPr>
      </w:pPr>
      <w:r>
        <w:rPr>
          <w:noProof/>
        </w:rPr>
        <w:t>Kilpailukyvyn muutos, mukaan lukien tämän investoinnin mukaiset toimet, joilla pyritään laajentamaan saavutettavuutta matkakohteen kautta, parantamaan paikallisia julkisia matkailuinfrastruktuureja tai edistämään työpaikkojen luomista kehittämällä uusia matkailutuotteita, kuten kulttuuria, luontoa, gastronomiaa tai perinteisiä käsityö- ja teollisuustuotteita.</w:t>
      </w:r>
    </w:p>
    <w:p w14:paraId="0676D8AC" w14:textId="77777777" w:rsidR="0065073E" w:rsidRDefault="000A0998">
      <w:pPr>
        <w:pStyle w:val="P68B1DB1-Normal4"/>
        <w:numPr>
          <w:ilvl w:val="0"/>
          <w:numId w:val="114"/>
        </w:numPr>
        <w:spacing w:before="160" w:after="160" w:line="240" w:lineRule="auto"/>
        <w:ind w:left="360"/>
        <w:contextualSpacing/>
        <w:jc w:val="both"/>
        <w:rPr>
          <w:rFonts w:cs="Times New Roman"/>
          <w:noProof/>
        </w:rPr>
      </w:pPr>
      <w:r>
        <w:rPr>
          <w:noProof/>
        </w:rPr>
        <w:t>Matkailualan sosiaalista kestävyyttä koskeva suunnitelma.</w:t>
      </w:r>
    </w:p>
    <w:p w14:paraId="1862E719" w14:textId="77777777" w:rsidR="0065073E" w:rsidRDefault="000A0998">
      <w:pPr>
        <w:pStyle w:val="P68B1DB1-Normal4"/>
        <w:numPr>
          <w:ilvl w:val="0"/>
          <w:numId w:val="114"/>
        </w:numPr>
        <w:spacing w:before="120" w:after="120" w:line="240" w:lineRule="auto"/>
        <w:ind w:left="360"/>
        <w:contextualSpacing/>
        <w:jc w:val="both"/>
        <w:rPr>
          <w:rFonts w:cs="Times New Roman"/>
          <w:noProof/>
        </w:rPr>
      </w:pPr>
      <w:r>
        <w:rPr>
          <w:noProof/>
        </w:rPr>
        <w:t>Nykyisen matkailukohteita koskevan Espanjan matkailun laatujärjestelmän (SICTED) muuttaminen kattavaksi matkailukohteiden matkailun kestävyysjärjestelmäksi. Tähän sisältyy uuden prosessin ja ohjeistuksen kehittäminen, nykyisen tietoteknisen alustan päivittäminen, uusien matkailualan kestävän kehityksen toimijoiden koulutus ja tietojen kokoamismekanismin kehittäminen matkailuasuntomarkkinoiden analysointia ja seurantaa varten koko Espanjassa.</w:t>
      </w:r>
    </w:p>
    <w:p w14:paraId="25486ECB" w14:textId="77777777" w:rsidR="0065073E" w:rsidRDefault="000A0998">
      <w:pPr>
        <w:pStyle w:val="P68B1DB1-Normal4"/>
        <w:spacing w:before="120" w:after="120" w:line="240" w:lineRule="auto"/>
        <w:jc w:val="both"/>
        <w:rPr>
          <w:rFonts w:cs="Times New Roman"/>
          <w:noProof/>
        </w:rPr>
      </w:pPr>
      <w:r>
        <w:rPr>
          <w:noProof/>
        </w:rPr>
        <w:t xml:space="preserve">Tämän investoinnin mukaiset toimet toteutetaan 1 päivän tammikuuta 2021 ja 30 päivän kesäkuuta 2026 välisenä aikana, ja maksut suoritetaan paikallisviranomaisille 1 päivän tammikuuta 2021 ja 31 päivän joulukuuta 2023 välisenä aikana ja ne toteutetaan vuoteen 2026 saakka. Tämän investoinnin mukaiset matkailukohteiden kestävyyttä edistävät hankkeet on saatettava päätökseen 30 päivään kesäkuuta 2026 mennessä. </w:t>
      </w:r>
    </w:p>
    <w:p w14:paraId="66CF2AE0" w14:textId="173CF646"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52"/>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53"/>
      </w:r>
      <w:r>
        <w:rPr>
          <w:rFonts w:ascii="Times New Roman" w:hAnsi="Times New Roman"/>
          <w:noProof/>
        </w:rPr>
        <w:t>; III) jätteen kaatopaikkoihin, polttolaitoksiin</w:t>
      </w:r>
      <w:r>
        <w:rPr>
          <w:rStyle w:val="FootnoteReference"/>
          <w:rFonts w:ascii="Times New Roman" w:hAnsi="Times New Roman" w:cs="Times New Roman"/>
          <w:noProof/>
        </w:rPr>
        <w:footnoteReference w:id="15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55"/>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 Valintaperusteilla on lisäksi varmistettava, että tukea voidaan myöntää ainoastaan toimiin, jotka ovat asiaa koskevan EU:n ja kansallisen ympäristölainsäädännön mukaisia. Valintaperusteilla varmistetaan, että vähintään 359 miljoonalla eurolla edistetään ilmastonmuutostavoitteita, joihin sovelletaan 100 prosentin ilmastokerrointa, ja vähintään 519 miljoonaa euroa, kun ilmastokerroin on 40 prosenttia, elpymis- ja palautumistukivälineestä annetun asetuksen (EU) 2021/241 liitteen VI mukaisesti. Vaihtoehtoisesti valintakriteereillä varmistetaan, että vähintään 1788.6 miljoonalla eurolla edistetään ilmastonmuutostavoitteita, joiden keskimääräinen ilmastokerroin on vähintään 31,7 prosenttia Euroopan parlamentin ja neuvoston asetuksen (EU) 2021/241 liitteen VI mukaisesti. Tämä keskimääräinen rahoitusosuus voidaan saavuttaa käyttämällä kaikkia asetuksen (EU) 2021/241 liitteessä VI esitettyjä tukitoimialoja.</w:t>
      </w:r>
    </w:p>
    <w:p w14:paraId="34ACB801"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611BD607" w14:textId="77777777" w:rsidR="0065073E" w:rsidRDefault="000A0998">
      <w:pPr>
        <w:pStyle w:val="P68B1DB1-Normal5"/>
        <w:keepNext/>
        <w:spacing w:before="120" w:after="120" w:line="240" w:lineRule="auto"/>
        <w:jc w:val="both"/>
        <w:rPr>
          <w:rFonts w:cs="Times New Roman"/>
          <w:noProof/>
        </w:rPr>
      </w:pPr>
      <w:r>
        <w:rPr>
          <w:noProof/>
        </w:rPr>
        <w:t>Investointi 2 (C14.I2) – Matkakohteiden ja matkailualan digitalisointi- ja tiedusteluohjelma</w:t>
      </w:r>
    </w:p>
    <w:p w14:paraId="03EEB851" w14:textId="77777777" w:rsidR="0065073E" w:rsidRDefault="000A0998">
      <w:pPr>
        <w:pStyle w:val="P68B1DB1-Normal4"/>
        <w:keepNext/>
        <w:spacing w:before="120" w:after="120" w:line="240" w:lineRule="auto"/>
        <w:jc w:val="both"/>
        <w:rPr>
          <w:rFonts w:cs="Times New Roman"/>
          <w:noProof/>
        </w:rPr>
      </w:pPr>
      <w:r>
        <w:rPr>
          <w:noProof/>
        </w:rPr>
        <w:t xml:space="preserve">Tämän investoinnin toimien tavoitteena on kehittää älykäs kohdealusta, joka tarjoaa yhteentoimivia julkisia ja yksityisiä palveluja matkailijoiden saataville.  Tätä täydennetään matkailun tiedustelujärjestelmän kehittämisellä ja aloitteilla, joilla edistetään Espanjan älykkäiden matkakohteiden verkostoa. Tämän investoinnin mukaisilla toimilla tuetaan myös tekoälyyn ja muihin mahdollistaviin teknologioihin perustuvia digitaalisia ratkaisuja matkailualan yrityksissä ja tarjotaan rahoitusta teollisuuden data-avaruuksien kehittämiseen ja digitaalisen innovoinnin edistämiseen matkailualalla. </w:t>
      </w:r>
    </w:p>
    <w:p w14:paraId="7821B2DF" w14:textId="77777777" w:rsidR="0065073E" w:rsidRDefault="000A0998">
      <w:pPr>
        <w:pStyle w:val="P68B1DB1-Normal4"/>
        <w:spacing w:before="120" w:after="120" w:line="240" w:lineRule="auto"/>
        <w:jc w:val="both"/>
        <w:rPr>
          <w:rFonts w:cs="Times New Roman"/>
          <w:noProof/>
        </w:rPr>
      </w:pPr>
      <w:r>
        <w:rPr>
          <w:noProof/>
        </w:rPr>
        <w:t>Tämän investoinnin mukaiset toimet toteutetaan tarjouskilpailujen ja suorien investointien kautta. Vähintään 1000 yritystä tai klustereita on saanut rahoitusta tekoälyyn ja muihin mahdollistaviin teknologioihin liittyvistä investointihankkeista, ja älykkään määräpaikan foorumi on käynnistettävä viimeistään 30 päivänä kesäkuuta 2025.</w:t>
      </w:r>
    </w:p>
    <w:p w14:paraId="3FD7FEBC" w14:textId="77777777" w:rsidR="0065073E" w:rsidRDefault="000A0998">
      <w:pPr>
        <w:pStyle w:val="P68B1DB1-Normal4"/>
        <w:spacing w:before="120" w:after="120" w:line="240" w:lineRule="auto"/>
        <w:jc w:val="both"/>
        <w:rPr>
          <w:rFonts w:cs="Times New Roman"/>
          <w:noProof/>
        </w:rPr>
      </w:pPr>
      <w:r>
        <w:rPr>
          <w:noProof/>
        </w:rPr>
        <w:t>Investoinnin toteutus saatetaan päätökseen 30. kesäkuuta 2025 mennessä.</w:t>
      </w:r>
    </w:p>
    <w:p w14:paraId="5C545786" w14:textId="77777777" w:rsidR="0065073E" w:rsidRDefault="000A0998">
      <w:pPr>
        <w:pStyle w:val="P68B1DB1-Normal5"/>
        <w:spacing w:before="120" w:after="120" w:line="240" w:lineRule="auto"/>
        <w:jc w:val="both"/>
        <w:rPr>
          <w:rFonts w:cs="Times New Roman"/>
          <w:noProof/>
        </w:rPr>
      </w:pPr>
      <w:r>
        <w:rPr>
          <w:noProof/>
        </w:rPr>
        <w:t>Investointi 3 (C14.I3) – Matkailun sietokykyä koskevat strategiat saarten ulkopuolisilla alueilla</w:t>
      </w:r>
    </w:p>
    <w:p w14:paraId="2AAE98BB" w14:textId="77777777" w:rsidR="0065073E" w:rsidRDefault="000A0998">
      <w:pPr>
        <w:pStyle w:val="P68B1DB1-Normal4"/>
        <w:spacing w:before="120" w:after="120" w:line="240" w:lineRule="auto"/>
        <w:jc w:val="both"/>
        <w:rPr>
          <w:rFonts w:cs="Times New Roman"/>
          <w:noProof/>
        </w:rPr>
      </w:pPr>
      <w:r>
        <w:rPr>
          <w:noProof/>
        </w:rPr>
        <w:t>Investointi kohdistuu Baleaarille, Kanariansaarille, Ceutaan ja Melillaan. Tavoitteena on vastata matkailualan erityishaasteisiin näillä alueilla. Toimenpiteillä parannetaan näiden alueiden kilpailukykyä ja valmiuksia sopeutua kansainvälisten markkinoiden muutoksiin, ja ne koostuvat seuraavista:</w:t>
      </w:r>
    </w:p>
    <w:p w14:paraId="07260ABD" w14:textId="77777777" w:rsidR="0065073E" w:rsidRDefault="000A0998">
      <w:pPr>
        <w:pStyle w:val="P68B1DB1-ListParagraph6"/>
        <w:numPr>
          <w:ilvl w:val="0"/>
          <w:numId w:val="721"/>
        </w:numPr>
        <w:spacing w:before="120" w:line="240" w:lineRule="auto"/>
        <w:jc w:val="both"/>
        <w:rPr>
          <w:rFonts w:cs="Times New Roman"/>
          <w:noProof/>
        </w:rPr>
      </w:pPr>
      <w:r>
        <w:rPr>
          <w:noProof/>
        </w:rPr>
        <w:t>julkinen infrastruktuuri, jossa keskitytään erityisesti julkisten tilojen parantamiseen matkailun, ympäristöhallinnon ja jätehuollon edistämiseksi sekä vanhentuneen matkailuinfrastruktuurin uudelleenpätevöittämiseen;</w:t>
      </w:r>
    </w:p>
    <w:p w14:paraId="5976AF1A" w14:textId="77777777" w:rsidR="0065073E" w:rsidRDefault="000A0998">
      <w:pPr>
        <w:pStyle w:val="P68B1DB1-ListParagraph6"/>
        <w:numPr>
          <w:ilvl w:val="0"/>
          <w:numId w:val="721"/>
        </w:numPr>
        <w:spacing w:before="120" w:line="240" w:lineRule="auto"/>
        <w:jc w:val="both"/>
        <w:rPr>
          <w:rFonts w:cs="Times New Roman"/>
          <w:noProof/>
        </w:rPr>
      </w:pPr>
      <w:r>
        <w:rPr>
          <w:noProof/>
        </w:rPr>
        <w:t>julkisten palvelujen vahvistaminen alueilla, joilla on erityinen vaikutus matkailuun: hallinto-, turvallisuus- ja terveyspalvelut;</w:t>
      </w:r>
    </w:p>
    <w:p w14:paraId="39286C5C" w14:textId="77777777" w:rsidR="0065073E" w:rsidRDefault="000A0998">
      <w:pPr>
        <w:pStyle w:val="P68B1DB1-ListParagraph6"/>
        <w:numPr>
          <w:ilvl w:val="0"/>
          <w:numId w:val="721"/>
        </w:numPr>
        <w:spacing w:before="120" w:line="240" w:lineRule="auto"/>
        <w:jc w:val="both"/>
        <w:rPr>
          <w:rFonts w:cs="Times New Roman"/>
          <w:noProof/>
        </w:rPr>
      </w:pPr>
      <w:r>
        <w:rPr>
          <w:noProof/>
        </w:rPr>
        <w:t>koulutus, jossa keskitytään erityisesti matkailualaan liittyvään nuorisokoulutukseen;</w:t>
      </w:r>
    </w:p>
    <w:p w14:paraId="5ED1DF2F" w14:textId="77777777" w:rsidR="0065073E" w:rsidRDefault="000A0998">
      <w:pPr>
        <w:pStyle w:val="P68B1DB1-ListParagraph6"/>
        <w:numPr>
          <w:ilvl w:val="0"/>
          <w:numId w:val="721"/>
        </w:numPr>
        <w:spacing w:before="120" w:line="240" w:lineRule="auto"/>
        <w:jc w:val="both"/>
        <w:rPr>
          <w:rFonts w:cs="Times New Roman"/>
          <w:noProof/>
        </w:rPr>
      </w:pPr>
      <w:r>
        <w:rPr>
          <w:noProof/>
        </w:rPr>
        <w:t>vaihtoehtoisten matkailutuotteiden kehittäminen ja matkailutarjonnan nykyaikaistaminen;</w:t>
      </w:r>
    </w:p>
    <w:p w14:paraId="346BFF24" w14:textId="77777777" w:rsidR="0065073E" w:rsidRDefault="000A0998">
      <w:pPr>
        <w:pStyle w:val="P68B1DB1-ListParagraph6"/>
        <w:numPr>
          <w:ilvl w:val="0"/>
          <w:numId w:val="721"/>
        </w:numPr>
        <w:spacing w:before="120" w:line="240" w:lineRule="auto"/>
        <w:jc w:val="both"/>
        <w:rPr>
          <w:rFonts w:cs="Times New Roman"/>
          <w:noProof/>
        </w:rPr>
      </w:pPr>
      <w:r>
        <w:rPr>
          <w:noProof/>
        </w:rPr>
        <w:t>kannustimet, joilla helpotetaan yhteyksiä alueille ja matkailuyritysten toiminnalle sesongin ulkopuolella;</w:t>
      </w:r>
    </w:p>
    <w:p w14:paraId="2E27E597" w14:textId="77777777" w:rsidR="0065073E" w:rsidRDefault="000A0998">
      <w:pPr>
        <w:pStyle w:val="P68B1DB1-ListParagraph6"/>
        <w:numPr>
          <w:ilvl w:val="0"/>
          <w:numId w:val="721"/>
        </w:numPr>
        <w:spacing w:before="120" w:line="240" w:lineRule="auto"/>
        <w:jc w:val="both"/>
        <w:rPr>
          <w:rFonts w:cs="Times New Roman"/>
          <w:noProof/>
        </w:rPr>
      </w:pPr>
      <w:r>
        <w:rPr>
          <w:noProof/>
        </w:rPr>
        <w:t>kansallisten ja kansainvälisten alueiden edistäminen historiallisesti kulttuurisesti kiinnostavina matkailukohteina; ja</w:t>
      </w:r>
    </w:p>
    <w:p w14:paraId="4B9F9FB5" w14:textId="77777777" w:rsidR="0065073E" w:rsidRDefault="000A0998">
      <w:pPr>
        <w:pStyle w:val="P68B1DB1-ListParagraph6"/>
        <w:numPr>
          <w:ilvl w:val="0"/>
          <w:numId w:val="721"/>
        </w:numPr>
        <w:spacing w:before="120" w:line="240" w:lineRule="auto"/>
        <w:jc w:val="both"/>
        <w:rPr>
          <w:rFonts w:cs="Times New Roman"/>
          <w:noProof/>
        </w:rPr>
      </w:pPr>
      <w:r>
        <w:rPr>
          <w:noProof/>
        </w:rPr>
        <w:t>kausitasoitetut strategiset myynninedistämistoimet, joissa painotetaan erityisesti verkkomarkkinointistrategioita, kielten saatavuutta, multimediavälineiden ennakoivia valmiuksia ja institutionaalisten asiakassuhteiden hallintaa.</w:t>
      </w:r>
    </w:p>
    <w:p w14:paraId="45BEB207" w14:textId="77777777" w:rsidR="0065073E" w:rsidRDefault="000A0998">
      <w:pPr>
        <w:pStyle w:val="P68B1DB1-Normal4"/>
        <w:spacing w:before="120" w:after="120" w:line="240" w:lineRule="auto"/>
        <w:jc w:val="both"/>
        <w:rPr>
          <w:rFonts w:cs="Times New Roman"/>
          <w:noProof/>
        </w:rPr>
      </w:pPr>
      <w:r>
        <w:rPr>
          <w:noProof/>
        </w:rPr>
        <w:t>Vähintään 400 taloudellista ja yhteiskunnallista toimijaa olisi hyötynyt investoinneista saarialueiden ulkopuolisilla alueilla kesäkuuhun 2025 mennessä.</w:t>
      </w:r>
    </w:p>
    <w:p w14:paraId="3FC09720" w14:textId="77777777" w:rsidR="0065073E" w:rsidRDefault="000A0998">
      <w:pPr>
        <w:pStyle w:val="P68B1DB1-Normal4"/>
        <w:spacing w:before="120" w:after="120" w:line="240" w:lineRule="auto"/>
        <w:jc w:val="both"/>
        <w:rPr>
          <w:rFonts w:cs="Times New Roman"/>
          <w:noProof/>
        </w:rPr>
      </w:pPr>
      <w:r>
        <w:rPr>
          <w:noProof/>
        </w:rPr>
        <w:t>Investoinnin toteutus saatetaan päätökseen 30. kesäkuuta 2025 mennessä.</w:t>
      </w:r>
    </w:p>
    <w:p w14:paraId="5A7285A2" w14:textId="77777777" w:rsidR="0065073E" w:rsidRDefault="000A0998">
      <w:pPr>
        <w:pStyle w:val="P68B1DB1-Normal5"/>
        <w:spacing w:before="120" w:after="120" w:line="240" w:lineRule="auto"/>
        <w:jc w:val="both"/>
        <w:rPr>
          <w:rFonts w:cs="Times New Roman"/>
          <w:noProof/>
        </w:rPr>
      </w:pPr>
      <w:r>
        <w:rPr>
          <w:noProof/>
        </w:rPr>
        <w:t>Investointi 4 (C14.I4) – Kilpailukykyyn liittyvät erityistoimet</w:t>
      </w:r>
    </w:p>
    <w:p w14:paraId="767D7DFA" w14:textId="77777777" w:rsidR="0065073E" w:rsidRDefault="000A0998">
      <w:pPr>
        <w:pStyle w:val="P68B1DB1-Normal4"/>
        <w:spacing w:before="120" w:after="120" w:line="240" w:lineRule="auto"/>
        <w:jc w:val="both"/>
        <w:rPr>
          <w:rFonts w:cs="Times New Roman"/>
          <w:noProof/>
        </w:rPr>
      </w:pPr>
      <w:r>
        <w:rPr>
          <w:noProof/>
        </w:rPr>
        <w:t>Investointiin sisältyy joukko toimenpiteitä, joilla pyritään parantamaan matkailualan kilpailukykyä. Tästä investoinnista tuettavia erityistoimia ovat muun muassa seuraavat:</w:t>
      </w:r>
    </w:p>
    <w:p w14:paraId="4756CFC3" w14:textId="77777777" w:rsidR="0065073E" w:rsidRDefault="000A0998">
      <w:pPr>
        <w:pStyle w:val="P68B1DB1-ListParagraph6"/>
        <w:numPr>
          <w:ilvl w:val="0"/>
          <w:numId w:val="722"/>
        </w:numPr>
        <w:spacing w:before="120" w:line="240" w:lineRule="auto"/>
        <w:jc w:val="both"/>
        <w:rPr>
          <w:rFonts w:cs="Times New Roman"/>
          <w:noProof/>
        </w:rPr>
      </w:pPr>
      <w:r>
        <w:rPr>
          <w:noProof/>
        </w:rPr>
        <w:t>matkailutuotteiden kehittäminen kestävän matkailun tuotekehitysstrategian mukaisesti, ja se kattaa muun muassa seuraavat ohjeelliset luokat: gastronominen matkailu, kulttuurimatkailu, kaupunkimatkailu, ekoturismi, yritysmatkailu, urheilumatkailu, kuten pyöräily, perintömatkailu ja uskonnollinen matkailu;</w:t>
      </w:r>
    </w:p>
    <w:p w14:paraId="686D5410" w14:textId="77777777" w:rsidR="0065073E" w:rsidRDefault="000A0998">
      <w:pPr>
        <w:pStyle w:val="P68B1DB1-ListParagraph6"/>
        <w:numPr>
          <w:ilvl w:val="0"/>
          <w:numId w:val="722"/>
        </w:numPr>
        <w:spacing w:before="120" w:after="120" w:line="240" w:lineRule="auto"/>
        <w:jc w:val="both"/>
        <w:rPr>
          <w:rFonts w:cs="Times New Roman"/>
          <w:noProof/>
        </w:rPr>
      </w:pPr>
      <w:r>
        <w:rPr>
          <w:noProof/>
        </w:rPr>
        <w:t xml:space="preserve">hankkeet, joilla pyritään vähentämään matkailukohteiden vuotuista jätettä tai energiankulutusta. Energiankulutuksen vähentämiseksi erityistoimenpiteisiin kuuluvat anturien asentaminen energiankulutuksen seuraamiseksi ja optimoimiseksi, energianhallintajärjestelmien (kuten ISO 500001 -sertifioitujen järjestelmien) käytön edistäminen, lämpötehokkaiden materiaalien käyttö, energiatehokkaiden teknologioiden käyttö sekä ulkoisten elementtien, kuten sävyjen tai puutarhojen, käyttö. Jätteen vähentämiseen tähtääviä erityistoimenpiteitä ovat muun muassa suunnitelmat jätteen erottelusta sen lähteellä sekä toimet, joilla edistetään jätteen uudelleenkäyttöä ja kierrätystä. Lisätoimenpiteitä ovat muun muassa energiatehokkuutta ja jätehuoltoa koskevat tiedotuskampanjat ja koulutus, jotka on suunnattu matkailupalvelujen henkilöstölle, sekä paikallisten tarvikkeiden tuotannon ja hankinnan edistäminen; </w:t>
      </w:r>
    </w:p>
    <w:p w14:paraId="453EDD0D" w14:textId="77777777" w:rsidR="0065073E" w:rsidRDefault="000A0998">
      <w:pPr>
        <w:pStyle w:val="P68B1DB1-ListParagraph6"/>
        <w:numPr>
          <w:ilvl w:val="0"/>
          <w:numId w:val="722"/>
        </w:numPr>
        <w:spacing w:before="120" w:after="120" w:line="240" w:lineRule="auto"/>
        <w:jc w:val="both"/>
        <w:rPr>
          <w:rFonts w:cs="Times New Roman"/>
          <w:noProof/>
        </w:rPr>
      </w:pPr>
      <w:r>
        <w:rPr>
          <w:noProof/>
        </w:rPr>
        <w:t>historiallisten kulttuuriperintökohteiden elvyttäminen ja kunnostaminen, mukaan lukien i) hiilijalanjäljen pienentäminen ja kompensoiminen laatimalla toimintasuunnitelmia kasvihuonekaasupäästöjen vähentämiseksi, ii) kohteiden ympäristökunnostaminen, iii) energiatehokkuuden parantaminen korvaamalla diesel- tai polttoainekattilat maakaasukattiloilla, iv) ilmastonmuutokseen sopeutuminen, v) harmaan veden käsittelyjärjestelmien parantaminen, vi) jätehuoltojärjestelmien nykyaikaistaminen, vii) älykkäällä teknologialla varustettujen tilojen kunnostaminen ja käyttö, toimet alueiden saavutettavuuden parantamiseksi ja viii) toimet energian ja veden kulutuksen vähentämiseksi; ja</w:t>
      </w:r>
    </w:p>
    <w:p w14:paraId="17B32380" w14:textId="77777777" w:rsidR="0065073E" w:rsidRDefault="000A0998">
      <w:pPr>
        <w:pStyle w:val="P68B1DB1-ListParagraph6"/>
        <w:numPr>
          <w:ilvl w:val="0"/>
          <w:numId w:val="722"/>
        </w:numPr>
        <w:spacing w:before="120" w:after="120" w:line="240" w:lineRule="auto"/>
        <w:jc w:val="both"/>
        <w:rPr>
          <w:rFonts w:cs="Times New Roman"/>
          <w:noProof/>
        </w:rPr>
      </w:pPr>
      <w:r>
        <w:rPr>
          <w:noProof/>
        </w:rPr>
        <w:t xml:space="preserve">kaupallisten alueiden parantaminen paikallisilla alueilla, joilla matkailijoiden määrä on suuri, mukaan lukien näihin uusiin teknologioihin tehtäviin investointeihin liittyvät toimet; teknologisten ratkaisujen toteuttaminen energiatehokkuuden parantamiseksi; ekotehokkaat prosessit sekä jätteiden kierrätys ja uudelleenkäyttö; henkilöstön koulutus,  integroitu digitaalinen allekirjoitus, joka on mukautettu ulkomaisille vierailijoille; ja julkisten tilojen mukauttaminen esteettömyyden ja liikkuvuuden parantamiseksi. </w:t>
      </w:r>
    </w:p>
    <w:p w14:paraId="4E65AEEE" w14:textId="77777777" w:rsidR="0065073E" w:rsidRDefault="0065073E">
      <w:pPr>
        <w:spacing w:before="120" w:after="120" w:line="240" w:lineRule="auto"/>
        <w:ind w:left="360"/>
        <w:contextualSpacing/>
        <w:jc w:val="both"/>
        <w:rPr>
          <w:rFonts w:ascii="Times New Roman" w:hAnsi="Times New Roman" w:cs="Times New Roman"/>
          <w:noProof/>
          <w:sz w:val="24"/>
        </w:rPr>
      </w:pPr>
    </w:p>
    <w:p w14:paraId="2DF4BA9A" w14:textId="77777777" w:rsidR="0065073E" w:rsidRDefault="000A0998">
      <w:pPr>
        <w:pStyle w:val="P68B1DB1-Normal4"/>
        <w:spacing w:before="120" w:after="120" w:line="240" w:lineRule="auto"/>
        <w:jc w:val="both"/>
        <w:rPr>
          <w:rFonts w:cs="Times New Roman"/>
          <w:noProof/>
        </w:rPr>
      </w:pPr>
      <w:r>
        <w:rPr>
          <w:noProof/>
        </w:rPr>
        <w:t xml:space="preserve">Vähintään 60 hanketta kaupallisilla alueilla alueilla, joilla on suuri matkailuvirta, on saatettava päätökseen 31 päivään joulukuuta 2024 mennessä. Viimeistään 30 päivänä kesäkuuta 2025 toteutettujen investointien on johdettava seuraaviin tuloksiin: I) vähintään 45 uutta matkailutuotetta on saatavilla ja ii) vähintään 3400 matkailualan liikkeen on saatettava päätökseen hankkeet, joilla vähennetään niiden vuotuista jätettä tai energiankulutusta. Vähintään 50 historiallisia kulttuuriperintökohteita koskevaa hanketta on saatettava päätökseen 30 päivään kesäkuuta 2026 mennessä. </w:t>
      </w:r>
    </w:p>
    <w:p w14:paraId="20A76D21" w14:textId="77777777" w:rsidR="0065073E" w:rsidRDefault="000A0998">
      <w:pPr>
        <w:pStyle w:val="Text1"/>
        <w:ind w:left="0"/>
        <w:rPr>
          <w:rFonts w:ascii="Times New Roman" w:hAnsi="Times New Roman" w:cs="Times New Roman"/>
          <w:noProof/>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56"/>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57"/>
      </w:r>
      <w:r>
        <w:rPr>
          <w:rFonts w:ascii="Times New Roman" w:hAnsi="Times New Roman"/>
          <w:noProof/>
        </w:rPr>
        <w:t>; III) jätteen kaatopaikkoihin, polttolaitoksiin</w:t>
      </w:r>
      <w:r>
        <w:rPr>
          <w:rStyle w:val="FootnoteReference"/>
          <w:rFonts w:ascii="Times New Roman" w:hAnsi="Times New Roman" w:cs="Times New Roman"/>
          <w:noProof/>
        </w:rPr>
        <w:footnoteReference w:id="15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59"/>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521253E5" w14:textId="77777777" w:rsidR="0065073E" w:rsidRDefault="000A0998">
      <w:pPr>
        <w:pStyle w:val="P68B1DB1-Text118"/>
        <w:ind w:left="0"/>
        <w:rPr>
          <w:rFonts w:eastAsia="Calibri" w:cs="Times New Roman"/>
          <w:noProof/>
        </w:rPr>
      </w:pPr>
      <w:r>
        <w:rPr>
          <w:noProof/>
        </w:rPr>
        <w:t>Investoinnin toteutus saatetaan päätökseen viimeistään 30. kesäkuuta 2026.</w:t>
      </w:r>
    </w:p>
    <w:p w14:paraId="242947EB" w14:textId="77777777" w:rsidR="0065073E" w:rsidRDefault="0065073E">
      <w:pPr>
        <w:pStyle w:val="Text1"/>
        <w:ind w:left="0"/>
        <w:rPr>
          <w:rFonts w:ascii="Times New Roman" w:eastAsia="Calibri" w:hAnsi="Times New Roman" w:cs="Times New Roman"/>
          <w:noProof/>
        </w:rPr>
      </w:pPr>
    </w:p>
    <w:p w14:paraId="5EB8C009" w14:textId="77777777" w:rsidR="0065073E" w:rsidRDefault="000A0998">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N.2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0AC05EA" w14:textId="77777777" w:rsidR="0065073E" w:rsidRDefault="000A0998">
      <w:pPr>
        <w:pStyle w:val="P68B1DB1-Normal4"/>
        <w:keepNext/>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126BCA63" w14:textId="77777777" w:rsidR="0065073E" w:rsidRDefault="0065073E">
      <w:pPr>
        <w:spacing w:before="120" w:after="120" w:line="240" w:lineRule="auto"/>
        <w:jc w:val="both"/>
        <w:rPr>
          <w:rFonts w:ascii="Times New Roman" w:hAnsi="Times New Roman" w:cs="Times New Roman"/>
          <w:b/>
          <w:noProof/>
          <w:sz w:val="24"/>
          <w:u w:val="single"/>
        </w:rPr>
      </w:pPr>
    </w:p>
    <w:p w14:paraId="4C3FEC7D" w14:textId="77777777" w:rsidR="0065073E" w:rsidRDefault="0065073E">
      <w:pPr>
        <w:spacing w:before="120" w:after="120" w:line="240" w:lineRule="auto"/>
        <w:ind w:left="709"/>
        <w:jc w:val="both"/>
        <w:rPr>
          <w:rFonts w:ascii="Times New Roman" w:hAnsi="Times New Roman" w:cs="Times New Roman"/>
          <w:noProof/>
          <w:sz w:val="24"/>
        </w:rPr>
      </w:pPr>
    </w:p>
    <w:p w14:paraId="4B605DE9" w14:textId="77777777" w:rsidR="0065073E" w:rsidRDefault="0065073E">
      <w:pPr>
        <w:spacing w:before="120" w:after="120" w:line="240" w:lineRule="auto"/>
        <w:ind w:left="709"/>
        <w:jc w:val="both"/>
        <w:rPr>
          <w:rFonts w:ascii="Times New Roman" w:hAnsi="Times New Roman" w:cs="Times New Roman"/>
          <w:noProof/>
          <w:sz w:val="24"/>
        </w:rPr>
        <w:sectPr w:rsidR="0065073E" w:rsidSect="009F15CE">
          <w:headerReference w:type="even" r:id="rId336"/>
          <w:headerReference w:type="default" r:id="rId337"/>
          <w:footerReference w:type="even" r:id="rId338"/>
          <w:footerReference w:type="default" r:id="rId339"/>
          <w:headerReference w:type="first" r:id="rId340"/>
          <w:footerReference w:type="first" r:id="rId341"/>
          <w:type w:val="continuous"/>
          <w:pgSz w:w="11907" w:h="16839"/>
          <w:pgMar w:top="1134" w:right="1134" w:bottom="1134" w:left="1134" w:header="567" w:footer="567"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418"/>
        <w:gridCol w:w="1276"/>
        <w:gridCol w:w="850"/>
        <w:gridCol w:w="992"/>
        <w:gridCol w:w="567"/>
        <w:gridCol w:w="426"/>
        <w:gridCol w:w="708"/>
        <w:gridCol w:w="6237"/>
      </w:tblGrid>
      <w:tr w:rsidR="0065073E" w14:paraId="063DFD46" w14:textId="77777777">
        <w:trPr>
          <w:trHeight w:val="309"/>
          <w:tblHeader/>
        </w:trPr>
        <w:tc>
          <w:tcPr>
            <w:tcW w:w="709" w:type="dxa"/>
            <w:tcBorders>
              <w:bottom w:val="nil"/>
            </w:tcBorders>
            <w:shd w:val="clear" w:color="auto" w:fill="C6D9F1" w:themeFill="text2" w:themeFillTint="33"/>
            <w:noWrap/>
            <w:vAlign w:val="center"/>
          </w:tcPr>
          <w:p w14:paraId="4AFFA011"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BAC7FA5"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33A9C41E"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418" w:type="dxa"/>
            <w:vMerge w:val="restart"/>
            <w:shd w:val="clear" w:color="auto" w:fill="C6D9F1" w:themeFill="text2" w:themeFillTint="33"/>
            <w:noWrap/>
            <w:vAlign w:val="center"/>
          </w:tcPr>
          <w:p w14:paraId="12D59150" w14:textId="77777777" w:rsidR="0065073E" w:rsidRDefault="000A0998">
            <w:pPr>
              <w:pStyle w:val="P68B1DB1-Normal8"/>
              <w:spacing w:after="0" w:line="240" w:lineRule="auto"/>
              <w:jc w:val="center"/>
              <w:rPr>
                <w:rFonts w:cs="Times New Roman"/>
                <w:noProof/>
              </w:rPr>
            </w:pPr>
            <w:r>
              <w:rPr>
                <w:noProof/>
              </w:rPr>
              <w:t>Nimi</w:t>
            </w:r>
          </w:p>
        </w:tc>
        <w:tc>
          <w:tcPr>
            <w:tcW w:w="1276" w:type="dxa"/>
            <w:vMerge w:val="restart"/>
            <w:shd w:val="clear" w:color="auto" w:fill="C6D9F1" w:themeFill="text2" w:themeFillTint="33"/>
            <w:noWrap/>
            <w:vAlign w:val="center"/>
          </w:tcPr>
          <w:p w14:paraId="26345872"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09" w:type="dxa"/>
            <w:gridSpan w:val="3"/>
            <w:shd w:val="clear" w:color="auto" w:fill="C6D9F1" w:themeFill="text2" w:themeFillTint="33"/>
            <w:noWrap/>
            <w:vAlign w:val="center"/>
          </w:tcPr>
          <w:p w14:paraId="4131D199"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2F42BFA9" w14:textId="77777777" w:rsidR="0065073E" w:rsidRDefault="000A0998">
            <w:pPr>
              <w:pStyle w:val="P68B1DB1-Normal8"/>
              <w:spacing w:after="0" w:line="240" w:lineRule="auto"/>
              <w:jc w:val="center"/>
              <w:rPr>
                <w:rFonts w:cs="Times New Roman"/>
                <w:noProof/>
              </w:rPr>
            </w:pPr>
            <w:r>
              <w:rPr>
                <w:noProof/>
              </w:rPr>
              <w:t>Aika</w:t>
            </w:r>
          </w:p>
        </w:tc>
        <w:tc>
          <w:tcPr>
            <w:tcW w:w="6237" w:type="dxa"/>
            <w:vMerge w:val="restart"/>
            <w:shd w:val="clear" w:color="auto" w:fill="C6D9F1" w:themeFill="text2" w:themeFillTint="33"/>
            <w:noWrap/>
            <w:vAlign w:val="center"/>
          </w:tcPr>
          <w:p w14:paraId="2EBF9182"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4688A0EE" w14:textId="77777777">
        <w:trPr>
          <w:trHeight w:val="309"/>
          <w:tblHeader/>
        </w:trPr>
        <w:tc>
          <w:tcPr>
            <w:tcW w:w="709" w:type="dxa"/>
            <w:tcBorders>
              <w:top w:val="nil"/>
            </w:tcBorders>
            <w:shd w:val="clear" w:color="auto" w:fill="C6D9F1" w:themeFill="text2" w:themeFillTint="33"/>
            <w:noWrap/>
          </w:tcPr>
          <w:p w14:paraId="132A2021"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21F4038"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3EF80F5" w14:textId="77777777" w:rsidR="0065073E" w:rsidRDefault="0065073E">
            <w:pPr>
              <w:spacing w:after="0" w:line="240" w:lineRule="auto"/>
              <w:jc w:val="center"/>
              <w:rPr>
                <w:rFonts w:ascii="Times New Roman" w:hAnsi="Times New Roman" w:cs="Times New Roman"/>
                <w:b/>
                <w:noProof/>
                <w:sz w:val="18"/>
              </w:rPr>
            </w:pPr>
          </w:p>
        </w:tc>
        <w:tc>
          <w:tcPr>
            <w:tcW w:w="1418" w:type="dxa"/>
            <w:vMerge/>
            <w:noWrap/>
          </w:tcPr>
          <w:p w14:paraId="6632FDF6" w14:textId="77777777" w:rsidR="0065073E" w:rsidRDefault="0065073E">
            <w:pPr>
              <w:spacing w:after="0" w:line="240" w:lineRule="auto"/>
              <w:rPr>
                <w:rFonts w:ascii="Times New Roman" w:hAnsi="Times New Roman" w:cs="Times New Roman"/>
                <w:b/>
                <w:noProof/>
                <w:sz w:val="18"/>
              </w:rPr>
            </w:pPr>
          </w:p>
        </w:tc>
        <w:tc>
          <w:tcPr>
            <w:tcW w:w="1276" w:type="dxa"/>
            <w:vMerge/>
            <w:noWrap/>
          </w:tcPr>
          <w:p w14:paraId="4D45A0BB"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77777777" w:rsidR="0065073E" w:rsidRDefault="000A0998">
            <w:pPr>
              <w:pStyle w:val="P68B1DB1-Normal8"/>
              <w:spacing w:after="0" w:line="240" w:lineRule="auto"/>
              <w:jc w:val="center"/>
              <w:rPr>
                <w:rFonts w:cs="Times New Roman"/>
                <w:noProof/>
              </w:rPr>
            </w:pPr>
            <w:r>
              <w:rPr>
                <w:noProof/>
              </w:rPr>
              <w:t>Yksikkö</w:t>
            </w:r>
          </w:p>
          <w:p w14:paraId="03340206" w14:textId="385CFE10" w:rsidR="0065073E" w:rsidRDefault="0065073E">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2FAA9386" w:rsidR="0065073E" w:rsidRDefault="000A0998">
            <w:pPr>
              <w:pStyle w:val="P68B1DB1-Normal8"/>
              <w:spacing w:after="0" w:line="240" w:lineRule="auto"/>
              <w:jc w:val="center"/>
              <w:rPr>
                <w:rFonts w:cs="Times New Roman"/>
                <w:noProof/>
              </w:rPr>
            </w:pPr>
            <w:r>
              <w:rPr>
                <w:noProof/>
              </w:rPr>
              <w:t>Lähtötaso</w:t>
            </w:r>
          </w:p>
          <w:p w14:paraId="7D3E5CB8" w14:textId="496D4530" w:rsidR="0065073E" w:rsidRDefault="0065073E">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5E7A485D" w14:textId="77777777" w:rsidR="0065073E" w:rsidRDefault="000A0998">
            <w:pPr>
              <w:pStyle w:val="P68B1DB1-Normal8"/>
              <w:spacing w:after="0" w:line="240" w:lineRule="auto"/>
              <w:jc w:val="center"/>
              <w:rPr>
                <w:rFonts w:cs="Times New Roman"/>
                <w:noProof/>
              </w:rPr>
            </w:pPr>
            <w:r>
              <w:rPr>
                <w:noProof/>
              </w:rPr>
              <w:t>Päämäärä</w:t>
            </w:r>
          </w:p>
          <w:p w14:paraId="5C77F60E" w14:textId="68715297" w:rsidR="0065073E" w:rsidRDefault="0065073E">
            <w:pPr>
              <w:spacing w:after="0" w:line="240" w:lineRule="auto"/>
              <w:jc w:val="center"/>
              <w:rPr>
                <w:rFonts w:ascii="Times New Roman" w:hAnsi="Times New Roman" w:cs="Times New Roman"/>
                <w:b/>
                <w:noProof/>
                <w:sz w:val="18"/>
              </w:rPr>
            </w:pPr>
          </w:p>
        </w:tc>
        <w:tc>
          <w:tcPr>
            <w:tcW w:w="426" w:type="dxa"/>
            <w:shd w:val="clear" w:color="auto" w:fill="C6D9F1" w:themeFill="text2" w:themeFillTint="33"/>
            <w:noWrap/>
            <w:vAlign w:val="center"/>
          </w:tcPr>
          <w:p w14:paraId="4617389F" w14:textId="77777777" w:rsidR="0065073E" w:rsidRDefault="000A0998">
            <w:pPr>
              <w:pStyle w:val="P68B1DB1-Normal8"/>
              <w:spacing w:after="0" w:line="240" w:lineRule="auto"/>
              <w:jc w:val="center"/>
              <w:rPr>
                <w:rFonts w:cs="Times New Roman"/>
                <w:noProof/>
              </w:rPr>
            </w:pPr>
            <w:r>
              <w:rPr>
                <w:noProof/>
              </w:rPr>
              <w:t>Q</w:t>
            </w:r>
          </w:p>
          <w:p w14:paraId="0127678F" w14:textId="7FDC6B8F" w:rsidR="0065073E" w:rsidRDefault="0065073E">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FBB54C7" w14:textId="77777777" w:rsidR="0065073E" w:rsidRDefault="000A0998">
            <w:pPr>
              <w:pStyle w:val="P68B1DB1-Normal8"/>
              <w:spacing w:after="0" w:line="240" w:lineRule="auto"/>
              <w:jc w:val="center"/>
              <w:rPr>
                <w:rFonts w:cs="Times New Roman"/>
                <w:noProof/>
              </w:rPr>
            </w:pPr>
            <w:r>
              <w:rPr>
                <w:noProof/>
              </w:rPr>
              <w:t>Vuosi</w:t>
            </w:r>
          </w:p>
          <w:p w14:paraId="5FBC7EB6" w14:textId="3BF060B8" w:rsidR="0065073E" w:rsidRDefault="0065073E">
            <w:pPr>
              <w:spacing w:after="0" w:line="240" w:lineRule="auto"/>
              <w:jc w:val="center"/>
              <w:rPr>
                <w:rFonts w:ascii="Times New Roman" w:hAnsi="Times New Roman" w:cs="Times New Roman"/>
                <w:b/>
                <w:noProof/>
                <w:sz w:val="18"/>
              </w:rPr>
            </w:pPr>
          </w:p>
        </w:tc>
        <w:tc>
          <w:tcPr>
            <w:tcW w:w="6237" w:type="dxa"/>
            <w:vMerge/>
            <w:noWrap/>
          </w:tcPr>
          <w:p w14:paraId="5D55FAF0" w14:textId="77777777" w:rsidR="0065073E" w:rsidRDefault="0065073E">
            <w:pPr>
              <w:spacing w:after="0" w:line="240" w:lineRule="auto"/>
              <w:rPr>
                <w:rFonts w:ascii="Times New Roman" w:hAnsi="Times New Roman" w:cs="Times New Roman"/>
                <w:b/>
                <w:noProof/>
                <w:sz w:val="18"/>
              </w:rPr>
            </w:pPr>
          </w:p>
        </w:tc>
      </w:tr>
      <w:tr w:rsidR="0065073E" w14:paraId="0BC17027" w14:textId="77777777">
        <w:trPr>
          <w:trHeight w:val="309"/>
        </w:trPr>
        <w:tc>
          <w:tcPr>
            <w:tcW w:w="709" w:type="dxa"/>
            <w:shd w:val="clear" w:color="auto" w:fill="C6EFCE"/>
            <w:noWrap/>
          </w:tcPr>
          <w:p w14:paraId="029298D7" w14:textId="77777777" w:rsidR="0065073E" w:rsidRDefault="000A0998">
            <w:pPr>
              <w:pStyle w:val="P68B1DB1-Normal12"/>
              <w:spacing w:after="0" w:line="240" w:lineRule="auto"/>
              <w:jc w:val="center"/>
              <w:rPr>
                <w:rFonts w:eastAsia="Times New Roman" w:cs="Times New Roman"/>
                <w:noProof/>
              </w:rPr>
            </w:pPr>
            <w:r>
              <w:rPr>
                <w:noProof/>
              </w:rPr>
              <w:t>214</w:t>
            </w:r>
          </w:p>
        </w:tc>
        <w:tc>
          <w:tcPr>
            <w:tcW w:w="851" w:type="dxa"/>
            <w:shd w:val="clear" w:color="auto" w:fill="C6EFCE"/>
            <w:noWrap/>
          </w:tcPr>
          <w:p w14:paraId="4CFE236E" w14:textId="77777777" w:rsidR="0065073E" w:rsidRDefault="000A0998">
            <w:pPr>
              <w:pStyle w:val="P68B1DB1-Normal12"/>
              <w:spacing w:after="0" w:line="240" w:lineRule="auto"/>
              <w:jc w:val="center"/>
              <w:rPr>
                <w:rFonts w:eastAsia="Times New Roman" w:cs="Times New Roman"/>
                <w:noProof/>
              </w:rPr>
            </w:pPr>
            <w:r>
              <w:rPr>
                <w:noProof/>
              </w:rPr>
              <w:t>C14.R1</w:t>
            </w:r>
          </w:p>
        </w:tc>
        <w:tc>
          <w:tcPr>
            <w:tcW w:w="850" w:type="dxa"/>
            <w:shd w:val="clear" w:color="auto" w:fill="C6EFCE"/>
            <w:noWrap/>
          </w:tcPr>
          <w:p w14:paraId="4CA21D10" w14:textId="77777777" w:rsidR="0065073E" w:rsidRDefault="000A0998">
            <w:pPr>
              <w:pStyle w:val="P68B1DB1-Normal12"/>
              <w:spacing w:after="0" w:line="240" w:lineRule="auto"/>
              <w:jc w:val="center"/>
              <w:rPr>
                <w:rFonts w:eastAsia="Times New Roman" w:cs="Times New Roman"/>
                <w:noProof/>
              </w:rPr>
            </w:pPr>
            <w:r>
              <w:rPr>
                <w:noProof/>
              </w:rPr>
              <w:t>M</w:t>
            </w:r>
          </w:p>
        </w:tc>
        <w:tc>
          <w:tcPr>
            <w:tcW w:w="1418" w:type="dxa"/>
            <w:shd w:val="clear" w:color="auto" w:fill="C6EFCE"/>
            <w:noWrap/>
          </w:tcPr>
          <w:p w14:paraId="0241C116" w14:textId="77777777" w:rsidR="0065073E" w:rsidRDefault="000A0998">
            <w:pPr>
              <w:pStyle w:val="P68B1DB1-Normal12"/>
              <w:spacing w:after="0" w:line="240" w:lineRule="auto"/>
              <w:rPr>
                <w:rFonts w:eastAsia="Times New Roman" w:cs="Times New Roman"/>
                <w:noProof/>
              </w:rPr>
            </w:pPr>
            <w:r>
              <w:rPr>
                <w:noProof/>
              </w:rPr>
              <w:t>Suunnitelma matkailualan edistämiseksi</w:t>
            </w:r>
          </w:p>
        </w:tc>
        <w:tc>
          <w:tcPr>
            <w:tcW w:w="1276" w:type="dxa"/>
            <w:shd w:val="clear" w:color="auto" w:fill="C6EFCE"/>
            <w:noWrap/>
          </w:tcPr>
          <w:p w14:paraId="2F992D67" w14:textId="77777777" w:rsidR="0065073E" w:rsidRDefault="000A0998">
            <w:pPr>
              <w:pStyle w:val="P68B1DB1-Normal12"/>
              <w:spacing w:after="0" w:line="240" w:lineRule="auto"/>
              <w:jc w:val="center"/>
              <w:rPr>
                <w:rFonts w:eastAsia="Times New Roman" w:cs="Times New Roman"/>
                <w:noProof/>
              </w:rPr>
            </w:pPr>
            <w:r>
              <w:rPr>
                <w:noProof/>
              </w:rPr>
              <w:t>Julkaisun verkkosivut</w:t>
            </w:r>
          </w:p>
        </w:tc>
        <w:tc>
          <w:tcPr>
            <w:tcW w:w="850" w:type="dxa"/>
            <w:shd w:val="clear" w:color="auto" w:fill="C6EFCE"/>
            <w:noWrap/>
          </w:tcPr>
          <w:p w14:paraId="226F9C0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2EC2116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6621D01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3A37F27E"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708" w:type="dxa"/>
            <w:shd w:val="clear" w:color="auto" w:fill="C6EFCE"/>
            <w:noWrap/>
          </w:tcPr>
          <w:p w14:paraId="0F5EAF35" w14:textId="77777777" w:rsidR="0065073E" w:rsidRDefault="000A0998">
            <w:pPr>
              <w:pStyle w:val="P68B1DB1-Normal12"/>
              <w:spacing w:after="0" w:line="240" w:lineRule="auto"/>
              <w:jc w:val="center"/>
              <w:rPr>
                <w:rFonts w:eastAsia="Times New Roman" w:cs="Times New Roman"/>
                <w:noProof/>
              </w:rPr>
            </w:pPr>
            <w:r>
              <w:rPr>
                <w:noProof/>
              </w:rPr>
              <w:t>2020</w:t>
            </w:r>
          </w:p>
        </w:tc>
        <w:tc>
          <w:tcPr>
            <w:tcW w:w="6237" w:type="dxa"/>
            <w:shd w:val="clear" w:color="auto" w:fill="C6EFCE"/>
            <w:noWrap/>
          </w:tcPr>
          <w:p w14:paraId="3E743927" w14:textId="77777777" w:rsidR="0065073E" w:rsidRDefault="000A0998">
            <w:pPr>
              <w:pStyle w:val="P68B1DB1-Normal12"/>
              <w:spacing w:after="0" w:line="240" w:lineRule="auto"/>
              <w:rPr>
                <w:rFonts w:eastAsia="Times New Roman" w:cs="Times New Roman"/>
                <w:noProof/>
              </w:rPr>
            </w:pPr>
            <w:r>
              <w:rPr>
                <w:noProof/>
              </w:rPr>
              <w:t>Suunnitelmassa on kuvattava toimenpiteet matkailualan edistämiseksi ja määriteltävä puitteet matkailuun liittyvien toimenpiteiden täytäntöönpanolle.</w:t>
            </w:r>
          </w:p>
        </w:tc>
      </w:tr>
      <w:tr w:rsidR="0065073E" w14:paraId="256CED81" w14:textId="77777777">
        <w:trPr>
          <w:trHeight w:val="881"/>
        </w:trPr>
        <w:tc>
          <w:tcPr>
            <w:tcW w:w="709" w:type="dxa"/>
            <w:shd w:val="clear" w:color="auto" w:fill="C6EFCE"/>
            <w:noWrap/>
          </w:tcPr>
          <w:p w14:paraId="16F839A0" w14:textId="77777777" w:rsidR="0065073E" w:rsidRDefault="000A0998">
            <w:pPr>
              <w:pStyle w:val="P68B1DB1-Normal12"/>
              <w:spacing w:after="0" w:line="240" w:lineRule="auto"/>
              <w:jc w:val="center"/>
              <w:rPr>
                <w:rFonts w:eastAsia="Times New Roman" w:cs="Times New Roman"/>
                <w:noProof/>
              </w:rPr>
            </w:pPr>
            <w:r>
              <w:rPr>
                <w:noProof/>
              </w:rPr>
              <w:t>215</w:t>
            </w:r>
          </w:p>
        </w:tc>
        <w:tc>
          <w:tcPr>
            <w:tcW w:w="851" w:type="dxa"/>
            <w:shd w:val="clear" w:color="auto" w:fill="C6EFCE"/>
            <w:noWrap/>
          </w:tcPr>
          <w:p w14:paraId="4BC75E1B" w14:textId="77777777" w:rsidR="0065073E" w:rsidRDefault="000A0998">
            <w:pPr>
              <w:pStyle w:val="P68B1DB1-Normal12"/>
              <w:spacing w:after="0" w:line="240" w:lineRule="auto"/>
              <w:jc w:val="center"/>
              <w:rPr>
                <w:rFonts w:eastAsia="Times New Roman" w:cs="Times New Roman"/>
                <w:noProof/>
              </w:rPr>
            </w:pPr>
            <w:r>
              <w:rPr>
                <w:noProof/>
              </w:rPr>
              <w:t>C14.R1</w:t>
            </w:r>
          </w:p>
        </w:tc>
        <w:tc>
          <w:tcPr>
            <w:tcW w:w="850" w:type="dxa"/>
            <w:shd w:val="clear" w:color="auto" w:fill="C6EFCE"/>
            <w:noWrap/>
          </w:tcPr>
          <w:p w14:paraId="3A720761" w14:textId="77777777" w:rsidR="0065073E" w:rsidRDefault="000A0998">
            <w:pPr>
              <w:pStyle w:val="P68B1DB1-Normal12"/>
              <w:spacing w:after="0" w:line="240" w:lineRule="auto"/>
              <w:jc w:val="center"/>
              <w:rPr>
                <w:rFonts w:eastAsia="Times New Roman" w:cs="Times New Roman"/>
                <w:noProof/>
              </w:rPr>
            </w:pPr>
            <w:r>
              <w:rPr>
                <w:noProof/>
              </w:rPr>
              <w:t>M</w:t>
            </w:r>
          </w:p>
        </w:tc>
        <w:tc>
          <w:tcPr>
            <w:tcW w:w="1418" w:type="dxa"/>
            <w:shd w:val="clear" w:color="auto" w:fill="C6EFCE"/>
            <w:noWrap/>
          </w:tcPr>
          <w:p w14:paraId="4391D859" w14:textId="77777777" w:rsidR="0065073E" w:rsidRDefault="000A0998">
            <w:pPr>
              <w:pStyle w:val="P68B1DB1-Normal12"/>
              <w:spacing w:after="0" w:line="240" w:lineRule="auto"/>
              <w:rPr>
                <w:rFonts w:eastAsia="Times New Roman" w:cs="Times New Roman"/>
                <w:noProof/>
              </w:rPr>
            </w:pPr>
            <w:r>
              <w:rPr>
                <w:noProof/>
              </w:rPr>
              <w:t>Matkailua koskevia tietoja keräävän ”DATAESTUR”-verkkosivuston käynnistäminen</w:t>
            </w:r>
          </w:p>
        </w:tc>
        <w:tc>
          <w:tcPr>
            <w:tcW w:w="1276" w:type="dxa"/>
            <w:shd w:val="clear" w:color="auto" w:fill="C6EFCE"/>
            <w:noWrap/>
          </w:tcPr>
          <w:p w14:paraId="4D25AC71" w14:textId="77777777" w:rsidR="0065073E" w:rsidRDefault="000A0998">
            <w:pPr>
              <w:pStyle w:val="P68B1DB1-Normal12"/>
              <w:spacing w:after="0" w:line="240" w:lineRule="auto"/>
              <w:jc w:val="center"/>
              <w:rPr>
                <w:rFonts w:eastAsia="Times New Roman" w:cs="Times New Roman"/>
                <w:noProof/>
              </w:rPr>
            </w:pPr>
            <w:r>
              <w:rPr>
                <w:noProof/>
              </w:rPr>
              <w:t>Linkki Dataesturin verkkosivustolle</w:t>
            </w:r>
          </w:p>
        </w:tc>
        <w:tc>
          <w:tcPr>
            <w:tcW w:w="850" w:type="dxa"/>
            <w:shd w:val="clear" w:color="auto" w:fill="C6EFCE"/>
            <w:noWrap/>
          </w:tcPr>
          <w:p w14:paraId="39554A49"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180FA731"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B8DC00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780C42A6"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0965DB69" w14:textId="77777777" w:rsidR="0065073E" w:rsidRDefault="000A0998">
            <w:pPr>
              <w:pStyle w:val="P68B1DB1-Normal12"/>
              <w:spacing w:after="0" w:line="240" w:lineRule="auto"/>
              <w:jc w:val="center"/>
              <w:rPr>
                <w:rFonts w:eastAsia="Times New Roman" w:cs="Times New Roman"/>
                <w:noProof/>
              </w:rPr>
            </w:pPr>
            <w:r>
              <w:rPr>
                <w:noProof/>
              </w:rPr>
              <w:t>2020</w:t>
            </w:r>
          </w:p>
        </w:tc>
        <w:tc>
          <w:tcPr>
            <w:tcW w:w="6237" w:type="dxa"/>
            <w:shd w:val="clear" w:color="auto" w:fill="C6EFCE"/>
            <w:noWrap/>
          </w:tcPr>
          <w:p w14:paraId="239EFD6C" w14:textId="77777777" w:rsidR="0065073E" w:rsidRDefault="000A0998">
            <w:pPr>
              <w:pStyle w:val="P68B1DB1-Normal12"/>
              <w:spacing w:after="0" w:line="240" w:lineRule="auto"/>
              <w:rPr>
                <w:rFonts w:eastAsia="Times New Roman" w:cs="Times New Roman"/>
                <w:noProof/>
              </w:rPr>
            </w:pPr>
            <w:r>
              <w:rPr>
                <w:noProof/>
              </w:rPr>
              <w:t>Verkkosivustolla kerätään Espanjan matkailua koskevia tietoja eri matkailutilastojen lähteistä, mukaan lukien julkiset ja yksityiset elimet, kuten INE, Turespaña, Espanjan keskuspankki, AENA tai RENFE, ja sen on oltava toiminnassa.</w:t>
            </w:r>
          </w:p>
        </w:tc>
      </w:tr>
      <w:tr w:rsidR="0065073E" w14:paraId="5FF511CA" w14:textId="77777777">
        <w:trPr>
          <w:trHeight w:val="881"/>
        </w:trPr>
        <w:tc>
          <w:tcPr>
            <w:tcW w:w="709" w:type="dxa"/>
            <w:shd w:val="clear" w:color="auto" w:fill="C6EFCE"/>
            <w:noWrap/>
          </w:tcPr>
          <w:p w14:paraId="5EE03C76" w14:textId="77777777" w:rsidR="0065073E" w:rsidRDefault="000A0998">
            <w:pPr>
              <w:pStyle w:val="P68B1DB1-Normal12"/>
              <w:spacing w:after="0" w:line="240" w:lineRule="auto"/>
              <w:jc w:val="center"/>
              <w:rPr>
                <w:rFonts w:cs="Times New Roman"/>
                <w:noProof/>
              </w:rPr>
            </w:pPr>
            <w:r>
              <w:rPr>
                <w:noProof/>
              </w:rPr>
              <w:t>216</w:t>
            </w:r>
          </w:p>
        </w:tc>
        <w:tc>
          <w:tcPr>
            <w:tcW w:w="851" w:type="dxa"/>
            <w:shd w:val="clear" w:color="auto" w:fill="C6EFCE"/>
            <w:noWrap/>
          </w:tcPr>
          <w:p w14:paraId="5B7C6976" w14:textId="77777777" w:rsidR="0065073E" w:rsidRDefault="000A0998">
            <w:pPr>
              <w:pStyle w:val="P68B1DB1-Normal12"/>
              <w:spacing w:after="0" w:line="240" w:lineRule="auto"/>
              <w:jc w:val="center"/>
              <w:rPr>
                <w:rFonts w:cs="Times New Roman"/>
                <w:noProof/>
              </w:rPr>
            </w:pPr>
            <w:r>
              <w:rPr>
                <w:noProof/>
              </w:rPr>
              <w:t>C14.R1</w:t>
            </w:r>
          </w:p>
        </w:tc>
        <w:tc>
          <w:tcPr>
            <w:tcW w:w="850" w:type="dxa"/>
            <w:shd w:val="clear" w:color="auto" w:fill="C6EFCE"/>
            <w:noWrap/>
          </w:tcPr>
          <w:p w14:paraId="4EE6B19A" w14:textId="77777777" w:rsidR="0065073E" w:rsidRDefault="000A0998">
            <w:pPr>
              <w:pStyle w:val="P68B1DB1-Normal12"/>
              <w:spacing w:after="0" w:line="240" w:lineRule="auto"/>
              <w:jc w:val="center"/>
              <w:rPr>
                <w:rFonts w:cs="Times New Roman"/>
                <w:noProof/>
              </w:rPr>
            </w:pPr>
            <w:r>
              <w:rPr>
                <w:noProof/>
              </w:rPr>
              <w:t>M</w:t>
            </w:r>
          </w:p>
        </w:tc>
        <w:tc>
          <w:tcPr>
            <w:tcW w:w="1418" w:type="dxa"/>
            <w:shd w:val="clear" w:color="auto" w:fill="C6EFCE"/>
            <w:noWrap/>
          </w:tcPr>
          <w:p w14:paraId="033843B4" w14:textId="77777777" w:rsidR="0065073E" w:rsidRDefault="000A0998">
            <w:pPr>
              <w:pStyle w:val="P68B1DB1-Normal12"/>
              <w:spacing w:after="0" w:line="240" w:lineRule="auto"/>
              <w:rPr>
                <w:rFonts w:cs="Times New Roman"/>
                <w:noProof/>
              </w:rPr>
            </w:pPr>
            <w:r>
              <w:rPr>
                <w:noProof/>
              </w:rPr>
              <w:t xml:space="preserve">Matkailun kilpailukykyä edistävän valtion rahoitusrahaston täytäntöönpanosta annetun kuninkaallisen asetuksen voimaantulo </w:t>
            </w:r>
          </w:p>
        </w:tc>
        <w:tc>
          <w:tcPr>
            <w:tcW w:w="1276" w:type="dxa"/>
            <w:shd w:val="clear" w:color="auto" w:fill="C6EFCE"/>
            <w:noWrap/>
          </w:tcPr>
          <w:p w14:paraId="208A134E" w14:textId="77777777" w:rsidR="0065073E" w:rsidRDefault="000A0998">
            <w:pPr>
              <w:pStyle w:val="P68B1DB1-Normal12"/>
              <w:spacing w:after="0" w:line="240" w:lineRule="auto"/>
              <w:jc w:val="center"/>
              <w:rPr>
                <w:rFonts w:cs="Times New Roman"/>
                <w:noProof/>
              </w:rPr>
            </w:pPr>
            <w:r>
              <w:rPr>
                <w:noProof/>
              </w:rPr>
              <w:t>Kuninkaan asetuksen säännös lain voimaantulosta</w:t>
            </w:r>
          </w:p>
        </w:tc>
        <w:tc>
          <w:tcPr>
            <w:tcW w:w="850" w:type="dxa"/>
            <w:shd w:val="clear" w:color="auto" w:fill="C6EFCE"/>
            <w:noWrap/>
          </w:tcPr>
          <w:p w14:paraId="6C1352AE" w14:textId="77777777"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3C57C8A9" w14:textId="77777777" w:rsidR="0065073E" w:rsidRDefault="000A0998">
            <w:pPr>
              <w:pStyle w:val="P68B1DB1-Normal12"/>
              <w:spacing w:after="0" w:line="240" w:lineRule="auto"/>
              <w:jc w:val="right"/>
              <w:rPr>
                <w:rFonts w:cs="Times New Roman"/>
                <w:noProof/>
              </w:rPr>
            </w:pPr>
            <w:r>
              <w:rPr>
                <w:noProof/>
              </w:rPr>
              <w:t xml:space="preserve"> </w:t>
            </w:r>
          </w:p>
        </w:tc>
        <w:tc>
          <w:tcPr>
            <w:tcW w:w="567" w:type="dxa"/>
            <w:shd w:val="clear" w:color="auto" w:fill="C6EFCE"/>
            <w:noWrap/>
          </w:tcPr>
          <w:p w14:paraId="0EB9C128" w14:textId="77777777" w:rsidR="0065073E" w:rsidRDefault="000A0998">
            <w:pPr>
              <w:pStyle w:val="P68B1DB1-Normal12"/>
              <w:spacing w:after="0" w:line="240" w:lineRule="auto"/>
              <w:jc w:val="right"/>
              <w:rPr>
                <w:rFonts w:cs="Times New Roman"/>
                <w:noProof/>
              </w:rPr>
            </w:pPr>
            <w:r>
              <w:rPr>
                <w:noProof/>
              </w:rPr>
              <w:t xml:space="preserve"> </w:t>
            </w:r>
          </w:p>
        </w:tc>
        <w:tc>
          <w:tcPr>
            <w:tcW w:w="426" w:type="dxa"/>
            <w:shd w:val="clear" w:color="auto" w:fill="C6EFCE"/>
            <w:noWrap/>
          </w:tcPr>
          <w:p w14:paraId="0733D322"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6A376A49" w14:textId="77777777" w:rsidR="0065073E" w:rsidRDefault="000A0998">
            <w:pPr>
              <w:pStyle w:val="P68B1DB1-Normal12"/>
              <w:spacing w:after="0" w:line="240" w:lineRule="auto"/>
              <w:jc w:val="center"/>
              <w:rPr>
                <w:rFonts w:cs="Times New Roman"/>
                <w:noProof/>
              </w:rPr>
            </w:pPr>
            <w:r>
              <w:rPr>
                <w:noProof/>
              </w:rPr>
              <w:t>2021</w:t>
            </w:r>
          </w:p>
        </w:tc>
        <w:tc>
          <w:tcPr>
            <w:tcW w:w="6237" w:type="dxa"/>
            <w:shd w:val="clear" w:color="auto" w:fill="C6EFCE"/>
            <w:noWrap/>
          </w:tcPr>
          <w:p w14:paraId="6AF54F6E" w14:textId="77777777" w:rsidR="0065073E" w:rsidRDefault="000A0998">
            <w:pPr>
              <w:pStyle w:val="P68B1DB1-Normal12"/>
              <w:spacing w:after="0" w:line="240" w:lineRule="auto"/>
              <w:rPr>
                <w:rFonts w:cs="Times New Roman"/>
                <w:noProof/>
              </w:rPr>
            </w:pPr>
            <w:r>
              <w:rPr>
                <w:noProof/>
              </w:rPr>
              <w:t xml:space="preserve">Matkailualan kilpailukykyä edistävän valtion rahoitusrahaston täytäntöönpanosta annetulla kuninkaallisella asetuksella parannetaan yritysten mahdollisuuksia saada julkista rahoitusta kiertotalouden ja energiatehokkuuden aloilla. </w:t>
            </w:r>
          </w:p>
        </w:tc>
      </w:tr>
      <w:tr w:rsidR="0065073E" w14:paraId="5F4ACDC5" w14:textId="77777777">
        <w:trPr>
          <w:trHeight w:val="881"/>
        </w:trPr>
        <w:tc>
          <w:tcPr>
            <w:tcW w:w="709" w:type="dxa"/>
            <w:shd w:val="clear" w:color="auto" w:fill="C6EFCE"/>
            <w:noWrap/>
          </w:tcPr>
          <w:p w14:paraId="57B862B3" w14:textId="77777777" w:rsidR="0065073E" w:rsidRDefault="000A0998">
            <w:pPr>
              <w:pStyle w:val="P68B1DB1-Normal12"/>
              <w:spacing w:after="0" w:line="240" w:lineRule="auto"/>
              <w:jc w:val="center"/>
              <w:rPr>
                <w:rFonts w:cs="Times New Roman"/>
                <w:noProof/>
              </w:rPr>
            </w:pPr>
            <w:r>
              <w:rPr>
                <w:noProof/>
              </w:rPr>
              <w:t>217</w:t>
            </w:r>
          </w:p>
        </w:tc>
        <w:tc>
          <w:tcPr>
            <w:tcW w:w="851" w:type="dxa"/>
            <w:shd w:val="clear" w:color="auto" w:fill="C6EFCE"/>
            <w:noWrap/>
          </w:tcPr>
          <w:p w14:paraId="57AF5194" w14:textId="77777777" w:rsidR="0065073E" w:rsidRDefault="000A0998">
            <w:pPr>
              <w:pStyle w:val="P68B1DB1-Normal12"/>
              <w:spacing w:after="0" w:line="240" w:lineRule="auto"/>
              <w:jc w:val="center"/>
              <w:rPr>
                <w:rFonts w:cs="Times New Roman"/>
                <w:noProof/>
              </w:rPr>
            </w:pPr>
            <w:r>
              <w:rPr>
                <w:noProof/>
              </w:rPr>
              <w:t>C14.I1</w:t>
            </w:r>
          </w:p>
        </w:tc>
        <w:tc>
          <w:tcPr>
            <w:tcW w:w="850" w:type="dxa"/>
            <w:shd w:val="clear" w:color="auto" w:fill="C6EFCE"/>
            <w:noWrap/>
          </w:tcPr>
          <w:p w14:paraId="7BD991D3"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64BC3D8B" w14:textId="77777777" w:rsidR="0065073E" w:rsidRDefault="000A0998">
            <w:pPr>
              <w:pStyle w:val="P68B1DB1-Normal12"/>
              <w:spacing w:after="0" w:line="240" w:lineRule="auto"/>
              <w:rPr>
                <w:rFonts w:cs="Times New Roman"/>
                <w:noProof/>
              </w:rPr>
            </w:pPr>
            <w:r>
              <w:rPr>
                <w:noProof/>
              </w:rPr>
              <w:t>Matkailun kestävyyttä matkakohteessa edistävien suunnitelmien määrärahojen myöntäminen</w:t>
            </w:r>
          </w:p>
        </w:tc>
        <w:tc>
          <w:tcPr>
            <w:tcW w:w="1276" w:type="dxa"/>
            <w:shd w:val="clear" w:color="auto" w:fill="C6EFCE"/>
            <w:noWrap/>
          </w:tcPr>
          <w:p w14:paraId="2491DAEF"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0A88C9B6" w14:textId="77777777" w:rsidR="0065073E" w:rsidRDefault="000A0998">
            <w:pPr>
              <w:pStyle w:val="P68B1DB1-Normal12"/>
              <w:spacing w:after="0" w:line="240" w:lineRule="auto"/>
              <w:jc w:val="right"/>
              <w:rPr>
                <w:rFonts w:cs="Times New Roman"/>
                <w:noProof/>
              </w:rPr>
            </w:pPr>
            <w:r>
              <w:rPr>
                <w:noProof/>
              </w:rPr>
              <w:t>Miljoonaa euroa</w:t>
            </w:r>
          </w:p>
        </w:tc>
        <w:tc>
          <w:tcPr>
            <w:tcW w:w="992" w:type="dxa"/>
            <w:shd w:val="clear" w:color="auto" w:fill="C6EFCE"/>
            <w:noWrap/>
          </w:tcPr>
          <w:p w14:paraId="3CAEF826"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1F72AA04" w14:textId="77777777" w:rsidR="0065073E" w:rsidRDefault="000A0998">
            <w:pPr>
              <w:pStyle w:val="P68B1DB1-Normal12"/>
              <w:spacing w:after="0" w:line="240" w:lineRule="auto"/>
              <w:jc w:val="right"/>
              <w:rPr>
                <w:rFonts w:cs="Times New Roman"/>
                <w:noProof/>
              </w:rPr>
            </w:pPr>
            <w:r>
              <w:rPr>
                <w:noProof/>
              </w:rPr>
              <w:t>561</w:t>
            </w:r>
          </w:p>
        </w:tc>
        <w:tc>
          <w:tcPr>
            <w:tcW w:w="426" w:type="dxa"/>
            <w:shd w:val="clear" w:color="auto" w:fill="C6EFCE"/>
            <w:noWrap/>
          </w:tcPr>
          <w:p w14:paraId="0CF117A0"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18240322" w14:textId="77777777" w:rsidR="0065073E" w:rsidRDefault="000A0998">
            <w:pPr>
              <w:pStyle w:val="P68B1DB1-Normal12"/>
              <w:spacing w:after="0" w:line="240" w:lineRule="auto"/>
              <w:jc w:val="center"/>
              <w:rPr>
                <w:rFonts w:cs="Times New Roman"/>
                <w:noProof/>
              </w:rPr>
            </w:pPr>
            <w:r>
              <w:rPr>
                <w:noProof/>
              </w:rPr>
              <w:t>2021</w:t>
            </w:r>
          </w:p>
        </w:tc>
        <w:tc>
          <w:tcPr>
            <w:tcW w:w="6237" w:type="dxa"/>
            <w:shd w:val="clear" w:color="auto" w:fill="C6EFCE"/>
            <w:noWrap/>
          </w:tcPr>
          <w:p w14:paraId="3898F70F" w14:textId="349978F6" w:rsidR="0065073E" w:rsidRDefault="000A0998">
            <w:pPr>
              <w:pStyle w:val="P68B1DB1-Normal12"/>
              <w:spacing w:after="0" w:line="240" w:lineRule="auto"/>
              <w:rPr>
                <w:rFonts w:cs="Times New Roman"/>
                <w:noProof/>
              </w:rPr>
            </w:pPr>
            <w:r>
              <w:rPr>
                <w:noProof/>
              </w:rPr>
              <w:t>Paikallisviranomaisille myönnettävän tuen julkaiseminen EUVL:ssä matkailun kestävyyttä määräpaikassa koskevien alueellisten suunnitelmien toteuttamiseksi. Tukea myönnetään vähintään 561000000 eurolla ja 35 prosentilla varoista käytetään toimenpiteisiin, joilla puututaan vihreään siirtymään, kestävyyteen ja energiatehokkuuteen/sähköiseen liikkuvuuteen matkakohteissa. Valintaperusteilla varmistetaan, että ”ei merkittävää haittaa” -periaatteen mukaisia teknisiä ohjeita (2021/C58/01) noudatetaan poissulkemisluetteloa ja EU:n ja kansallisen ympäristölainsäädännön noudattamista koskevaa vaatimusta. Valintaperusteilla varmistetaan, että toimenpiteelle myönnetystä lopullisesta kokonaisbudjetista vähintään 359000000 eurolla edistetään ilmastonmuutostavoitteita 100 prosentin ilmastokertoimella ja vähintään 519000000 eurolla 40 prosentin ilmastokertoimella elpymis- ja palautumistukivälineestä annetun asetuksen (EU) 2021/241 liitteen VI mukaisesti. Vaihtoehtoisesti valintakriteereillä varmistetaan, että vähintään 1788.6 miljoonalla eurolla edistetään ilmastonmuutostavoitteita, joiden keskimääräinen ilmastokerroin on vähintään 31,7 prosenttia Euroopan parlamentin ja neuvoston asetuksen (EU) 2021/241 liitteen VI mukaisesti. Tämä keskimääräinen rahoitusosuus voidaan saavuttaa asetuksen (EU) 2021/241 liitteessä VI esitettyjen toiminta-alojen perusteella.</w:t>
            </w:r>
          </w:p>
        </w:tc>
      </w:tr>
      <w:tr w:rsidR="0065073E" w14:paraId="3A49E1E8" w14:textId="77777777">
        <w:trPr>
          <w:trHeight w:val="881"/>
        </w:trPr>
        <w:tc>
          <w:tcPr>
            <w:tcW w:w="709" w:type="dxa"/>
            <w:shd w:val="clear" w:color="auto" w:fill="C6EFCE"/>
            <w:noWrap/>
          </w:tcPr>
          <w:p w14:paraId="53C4D7CE" w14:textId="77777777" w:rsidR="0065073E" w:rsidRDefault="000A0998">
            <w:pPr>
              <w:pStyle w:val="P68B1DB1-Normal12"/>
              <w:spacing w:after="0" w:line="240" w:lineRule="auto"/>
              <w:jc w:val="center"/>
              <w:rPr>
                <w:rFonts w:cs="Times New Roman"/>
                <w:noProof/>
              </w:rPr>
            </w:pPr>
            <w:r>
              <w:rPr>
                <w:noProof/>
              </w:rPr>
              <w:t>218</w:t>
            </w:r>
          </w:p>
        </w:tc>
        <w:tc>
          <w:tcPr>
            <w:tcW w:w="851" w:type="dxa"/>
            <w:shd w:val="clear" w:color="auto" w:fill="C6EFCE"/>
            <w:noWrap/>
          </w:tcPr>
          <w:p w14:paraId="4197E07D" w14:textId="77777777" w:rsidR="0065073E" w:rsidRDefault="000A0998">
            <w:pPr>
              <w:pStyle w:val="P68B1DB1-Normal12"/>
              <w:spacing w:after="0" w:line="240" w:lineRule="auto"/>
              <w:jc w:val="center"/>
              <w:rPr>
                <w:rFonts w:cs="Times New Roman"/>
                <w:noProof/>
              </w:rPr>
            </w:pPr>
            <w:r>
              <w:rPr>
                <w:noProof/>
              </w:rPr>
              <w:t>C14.I1</w:t>
            </w:r>
          </w:p>
        </w:tc>
        <w:tc>
          <w:tcPr>
            <w:tcW w:w="850" w:type="dxa"/>
            <w:shd w:val="clear" w:color="auto" w:fill="C6EFCE"/>
            <w:noWrap/>
          </w:tcPr>
          <w:p w14:paraId="7A8BEF67"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656C3402" w14:textId="77777777" w:rsidR="0065073E" w:rsidRDefault="000A0998">
            <w:pPr>
              <w:pStyle w:val="P68B1DB1-Normal12"/>
              <w:spacing w:after="0" w:line="240" w:lineRule="auto"/>
              <w:rPr>
                <w:rFonts w:cs="Times New Roman"/>
                <w:noProof/>
              </w:rPr>
            </w:pPr>
            <w:r>
              <w:rPr>
                <w:noProof/>
              </w:rPr>
              <w:t>Matkailun kestävyyttä matkakohteessa edistävien suunnitelmien määrärahojen myöntäminen</w:t>
            </w:r>
          </w:p>
        </w:tc>
        <w:tc>
          <w:tcPr>
            <w:tcW w:w="1276" w:type="dxa"/>
            <w:shd w:val="clear" w:color="auto" w:fill="C6EFCE"/>
            <w:noWrap/>
          </w:tcPr>
          <w:p w14:paraId="031418A8"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35029609" w14:textId="77777777" w:rsidR="0065073E" w:rsidRDefault="000A0998">
            <w:pPr>
              <w:pStyle w:val="P68B1DB1-Normal12"/>
              <w:spacing w:after="0" w:line="240" w:lineRule="auto"/>
              <w:jc w:val="right"/>
              <w:rPr>
                <w:rFonts w:cs="Times New Roman"/>
                <w:noProof/>
              </w:rPr>
            </w:pPr>
            <w:r>
              <w:rPr>
                <w:noProof/>
              </w:rPr>
              <w:t>Miljoonaa euroa</w:t>
            </w:r>
          </w:p>
        </w:tc>
        <w:tc>
          <w:tcPr>
            <w:tcW w:w="992" w:type="dxa"/>
            <w:shd w:val="clear" w:color="auto" w:fill="C6EFCE"/>
            <w:noWrap/>
          </w:tcPr>
          <w:p w14:paraId="3F42A92B" w14:textId="77777777" w:rsidR="0065073E" w:rsidRDefault="000A0998">
            <w:pPr>
              <w:pStyle w:val="P68B1DB1-Normal12"/>
              <w:spacing w:after="0" w:line="240" w:lineRule="auto"/>
              <w:jc w:val="right"/>
              <w:rPr>
                <w:rFonts w:cs="Times New Roman"/>
                <w:noProof/>
              </w:rPr>
            </w:pPr>
            <w:r>
              <w:rPr>
                <w:noProof/>
              </w:rPr>
              <w:t>561</w:t>
            </w:r>
          </w:p>
        </w:tc>
        <w:tc>
          <w:tcPr>
            <w:tcW w:w="567" w:type="dxa"/>
            <w:shd w:val="clear" w:color="auto" w:fill="C6EFCE"/>
            <w:noWrap/>
          </w:tcPr>
          <w:p w14:paraId="7B60B58D" w14:textId="77777777" w:rsidR="0065073E" w:rsidRDefault="000A0998">
            <w:pPr>
              <w:pStyle w:val="P68B1DB1-Normal12"/>
              <w:spacing w:after="0" w:line="240" w:lineRule="auto"/>
              <w:jc w:val="right"/>
              <w:rPr>
                <w:rFonts w:cs="Times New Roman"/>
                <w:noProof/>
              </w:rPr>
            </w:pPr>
            <w:r>
              <w:rPr>
                <w:noProof/>
              </w:rPr>
              <w:t>1 173</w:t>
            </w:r>
          </w:p>
        </w:tc>
        <w:tc>
          <w:tcPr>
            <w:tcW w:w="426" w:type="dxa"/>
            <w:shd w:val="clear" w:color="auto" w:fill="C6EFCE"/>
            <w:noWrap/>
          </w:tcPr>
          <w:p w14:paraId="4821E7BF"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57C4583C" w14:textId="77777777" w:rsidR="0065073E" w:rsidRDefault="000A0998">
            <w:pPr>
              <w:pStyle w:val="P68B1DB1-Normal12"/>
              <w:spacing w:after="0" w:line="240" w:lineRule="auto"/>
              <w:jc w:val="center"/>
              <w:rPr>
                <w:rFonts w:cs="Times New Roman"/>
                <w:noProof/>
              </w:rPr>
            </w:pPr>
            <w:r>
              <w:rPr>
                <w:noProof/>
              </w:rPr>
              <w:t>2022</w:t>
            </w:r>
          </w:p>
        </w:tc>
        <w:tc>
          <w:tcPr>
            <w:tcW w:w="6237" w:type="dxa"/>
            <w:shd w:val="clear" w:color="auto" w:fill="C6EFCE"/>
            <w:noWrap/>
          </w:tcPr>
          <w:p w14:paraId="2279EB70" w14:textId="7195F2AA" w:rsidR="0065073E" w:rsidRDefault="000A0998">
            <w:pPr>
              <w:pStyle w:val="P68B1DB1-Normal12"/>
              <w:spacing w:after="0" w:line="240" w:lineRule="auto"/>
              <w:rPr>
                <w:rFonts w:cs="Times New Roman"/>
                <w:noProof/>
              </w:rPr>
            </w:pPr>
            <w:r>
              <w:rPr>
                <w:noProof/>
              </w:rPr>
              <w:t>Paikallisviranomaisille myönnetyn tuen julkaiseminen EUVL:ssä matkailun kestävyyttä määräpaikassa koskevien alueellisten suunnitelmien täytäntöönpanoon, jonka arvo on vähintään 1173000000 euroa (perustaso: Ja 35 prosenttia varoista käytetään toimenpiteisiin, joilla puututaan vihreään siirtymään, kestävyyteen ja energiatehokkuuteen/sähköiseen liikkuvuuteen kohteissa. Valintaperusteilla on varmistettava, että ”ei merkittävää haittaa” -periaatteen mukaisia teknisiä ohjeita (2021/C58/01) noudatetaan poissulkemisluetteloa ja vaatimusta asiaa koskevan EU:n ja kansallisen ympäristölainsäädännön noudattamisesta. Valintaperusteilla varmistetaan, että toimenpiteelle myönnetystä lopullisesta kokonaisbudjetista vähintään 359000000 eurolla edistetään ilmastonmuutostavoitteita 100 prosentin ilmastokertoimella ja vähintään 519000000 eurolla 40 prosentin ilmastokertoimella elpymis- ja palautumistukivälineestä annetun asetuksen (EU) 2021/241 liitteen VI mukaisesti.</w:t>
            </w:r>
            <w:r>
              <w:rPr>
                <w:noProof/>
                <w:shd w:val="clear" w:color="auto" w:fill="E6E6E6"/>
              </w:rPr>
              <w:t xml:space="preserve"> </w:t>
            </w:r>
            <w:r>
              <w:rPr>
                <w:noProof/>
              </w:rPr>
              <w:t xml:space="preserve"> Vaihtoehtoisesti valintakriteereillä varmistetaan, että vähintään 1788.6 miljoonalla eurolla edistetään ilmastonmuutostavoitteita, joiden keskimääräinen ilmastokerroin on vähintään 31,7 prosenttia Euroopan parlamentin ja neuvoston asetuksen (EU) 2021/241 liitteen VI mukaisesti. Tämä keskimääräinen rahoitusosuus voidaan saavuttaa asetuksen (EU) 2021/241 liitteessä VI esitettyjen toiminta-alojen perusteella.</w:t>
            </w:r>
          </w:p>
        </w:tc>
      </w:tr>
      <w:tr w:rsidR="0065073E" w14:paraId="7E2C0B03" w14:textId="77777777">
        <w:trPr>
          <w:trHeight w:val="881"/>
        </w:trPr>
        <w:tc>
          <w:tcPr>
            <w:tcW w:w="709" w:type="dxa"/>
            <w:shd w:val="clear" w:color="auto" w:fill="C6EFCE"/>
            <w:noWrap/>
          </w:tcPr>
          <w:p w14:paraId="3F6C604A" w14:textId="77777777" w:rsidR="0065073E" w:rsidRDefault="000A0998">
            <w:pPr>
              <w:pStyle w:val="P68B1DB1-Normal12"/>
              <w:spacing w:after="0" w:line="240" w:lineRule="auto"/>
              <w:jc w:val="center"/>
              <w:rPr>
                <w:rFonts w:cs="Times New Roman"/>
                <w:noProof/>
              </w:rPr>
            </w:pPr>
            <w:r>
              <w:rPr>
                <w:noProof/>
              </w:rPr>
              <w:t>219</w:t>
            </w:r>
          </w:p>
        </w:tc>
        <w:tc>
          <w:tcPr>
            <w:tcW w:w="851" w:type="dxa"/>
            <w:shd w:val="clear" w:color="auto" w:fill="C6EFCE"/>
            <w:noWrap/>
          </w:tcPr>
          <w:p w14:paraId="3BB6DD03" w14:textId="77777777" w:rsidR="0065073E" w:rsidRDefault="000A0998">
            <w:pPr>
              <w:pStyle w:val="P68B1DB1-Normal12"/>
              <w:spacing w:after="0" w:line="240" w:lineRule="auto"/>
              <w:jc w:val="center"/>
              <w:rPr>
                <w:rFonts w:cs="Times New Roman"/>
                <w:noProof/>
              </w:rPr>
            </w:pPr>
            <w:r>
              <w:rPr>
                <w:noProof/>
              </w:rPr>
              <w:t>C14.I1</w:t>
            </w:r>
          </w:p>
        </w:tc>
        <w:tc>
          <w:tcPr>
            <w:tcW w:w="850" w:type="dxa"/>
            <w:shd w:val="clear" w:color="auto" w:fill="C6EFCE"/>
            <w:noWrap/>
          </w:tcPr>
          <w:p w14:paraId="714985AB"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2C99D933" w14:textId="77777777" w:rsidR="0065073E" w:rsidRDefault="000A0998">
            <w:pPr>
              <w:pStyle w:val="P68B1DB1-Normal12"/>
              <w:spacing w:after="0" w:line="240" w:lineRule="auto"/>
              <w:rPr>
                <w:rFonts w:cs="Times New Roman"/>
                <w:noProof/>
              </w:rPr>
            </w:pPr>
            <w:r>
              <w:rPr>
                <w:noProof/>
              </w:rPr>
              <w:t>Matkailun kestävyyttä matkakohteessa edistävien suunnitelmien määrärahojen myöntäminen</w:t>
            </w:r>
          </w:p>
        </w:tc>
        <w:tc>
          <w:tcPr>
            <w:tcW w:w="1276" w:type="dxa"/>
            <w:shd w:val="clear" w:color="auto" w:fill="C6EFCE"/>
            <w:noWrap/>
          </w:tcPr>
          <w:p w14:paraId="252E388B"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793BFD1E" w14:textId="77777777" w:rsidR="0065073E" w:rsidRDefault="000A0998">
            <w:pPr>
              <w:pStyle w:val="P68B1DB1-Normal12"/>
              <w:spacing w:after="0" w:line="240" w:lineRule="auto"/>
              <w:jc w:val="right"/>
              <w:rPr>
                <w:rFonts w:cs="Times New Roman"/>
                <w:noProof/>
              </w:rPr>
            </w:pPr>
            <w:r>
              <w:rPr>
                <w:noProof/>
              </w:rPr>
              <w:t>Miljoonaa euroa</w:t>
            </w:r>
          </w:p>
        </w:tc>
        <w:tc>
          <w:tcPr>
            <w:tcW w:w="992" w:type="dxa"/>
            <w:shd w:val="clear" w:color="auto" w:fill="C6EFCE"/>
            <w:noWrap/>
          </w:tcPr>
          <w:p w14:paraId="0D6A52D3" w14:textId="77777777" w:rsidR="0065073E" w:rsidRDefault="000A0998">
            <w:pPr>
              <w:pStyle w:val="P68B1DB1-Normal12"/>
              <w:spacing w:after="0" w:line="240" w:lineRule="auto"/>
              <w:jc w:val="right"/>
              <w:rPr>
                <w:rFonts w:cs="Times New Roman"/>
                <w:noProof/>
              </w:rPr>
            </w:pPr>
            <w:r>
              <w:rPr>
                <w:noProof/>
              </w:rPr>
              <w:t>1 173</w:t>
            </w:r>
          </w:p>
        </w:tc>
        <w:tc>
          <w:tcPr>
            <w:tcW w:w="567" w:type="dxa"/>
            <w:shd w:val="clear" w:color="auto" w:fill="C6EFCE"/>
            <w:noWrap/>
          </w:tcPr>
          <w:p w14:paraId="42F823EC" w14:textId="77777777" w:rsidR="0065073E" w:rsidRDefault="000A0998">
            <w:pPr>
              <w:pStyle w:val="P68B1DB1-Normal12"/>
              <w:spacing w:after="0" w:line="240" w:lineRule="auto"/>
              <w:jc w:val="right"/>
              <w:rPr>
                <w:rFonts w:cs="Times New Roman"/>
                <w:noProof/>
              </w:rPr>
            </w:pPr>
            <w:r>
              <w:rPr>
                <w:noProof/>
              </w:rPr>
              <w:t xml:space="preserve">1 788,6 </w:t>
            </w:r>
          </w:p>
        </w:tc>
        <w:tc>
          <w:tcPr>
            <w:tcW w:w="426" w:type="dxa"/>
            <w:shd w:val="clear" w:color="auto" w:fill="C6EFCE"/>
            <w:noWrap/>
          </w:tcPr>
          <w:p w14:paraId="4486E236"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05A1046B" w14:textId="77777777" w:rsidR="0065073E" w:rsidRDefault="000A0998">
            <w:pPr>
              <w:pStyle w:val="P68B1DB1-Normal12"/>
              <w:spacing w:after="0" w:line="240" w:lineRule="auto"/>
              <w:jc w:val="center"/>
              <w:rPr>
                <w:rFonts w:cs="Times New Roman"/>
                <w:noProof/>
              </w:rPr>
            </w:pPr>
            <w:r>
              <w:rPr>
                <w:noProof/>
              </w:rPr>
              <w:t>2023</w:t>
            </w:r>
          </w:p>
        </w:tc>
        <w:tc>
          <w:tcPr>
            <w:tcW w:w="6237" w:type="dxa"/>
            <w:shd w:val="clear" w:color="auto" w:fill="C6EFCE"/>
            <w:noWrap/>
          </w:tcPr>
          <w:p w14:paraId="0D332556" w14:textId="1CDFA346" w:rsidR="0065073E" w:rsidRDefault="000A0998">
            <w:pPr>
              <w:pStyle w:val="P68B1DB1-Normal12"/>
              <w:spacing w:after="0" w:line="240" w:lineRule="auto"/>
              <w:rPr>
                <w:rFonts w:cs="Times New Roman"/>
                <w:noProof/>
              </w:rPr>
            </w:pPr>
            <w:r>
              <w:rPr>
                <w:noProof/>
              </w:rPr>
              <w:t>Paikallisviranomaisille myönnetyn tuen julkaiseminen EUVL:ssä matkailun kestävyyttä määräpaikassa koskevien alueellisten suunnitelmien toteuttamiseksi, vähintään 1788600000 euroa (perustaso: Joulukuuta 2022) ja 35 prosenttia varoista käytetään toimenpiteisiin, joilla edistetään vihreää siirtymää, kestävyyttä ja energiatehokkuutta/sähköliikkuvuutta kohteissa. Valintaperusteilla on varmistettava, että ”ei merkittävää haittaa” -periaatteen mukaisia teknisiä ohjeita (2021/C58/01) noudatetaan poissulkemisluetteloa ja vaatimusta asiaa koskevan EU:n ja kansallisen ympäristölainsäädännön noudattamisesta. Valintaperusteilla varmistetaan, että toimenpiteelle myönnetystä lopullisesta kokonaisbudjetista vähintään 359000000 eurolla edistetään ilmastonmuutostavoitteita 100 prosentin ilmastokertoimella ja vähintään 519000000 eurolla 40 prosentin ilmastokertoimella elpymis- ja palautumistukivälineestä annetun asetuksen (EU) 2021/241 liitteen VI mukaisesti. Vaihtoehtoisesti valintakriteereillä varmistetaan, että vähintään 1788.6 miljoonalla eurolla edistetään ilmastonmuutostavoitteita, joiden keskimääräinen ilmastokerroin on vähintään 31,7 prosenttia Euroopan parlamentin ja neuvoston asetuksen (EU) 2021/241 liitteen VI mukaisesti. Tämä keskimääräinen rahoitusosuus voidaan saavuttaa asetuksen (EU) 2021/241 liitteessä VI esitettyjen toiminta-alojen perusteella.</w:t>
            </w:r>
          </w:p>
        </w:tc>
      </w:tr>
      <w:tr w:rsidR="0065073E" w14:paraId="12DD52FC" w14:textId="77777777">
        <w:trPr>
          <w:trHeight w:val="881"/>
        </w:trPr>
        <w:tc>
          <w:tcPr>
            <w:tcW w:w="709" w:type="dxa"/>
            <w:shd w:val="clear" w:color="auto" w:fill="C6EFCE"/>
            <w:noWrap/>
          </w:tcPr>
          <w:p w14:paraId="7AAF69D2" w14:textId="77777777" w:rsidR="0065073E" w:rsidRDefault="000A0998">
            <w:pPr>
              <w:pStyle w:val="P68B1DB1-Normal12"/>
              <w:spacing w:after="0" w:line="240" w:lineRule="auto"/>
              <w:jc w:val="center"/>
              <w:rPr>
                <w:rFonts w:cs="Times New Roman"/>
                <w:noProof/>
              </w:rPr>
            </w:pPr>
            <w:r>
              <w:rPr>
                <w:noProof/>
              </w:rPr>
              <w:t>220</w:t>
            </w:r>
          </w:p>
        </w:tc>
        <w:tc>
          <w:tcPr>
            <w:tcW w:w="851" w:type="dxa"/>
            <w:shd w:val="clear" w:color="auto" w:fill="C6EFCE"/>
            <w:noWrap/>
          </w:tcPr>
          <w:p w14:paraId="367BA7AF" w14:textId="77777777" w:rsidR="0065073E" w:rsidRDefault="000A0998">
            <w:pPr>
              <w:pStyle w:val="P68B1DB1-Normal12"/>
              <w:spacing w:after="0" w:line="240" w:lineRule="auto"/>
              <w:jc w:val="center"/>
              <w:rPr>
                <w:rFonts w:cs="Times New Roman"/>
                <w:noProof/>
              </w:rPr>
            </w:pPr>
            <w:r>
              <w:rPr>
                <w:noProof/>
              </w:rPr>
              <w:t>C14.I1</w:t>
            </w:r>
          </w:p>
        </w:tc>
        <w:tc>
          <w:tcPr>
            <w:tcW w:w="850" w:type="dxa"/>
            <w:shd w:val="clear" w:color="auto" w:fill="C6EFCE"/>
            <w:noWrap/>
          </w:tcPr>
          <w:p w14:paraId="40DCAAEF" w14:textId="77777777" w:rsidR="0065073E" w:rsidRDefault="000A0998">
            <w:pPr>
              <w:pStyle w:val="P68B1DB1-Normal12"/>
              <w:spacing w:after="0" w:line="240" w:lineRule="auto"/>
              <w:jc w:val="center"/>
              <w:rPr>
                <w:rFonts w:cs="Times New Roman"/>
                <w:noProof/>
              </w:rPr>
            </w:pPr>
            <w:r>
              <w:rPr>
                <w:noProof/>
              </w:rPr>
              <w:t>M</w:t>
            </w:r>
          </w:p>
        </w:tc>
        <w:tc>
          <w:tcPr>
            <w:tcW w:w="1418" w:type="dxa"/>
            <w:shd w:val="clear" w:color="auto" w:fill="C6EFCE"/>
            <w:noWrap/>
          </w:tcPr>
          <w:p w14:paraId="6C965BCD" w14:textId="77777777" w:rsidR="0065073E" w:rsidRDefault="000A0998">
            <w:pPr>
              <w:pStyle w:val="P68B1DB1-Normal12"/>
              <w:spacing w:after="0" w:line="240" w:lineRule="auto"/>
              <w:rPr>
                <w:rFonts w:cs="Times New Roman"/>
                <w:noProof/>
              </w:rPr>
            </w:pPr>
            <w:r>
              <w:rPr>
                <w:noProof/>
              </w:rPr>
              <w:t>Matkailun kestävyyttä matkakohteessa edistävien suunnitelmien loppuun saattaminen</w:t>
            </w:r>
          </w:p>
        </w:tc>
        <w:tc>
          <w:tcPr>
            <w:tcW w:w="1276" w:type="dxa"/>
            <w:shd w:val="clear" w:color="auto" w:fill="C6EFCE"/>
            <w:noWrap/>
          </w:tcPr>
          <w:p w14:paraId="5F4CC487" w14:textId="77777777" w:rsidR="0065073E" w:rsidRDefault="000A0998">
            <w:pPr>
              <w:pStyle w:val="P68B1DB1-Normal12"/>
              <w:spacing w:after="0" w:line="240" w:lineRule="auto"/>
              <w:jc w:val="center"/>
              <w:rPr>
                <w:rFonts w:cs="Times New Roman"/>
                <w:noProof/>
              </w:rPr>
            </w:pPr>
            <w:r>
              <w:rPr>
                <w:noProof/>
              </w:rPr>
              <w:t>Seurantakomission kertomus edistymiskynnyksen validoinnista</w:t>
            </w:r>
          </w:p>
        </w:tc>
        <w:tc>
          <w:tcPr>
            <w:tcW w:w="850" w:type="dxa"/>
            <w:shd w:val="clear" w:color="auto" w:fill="C6EFCE"/>
            <w:noWrap/>
          </w:tcPr>
          <w:p w14:paraId="1F1C4F07" w14:textId="77777777"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1C108D2C" w14:textId="77777777" w:rsidR="0065073E" w:rsidRDefault="000A0998">
            <w:pPr>
              <w:pStyle w:val="P68B1DB1-Normal12"/>
              <w:spacing w:after="0" w:line="240" w:lineRule="auto"/>
              <w:jc w:val="right"/>
              <w:rPr>
                <w:rFonts w:cs="Times New Roman"/>
                <w:noProof/>
              </w:rPr>
            </w:pPr>
            <w:r>
              <w:rPr>
                <w:noProof/>
              </w:rPr>
              <w:t xml:space="preserve"> </w:t>
            </w:r>
          </w:p>
        </w:tc>
        <w:tc>
          <w:tcPr>
            <w:tcW w:w="567" w:type="dxa"/>
            <w:shd w:val="clear" w:color="auto" w:fill="C6EFCE"/>
            <w:noWrap/>
          </w:tcPr>
          <w:p w14:paraId="42048B5B" w14:textId="77777777" w:rsidR="0065073E" w:rsidRDefault="000A0998">
            <w:pPr>
              <w:pStyle w:val="P68B1DB1-Normal12"/>
              <w:spacing w:after="0" w:line="240" w:lineRule="auto"/>
              <w:jc w:val="right"/>
              <w:rPr>
                <w:rFonts w:cs="Times New Roman"/>
                <w:noProof/>
              </w:rPr>
            </w:pPr>
            <w:r>
              <w:rPr>
                <w:noProof/>
              </w:rPr>
              <w:t xml:space="preserve"> </w:t>
            </w:r>
          </w:p>
        </w:tc>
        <w:tc>
          <w:tcPr>
            <w:tcW w:w="426" w:type="dxa"/>
            <w:shd w:val="clear" w:color="auto" w:fill="C6EFCE"/>
            <w:noWrap/>
          </w:tcPr>
          <w:p w14:paraId="4362E8A4"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4483B977" w14:textId="77777777" w:rsidR="0065073E" w:rsidRDefault="000A0998">
            <w:pPr>
              <w:pStyle w:val="P68B1DB1-Normal12"/>
              <w:spacing w:after="0" w:line="240" w:lineRule="auto"/>
              <w:jc w:val="center"/>
              <w:rPr>
                <w:rFonts w:cs="Times New Roman"/>
                <w:noProof/>
              </w:rPr>
            </w:pPr>
            <w:r>
              <w:rPr>
                <w:noProof/>
              </w:rPr>
              <w:t>2024</w:t>
            </w:r>
          </w:p>
        </w:tc>
        <w:tc>
          <w:tcPr>
            <w:tcW w:w="6237" w:type="dxa"/>
            <w:shd w:val="clear" w:color="auto" w:fill="C6EFCE"/>
            <w:noWrap/>
          </w:tcPr>
          <w:p w14:paraId="0C6ED490" w14:textId="44A442C3" w:rsidR="0065073E" w:rsidRDefault="000A0998">
            <w:pPr>
              <w:spacing w:after="0" w:line="240" w:lineRule="auto"/>
              <w:rPr>
                <w:rFonts w:ascii="Times New Roman" w:hAnsi="Times New Roman" w:cs="Times New Roman"/>
                <w:noProof/>
                <w:sz w:val="18"/>
              </w:rPr>
            </w:pPr>
            <w:r>
              <w:rPr>
                <w:rFonts w:ascii="Times New Roman" w:hAnsi="Times New Roman"/>
                <w:noProof/>
                <w:sz w:val="18"/>
              </w:rPr>
              <w:t>Seurantakomissio varmistaa, että kaikki matkakohteet täyttävät vähintään seuraavan prosenttiosuuden kunkin matkailun kestävyyssuunnitelman toteutusasteesta:</w:t>
            </w:r>
            <w:r>
              <w:rPr>
                <w:noProof/>
              </w:rPr>
              <w:t xml:space="preserve"> </w:t>
            </w:r>
            <w:r>
              <w:rPr>
                <w:noProof/>
              </w:rPr>
              <w:br/>
            </w:r>
            <w:bookmarkStart w:id="50" w:name="_Hlk139826696"/>
            <w:r>
              <w:rPr>
                <w:rFonts w:ascii="Times New Roman" w:hAnsi="Times New Roman"/>
                <w:noProof/>
                <w:sz w:val="18"/>
              </w:rPr>
              <w:t>— Vuonna 2021 myönnettiin 50 prosenttia matkakohteista.</w:t>
            </w:r>
            <w:r>
              <w:rPr>
                <w:noProof/>
              </w:rPr>
              <w:t xml:space="preserve"> </w:t>
            </w:r>
            <w:r>
              <w:rPr>
                <w:noProof/>
              </w:rPr>
              <w:br/>
            </w:r>
            <w:r>
              <w:rPr>
                <w:rFonts w:ascii="Times New Roman" w:hAnsi="Times New Roman"/>
                <w:noProof/>
                <w:sz w:val="18"/>
              </w:rPr>
              <w:t xml:space="preserve">— Vuonna 2022 myönnettiin 30 prosenttia matkakohteista. </w:t>
            </w:r>
            <w:r>
              <w:rPr>
                <w:noProof/>
              </w:rPr>
              <w:t xml:space="preserve"> </w:t>
            </w:r>
            <w:r>
              <w:rPr>
                <w:noProof/>
              </w:rPr>
              <w:br/>
            </w:r>
            <w:r>
              <w:rPr>
                <w:rFonts w:ascii="Times New Roman" w:hAnsi="Times New Roman"/>
                <w:noProof/>
                <w:sz w:val="18"/>
              </w:rPr>
              <w:t xml:space="preserve">— Vuonna 2023 myönnettiin 15 prosenttia matkakohteista. </w:t>
            </w:r>
            <w:bookmarkEnd w:id="50"/>
          </w:p>
        </w:tc>
      </w:tr>
      <w:tr w:rsidR="0065073E" w14:paraId="0501667D" w14:textId="77777777">
        <w:trPr>
          <w:trHeight w:val="881"/>
        </w:trPr>
        <w:tc>
          <w:tcPr>
            <w:tcW w:w="709" w:type="dxa"/>
            <w:shd w:val="clear" w:color="auto" w:fill="C6EFCE"/>
            <w:noWrap/>
          </w:tcPr>
          <w:p w14:paraId="4FC549A4" w14:textId="77777777" w:rsidR="0065073E" w:rsidRDefault="000A0998">
            <w:pPr>
              <w:pStyle w:val="P68B1DB1-Normal12"/>
              <w:spacing w:after="0" w:line="240" w:lineRule="auto"/>
              <w:jc w:val="center"/>
              <w:rPr>
                <w:rFonts w:cs="Times New Roman"/>
                <w:noProof/>
              </w:rPr>
            </w:pPr>
            <w:r>
              <w:rPr>
                <w:noProof/>
              </w:rPr>
              <w:t>221</w:t>
            </w:r>
          </w:p>
        </w:tc>
        <w:tc>
          <w:tcPr>
            <w:tcW w:w="851" w:type="dxa"/>
            <w:shd w:val="clear" w:color="auto" w:fill="C6EFCE"/>
            <w:noWrap/>
          </w:tcPr>
          <w:p w14:paraId="5EA6E5FA" w14:textId="77777777" w:rsidR="0065073E" w:rsidRDefault="000A0998">
            <w:pPr>
              <w:pStyle w:val="P68B1DB1-Normal12"/>
              <w:spacing w:after="0" w:line="240" w:lineRule="auto"/>
              <w:jc w:val="center"/>
              <w:rPr>
                <w:rFonts w:cs="Times New Roman"/>
                <w:noProof/>
              </w:rPr>
            </w:pPr>
            <w:r>
              <w:rPr>
                <w:noProof/>
              </w:rPr>
              <w:t>C14.I1</w:t>
            </w:r>
          </w:p>
        </w:tc>
        <w:tc>
          <w:tcPr>
            <w:tcW w:w="850" w:type="dxa"/>
            <w:shd w:val="clear" w:color="auto" w:fill="C6EFCE"/>
            <w:noWrap/>
          </w:tcPr>
          <w:p w14:paraId="43D19A03" w14:textId="77777777" w:rsidR="0065073E" w:rsidRDefault="000A0998">
            <w:pPr>
              <w:pStyle w:val="P68B1DB1-Normal12"/>
              <w:spacing w:after="0" w:line="240" w:lineRule="auto"/>
              <w:jc w:val="center"/>
              <w:rPr>
                <w:rFonts w:cs="Times New Roman"/>
                <w:noProof/>
              </w:rPr>
            </w:pPr>
            <w:r>
              <w:rPr>
                <w:noProof/>
              </w:rPr>
              <w:t>M</w:t>
            </w:r>
          </w:p>
        </w:tc>
        <w:tc>
          <w:tcPr>
            <w:tcW w:w="1418" w:type="dxa"/>
            <w:shd w:val="clear" w:color="auto" w:fill="C6EFCE"/>
            <w:noWrap/>
          </w:tcPr>
          <w:p w14:paraId="5B0E3809" w14:textId="77777777" w:rsidR="0065073E" w:rsidRDefault="000A0998">
            <w:pPr>
              <w:pStyle w:val="P68B1DB1-Normal12"/>
              <w:spacing w:after="0" w:line="240" w:lineRule="auto"/>
              <w:rPr>
                <w:rFonts w:cs="Times New Roman"/>
                <w:noProof/>
              </w:rPr>
            </w:pPr>
            <w:r>
              <w:rPr>
                <w:noProof/>
              </w:rPr>
              <w:t xml:space="preserve">Matkailukohteiden kestävyyttä edistävien hankkeiden loppuun saattaminen </w:t>
            </w:r>
          </w:p>
        </w:tc>
        <w:tc>
          <w:tcPr>
            <w:tcW w:w="1276" w:type="dxa"/>
            <w:shd w:val="clear" w:color="auto" w:fill="C6EFCE"/>
            <w:noWrap/>
          </w:tcPr>
          <w:p w14:paraId="4B888E08" w14:textId="77777777" w:rsidR="0065073E" w:rsidRDefault="000A0998">
            <w:pPr>
              <w:pStyle w:val="P68B1DB1-Normal12"/>
              <w:spacing w:after="0" w:line="240" w:lineRule="auto"/>
              <w:jc w:val="center"/>
              <w:rPr>
                <w:rFonts w:cs="Times New Roman"/>
                <w:noProof/>
              </w:rPr>
            </w:pPr>
            <w:r>
              <w:rPr>
                <w:noProof/>
              </w:rPr>
              <w:t>Todistus valmistumisesta</w:t>
            </w:r>
          </w:p>
        </w:tc>
        <w:tc>
          <w:tcPr>
            <w:tcW w:w="850" w:type="dxa"/>
            <w:shd w:val="clear" w:color="auto" w:fill="C6EFCE"/>
            <w:noWrap/>
          </w:tcPr>
          <w:p w14:paraId="50BD9DCD" w14:textId="77777777"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155B9399" w14:textId="77777777" w:rsidR="0065073E" w:rsidRDefault="000A0998">
            <w:pPr>
              <w:pStyle w:val="P68B1DB1-Normal12"/>
              <w:spacing w:after="0" w:line="240" w:lineRule="auto"/>
              <w:jc w:val="right"/>
              <w:rPr>
                <w:rFonts w:cs="Times New Roman"/>
                <w:noProof/>
              </w:rPr>
            </w:pPr>
            <w:r>
              <w:rPr>
                <w:noProof/>
              </w:rPr>
              <w:t xml:space="preserve"> </w:t>
            </w:r>
          </w:p>
        </w:tc>
        <w:tc>
          <w:tcPr>
            <w:tcW w:w="567" w:type="dxa"/>
            <w:shd w:val="clear" w:color="auto" w:fill="C6EFCE"/>
            <w:noWrap/>
          </w:tcPr>
          <w:p w14:paraId="753A0B0D" w14:textId="77777777" w:rsidR="0065073E" w:rsidRDefault="000A0998">
            <w:pPr>
              <w:pStyle w:val="P68B1DB1-Normal12"/>
              <w:spacing w:after="0" w:line="240" w:lineRule="auto"/>
              <w:jc w:val="right"/>
              <w:rPr>
                <w:rFonts w:cs="Times New Roman"/>
                <w:noProof/>
              </w:rPr>
            </w:pPr>
            <w:r>
              <w:rPr>
                <w:noProof/>
              </w:rPr>
              <w:t xml:space="preserve"> </w:t>
            </w:r>
          </w:p>
        </w:tc>
        <w:tc>
          <w:tcPr>
            <w:tcW w:w="426" w:type="dxa"/>
            <w:shd w:val="clear" w:color="auto" w:fill="C6EFCE"/>
            <w:noWrap/>
          </w:tcPr>
          <w:p w14:paraId="4EC6F3F3"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41897F6E" w14:textId="77777777" w:rsidR="0065073E" w:rsidRDefault="000A0998">
            <w:pPr>
              <w:pStyle w:val="P68B1DB1-Normal12"/>
              <w:spacing w:after="0" w:line="240" w:lineRule="auto"/>
              <w:jc w:val="center"/>
              <w:rPr>
                <w:rFonts w:cs="Times New Roman"/>
                <w:noProof/>
              </w:rPr>
            </w:pPr>
            <w:r>
              <w:rPr>
                <w:noProof/>
              </w:rPr>
              <w:t>2026</w:t>
            </w:r>
          </w:p>
        </w:tc>
        <w:tc>
          <w:tcPr>
            <w:tcW w:w="6237" w:type="dxa"/>
            <w:shd w:val="clear" w:color="auto" w:fill="C6EFCE"/>
            <w:noWrap/>
          </w:tcPr>
          <w:p w14:paraId="52EA63BF" w14:textId="2DB8A0CF" w:rsidR="0065073E" w:rsidRDefault="000A0998">
            <w:pPr>
              <w:pStyle w:val="P68B1DB1-Normal12"/>
              <w:spacing w:after="0" w:line="240" w:lineRule="auto"/>
              <w:rPr>
                <w:rFonts w:cs="Times New Roman"/>
                <w:noProof/>
              </w:rPr>
            </w:pPr>
            <w:r>
              <w:rPr>
                <w:noProof/>
              </w:rPr>
              <w:t>Saatetaan päätökseen kaikki hankkeet, jotka sisältyvät matkailun kestävyyttä määräpaikassa koskeviin alueellisiin suunnitelmiin ja jotka on myönnetty tavoitteiden 217, 218 ja 219 mukaisesti siten, että 35 prosenttia varoista käytetään toimenpiteisiin, joilla puututaan vihreään siirtymään, kestävyyteen ja energiatehokkuuteen/sähköiseen liikkuvuuteen määräpaikoissa, noudattaen ”ei merkittävää haittaa” -periaatteen mukaisia teknisiä ohjeita (2021/C58/01) käyttämällä poissulkemisluetteloa ja edellyttämällä asiaa koskevan EU:n ja kansallisen ympäristölainsäädännön noudattamista.</w:t>
            </w:r>
          </w:p>
        </w:tc>
      </w:tr>
      <w:tr w:rsidR="0065073E" w14:paraId="7C571586" w14:textId="77777777">
        <w:trPr>
          <w:trHeight w:val="881"/>
        </w:trPr>
        <w:tc>
          <w:tcPr>
            <w:tcW w:w="709" w:type="dxa"/>
            <w:shd w:val="clear" w:color="auto" w:fill="C6EFCE"/>
            <w:noWrap/>
          </w:tcPr>
          <w:p w14:paraId="21C5838F" w14:textId="77777777" w:rsidR="0065073E" w:rsidRDefault="000A0998">
            <w:pPr>
              <w:pStyle w:val="P68B1DB1-Normal12"/>
              <w:spacing w:after="0" w:line="240" w:lineRule="auto"/>
              <w:jc w:val="center"/>
              <w:rPr>
                <w:rFonts w:cs="Times New Roman"/>
                <w:noProof/>
              </w:rPr>
            </w:pPr>
            <w:r>
              <w:rPr>
                <w:noProof/>
              </w:rPr>
              <w:t>222</w:t>
            </w:r>
          </w:p>
        </w:tc>
        <w:tc>
          <w:tcPr>
            <w:tcW w:w="851" w:type="dxa"/>
            <w:shd w:val="clear" w:color="auto" w:fill="C6EFCE"/>
            <w:noWrap/>
          </w:tcPr>
          <w:p w14:paraId="3154B6A1" w14:textId="77777777" w:rsidR="0065073E" w:rsidRDefault="000A0998">
            <w:pPr>
              <w:pStyle w:val="P68B1DB1-Normal12"/>
              <w:spacing w:after="0" w:line="240" w:lineRule="auto"/>
              <w:jc w:val="center"/>
              <w:rPr>
                <w:rFonts w:cs="Times New Roman"/>
                <w:noProof/>
              </w:rPr>
            </w:pPr>
            <w:r>
              <w:rPr>
                <w:noProof/>
              </w:rPr>
              <w:t>C14.I2</w:t>
            </w:r>
          </w:p>
        </w:tc>
        <w:tc>
          <w:tcPr>
            <w:tcW w:w="850" w:type="dxa"/>
            <w:shd w:val="clear" w:color="auto" w:fill="C6EFCE"/>
            <w:noWrap/>
          </w:tcPr>
          <w:p w14:paraId="19EF0260" w14:textId="77777777" w:rsidR="0065073E" w:rsidRDefault="000A0998">
            <w:pPr>
              <w:pStyle w:val="P68B1DB1-Normal12"/>
              <w:spacing w:after="0" w:line="240" w:lineRule="auto"/>
              <w:jc w:val="center"/>
              <w:rPr>
                <w:rFonts w:cs="Times New Roman"/>
                <w:noProof/>
              </w:rPr>
            </w:pPr>
            <w:r>
              <w:rPr>
                <w:noProof/>
              </w:rPr>
              <w:t>M</w:t>
            </w:r>
          </w:p>
        </w:tc>
        <w:tc>
          <w:tcPr>
            <w:tcW w:w="1418" w:type="dxa"/>
            <w:shd w:val="clear" w:color="auto" w:fill="C6EFCE"/>
            <w:noWrap/>
          </w:tcPr>
          <w:p w14:paraId="013AE616" w14:textId="77777777" w:rsidR="0065073E" w:rsidRDefault="000A0998">
            <w:pPr>
              <w:pStyle w:val="P68B1DB1-Normal12"/>
              <w:spacing w:after="0" w:line="240" w:lineRule="auto"/>
              <w:rPr>
                <w:rFonts w:cs="Times New Roman"/>
                <w:noProof/>
              </w:rPr>
            </w:pPr>
            <w:r>
              <w:rPr>
                <w:noProof/>
              </w:rPr>
              <w:t>Matkailualan älykkäitä matkakohteita käsittelevän foorumin käynnistäminen.</w:t>
            </w:r>
          </w:p>
        </w:tc>
        <w:tc>
          <w:tcPr>
            <w:tcW w:w="1276" w:type="dxa"/>
            <w:shd w:val="clear" w:color="auto" w:fill="C6EFCE"/>
            <w:noWrap/>
          </w:tcPr>
          <w:p w14:paraId="4B9978DD" w14:textId="77777777" w:rsidR="0065073E" w:rsidRDefault="000A0998">
            <w:pPr>
              <w:pStyle w:val="P68B1DB1-Normal12"/>
              <w:spacing w:after="0" w:line="240" w:lineRule="auto"/>
              <w:jc w:val="center"/>
              <w:rPr>
                <w:rFonts w:cs="Times New Roman"/>
                <w:noProof/>
              </w:rPr>
            </w:pPr>
            <w:r>
              <w:rPr>
                <w:noProof/>
              </w:rPr>
              <w:t>Linkki foorumiin</w:t>
            </w:r>
          </w:p>
        </w:tc>
        <w:tc>
          <w:tcPr>
            <w:tcW w:w="850" w:type="dxa"/>
            <w:shd w:val="clear" w:color="auto" w:fill="C6EFCE"/>
            <w:noWrap/>
          </w:tcPr>
          <w:p w14:paraId="59BE89D5" w14:textId="77777777" w:rsidR="0065073E" w:rsidRDefault="000A0998">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7DBA839F" w14:textId="77777777" w:rsidR="0065073E" w:rsidRDefault="000A0998">
            <w:pPr>
              <w:pStyle w:val="P68B1DB1-Normal12"/>
              <w:spacing w:after="0" w:line="240" w:lineRule="auto"/>
              <w:jc w:val="right"/>
              <w:rPr>
                <w:rFonts w:cs="Times New Roman"/>
                <w:noProof/>
              </w:rPr>
            </w:pPr>
            <w:r>
              <w:rPr>
                <w:noProof/>
              </w:rPr>
              <w:t xml:space="preserve"> </w:t>
            </w:r>
          </w:p>
        </w:tc>
        <w:tc>
          <w:tcPr>
            <w:tcW w:w="567" w:type="dxa"/>
            <w:shd w:val="clear" w:color="auto" w:fill="C6EFCE"/>
            <w:noWrap/>
          </w:tcPr>
          <w:p w14:paraId="77586365" w14:textId="77777777" w:rsidR="0065073E" w:rsidRDefault="000A0998">
            <w:pPr>
              <w:pStyle w:val="P68B1DB1-Normal12"/>
              <w:spacing w:after="0" w:line="240" w:lineRule="auto"/>
              <w:jc w:val="right"/>
              <w:rPr>
                <w:rFonts w:cs="Times New Roman"/>
                <w:noProof/>
              </w:rPr>
            </w:pPr>
            <w:r>
              <w:rPr>
                <w:noProof/>
              </w:rPr>
              <w:t xml:space="preserve"> </w:t>
            </w:r>
          </w:p>
        </w:tc>
        <w:tc>
          <w:tcPr>
            <w:tcW w:w="426" w:type="dxa"/>
            <w:shd w:val="clear" w:color="auto" w:fill="C6EFCE"/>
            <w:noWrap/>
          </w:tcPr>
          <w:p w14:paraId="14EA049E"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70BFDCAA" w14:textId="77777777" w:rsidR="0065073E" w:rsidRDefault="000A0998">
            <w:pPr>
              <w:pStyle w:val="P68B1DB1-Normal12"/>
              <w:spacing w:after="0" w:line="240" w:lineRule="auto"/>
              <w:jc w:val="center"/>
              <w:rPr>
                <w:rFonts w:cs="Times New Roman"/>
                <w:noProof/>
              </w:rPr>
            </w:pPr>
            <w:r>
              <w:rPr>
                <w:noProof/>
              </w:rPr>
              <w:t>2025</w:t>
            </w:r>
          </w:p>
        </w:tc>
        <w:tc>
          <w:tcPr>
            <w:tcW w:w="6237" w:type="dxa"/>
            <w:shd w:val="clear" w:color="auto" w:fill="C6EFCE"/>
            <w:noWrap/>
          </w:tcPr>
          <w:p w14:paraId="0B81599A" w14:textId="77777777" w:rsidR="0065073E" w:rsidRDefault="000A0998">
            <w:pPr>
              <w:pStyle w:val="P68B1DB1-Normal12"/>
              <w:spacing w:after="0" w:line="240" w:lineRule="auto"/>
              <w:rPr>
                <w:rFonts w:cs="Times New Roman"/>
                <w:noProof/>
              </w:rPr>
            </w:pPr>
            <w:r>
              <w:rPr>
                <w:noProof/>
              </w:rPr>
              <w:t>Täysin toimivan älykkäitä matkakohteita käsittelevän foorumin täytäntöönpano ja käynnistäminen. Alustan on asetettava yhteentoimivat julkiset ja yksityiset palvelut matkailijoiden saataville.</w:t>
            </w:r>
          </w:p>
        </w:tc>
      </w:tr>
      <w:tr w:rsidR="0065073E" w14:paraId="4C4443DE" w14:textId="77777777">
        <w:trPr>
          <w:trHeight w:val="171"/>
        </w:trPr>
        <w:tc>
          <w:tcPr>
            <w:tcW w:w="709" w:type="dxa"/>
            <w:shd w:val="clear" w:color="auto" w:fill="C6EFCE"/>
            <w:noWrap/>
          </w:tcPr>
          <w:p w14:paraId="33E1B8CE" w14:textId="77777777" w:rsidR="0065073E" w:rsidRDefault="000A0998">
            <w:pPr>
              <w:pStyle w:val="P68B1DB1-Normal12"/>
              <w:spacing w:after="0" w:line="240" w:lineRule="auto"/>
              <w:jc w:val="center"/>
              <w:rPr>
                <w:rFonts w:cs="Times New Roman"/>
                <w:noProof/>
              </w:rPr>
            </w:pPr>
            <w:r>
              <w:rPr>
                <w:noProof/>
              </w:rPr>
              <w:t>223</w:t>
            </w:r>
          </w:p>
        </w:tc>
        <w:tc>
          <w:tcPr>
            <w:tcW w:w="851" w:type="dxa"/>
            <w:shd w:val="clear" w:color="auto" w:fill="C6EFCE"/>
            <w:noWrap/>
          </w:tcPr>
          <w:p w14:paraId="757B8BE0" w14:textId="77777777" w:rsidR="0065073E" w:rsidRDefault="000A0998">
            <w:pPr>
              <w:pStyle w:val="P68B1DB1-Normal12"/>
              <w:spacing w:after="0" w:line="240" w:lineRule="auto"/>
              <w:jc w:val="center"/>
              <w:rPr>
                <w:rFonts w:cs="Times New Roman"/>
                <w:noProof/>
              </w:rPr>
            </w:pPr>
            <w:r>
              <w:rPr>
                <w:noProof/>
              </w:rPr>
              <w:t>C14.I2</w:t>
            </w:r>
          </w:p>
        </w:tc>
        <w:tc>
          <w:tcPr>
            <w:tcW w:w="850" w:type="dxa"/>
            <w:shd w:val="clear" w:color="auto" w:fill="C6EFCE"/>
            <w:noWrap/>
          </w:tcPr>
          <w:p w14:paraId="1FB216CC"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0E2164DB" w14:textId="77777777" w:rsidR="0065073E" w:rsidRDefault="000A0998">
            <w:pPr>
              <w:pStyle w:val="P68B1DB1-Normal12"/>
              <w:spacing w:after="0" w:line="240" w:lineRule="auto"/>
              <w:rPr>
                <w:rFonts w:cs="Times New Roman"/>
                <w:noProof/>
              </w:rPr>
            </w:pPr>
            <w:r>
              <w:rPr>
                <w:noProof/>
              </w:rPr>
              <w:t>Tekoälyyn ja muihin mahdollistaviin teknologioihin liittyvien innovatiivisten teknologiapohjaisten hankkeiden tuensaajat</w:t>
            </w:r>
          </w:p>
        </w:tc>
        <w:tc>
          <w:tcPr>
            <w:tcW w:w="1276" w:type="dxa"/>
            <w:shd w:val="clear" w:color="auto" w:fill="C6EFCE"/>
            <w:noWrap/>
          </w:tcPr>
          <w:p w14:paraId="3226E9BF"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19E2031B"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0E9DD790"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58635DFE" w14:textId="77777777" w:rsidR="0065073E" w:rsidRDefault="000A0998">
            <w:pPr>
              <w:pStyle w:val="P68B1DB1-Normal12"/>
              <w:spacing w:after="0" w:line="240" w:lineRule="auto"/>
              <w:jc w:val="right"/>
              <w:rPr>
                <w:rFonts w:cs="Times New Roman"/>
                <w:noProof/>
              </w:rPr>
            </w:pPr>
            <w:r>
              <w:rPr>
                <w:noProof/>
              </w:rPr>
              <w:t>1 000</w:t>
            </w:r>
          </w:p>
        </w:tc>
        <w:tc>
          <w:tcPr>
            <w:tcW w:w="426" w:type="dxa"/>
            <w:shd w:val="clear" w:color="auto" w:fill="C6EFCE"/>
            <w:noWrap/>
          </w:tcPr>
          <w:p w14:paraId="7719B954"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30E7C679" w14:textId="77777777" w:rsidR="0065073E" w:rsidRDefault="000A0998">
            <w:pPr>
              <w:pStyle w:val="P68B1DB1-Normal12"/>
              <w:spacing w:after="0" w:line="240" w:lineRule="auto"/>
              <w:jc w:val="center"/>
              <w:rPr>
                <w:rFonts w:cs="Times New Roman"/>
                <w:noProof/>
              </w:rPr>
            </w:pPr>
            <w:r>
              <w:rPr>
                <w:noProof/>
              </w:rPr>
              <w:t>2025</w:t>
            </w:r>
          </w:p>
        </w:tc>
        <w:tc>
          <w:tcPr>
            <w:tcW w:w="6237" w:type="dxa"/>
            <w:shd w:val="clear" w:color="auto" w:fill="C6EFCE"/>
            <w:noWrap/>
          </w:tcPr>
          <w:p w14:paraId="46B5ECA5" w14:textId="77777777" w:rsidR="0065073E" w:rsidRDefault="000A0998">
            <w:pPr>
              <w:pStyle w:val="P68B1DB1-Normal12"/>
              <w:spacing w:after="0" w:line="240" w:lineRule="auto"/>
              <w:rPr>
                <w:rFonts w:cs="Times New Roman"/>
                <w:noProof/>
              </w:rPr>
            </w:pPr>
            <w:r>
              <w:rPr>
                <w:noProof/>
              </w:rPr>
              <w:t xml:space="preserve">Vähintään 1000 edunsaajaa (yritystä tai klustereita), jotka ovat saattaneet päätökseen matkailualan innovatiivisia teknologiapohjaisia hankkeita, jotka liittyvät tekoälyyn ja muihin mahdollistaviin teknologioihin, kuten esineiden internetiin, 5G:hen, massadataan, kyberturvallisuuteen ja mobiilisovelluksiin. </w:t>
            </w:r>
          </w:p>
        </w:tc>
      </w:tr>
      <w:tr w:rsidR="0065073E" w14:paraId="0767E8E7" w14:textId="77777777">
        <w:trPr>
          <w:trHeight w:val="881"/>
        </w:trPr>
        <w:tc>
          <w:tcPr>
            <w:tcW w:w="709" w:type="dxa"/>
            <w:shd w:val="clear" w:color="auto" w:fill="C6EFCE"/>
            <w:noWrap/>
          </w:tcPr>
          <w:p w14:paraId="71EC71E3" w14:textId="77777777" w:rsidR="0065073E" w:rsidRDefault="000A0998">
            <w:pPr>
              <w:pStyle w:val="P68B1DB1-Normal12"/>
              <w:spacing w:after="0" w:line="240" w:lineRule="auto"/>
              <w:jc w:val="center"/>
              <w:rPr>
                <w:rFonts w:cs="Times New Roman"/>
                <w:noProof/>
              </w:rPr>
            </w:pPr>
            <w:r>
              <w:rPr>
                <w:noProof/>
              </w:rPr>
              <w:t>224</w:t>
            </w:r>
          </w:p>
        </w:tc>
        <w:tc>
          <w:tcPr>
            <w:tcW w:w="851" w:type="dxa"/>
            <w:shd w:val="clear" w:color="auto" w:fill="C6EFCE"/>
            <w:noWrap/>
          </w:tcPr>
          <w:p w14:paraId="16DA144B" w14:textId="77777777" w:rsidR="0065073E" w:rsidRDefault="000A0998">
            <w:pPr>
              <w:pStyle w:val="P68B1DB1-Normal12"/>
              <w:spacing w:after="0" w:line="240" w:lineRule="auto"/>
              <w:jc w:val="center"/>
              <w:rPr>
                <w:rFonts w:cs="Times New Roman"/>
                <w:noProof/>
              </w:rPr>
            </w:pPr>
            <w:r>
              <w:rPr>
                <w:noProof/>
              </w:rPr>
              <w:t>C14.I3</w:t>
            </w:r>
          </w:p>
        </w:tc>
        <w:tc>
          <w:tcPr>
            <w:tcW w:w="850" w:type="dxa"/>
            <w:shd w:val="clear" w:color="auto" w:fill="C6EFCE"/>
            <w:noWrap/>
          </w:tcPr>
          <w:p w14:paraId="47493A6B"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5F52E50C" w14:textId="77777777" w:rsidR="0065073E" w:rsidRDefault="000A0998">
            <w:pPr>
              <w:pStyle w:val="P68B1DB1-Normal12"/>
              <w:spacing w:after="0" w:line="240" w:lineRule="auto"/>
              <w:rPr>
                <w:rFonts w:cs="Times New Roman"/>
                <w:noProof/>
              </w:rPr>
            </w:pPr>
            <w:r>
              <w:rPr>
                <w:noProof/>
              </w:rPr>
              <w:t>Edunsaajat saarialueiden ulkopuolisilla alueilla, jotka ovat saaneet päätökseen hankkeet, joilla parannetaan niiden kilpailukykyä ja kykyä sopeutua kansainvälisten markkinoiden muutoksiin</w:t>
            </w:r>
          </w:p>
        </w:tc>
        <w:tc>
          <w:tcPr>
            <w:tcW w:w="1276" w:type="dxa"/>
            <w:shd w:val="clear" w:color="auto" w:fill="C6EFCE"/>
            <w:noWrap/>
          </w:tcPr>
          <w:p w14:paraId="0A29F6D2"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06EE9AA1"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0AAEB8C8"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6BF37D29" w14:textId="77777777" w:rsidR="0065073E" w:rsidRDefault="000A0998">
            <w:pPr>
              <w:pStyle w:val="P68B1DB1-Normal12"/>
              <w:spacing w:after="0" w:line="240" w:lineRule="auto"/>
              <w:jc w:val="right"/>
              <w:rPr>
                <w:rFonts w:cs="Times New Roman"/>
                <w:noProof/>
              </w:rPr>
            </w:pPr>
            <w:r>
              <w:rPr>
                <w:noProof/>
              </w:rPr>
              <w:t>400</w:t>
            </w:r>
          </w:p>
        </w:tc>
        <w:tc>
          <w:tcPr>
            <w:tcW w:w="426" w:type="dxa"/>
            <w:shd w:val="clear" w:color="auto" w:fill="C6EFCE"/>
            <w:noWrap/>
          </w:tcPr>
          <w:p w14:paraId="77158A0C"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105DEDD1" w14:textId="77777777" w:rsidR="0065073E" w:rsidRDefault="000A0998">
            <w:pPr>
              <w:pStyle w:val="P68B1DB1-Normal12"/>
              <w:spacing w:after="0" w:line="240" w:lineRule="auto"/>
              <w:jc w:val="center"/>
              <w:rPr>
                <w:rFonts w:cs="Times New Roman"/>
                <w:noProof/>
              </w:rPr>
            </w:pPr>
            <w:r>
              <w:rPr>
                <w:noProof/>
              </w:rPr>
              <w:t>2025</w:t>
            </w:r>
          </w:p>
        </w:tc>
        <w:tc>
          <w:tcPr>
            <w:tcW w:w="6237" w:type="dxa"/>
            <w:shd w:val="clear" w:color="auto" w:fill="C6EFCE"/>
            <w:noWrap/>
          </w:tcPr>
          <w:p w14:paraId="7E791D59" w14:textId="77777777" w:rsidR="0065073E" w:rsidRDefault="000A0998">
            <w:pPr>
              <w:pStyle w:val="P68B1DB1-Normal12"/>
              <w:spacing w:after="0" w:line="240" w:lineRule="auto"/>
              <w:rPr>
                <w:rFonts w:cs="Times New Roman"/>
                <w:noProof/>
              </w:rPr>
            </w:pPr>
            <w:r>
              <w:rPr>
                <w:noProof/>
              </w:rPr>
              <w:t>Vähintään 400 edunsaajaa saarialueiden ulkopuolisilla alueilla (Baleaarit, Kanariansaaret, Ceuta ja Melilla), jotka ovat saaneet päätökseen hankkeet parantaakseen kilpailukykyään ja kykyään sopeutua kansainvälisten markkinoiden muutoksiin.</w:t>
            </w:r>
          </w:p>
        </w:tc>
      </w:tr>
      <w:tr w:rsidR="0065073E" w14:paraId="7F8EA3C9" w14:textId="77777777">
        <w:trPr>
          <w:trHeight w:val="881"/>
        </w:trPr>
        <w:tc>
          <w:tcPr>
            <w:tcW w:w="709" w:type="dxa"/>
            <w:shd w:val="clear" w:color="auto" w:fill="C6EFCE"/>
            <w:noWrap/>
          </w:tcPr>
          <w:p w14:paraId="385EAC47" w14:textId="77777777" w:rsidR="0065073E" w:rsidRDefault="000A0998">
            <w:pPr>
              <w:pStyle w:val="P68B1DB1-Normal12"/>
              <w:spacing w:after="0" w:line="240" w:lineRule="auto"/>
              <w:jc w:val="center"/>
              <w:rPr>
                <w:rFonts w:cs="Times New Roman"/>
                <w:noProof/>
              </w:rPr>
            </w:pPr>
            <w:r>
              <w:rPr>
                <w:noProof/>
              </w:rPr>
              <w:t>225</w:t>
            </w:r>
          </w:p>
        </w:tc>
        <w:tc>
          <w:tcPr>
            <w:tcW w:w="851" w:type="dxa"/>
            <w:shd w:val="clear" w:color="auto" w:fill="C6EFCE"/>
            <w:noWrap/>
          </w:tcPr>
          <w:p w14:paraId="2303E8C6" w14:textId="77777777" w:rsidR="0065073E" w:rsidRDefault="000A0998">
            <w:pPr>
              <w:pStyle w:val="P68B1DB1-Normal12"/>
              <w:spacing w:after="0" w:line="240" w:lineRule="auto"/>
              <w:jc w:val="center"/>
              <w:rPr>
                <w:rFonts w:cs="Times New Roman"/>
                <w:noProof/>
              </w:rPr>
            </w:pPr>
            <w:r>
              <w:rPr>
                <w:noProof/>
              </w:rPr>
              <w:t>C14.I4</w:t>
            </w:r>
          </w:p>
        </w:tc>
        <w:tc>
          <w:tcPr>
            <w:tcW w:w="850" w:type="dxa"/>
            <w:shd w:val="clear" w:color="auto" w:fill="C6EFCE"/>
            <w:noWrap/>
          </w:tcPr>
          <w:p w14:paraId="6805CA9F"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413B15AC" w14:textId="77777777" w:rsidR="0065073E" w:rsidRDefault="000A0998">
            <w:pPr>
              <w:pStyle w:val="P68B1DB1-Normal12"/>
              <w:spacing w:after="0" w:line="240" w:lineRule="auto"/>
              <w:rPr>
                <w:rFonts w:cs="Times New Roman"/>
                <w:noProof/>
              </w:rPr>
            </w:pPr>
            <w:r>
              <w:rPr>
                <w:noProof/>
              </w:rPr>
              <w:t>Hankkeet, jotka on suunnattu kaupallisille alueille alueilla, joilla on suuri turistinen maahantulo</w:t>
            </w:r>
          </w:p>
        </w:tc>
        <w:tc>
          <w:tcPr>
            <w:tcW w:w="1276" w:type="dxa"/>
            <w:shd w:val="clear" w:color="auto" w:fill="C6EFCE"/>
            <w:noWrap/>
          </w:tcPr>
          <w:p w14:paraId="12BB2E25"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31E5FFEF"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5F983A08"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6DF72650" w14:textId="77777777" w:rsidR="0065073E" w:rsidRDefault="000A0998">
            <w:pPr>
              <w:pStyle w:val="P68B1DB1-Normal12"/>
              <w:spacing w:after="0" w:line="240" w:lineRule="auto"/>
              <w:jc w:val="right"/>
              <w:rPr>
                <w:rFonts w:cs="Times New Roman"/>
                <w:noProof/>
              </w:rPr>
            </w:pPr>
            <w:r>
              <w:rPr>
                <w:noProof/>
              </w:rPr>
              <w:t>60</w:t>
            </w:r>
          </w:p>
        </w:tc>
        <w:tc>
          <w:tcPr>
            <w:tcW w:w="426" w:type="dxa"/>
            <w:shd w:val="clear" w:color="auto" w:fill="C6EFCE"/>
            <w:noWrap/>
          </w:tcPr>
          <w:p w14:paraId="3D85A9FF" w14:textId="77777777" w:rsidR="0065073E" w:rsidRDefault="000A0998">
            <w:pPr>
              <w:pStyle w:val="P68B1DB1-Normal12"/>
              <w:spacing w:after="0" w:line="240" w:lineRule="auto"/>
              <w:jc w:val="center"/>
              <w:rPr>
                <w:rFonts w:cs="Times New Roman"/>
                <w:noProof/>
              </w:rPr>
            </w:pPr>
            <w:r>
              <w:rPr>
                <w:noProof/>
              </w:rPr>
              <w:t>Q4</w:t>
            </w:r>
          </w:p>
        </w:tc>
        <w:tc>
          <w:tcPr>
            <w:tcW w:w="708" w:type="dxa"/>
            <w:shd w:val="clear" w:color="auto" w:fill="C6EFCE"/>
            <w:noWrap/>
          </w:tcPr>
          <w:p w14:paraId="4BD77ADF" w14:textId="77777777" w:rsidR="0065073E" w:rsidRDefault="000A0998">
            <w:pPr>
              <w:pStyle w:val="P68B1DB1-Normal12"/>
              <w:spacing w:after="0" w:line="240" w:lineRule="auto"/>
              <w:jc w:val="center"/>
              <w:rPr>
                <w:rFonts w:cs="Times New Roman"/>
                <w:noProof/>
              </w:rPr>
            </w:pPr>
            <w:r>
              <w:rPr>
                <w:noProof/>
              </w:rPr>
              <w:t>2024</w:t>
            </w:r>
          </w:p>
        </w:tc>
        <w:tc>
          <w:tcPr>
            <w:tcW w:w="6237" w:type="dxa"/>
            <w:shd w:val="clear" w:color="auto" w:fill="C6EFCE"/>
            <w:noWrap/>
          </w:tcPr>
          <w:p w14:paraId="249191AF" w14:textId="77777777" w:rsidR="0065073E" w:rsidRDefault="000A0998">
            <w:pPr>
              <w:pStyle w:val="P68B1DB1-Normal12"/>
              <w:spacing w:after="0" w:line="240" w:lineRule="auto"/>
              <w:rPr>
                <w:rFonts w:cs="Times New Roman"/>
                <w:noProof/>
              </w:rPr>
            </w:pPr>
            <w:r>
              <w:rPr>
                <w:noProof/>
              </w:rPr>
              <w:t>Vähintään 60 hanketta, jotka on suunnattu kaupallisille alueille, jotka sijaitsevat sellaisilla paikallisalueilla, joilla matkailijoiden määrä on suuri, saatettiin päätökseen ”ei merkittävää haittaa” -asiakirjan (2021/C58/01) teknisten ohjeiden (2021/C58/01) mukaisesti käyttämällä poissulkemisluetteloa ja vaatimusta asiaa koskevan EU:n ja kansallisen ympäristölainsäädännön noudattamisesta.</w:t>
            </w:r>
          </w:p>
        </w:tc>
      </w:tr>
      <w:tr w:rsidR="0065073E" w14:paraId="16C4192C" w14:textId="77777777">
        <w:trPr>
          <w:trHeight w:val="881"/>
        </w:trPr>
        <w:tc>
          <w:tcPr>
            <w:tcW w:w="709" w:type="dxa"/>
            <w:shd w:val="clear" w:color="auto" w:fill="C6EFCE"/>
            <w:noWrap/>
          </w:tcPr>
          <w:p w14:paraId="1E2E6596" w14:textId="77777777" w:rsidR="0065073E" w:rsidRDefault="000A0998">
            <w:pPr>
              <w:pStyle w:val="P68B1DB1-Normal12"/>
              <w:spacing w:after="0" w:line="240" w:lineRule="auto"/>
              <w:jc w:val="center"/>
              <w:rPr>
                <w:rFonts w:cs="Times New Roman"/>
                <w:noProof/>
              </w:rPr>
            </w:pPr>
            <w:r>
              <w:rPr>
                <w:noProof/>
              </w:rPr>
              <w:t>226</w:t>
            </w:r>
          </w:p>
        </w:tc>
        <w:tc>
          <w:tcPr>
            <w:tcW w:w="851" w:type="dxa"/>
            <w:shd w:val="clear" w:color="auto" w:fill="C6EFCE"/>
            <w:noWrap/>
          </w:tcPr>
          <w:p w14:paraId="74FBDFDD" w14:textId="77777777" w:rsidR="0065073E" w:rsidRDefault="000A0998">
            <w:pPr>
              <w:pStyle w:val="P68B1DB1-Normal12"/>
              <w:spacing w:after="0" w:line="240" w:lineRule="auto"/>
              <w:jc w:val="center"/>
              <w:rPr>
                <w:rFonts w:cs="Times New Roman"/>
                <w:noProof/>
              </w:rPr>
            </w:pPr>
            <w:r>
              <w:rPr>
                <w:noProof/>
              </w:rPr>
              <w:t>C14.I4</w:t>
            </w:r>
          </w:p>
        </w:tc>
        <w:tc>
          <w:tcPr>
            <w:tcW w:w="850" w:type="dxa"/>
            <w:shd w:val="clear" w:color="auto" w:fill="C6EFCE"/>
            <w:noWrap/>
          </w:tcPr>
          <w:p w14:paraId="7DC82036"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0188AC6F" w14:textId="77777777" w:rsidR="0065073E" w:rsidRDefault="000A0998">
            <w:pPr>
              <w:pStyle w:val="P68B1DB1-Normal12"/>
              <w:spacing w:after="0" w:line="240" w:lineRule="auto"/>
              <w:rPr>
                <w:rFonts w:cs="Times New Roman"/>
                <w:noProof/>
              </w:rPr>
            </w:pPr>
            <w:r>
              <w:rPr>
                <w:noProof/>
              </w:rPr>
              <w:t xml:space="preserve">Matkailustrategian mukaisesti toimitetut matkailutuotteet </w:t>
            </w:r>
          </w:p>
        </w:tc>
        <w:tc>
          <w:tcPr>
            <w:tcW w:w="1276" w:type="dxa"/>
            <w:shd w:val="clear" w:color="auto" w:fill="C6EFCE"/>
            <w:noWrap/>
          </w:tcPr>
          <w:p w14:paraId="734BD8B1"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3FC4EB3F"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0081B951"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0BAEFB59" w14:textId="77777777" w:rsidR="0065073E" w:rsidRDefault="000A0998">
            <w:pPr>
              <w:pStyle w:val="P68B1DB1-Normal12"/>
              <w:spacing w:after="0" w:line="240" w:lineRule="auto"/>
              <w:jc w:val="right"/>
              <w:rPr>
                <w:rFonts w:cs="Times New Roman"/>
                <w:noProof/>
              </w:rPr>
            </w:pPr>
            <w:r>
              <w:rPr>
                <w:noProof/>
              </w:rPr>
              <w:t>45</w:t>
            </w:r>
          </w:p>
        </w:tc>
        <w:tc>
          <w:tcPr>
            <w:tcW w:w="426" w:type="dxa"/>
            <w:shd w:val="clear" w:color="auto" w:fill="C6EFCE"/>
            <w:noWrap/>
          </w:tcPr>
          <w:p w14:paraId="52ED2B2C"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6F9E11E8" w14:textId="77777777" w:rsidR="0065073E" w:rsidRDefault="000A0998">
            <w:pPr>
              <w:pStyle w:val="P68B1DB1-Normal12"/>
              <w:spacing w:after="0" w:line="240" w:lineRule="auto"/>
              <w:jc w:val="center"/>
              <w:rPr>
                <w:rFonts w:cs="Times New Roman"/>
                <w:noProof/>
              </w:rPr>
            </w:pPr>
            <w:r>
              <w:rPr>
                <w:noProof/>
              </w:rPr>
              <w:t>2025</w:t>
            </w:r>
          </w:p>
        </w:tc>
        <w:tc>
          <w:tcPr>
            <w:tcW w:w="6237" w:type="dxa"/>
            <w:shd w:val="clear" w:color="auto" w:fill="C6EFCE"/>
            <w:noWrap/>
          </w:tcPr>
          <w:p w14:paraId="1E21EE6A" w14:textId="77777777" w:rsidR="0065073E" w:rsidRDefault="000A0998">
            <w:pPr>
              <w:pStyle w:val="P68B1DB1-Normal12"/>
              <w:spacing w:after="0" w:line="240" w:lineRule="auto"/>
              <w:rPr>
                <w:rFonts w:cs="Times New Roman"/>
                <w:noProof/>
              </w:rPr>
            </w:pPr>
            <w:r>
              <w:rPr>
                <w:noProof/>
              </w:rPr>
              <w:t xml:space="preserve">Vähintään 45 uutta matkailutuotetta, jotka toimitetaan kestävän matkailun tuotekehitysstrategian mukaisesti ”ei merkittävää haittaa” -periaatteen (2021/C58/01) teknisten ohjeiden (2021/C58/01) mukaisesti käyttämällä poissulkemisluetteloa ja vaatimusta asiaa koskevan EU:n ja kansallisen ympäristölainsäädännön noudattamisesta. </w:t>
            </w:r>
          </w:p>
        </w:tc>
      </w:tr>
      <w:tr w:rsidR="0065073E" w14:paraId="1C686068" w14:textId="77777777">
        <w:trPr>
          <w:trHeight w:val="881"/>
        </w:trPr>
        <w:tc>
          <w:tcPr>
            <w:tcW w:w="709" w:type="dxa"/>
            <w:shd w:val="clear" w:color="auto" w:fill="C6EFCE"/>
            <w:noWrap/>
          </w:tcPr>
          <w:p w14:paraId="7C067D74" w14:textId="77777777" w:rsidR="0065073E" w:rsidRDefault="000A0998">
            <w:pPr>
              <w:pStyle w:val="P68B1DB1-Normal12"/>
              <w:spacing w:after="0" w:line="240" w:lineRule="auto"/>
              <w:jc w:val="center"/>
              <w:rPr>
                <w:rFonts w:cs="Times New Roman"/>
                <w:noProof/>
              </w:rPr>
            </w:pPr>
            <w:r>
              <w:rPr>
                <w:noProof/>
              </w:rPr>
              <w:t>227</w:t>
            </w:r>
          </w:p>
        </w:tc>
        <w:tc>
          <w:tcPr>
            <w:tcW w:w="851" w:type="dxa"/>
            <w:shd w:val="clear" w:color="auto" w:fill="C6EFCE"/>
            <w:noWrap/>
          </w:tcPr>
          <w:p w14:paraId="2007CE7E" w14:textId="77777777" w:rsidR="0065073E" w:rsidRDefault="000A0998">
            <w:pPr>
              <w:pStyle w:val="P68B1DB1-Normal12"/>
              <w:spacing w:after="0" w:line="240" w:lineRule="auto"/>
              <w:jc w:val="center"/>
              <w:rPr>
                <w:rFonts w:cs="Times New Roman"/>
                <w:noProof/>
              </w:rPr>
            </w:pPr>
            <w:r>
              <w:rPr>
                <w:noProof/>
              </w:rPr>
              <w:t>C14.I4</w:t>
            </w:r>
          </w:p>
        </w:tc>
        <w:tc>
          <w:tcPr>
            <w:tcW w:w="850" w:type="dxa"/>
            <w:shd w:val="clear" w:color="auto" w:fill="C6EFCE"/>
            <w:noWrap/>
          </w:tcPr>
          <w:p w14:paraId="66897B48"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434B6C3F" w14:textId="77777777" w:rsidR="0065073E" w:rsidRDefault="000A0998">
            <w:pPr>
              <w:pStyle w:val="P68B1DB1-Normal12"/>
              <w:spacing w:after="0" w:line="240" w:lineRule="auto"/>
              <w:rPr>
                <w:rFonts w:cs="Times New Roman"/>
                <w:noProof/>
              </w:rPr>
            </w:pPr>
            <w:r>
              <w:rPr>
                <w:noProof/>
              </w:rPr>
              <w:t>Matkailuliikkeet, jotka vähentävät vuotuista jätettään tai energiankulutustaan</w:t>
            </w:r>
          </w:p>
        </w:tc>
        <w:tc>
          <w:tcPr>
            <w:tcW w:w="1276" w:type="dxa"/>
            <w:shd w:val="clear" w:color="auto" w:fill="C6EFCE"/>
            <w:noWrap/>
          </w:tcPr>
          <w:p w14:paraId="3F8486BA"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5A315F3E"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331FA6EA"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60532D3B" w14:textId="77777777" w:rsidR="0065073E" w:rsidRDefault="000A0998">
            <w:pPr>
              <w:pStyle w:val="P68B1DB1-Normal12"/>
              <w:spacing w:after="0" w:line="240" w:lineRule="auto"/>
              <w:jc w:val="right"/>
              <w:rPr>
                <w:rFonts w:cs="Times New Roman"/>
                <w:noProof/>
              </w:rPr>
            </w:pPr>
            <w:r>
              <w:rPr>
                <w:noProof/>
              </w:rPr>
              <w:t>3 400</w:t>
            </w:r>
          </w:p>
        </w:tc>
        <w:tc>
          <w:tcPr>
            <w:tcW w:w="426" w:type="dxa"/>
            <w:shd w:val="clear" w:color="auto" w:fill="C6EFCE"/>
            <w:noWrap/>
          </w:tcPr>
          <w:p w14:paraId="71FB228C"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4A694733" w14:textId="77777777" w:rsidR="0065073E" w:rsidRDefault="000A0998">
            <w:pPr>
              <w:pStyle w:val="P68B1DB1-Normal12"/>
              <w:spacing w:after="0" w:line="240" w:lineRule="auto"/>
              <w:jc w:val="center"/>
              <w:rPr>
                <w:rFonts w:cs="Times New Roman"/>
                <w:noProof/>
              </w:rPr>
            </w:pPr>
            <w:r>
              <w:rPr>
                <w:noProof/>
              </w:rPr>
              <w:t>2025</w:t>
            </w:r>
          </w:p>
        </w:tc>
        <w:tc>
          <w:tcPr>
            <w:tcW w:w="6237" w:type="dxa"/>
            <w:shd w:val="clear" w:color="auto" w:fill="C6EFCE"/>
            <w:noWrap/>
          </w:tcPr>
          <w:p w14:paraId="43DD508F" w14:textId="77777777" w:rsidR="0065073E" w:rsidRDefault="000A0998">
            <w:pPr>
              <w:pStyle w:val="P68B1DB1-Normal12"/>
              <w:spacing w:after="0" w:line="240" w:lineRule="auto"/>
              <w:rPr>
                <w:rFonts w:cs="Times New Roman"/>
                <w:noProof/>
              </w:rPr>
            </w:pPr>
            <w:r>
              <w:rPr>
                <w:noProof/>
              </w:rPr>
              <w:t>Vähintään 3400 matkailuyritystä on saattanut päätökseen hankkeet, joiden tavoitteena on vähentää niiden vuotuista jätettä tai energiankulutusta ”ei merkittävää haittaa” -asiakirjan (2021/C58/01) teknisten ohjeiden (2021/C58/01) mukaisesti käyttämällä poissulkemisluetteloa ja edellyttämällä asiaa koskevan EU:n ja kansallisen ympäristölainsäädännön noudattamista.</w:t>
            </w:r>
          </w:p>
        </w:tc>
      </w:tr>
      <w:tr w:rsidR="0065073E" w14:paraId="5599F7AA" w14:textId="77777777">
        <w:trPr>
          <w:trHeight w:val="881"/>
        </w:trPr>
        <w:tc>
          <w:tcPr>
            <w:tcW w:w="709" w:type="dxa"/>
            <w:shd w:val="clear" w:color="auto" w:fill="C6EFCE"/>
            <w:noWrap/>
          </w:tcPr>
          <w:p w14:paraId="6B47432E" w14:textId="77777777" w:rsidR="0065073E" w:rsidRDefault="000A0998">
            <w:pPr>
              <w:pStyle w:val="P68B1DB1-Normal12"/>
              <w:spacing w:after="0" w:line="240" w:lineRule="auto"/>
              <w:jc w:val="center"/>
              <w:rPr>
                <w:rFonts w:cs="Times New Roman"/>
                <w:noProof/>
              </w:rPr>
            </w:pPr>
            <w:r>
              <w:rPr>
                <w:noProof/>
              </w:rPr>
              <w:t>228</w:t>
            </w:r>
          </w:p>
        </w:tc>
        <w:tc>
          <w:tcPr>
            <w:tcW w:w="851" w:type="dxa"/>
            <w:shd w:val="clear" w:color="auto" w:fill="C6EFCE"/>
            <w:noWrap/>
          </w:tcPr>
          <w:p w14:paraId="27E92DE7" w14:textId="77777777" w:rsidR="0065073E" w:rsidRDefault="000A0998">
            <w:pPr>
              <w:pStyle w:val="P68B1DB1-Normal12"/>
              <w:spacing w:after="0" w:line="240" w:lineRule="auto"/>
              <w:jc w:val="center"/>
              <w:rPr>
                <w:rFonts w:cs="Times New Roman"/>
                <w:noProof/>
              </w:rPr>
            </w:pPr>
            <w:r>
              <w:rPr>
                <w:noProof/>
              </w:rPr>
              <w:t>C14.I4</w:t>
            </w:r>
          </w:p>
        </w:tc>
        <w:tc>
          <w:tcPr>
            <w:tcW w:w="850" w:type="dxa"/>
            <w:shd w:val="clear" w:color="auto" w:fill="C6EFCE"/>
            <w:noWrap/>
          </w:tcPr>
          <w:p w14:paraId="3792C9DD" w14:textId="77777777" w:rsidR="0065073E" w:rsidRDefault="000A0998">
            <w:pPr>
              <w:pStyle w:val="P68B1DB1-Normal12"/>
              <w:spacing w:after="0" w:line="240" w:lineRule="auto"/>
              <w:jc w:val="center"/>
              <w:rPr>
                <w:rFonts w:cs="Times New Roman"/>
                <w:noProof/>
              </w:rPr>
            </w:pPr>
            <w:r>
              <w:rPr>
                <w:noProof/>
              </w:rPr>
              <w:t>T</w:t>
            </w:r>
          </w:p>
        </w:tc>
        <w:tc>
          <w:tcPr>
            <w:tcW w:w="1418" w:type="dxa"/>
            <w:shd w:val="clear" w:color="auto" w:fill="C6EFCE"/>
            <w:noWrap/>
          </w:tcPr>
          <w:p w14:paraId="1557000D" w14:textId="77777777" w:rsidR="0065073E" w:rsidRDefault="000A0998">
            <w:pPr>
              <w:pStyle w:val="P68B1DB1-Normal12"/>
              <w:spacing w:after="0" w:line="240" w:lineRule="auto"/>
              <w:rPr>
                <w:rFonts w:cs="Times New Roman"/>
                <w:noProof/>
              </w:rPr>
            </w:pPr>
            <w:r>
              <w:rPr>
                <w:noProof/>
              </w:rPr>
              <w:t>Historiallisten kulttuuriperintökohteiden elvyttämishankkeet, joissa käytetään nykyistä tai tulevaa matkailua</w:t>
            </w:r>
          </w:p>
        </w:tc>
        <w:tc>
          <w:tcPr>
            <w:tcW w:w="1276" w:type="dxa"/>
            <w:shd w:val="clear" w:color="auto" w:fill="C6EFCE"/>
            <w:noWrap/>
          </w:tcPr>
          <w:p w14:paraId="45A9A141" w14:textId="77777777" w:rsidR="0065073E" w:rsidRDefault="000A0998">
            <w:pPr>
              <w:pStyle w:val="P68B1DB1-Normal12"/>
              <w:spacing w:after="0" w:line="240" w:lineRule="auto"/>
              <w:jc w:val="center"/>
              <w:rPr>
                <w:rFonts w:cs="Times New Roman"/>
                <w:noProof/>
              </w:rPr>
            </w:pPr>
            <w:r>
              <w:rPr>
                <w:noProof/>
              </w:rPr>
              <w:t>—</w:t>
            </w:r>
          </w:p>
        </w:tc>
        <w:tc>
          <w:tcPr>
            <w:tcW w:w="850" w:type="dxa"/>
            <w:shd w:val="clear" w:color="auto" w:fill="C6EFCE"/>
            <w:noWrap/>
          </w:tcPr>
          <w:p w14:paraId="179C0CBD" w14:textId="77777777" w:rsidR="0065073E" w:rsidRDefault="000A0998">
            <w:pPr>
              <w:pStyle w:val="P68B1DB1-Normal12"/>
              <w:spacing w:after="0" w:line="240" w:lineRule="auto"/>
              <w:jc w:val="right"/>
              <w:rPr>
                <w:rFonts w:cs="Times New Roman"/>
                <w:noProof/>
              </w:rPr>
            </w:pPr>
            <w:r>
              <w:rPr>
                <w:noProof/>
              </w:rPr>
              <w:t>Määrä</w:t>
            </w:r>
          </w:p>
        </w:tc>
        <w:tc>
          <w:tcPr>
            <w:tcW w:w="992" w:type="dxa"/>
            <w:shd w:val="clear" w:color="auto" w:fill="C6EFCE"/>
            <w:noWrap/>
          </w:tcPr>
          <w:p w14:paraId="58A16522" w14:textId="77777777" w:rsidR="0065073E" w:rsidRDefault="000A0998">
            <w:pPr>
              <w:pStyle w:val="P68B1DB1-Normal12"/>
              <w:spacing w:after="0" w:line="240" w:lineRule="auto"/>
              <w:jc w:val="right"/>
              <w:rPr>
                <w:rFonts w:cs="Times New Roman"/>
                <w:noProof/>
              </w:rPr>
            </w:pPr>
            <w:r>
              <w:rPr>
                <w:noProof/>
              </w:rPr>
              <w:t>0</w:t>
            </w:r>
          </w:p>
        </w:tc>
        <w:tc>
          <w:tcPr>
            <w:tcW w:w="567" w:type="dxa"/>
            <w:shd w:val="clear" w:color="auto" w:fill="C6EFCE"/>
            <w:noWrap/>
          </w:tcPr>
          <w:p w14:paraId="42B1A537" w14:textId="77777777" w:rsidR="0065073E" w:rsidRDefault="000A0998">
            <w:pPr>
              <w:pStyle w:val="P68B1DB1-Normal12"/>
              <w:spacing w:after="0" w:line="240" w:lineRule="auto"/>
              <w:jc w:val="right"/>
              <w:rPr>
                <w:rFonts w:cs="Times New Roman"/>
                <w:noProof/>
              </w:rPr>
            </w:pPr>
            <w:r>
              <w:rPr>
                <w:noProof/>
              </w:rPr>
              <w:t>50</w:t>
            </w:r>
          </w:p>
        </w:tc>
        <w:tc>
          <w:tcPr>
            <w:tcW w:w="426" w:type="dxa"/>
            <w:shd w:val="clear" w:color="auto" w:fill="C6EFCE"/>
            <w:noWrap/>
          </w:tcPr>
          <w:p w14:paraId="341BFCFB"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30C50665" w14:textId="77777777" w:rsidR="0065073E" w:rsidRDefault="000A0998">
            <w:pPr>
              <w:pStyle w:val="P68B1DB1-Normal12"/>
              <w:spacing w:after="0" w:line="240" w:lineRule="auto"/>
              <w:jc w:val="center"/>
              <w:rPr>
                <w:rFonts w:cs="Times New Roman"/>
                <w:noProof/>
              </w:rPr>
            </w:pPr>
            <w:r>
              <w:rPr>
                <w:noProof/>
              </w:rPr>
              <w:t>2026</w:t>
            </w:r>
          </w:p>
        </w:tc>
        <w:tc>
          <w:tcPr>
            <w:tcW w:w="6237" w:type="dxa"/>
            <w:shd w:val="clear" w:color="auto" w:fill="C6EFCE"/>
            <w:noWrap/>
          </w:tcPr>
          <w:p w14:paraId="11932909" w14:textId="77777777" w:rsidR="0065073E" w:rsidRDefault="000A0998">
            <w:pPr>
              <w:pStyle w:val="P68B1DB1-Normal12"/>
              <w:spacing w:after="0" w:line="240" w:lineRule="auto"/>
              <w:rPr>
                <w:rFonts w:cs="Times New Roman"/>
                <w:noProof/>
              </w:rPr>
            </w:pPr>
            <w:r>
              <w:rPr>
                <w:noProof/>
              </w:rPr>
              <w:t xml:space="preserve">Vähintään 50 historiallisten kulttuuriperintökohteiden uudistamista koskevaa toimea on saatettu päätökseen ”ei merkittävää haittaa” -asiakirjan (2021/C58/01) mukaisesti käyttämällä poissulkemisluetteloa ja edellyttämällä asiaa koskevan EU:n ja kansallisen ympäristölainsäädännön noudattamista. </w:t>
            </w:r>
          </w:p>
        </w:tc>
      </w:tr>
    </w:tbl>
    <w:p w14:paraId="0EBF13D8" w14:textId="77777777" w:rsidR="0065073E" w:rsidRDefault="0065073E">
      <w:pPr>
        <w:spacing w:before="120" w:after="120" w:line="240" w:lineRule="auto"/>
        <w:ind w:left="709"/>
        <w:jc w:val="both"/>
        <w:rPr>
          <w:rFonts w:ascii="Times New Roman" w:hAnsi="Times New Roman" w:cs="Times New Roman"/>
          <w:noProof/>
          <w:sz w:val="24"/>
        </w:rPr>
      </w:pPr>
    </w:p>
    <w:p w14:paraId="53690C33"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134" w:right="1134" w:bottom="1134" w:left="1134" w:header="567" w:footer="567" w:gutter="0"/>
          <w:cols w:space="720"/>
          <w:docGrid w:linePitch="360"/>
        </w:sectPr>
      </w:pPr>
    </w:p>
    <w:p w14:paraId="0005EC5A" w14:textId="77777777" w:rsidR="0065073E" w:rsidRDefault="000A0998">
      <w:pPr>
        <w:pStyle w:val="P68B1DB1-Heading12"/>
        <w:rPr>
          <w:rFonts w:cs="Times New Roman"/>
          <w:noProof/>
        </w:rPr>
      </w:pPr>
      <w:r>
        <w:rPr>
          <w:noProof/>
        </w:rPr>
        <w:t>O. OSA 15: Digitaaliset yhteydet</w:t>
      </w:r>
    </w:p>
    <w:p w14:paraId="7E48FAC7" w14:textId="77777777" w:rsidR="0065073E" w:rsidRDefault="000A0998">
      <w:pPr>
        <w:pStyle w:val="P68B1DB1-Normal4"/>
        <w:spacing w:before="120" w:after="120" w:line="240" w:lineRule="auto"/>
        <w:jc w:val="both"/>
        <w:rPr>
          <w:rFonts w:cs="Times New Roman"/>
          <w:noProof/>
        </w:rPr>
      </w:pPr>
      <w:r>
        <w:rPr>
          <w:noProof/>
        </w:rPr>
        <w:t>Digitaaliset yhteydet ovat keskeinen tekijä taloudellisen toiminnan kehittämisessä, tuottavuuden lisäämisessä, innovoinnin edistämisessä sekä alueellisen ja sosiaalisen yhteenkuuluvuuden edistämisessä. Pääsy digitaalisiin verkkoihin on yhä tärkeämpää, jotta voidaan käyttää julkisia palveluja, kehittää taloudellista toimintaa ja osallistua aktiivisesti yhteiskunnan toimintaan.</w:t>
      </w:r>
    </w:p>
    <w:p w14:paraId="50C9AC70" w14:textId="77777777" w:rsidR="0065073E" w:rsidRDefault="000A0998">
      <w:pPr>
        <w:pStyle w:val="P68B1DB1-Normal4"/>
        <w:spacing w:before="120" w:after="120" w:line="240" w:lineRule="auto"/>
        <w:jc w:val="both"/>
        <w:rPr>
          <w:rFonts w:eastAsia="Calibri" w:cs="Times New Roman"/>
          <w:noProof/>
        </w:rPr>
      </w:pPr>
      <w:r>
        <w:rPr>
          <w:noProof/>
        </w:rPr>
        <w:t>Tällä Espanjan elpymis- ja palautumissuunnitelman komponentilla vastataan yhteenliitettävyyteen liittyviin haasteisiin, jotka liittyvät erittäin nopeiden kiinteiden verkkojen (yli 100 Mbit/s) ja 5G:n kattavuuden lisäämiseen Espanjassa ja erityisesti maaseutualueilla ja keskeisissä rajat ylittävissä liikennekäytävissä. Kyberturvallisuuden näkökulmasta komponentin suurimpana haasteena on luoda luotettava ja turvallinen ympäristö, jossa kansalaiset ja yritykset voivat edistää 5G:n ja tähän teknologiaan liittyvien palvelujen, kuten esineiden internetin sovellusten, digitalisointia ja hyperyhteenliitettävyyttä.</w:t>
      </w:r>
    </w:p>
    <w:p w14:paraId="63E92DF6" w14:textId="77777777" w:rsidR="0065073E" w:rsidRDefault="000A0998">
      <w:pPr>
        <w:pStyle w:val="P68B1DB1-Normal4"/>
        <w:spacing w:before="120" w:after="120" w:line="240" w:lineRule="auto"/>
        <w:jc w:val="both"/>
        <w:rPr>
          <w:rFonts w:eastAsia="Calibri" w:cs="Times New Roman"/>
          <w:noProof/>
        </w:rPr>
      </w:pPr>
      <w:r>
        <w:rPr>
          <w:noProof/>
        </w:rPr>
        <w:t>Tämän komponentin tavoitteena on saattaa televiestintäala vastaamaan Euroopan digitaalistrategian vaatimuksia ja vahvistaa taloudellista, sosiaalista ja alueellista yhteenkuuluvuutta kuromalla umpeen digitaalisia eroja ja lisäämällä ultranopean kattavuuden saatavuutta koko jäsenvaltion alueella. Komponentilla tuetaan 5G-teknologian nopeutettua käyttöönottoa 1) asetetaan käyttöön tarvittavat taajuusresurssit ensisijaisilla 5G-taajuuksilla; 2) luotettavan ja turvallisen käyttöönottoympäristön kehittäminen ja 3) 5G-teknologiasovellusten kehittämisen edistäminen. Sen tavoitteena on myös tukea kansalaisten ja yritysten kestävää kyberturvallisuuskulttuuria.</w:t>
      </w:r>
    </w:p>
    <w:p w14:paraId="03951814" w14:textId="76FFEAA9" w:rsidR="0065073E" w:rsidRDefault="000A0998">
      <w:pPr>
        <w:pStyle w:val="P68B1DB1-Normal4"/>
        <w:spacing w:before="120" w:after="120" w:line="240" w:lineRule="auto"/>
        <w:jc w:val="both"/>
        <w:rPr>
          <w:rFonts w:eastAsia="Calibri" w:cs="Times New Roman"/>
          <w:noProof/>
        </w:rPr>
      </w:pPr>
      <w:r>
        <w:rPr>
          <w:noProof/>
        </w:rPr>
        <w:t>Komponentissa käsitellään maakohtaisia suosituksia, jotka koskevat investointien talouspolitiikan keskittämistä innovoinnin edistämiseen (maakohtainen suositus 3 2019) ja pitkälle kehitettyjen julkisten investointihankkeiden aikaistamista ja investointien keskittämistä digitaaliseen siirtymään (maakohtaiset suositukset 3 2020, 1 2022, 1 2023).</w:t>
      </w:r>
    </w:p>
    <w:p w14:paraId="09C9655A" w14:textId="77777777" w:rsidR="0065073E" w:rsidRDefault="000A0998">
      <w:pPr>
        <w:pStyle w:val="P68B1DB1-Normal4"/>
        <w:spacing w:before="120" w:after="120" w:line="240" w:lineRule="auto"/>
        <w:jc w:val="both"/>
        <w:rPr>
          <w:rFonts w:eastAsia="Calibri"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0E41D603" w14:textId="77777777" w:rsidR="0065073E" w:rsidRDefault="000A0998">
      <w:pPr>
        <w:ind w:left="720"/>
        <w:rPr>
          <w:rFonts w:ascii="Times New Roman" w:hAnsi="Times New Roman" w:cs="Times New Roman"/>
          <w:noProof/>
          <w:u w:val="single"/>
        </w:rPr>
      </w:pPr>
      <w:r>
        <w:rPr>
          <w:rFonts w:ascii="Times New Roman" w:hAnsi="Times New Roman"/>
          <w:b/>
          <w:noProof/>
          <w:u w:val="single"/>
        </w:rPr>
        <w:t>O</w:t>
      </w:r>
      <w:r>
        <w:rPr>
          <w:rFonts w:ascii="Times New Roman" w:hAnsi="Times New Roman"/>
          <w:b/>
          <w:noProof/>
          <w:sz w:val="24"/>
          <w:u w:val="single"/>
        </w:rPr>
        <w:t xml:space="preserve">.1. </w:t>
      </w:r>
      <w:r>
        <w:rPr>
          <w:noProof/>
        </w:rPr>
        <w:t xml:space="preserve"> </w:t>
      </w:r>
      <w:r>
        <w:rPr>
          <w:rFonts w:ascii="Times New Roman" w:hAnsi="Times New Roman"/>
          <w:b/>
          <w:noProof/>
          <w:sz w:val="24"/>
          <w:u w:val="single"/>
        </w:rPr>
        <w:t>Kuvaus uudistuksista ja investoinneista, joita rahoitetaan rahoitustuella, jota ei makseta takaisin</w:t>
      </w:r>
    </w:p>
    <w:p w14:paraId="0EBBD9EE" w14:textId="77777777" w:rsidR="0065073E" w:rsidRDefault="000A0998">
      <w:pPr>
        <w:pStyle w:val="P68B1DB1-Normal5"/>
        <w:spacing w:before="120" w:after="120" w:line="240" w:lineRule="auto"/>
        <w:jc w:val="both"/>
        <w:rPr>
          <w:rFonts w:cs="Times New Roman"/>
          <w:noProof/>
        </w:rPr>
      </w:pPr>
      <w:r>
        <w:rPr>
          <w:noProof/>
        </w:rPr>
        <w:t>Uudistus 1 (C15.R1) – Televiestintäalan sääntelykehyksen uudistaminen: Yleinen oikeus, sääntelyvälineet ja täytäntöönpanovälineet</w:t>
      </w:r>
    </w:p>
    <w:p w14:paraId="57A432B6" w14:textId="77777777" w:rsidR="0065073E" w:rsidRDefault="000A0998">
      <w:pPr>
        <w:pStyle w:val="P68B1DB1-Normal4"/>
        <w:spacing w:before="120" w:after="120" w:line="240" w:lineRule="auto"/>
        <w:jc w:val="both"/>
        <w:rPr>
          <w:rFonts w:cs="Times New Roman"/>
          <w:noProof/>
        </w:rPr>
      </w:pPr>
      <w:r>
        <w:rPr>
          <w:noProof/>
        </w:rPr>
        <w:t>Toimenpiteen tavoitteena on saattaa osaksi kansallista lainsäädäntöä eurooppalaisesta sähköisen viestinnän säännöstöstä annettu direktiivi 2018/1972, kehittää parhaita käytäntöjä suuren kapasiteetin verkkojen ja 5G-verkkojen käyttöönottoa varten sekä kehittää tarvittavat toimet yhteenliitettävyydestä annettuun Euroopan komission suositukseen C(2020) 6270 perustuvan välineistön täytäntöönpanemiseksi kansallisessa kehyksessä.</w:t>
      </w:r>
    </w:p>
    <w:p w14:paraId="513A533F" w14:textId="77777777" w:rsidR="0065073E" w:rsidRDefault="000A0998">
      <w:pPr>
        <w:pStyle w:val="P68B1DB1-Normal4"/>
        <w:spacing w:before="120" w:after="120" w:line="240" w:lineRule="auto"/>
        <w:jc w:val="both"/>
        <w:rPr>
          <w:rFonts w:eastAsia="Calibri" w:cs="Times New Roman"/>
          <w:noProof/>
        </w:rPr>
      </w:pPr>
      <w:r>
        <w:rPr>
          <w:noProof/>
        </w:rPr>
        <w:t xml:space="preserve">Yhteyksiä koskevan Euroopan komission suosituksen C(2020) 6270 täytäntöönpanoon perustuva välineistö sisällytetään Espanjan oikeudelliseen kehykseen yleisen televiestintälainsäädännön puitteissa niissä osissa, jotka edellyttävät oikeudellista asemaa. </w:t>
      </w:r>
    </w:p>
    <w:p w14:paraId="45987DA4" w14:textId="77777777" w:rsidR="0065073E" w:rsidRDefault="000A0998">
      <w:pPr>
        <w:pStyle w:val="P68B1DB1-Normal7"/>
        <w:autoSpaceDE w:val="0"/>
        <w:autoSpaceDN w:val="0"/>
        <w:spacing w:before="40" w:after="40" w:line="240" w:lineRule="auto"/>
        <w:jc w:val="both"/>
        <w:rPr>
          <w:rFonts w:eastAsia="Calibri" w:cs="Times New Roman"/>
          <w:noProof/>
        </w:rPr>
      </w:pPr>
      <w:r>
        <w:rPr>
          <w:noProof/>
          <w:sz w:val="24"/>
        </w:rPr>
        <w:t>Toimenpiteen täytäntöönpano on saatettava päätökseen 30 päivään kesäkuuta 2022 mennessä.</w:t>
      </w:r>
      <w:r>
        <w:rPr>
          <w:noProof/>
          <w:sz w:val="20"/>
        </w:rPr>
        <w:t xml:space="preserve"> </w:t>
      </w:r>
    </w:p>
    <w:p w14:paraId="0618C9AF" w14:textId="77777777" w:rsidR="0065073E" w:rsidRDefault="000A0998">
      <w:pPr>
        <w:pStyle w:val="P68B1DB1-Normal5"/>
        <w:keepNext/>
        <w:spacing w:before="120" w:after="120" w:line="240" w:lineRule="auto"/>
        <w:jc w:val="both"/>
        <w:rPr>
          <w:rFonts w:cs="Times New Roman"/>
          <w:noProof/>
        </w:rPr>
      </w:pPr>
      <w:r>
        <w:rPr>
          <w:noProof/>
        </w:rPr>
        <w:t>Uudistus 2 (C15.R2) – etenemissuunnitelma 5G: Taajuuksien hallinnointi ja jakaminen, käyttöönottotaakan vähentäminen, kyberturvallisuusasetus 5G ja paikallisviranomaisten tukeminen</w:t>
      </w:r>
    </w:p>
    <w:p w14:paraId="7FFDEE86" w14:textId="77777777" w:rsidR="0065073E" w:rsidRDefault="000A0998">
      <w:pPr>
        <w:pStyle w:val="P68B1DB1-Normal4"/>
        <w:keepNext/>
        <w:spacing w:before="120" w:after="120" w:line="240" w:lineRule="auto"/>
        <w:jc w:val="both"/>
        <w:rPr>
          <w:rFonts w:cs="Times New Roman"/>
          <w:noProof/>
        </w:rPr>
      </w:pPr>
      <w:r>
        <w:rPr>
          <w:noProof/>
        </w:rPr>
        <w:t>Toimenpiteen tavoitteena on 1) saattaa päätökseen 700 MHz:n taajuusaluetta ja 26 GHz:n taajuusaluetta koskevan huutokauppamenettelyn; 2) alennetaan tilapäisesti teleoperaattoreiden taajuusverotusta vuosina 2022 ja 2023 5G:n käyttöönoton nopeuttamiseksi; Sisällytetään 5G-kyberturvallisuutta koskeva EU:n välineistö kansalliseen lainsäädäntöön; ja 4) levittää paikallisille julkishallinnoille televiestintää ja kaupunkisuunnittelua koskevia hyviä käytäntöjä.</w:t>
      </w:r>
    </w:p>
    <w:p w14:paraId="4BB49479" w14:textId="77777777" w:rsidR="0065073E" w:rsidRDefault="000A0998">
      <w:pPr>
        <w:pStyle w:val="P68B1DB1-Normal4"/>
        <w:spacing w:before="120" w:after="120" w:line="240" w:lineRule="auto"/>
        <w:jc w:val="both"/>
        <w:rPr>
          <w:rFonts w:cs="Times New Roman"/>
          <w:noProof/>
        </w:rPr>
      </w:pPr>
      <w:r>
        <w:rPr>
          <w:noProof/>
        </w:rPr>
        <w:t>Täytäntöönpanon osalta yksilöidään seuraavat vaiheet:</w:t>
      </w:r>
    </w:p>
    <w:p w14:paraId="69B0C14B"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Toisen taajuusylijäämän loppuun saattaminen</w:t>
      </w:r>
    </w:p>
    <w:p w14:paraId="3CF44432"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5G-teknologian edistämisstrategia</w:t>
      </w:r>
    </w:p>
    <w:p w14:paraId="01E905DD"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 xml:space="preserve">700 MHz:n taajuusalueen huutokauppa </w:t>
      </w:r>
    </w:p>
    <w:p w14:paraId="63929EA3"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26 GHz:n taajuusaluetta koskeva tarjouspyyntö</w:t>
      </w:r>
    </w:p>
    <w:p w14:paraId="0ADCCBA1"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Taajuusverotuksen väliaikainen alentaminen</w:t>
      </w:r>
    </w:p>
    <w:p w14:paraId="537CA5FF" w14:textId="77777777" w:rsidR="0065073E" w:rsidRDefault="000A0998">
      <w:pPr>
        <w:pStyle w:val="P68B1DB1-Normal4"/>
        <w:numPr>
          <w:ilvl w:val="0"/>
          <w:numId w:val="724"/>
        </w:numPr>
        <w:spacing w:before="120" w:after="160" w:line="256" w:lineRule="auto"/>
        <w:contextualSpacing/>
        <w:jc w:val="both"/>
        <w:rPr>
          <w:rFonts w:cs="Times New Roman"/>
          <w:noProof/>
        </w:rPr>
      </w:pPr>
      <w:r>
        <w:rPr>
          <w:noProof/>
        </w:rPr>
        <w:t>Kyberturvallisuussäädös 5G</w:t>
      </w:r>
    </w:p>
    <w:p w14:paraId="6FF8FE8D" w14:textId="77777777" w:rsidR="0065073E" w:rsidRDefault="000A0998">
      <w:pPr>
        <w:pStyle w:val="P68B1DB1-Normal7"/>
        <w:autoSpaceDE w:val="0"/>
        <w:autoSpaceDN w:val="0"/>
        <w:spacing w:before="40" w:after="40" w:line="240" w:lineRule="auto"/>
        <w:jc w:val="both"/>
        <w:rPr>
          <w:rFonts w:eastAsia="Calibri" w:cs="Times New Roman"/>
          <w:noProof/>
        </w:rPr>
      </w:pPr>
      <w:r>
        <w:rPr>
          <w:noProof/>
          <w:sz w:val="24"/>
        </w:rPr>
        <w:t>Toimenpiteen täytäntöönpano on saatettava päätökseen 31 päivään joulukuuta 2022 mennessä.</w:t>
      </w:r>
      <w:r>
        <w:rPr>
          <w:noProof/>
          <w:sz w:val="20"/>
        </w:rPr>
        <w:t xml:space="preserve"> </w:t>
      </w:r>
    </w:p>
    <w:p w14:paraId="3E4A5C09" w14:textId="77777777" w:rsidR="0065073E" w:rsidRDefault="000A0998">
      <w:pPr>
        <w:pStyle w:val="P68B1DB1-Normal5"/>
        <w:spacing w:before="120" w:after="120" w:line="240" w:lineRule="auto"/>
        <w:jc w:val="both"/>
        <w:rPr>
          <w:rFonts w:cs="Times New Roman"/>
          <w:noProof/>
        </w:rPr>
      </w:pPr>
      <w:r>
        <w:rPr>
          <w:noProof/>
        </w:rPr>
        <w:t>Investointi 1 (C15.I1) – Alueellisen yhteenkuuluvuuden edistäminen ottamalla käyttöön verkkoja: Ultranopean laajakaistan laajennus</w:t>
      </w:r>
    </w:p>
    <w:p w14:paraId="45B9A600" w14:textId="77777777" w:rsidR="0065073E" w:rsidRDefault="000A0998">
      <w:pPr>
        <w:pStyle w:val="P68B1DB1-Normal4"/>
        <w:spacing w:before="120" w:after="120" w:line="240" w:lineRule="auto"/>
        <w:jc w:val="both"/>
        <w:rPr>
          <w:rFonts w:cs="Times New Roman"/>
          <w:noProof/>
        </w:rPr>
      </w:pPr>
      <w:r>
        <w:rPr>
          <w:noProof/>
        </w:rPr>
        <w:t xml:space="preserve">Toimenpiteen tavoitteena on 1) syvennetään ultranopeiden laajakaistaverkkojen kattavuutta alueilla, joilla sitä ei ole, pyrkien tavoittamaan 100 prosenttia väestöstä; ja 2) toteutetaan erityistoimia kattavuuden laajentamiseksi perinteisissä kaupunkikeskuksissa, joilla on valkoinen alue. </w:t>
      </w:r>
    </w:p>
    <w:p w14:paraId="7E223AF1" w14:textId="77777777" w:rsidR="0065073E" w:rsidRDefault="000A0998">
      <w:pPr>
        <w:pStyle w:val="P68B1DB1-Normal4"/>
        <w:spacing w:before="120" w:after="120" w:line="240" w:lineRule="auto"/>
        <w:jc w:val="both"/>
        <w:rPr>
          <w:rFonts w:cs="Times New Roman"/>
          <w:noProof/>
        </w:rPr>
      </w:pPr>
      <w:r>
        <w:rPr>
          <w:noProof/>
        </w:rPr>
        <w:t>Investointi koostuu ultranopeiden laajakaistayhteyksien (yli 100 Mbit/s) tarjoamisesta alueille, pääasiassa maaseutualueille ja historiallisesti arvokkaille alueille, joilla ei tällä hetkellä ole tällaisia yhteyksiä. Yksityiskohtainen toteutussuunnitelma hyväksytään vuoden 2021 loppuun mennessä, ja 100 prosenttia talousarviosta myönnetään vuoden 2023 loppuun mennessä. Suunnitelmassa on myös asetettava lopulliset tavoitteet (lisäkattavuuden osalta yksiköinä), jotka on saavutettava, ja varmistettava teknologianeutraalius ja markkinoiden kilpailumekanismien ylläpitäminen ja kaikkien operaattorien pääsy käyttöön otettuun infrastruktuuriin. Toiminta-alueet on määriteltävä tällaisessa suunnitelmassa. Täytäntöönpanosuunnitelmassa on myös esitettävä tarvittavat oikeudelliset ja sääntelytoimet, mukaan lukien ne, jotka on toteutettava asiaankuuluvien EU:n valtiontukisääntöjen noudattamisen varmistamiseksi. Tavoitteena on varmistaa 300 Mbit/s:n symmetriset nopeudet, joita voidaan nostaa 1 Gbit/s:iin (gigabittiä sekunnissa) valkoisilla ja harmailla alueilla.</w:t>
      </w:r>
    </w:p>
    <w:p w14:paraId="023C33CE" w14:textId="77777777" w:rsidR="0065073E" w:rsidRDefault="000A0998">
      <w:pPr>
        <w:pStyle w:val="P68B1DB1-Normal4"/>
        <w:spacing w:before="120" w:after="120" w:line="240" w:lineRule="auto"/>
        <w:jc w:val="both"/>
        <w:rPr>
          <w:rFonts w:cs="Times New Roman"/>
          <w:noProof/>
        </w:rPr>
      </w:pPr>
      <w:r>
        <w:rPr>
          <w:noProof/>
        </w:rPr>
        <w:t xml:space="preserve">Investoinnin toteutus saatetaan päätökseen 31. joulukuuta 2025 mennessä. </w:t>
      </w:r>
    </w:p>
    <w:p w14:paraId="5A9C09E0" w14:textId="77777777" w:rsidR="0065073E" w:rsidRDefault="000A0998">
      <w:pPr>
        <w:pStyle w:val="P68B1DB1-Normal5"/>
        <w:spacing w:before="120" w:after="120" w:line="240" w:lineRule="auto"/>
        <w:jc w:val="both"/>
        <w:rPr>
          <w:rFonts w:cs="Times New Roman"/>
          <w:noProof/>
        </w:rPr>
      </w:pPr>
      <w:r>
        <w:rPr>
          <w:noProof/>
        </w:rPr>
        <w:t>Investointi 2 (C15.I2) Yhteyden parantaminen vertailukeskuksissa, sosioekonomisissa vaikuttajissa ja alakohtaisissa digitalisaatiohankkeissa</w:t>
      </w:r>
    </w:p>
    <w:p w14:paraId="2F33BE61" w14:textId="77777777" w:rsidR="0065073E" w:rsidRDefault="000A0998">
      <w:pPr>
        <w:pStyle w:val="P68B1DB1-Normal4"/>
        <w:spacing w:before="120" w:after="120" w:line="240" w:lineRule="auto"/>
        <w:jc w:val="both"/>
        <w:rPr>
          <w:rFonts w:cs="Times New Roman"/>
          <w:noProof/>
        </w:rPr>
      </w:pPr>
      <w:r>
        <w:rPr>
          <w:noProof/>
        </w:rPr>
        <w:t>Toimenpiteen tavoitteena on 1) parannetaan keskeisten hoito- ja sosiaalipalvelujen saatavuutta tarjoavien keskusten, kuten sairaaloiden, terveyskeskusten ja koulutuskeskusten, yhteyksiä ja varusteita; ja 2) erittäin yhteenliitettävyyttä maan tärkeimmissä sosioekonomisissa tekijöissä ja alueilla, joilla kapasiteetin kysyntä on suurta (teknologiset saaret).</w:t>
      </w:r>
    </w:p>
    <w:p w14:paraId="6F1B5E36" w14:textId="77777777" w:rsidR="0065073E" w:rsidRDefault="000A0998">
      <w:pPr>
        <w:pStyle w:val="P68B1DB1-Normal4"/>
        <w:spacing w:before="120" w:after="120" w:line="240" w:lineRule="auto"/>
        <w:jc w:val="both"/>
        <w:rPr>
          <w:rFonts w:cs="Times New Roman"/>
          <w:noProof/>
        </w:rPr>
      </w:pPr>
      <w:r>
        <w:rPr>
          <w:noProof/>
        </w:rPr>
        <w:t>Investointi koostuu 1-gigabittiyhteyksien laajentamisesta sosiaalisen ja taloudellisen toiminnan tärkeimpiin keskuksiin koko maassa. Valittuihin toimipaikkoihin on kuuluttava teollisuuslaitoksia, datakeskuksia, maatalousteollisuuden laitoksia, tutkimuskeskuksia, liikennesolmukohtia, logistiikkakeskuksia tai dataintensiivisiä yrityksiä sekä terveyskeskuksia, kuten sairaaloita, koulutuskeskuksia ja terveyskeskuksia.</w:t>
      </w:r>
    </w:p>
    <w:p w14:paraId="07FA28B2" w14:textId="77777777" w:rsidR="0065073E" w:rsidRDefault="000A0998">
      <w:pPr>
        <w:pStyle w:val="P68B1DB1-Normal4"/>
        <w:spacing w:before="120" w:after="120" w:line="240" w:lineRule="auto"/>
        <w:jc w:val="both"/>
        <w:rPr>
          <w:rFonts w:eastAsia="Calibri" w:cs="Times New Roman"/>
          <w:noProof/>
        </w:rPr>
      </w:pPr>
      <w:r>
        <w:rPr>
          <w:noProof/>
        </w:rPr>
        <w:t>Erityistoimia ovat muun muassa seuraavat: a) hankkeet, joilla vahvistetaan yhteyksiä yhteyspisteissä ja julkisissa palveluissa; b) 1 gigabittiyhteyksiin liittyvät hankkeet ja tuki keskeisille aloille, mukaan lukien innovatiiviset alakohtaiset digitalisointihankkeet (terveys, maatalouselintarvike, liikkuvuus, matkailu, teollisuus, kauppa jne.) sekä teollisuus- ja liikekiinteistöjen yhteenliitettävyyshankkeet valkoisilla/harmailla alueilla.</w:t>
      </w:r>
    </w:p>
    <w:p w14:paraId="22F7D782" w14:textId="0C2BEDFD" w:rsidR="0065073E" w:rsidRDefault="000A0998">
      <w:pPr>
        <w:pStyle w:val="P68B1DB1-Normal4"/>
        <w:spacing w:before="120" w:after="120" w:line="240" w:lineRule="auto"/>
        <w:jc w:val="both"/>
        <w:rPr>
          <w:rFonts w:eastAsia="Calibri" w:cs="Times New Roman"/>
          <w:noProof/>
        </w:rPr>
      </w:pPr>
      <w:r>
        <w:rPr>
          <w:noProof/>
        </w:rPr>
        <w:t>Investointi on saatettava päätökseen viimeistään 31 päivänä joulukuuta 2024.</w:t>
      </w:r>
    </w:p>
    <w:p w14:paraId="19135B77" w14:textId="77777777" w:rsidR="0065073E" w:rsidRDefault="000A0998">
      <w:pPr>
        <w:pStyle w:val="P68B1DB1-Normal5"/>
        <w:spacing w:before="120" w:after="120" w:line="240" w:lineRule="auto"/>
        <w:jc w:val="both"/>
        <w:rPr>
          <w:rFonts w:cs="Times New Roman"/>
          <w:noProof/>
        </w:rPr>
      </w:pPr>
      <w:r>
        <w:rPr>
          <w:noProof/>
        </w:rPr>
        <w:t>Investointi 3 (C15.I3) – Yhteenliitettävyyssetelit pk-yrityksille ja haavoittuvassa asemassa oleville ryhmille</w:t>
      </w:r>
    </w:p>
    <w:p w14:paraId="16A8916A" w14:textId="77777777" w:rsidR="0065073E" w:rsidRDefault="000A0998">
      <w:pPr>
        <w:pStyle w:val="P68B1DB1-Normal4"/>
        <w:spacing w:before="120" w:after="120" w:line="240" w:lineRule="auto"/>
        <w:jc w:val="both"/>
        <w:rPr>
          <w:rFonts w:cs="Times New Roman"/>
          <w:noProof/>
        </w:rPr>
      </w:pPr>
      <w:r>
        <w:rPr>
          <w:noProof/>
        </w:rPr>
        <w:t xml:space="preserve">Investoinnin on koostuttava seuraavien tarjoamisesta: </w:t>
      </w:r>
    </w:p>
    <w:p w14:paraId="5BDF574A" w14:textId="77777777" w:rsidR="0065073E" w:rsidRDefault="000A0998">
      <w:pPr>
        <w:pStyle w:val="P68B1DB1-Normal4"/>
        <w:numPr>
          <w:ilvl w:val="0"/>
          <w:numId w:val="725"/>
        </w:numPr>
        <w:spacing w:before="120" w:after="120" w:line="240" w:lineRule="auto"/>
        <w:jc w:val="both"/>
        <w:rPr>
          <w:rFonts w:cs="Times New Roman"/>
          <w:noProof/>
        </w:rPr>
      </w:pPr>
      <w:r>
        <w:rPr>
          <w:noProof/>
        </w:rPr>
        <w:t>Arvosetelit pk-yrityksille yhteenliitettävyysinvestointien rahoittamiseksi (mukaan lukien vähintään 100 Mbit/s:n perusyhteydet ja lisäarvopalvelut, kuten VPN ja kyberturvallisuus); ja</w:t>
      </w:r>
    </w:p>
    <w:p w14:paraId="22248C2C" w14:textId="77777777" w:rsidR="0065073E" w:rsidRDefault="000A0998">
      <w:pPr>
        <w:pStyle w:val="P68B1DB1-Normal4"/>
        <w:numPr>
          <w:ilvl w:val="0"/>
          <w:numId w:val="725"/>
        </w:numPr>
        <w:spacing w:before="120" w:after="120" w:line="240" w:lineRule="auto"/>
        <w:jc w:val="both"/>
        <w:rPr>
          <w:rFonts w:cs="Times New Roman"/>
          <w:noProof/>
        </w:rPr>
      </w:pPr>
      <w:r>
        <w:rPr>
          <w:noProof/>
        </w:rPr>
        <w:t xml:space="preserve">Heikossa asemassa oleville henkilöille tai perheille tarkoitetut arvosetelit, joilla rahoitetaan sopivinta teknologiaa käyttäviä laajakaistayhteyspaketteja. </w:t>
      </w:r>
    </w:p>
    <w:p w14:paraId="6F22491A" w14:textId="4EAD4C5C" w:rsidR="0065073E" w:rsidRDefault="000A0998">
      <w:pPr>
        <w:pStyle w:val="P68B1DB1-Normal4"/>
        <w:spacing w:before="120" w:after="120" w:line="240" w:lineRule="auto"/>
        <w:jc w:val="both"/>
        <w:rPr>
          <w:rFonts w:cs="Times New Roman"/>
          <w:noProof/>
        </w:rPr>
      </w:pPr>
      <w:r>
        <w:rPr>
          <w:noProof/>
        </w:rPr>
        <w:t xml:space="preserve">Investointi on saatettava päätökseen viimeistään 31 päivänä joulukuuta 2024. </w:t>
      </w:r>
    </w:p>
    <w:p w14:paraId="115B517A" w14:textId="77777777" w:rsidR="0065073E" w:rsidRDefault="000A0998">
      <w:pPr>
        <w:pStyle w:val="P68B1DB1-Normal5"/>
        <w:spacing w:before="120" w:after="120" w:line="240" w:lineRule="auto"/>
        <w:jc w:val="both"/>
        <w:rPr>
          <w:rFonts w:cs="Times New Roman"/>
          <w:noProof/>
        </w:rPr>
      </w:pPr>
      <w:r>
        <w:rPr>
          <w:noProof/>
        </w:rPr>
        <w:t>Investointi 4 (C15.I4) – Infrastruktuurin uudistaminen ja kestävyys</w:t>
      </w:r>
    </w:p>
    <w:p w14:paraId="07C9BBD2" w14:textId="1BE44B56" w:rsidR="0065073E" w:rsidRDefault="000A0998">
      <w:pPr>
        <w:pStyle w:val="P68B1DB1-Normal4"/>
        <w:spacing w:before="120" w:after="120" w:line="240" w:lineRule="auto"/>
        <w:jc w:val="both"/>
        <w:rPr>
          <w:rFonts w:eastAsia="Calibri" w:cs="Times New Roman"/>
          <w:noProof/>
        </w:rPr>
      </w:pPr>
      <w:r>
        <w:rPr>
          <w:noProof/>
        </w:rPr>
        <w:t>Investointi koostuu siitä, että osa olemassa olevasta rakennuskannasta varustetaan infrastruktuurilla, jolla helpotetaan erittäin suuren kapasiteetin verkkojen optimaalista käyttöönottoa viimeisellä osuudella. Näiden investointien odotetaan parantavan käyttöön otettujen verkkojen energiankulutusta sen lisäksi, että ne koordinoivat ja optimoivat seuraavan sukupolven liityntäverkkojen käyttöönoton kestävällä tavalla. Investointi on saatettava päätökseen viimeistään 31 päivänä joulukuuta 2024.</w:t>
      </w:r>
    </w:p>
    <w:p w14:paraId="613726C0" w14:textId="77777777" w:rsidR="0065073E" w:rsidRDefault="000A0998">
      <w:pPr>
        <w:pStyle w:val="P68B1DB1-Normal5"/>
        <w:spacing w:before="120" w:after="120" w:line="240" w:lineRule="auto"/>
        <w:jc w:val="both"/>
        <w:rPr>
          <w:rFonts w:cs="Times New Roman"/>
          <w:noProof/>
        </w:rPr>
      </w:pPr>
      <w:r>
        <w:rPr>
          <w:noProof/>
        </w:rPr>
        <w:t>Investointi 5 (C15.I5) – Rajat ylittävän digitaalisen infrastruktuurin käyttöönotto</w:t>
      </w:r>
    </w:p>
    <w:p w14:paraId="1BD68E2F" w14:textId="77777777" w:rsidR="0065073E" w:rsidRDefault="000A0998">
      <w:pPr>
        <w:pStyle w:val="P68B1DB1-Normal4"/>
        <w:spacing w:before="120" w:after="120" w:line="240" w:lineRule="auto"/>
        <w:jc w:val="both"/>
        <w:rPr>
          <w:rFonts w:cs="Times New Roman"/>
          <w:noProof/>
        </w:rPr>
      </w:pPr>
      <w:r>
        <w:rPr>
          <w:noProof/>
        </w:rPr>
        <w:t>Investointi koostuu kolmesta hankkeesta.</w:t>
      </w:r>
    </w:p>
    <w:p w14:paraId="11197346" w14:textId="77777777" w:rsidR="0065073E" w:rsidRDefault="000A0998">
      <w:pPr>
        <w:pStyle w:val="P68B1DB1-Normal4"/>
        <w:spacing w:before="120" w:after="120" w:line="240" w:lineRule="auto"/>
        <w:ind w:left="709"/>
        <w:jc w:val="both"/>
        <w:rPr>
          <w:rFonts w:cs="Times New Roman"/>
          <w:noProof/>
        </w:rPr>
      </w:pPr>
      <w:r>
        <w:rPr>
          <w:noProof/>
        </w:rPr>
        <w:t xml:space="preserve">1) Rajatylittävän digitaalisen infrastruktuurin yhteenliitettävyyden parantaminen: Tämä edellyttäisi espanjalaisten yritysten osallistumista yritysten yhteenliittymiin, jotka koskevat Verkkojen Eurooppa -välineen (CEF2 Digital) ja uuden yleisen ryhmäpoikkeusasetuksen mukaisia datainfrastruktuurin yhteenliittämistä ja merenalaisia kaapeleita. </w:t>
      </w:r>
    </w:p>
    <w:p w14:paraId="186801E0" w14:textId="08BEAE9C" w:rsidR="0065073E" w:rsidRDefault="000A0998">
      <w:pPr>
        <w:pStyle w:val="P68B1DB1-Normal4"/>
        <w:spacing w:before="120" w:after="120" w:line="240" w:lineRule="auto"/>
        <w:ind w:left="709"/>
        <w:jc w:val="both"/>
        <w:rPr>
          <w:rFonts w:cs="Times New Roman"/>
          <w:noProof/>
        </w:rPr>
      </w:pPr>
      <w:r>
        <w:rPr>
          <w:noProof/>
        </w:rPr>
        <w:t xml:space="preserve">2) Osallistuminen digitaalisen infrastruktuurin hankkeisiin:  ehdokashankkeet liittyvät uuden sukupolven pilvipalvelujen ja reuna-alueiden infrastruktuuriin ja palveluihin; sekä kehittynyt prosessori ja puolijohteet. </w:t>
      </w:r>
    </w:p>
    <w:p w14:paraId="691C9FC0" w14:textId="77777777" w:rsidR="0065073E" w:rsidRDefault="000A0998">
      <w:pPr>
        <w:pStyle w:val="P68B1DB1-Normal4"/>
        <w:spacing w:before="120" w:after="120" w:line="240" w:lineRule="auto"/>
        <w:ind w:left="709"/>
        <w:jc w:val="both"/>
        <w:rPr>
          <w:rFonts w:cs="Times New Roman"/>
          <w:noProof/>
        </w:rPr>
      </w:pPr>
      <w:r>
        <w:rPr>
          <w:noProof/>
        </w:rPr>
        <w:t xml:space="preserve">3) Muut rajat ylittävät digitaalisen infrastruktuurin T &amp; K &amp; I-hankkeet, mukaan lukien investoinnit suojattuihin satelliittiviestintäjärjestelmiin ja kvanttiviestintävalmiuksien kehittämiseen. </w:t>
      </w:r>
    </w:p>
    <w:p w14:paraId="0A297D7E" w14:textId="7EC24370" w:rsidR="0065073E" w:rsidRDefault="000A0998">
      <w:pPr>
        <w:pStyle w:val="P68B1DB1-Normal4"/>
        <w:spacing w:before="120" w:after="120" w:line="240" w:lineRule="auto"/>
        <w:jc w:val="both"/>
        <w:rPr>
          <w:rFonts w:eastAsia="Calibri" w:cs="Times New Roman"/>
          <w:noProof/>
        </w:rPr>
      </w:pPr>
      <w:r>
        <w:rPr>
          <w:noProof/>
        </w:rPr>
        <w:t xml:space="preserve">Näitä investointeja koskeva yksityiskohtainen toteutussuunnitelma on toimitettava 31 päivään joulukuuta 2022 mennessä, jotta valitut hankkeet voidaan määritellä selkeästi.  </w:t>
      </w:r>
    </w:p>
    <w:p w14:paraId="0483EF2F" w14:textId="5CBEDFBF" w:rsidR="0065073E" w:rsidRDefault="000A0998">
      <w:pPr>
        <w:pStyle w:val="P68B1DB1-Normal4"/>
        <w:spacing w:before="120" w:after="120" w:line="240" w:lineRule="auto"/>
        <w:jc w:val="both"/>
        <w:rPr>
          <w:rFonts w:cs="Times New Roman"/>
          <w:noProof/>
        </w:rPr>
      </w:pPr>
      <w:r>
        <w:rPr>
          <w:noProof/>
        </w:rPr>
        <w:t xml:space="preserve">Suunnitelmassa on esitettävä tekniset perusteet (hankkeiden ja tuensaajien keskeiset piirteet) sekä tarvittavat oikeudelliset ja sääntelytoimet, mukaan lukien tarvittavat toimenpiteet valtiontukien valvonnan noudattamiseksi. Investointi on saatettava päätökseen viimeistään 30 päivänä kesäkuuta 2026. </w:t>
      </w:r>
    </w:p>
    <w:p w14:paraId="547B9957" w14:textId="77777777" w:rsidR="0065073E" w:rsidRDefault="000A0998">
      <w:pPr>
        <w:pStyle w:val="P68B1DB1-Normal5"/>
        <w:spacing w:before="120" w:after="120" w:line="240" w:lineRule="auto"/>
        <w:jc w:val="both"/>
        <w:rPr>
          <w:rFonts w:cs="Times New Roman"/>
          <w:noProof/>
        </w:rPr>
      </w:pPr>
      <w:r>
        <w:rPr>
          <w:noProof/>
        </w:rPr>
        <w:t>Investointi 6 (C15.I6) – 5G:n käyttöönotto: verkot, teknologinen muutos ja innovointi</w:t>
      </w:r>
    </w:p>
    <w:p w14:paraId="24B69272" w14:textId="77777777" w:rsidR="0065073E" w:rsidRDefault="000A0998">
      <w:pPr>
        <w:pStyle w:val="P68B1DB1-Normal4"/>
        <w:spacing w:before="120" w:after="120" w:line="240" w:lineRule="auto"/>
        <w:jc w:val="both"/>
        <w:rPr>
          <w:rFonts w:cs="Times New Roman"/>
          <w:noProof/>
        </w:rPr>
      </w:pPr>
      <w:r>
        <w:rPr>
          <w:noProof/>
        </w:rPr>
        <w:t>Investointi koostuu neljästä eri alahankkeesta:</w:t>
      </w:r>
    </w:p>
    <w:p w14:paraId="0B1CF237" w14:textId="0C6641AD" w:rsidR="0065073E" w:rsidRDefault="000A0998">
      <w:pPr>
        <w:pStyle w:val="P68B1DB1-Normal4"/>
        <w:spacing w:before="120" w:after="120" w:line="240" w:lineRule="auto"/>
        <w:ind w:left="709"/>
        <w:jc w:val="both"/>
        <w:rPr>
          <w:rFonts w:eastAsia="Calibri" w:cs="Times New Roman"/>
          <w:noProof/>
        </w:rPr>
      </w:pPr>
      <w:r>
        <w:rPr>
          <w:noProof/>
        </w:rPr>
        <w:t>1) 5G:n käyttöönottoa on tehostettava ja nopeutettava tärkeimmillä liikennekäytävillä (tiet ja rautatiet) sekä kansallisilla (tietyillä alueilla olevat toissijaiset käytävät) että rajat ylittävillä (ensisijaiset käytävät). Tämä aloite on linjassa Euroopan komission määrittelemien 5G-käytävien kanssa, ja sillä edistetään Espanjan ja Portugalin sekä Espanjan ja Ranskan välisiä käytäviä yhteensä vähintään 4000 kohteessa, mukaan lukien runkoliityntäyhteydet. Tämä toimenpide kattaa ne toissijaiset reitit, joita taajuustarjouksissa asetetut velvoitteet eivät koske.</w:t>
      </w:r>
    </w:p>
    <w:p w14:paraId="7084D070" w14:textId="3F4BE6DB" w:rsidR="0065073E" w:rsidRDefault="000A0998">
      <w:pPr>
        <w:pStyle w:val="P68B1DB1-Normal4"/>
        <w:spacing w:before="120" w:after="120" w:line="240" w:lineRule="auto"/>
        <w:ind w:left="709"/>
        <w:jc w:val="both"/>
        <w:rPr>
          <w:rFonts w:cs="Times New Roman"/>
          <w:noProof/>
        </w:rPr>
      </w:pPr>
      <w:r>
        <w:rPr>
          <w:noProof/>
        </w:rPr>
        <w:t>2) 5G:n käyttöönotto tietyillä alueilla tavoitteena saavuttaa 75 prosentin väestökattavuus 31 päivään joulukuuta 2025 mennessä 5G-etuusluokissa. Käyttöönoton helpottamiseksi on myös toteutettava toimia, joilla lisätään olemassa olevan verkon kapasiteettia, jotta voidaan vastata 5G:n käyttöönottoa edellyttävien kaistanleveyden suureen kysyntään ja tukiasemien tiheyteen (vähintään 7000 uutta tai olemassa olevaa paikkaa, joissa on uusia 5G-laitteita; ja vähintään 4000 olemassa olevaa paikkaa, joilla toteutetaan toimia runkoliityntäverkon kapasiteetin lisäämiseksi). Tämä toimenpide kattaa alueet, jotka eivät kuulu taajuustarjouskilpailuissa asetettujen velvoitteiden piiriin.</w:t>
      </w:r>
    </w:p>
    <w:p w14:paraId="323D5C30" w14:textId="1A49DEA5" w:rsidR="0065073E" w:rsidRDefault="0094584D">
      <w:pPr>
        <w:pStyle w:val="P68B1DB1-Normal4"/>
        <w:spacing w:before="120" w:after="120" w:line="240" w:lineRule="auto"/>
        <w:ind w:left="709"/>
        <w:jc w:val="both"/>
        <w:rPr>
          <w:rFonts w:cs="Times New Roman"/>
          <w:noProof/>
        </w:rPr>
      </w:pPr>
      <w:r>
        <w:rPr>
          <w:noProof/>
        </w:rPr>
        <w:t xml:space="preserve">3) </w:t>
      </w:r>
      <w:r w:rsidR="000A0998">
        <w:rPr>
          <w:noProof/>
        </w:rPr>
        <w:t>5G:n käyttöönotto keskeisissä taloudellisissa toiminnoissa (teolliset tuotantoympäristöt tietyillä keskeisillä ja vaikutuksiltaan merkittävillä tuotannonaloilla) ja keskeisissä palveluissa (tuotantoympäristöt koulutus-, hoito- ja sosiaaliterveyden aloilla). Vähintään 43 yhteenliitettävyyshanketta on odotettavissa.</w:t>
      </w:r>
    </w:p>
    <w:p w14:paraId="77066EE2" w14:textId="20F6339C" w:rsidR="0065073E" w:rsidRDefault="0094584D">
      <w:pPr>
        <w:pStyle w:val="P68B1DB1-Normal4"/>
        <w:spacing w:before="120" w:after="120" w:line="240" w:lineRule="auto"/>
        <w:ind w:left="709"/>
        <w:jc w:val="both"/>
        <w:rPr>
          <w:rFonts w:cs="Times New Roman"/>
          <w:noProof/>
        </w:rPr>
      </w:pPr>
      <w:r>
        <w:rPr>
          <w:noProof/>
        </w:rPr>
        <w:t xml:space="preserve">4) </w:t>
      </w:r>
      <w:r w:rsidR="000A0998">
        <w:rPr>
          <w:noProof/>
        </w:rPr>
        <w:t>Tuki 5G- ja 6G-teknologiaan liittyvälle tutkimus- ja kehitystoiminnalle innovaatioekosysteemeille (vähintään 200 hanketta) ja 5G-kyberturvallisuusekosysteemeille (perustamalla keskus, jolla on valmiudet isännöidä noin 300 insinööriä, 5G-kyberturvallisuutta varten, lukuun ottamatta rakennus- ja kunnostustöihin liittyviä kustannuksia).</w:t>
      </w:r>
    </w:p>
    <w:p w14:paraId="4CD8BEF3" w14:textId="387DA42B" w:rsidR="0065073E" w:rsidRDefault="000A0998">
      <w:pPr>
        <w:pStyle w:val="P68B1DB1-Normal4"/>
        <w:spacing w:before="120" w:after="120" w:line="240" w:lineRule="auto"/>
        <w:jc w:val="both"/>
        <w:rPr>
          <w:rFonts w:eastAsia="Calibri" w:cs="Times New Roman"/>
          <w:noProof/>
        </w:rPr>
      </w:pPr>
      <w:r>
        <w:rPr>
          <w:noProof/>
        </w:rPr>
        <w:t xml:space="preserve">Kaikista edellä mainituista hankkeista on toimitettava 30. kesäkuuta 2022 mennessä yksityiskohtainen toteutussuunnitelma, jonka tavoitteena on määritellä selkeästi valitut hankkeet ja myöntää 100 prosenttia talousarviosta 31 päivään joulukuuta 2024 mennessä ja saada hanke päätökseen 30 päivään kesäkuuta 2026 mennessä. </w:t>
      </w:r>
    </w:p>
    <w:p w14:paraId="32224B04" w14:textId="77777777" w:rsidR="0065073E" w:rsidRDefault="000A0998">
      <w:pPr>
        <w:pStyle w:val="P68B1DB1-Normal4"/>
        <w:spacing w:before="120" w:after="120" w:line="240" w:lineRule="auto"/>
        <w:jc w:val="both"/>
        <w:rPr>
          <w:rFonts w:eastAsia="Calibri" w:cs="Times New Roman"/>
          <w:noProof/>
        </w:rPr>
      </w:pPr>
      <w:r>
        <w:rPr>
          <w:noProof/>
        </w:rPr>
        <w:t xml:space="preserve">Suunnitelmaan on sisällyttävä 5G:n käyttöönottoa koskeva täytäntöönpanosuunnitelma, joka sisältää toimia seuraavilla aloilla: 1) 5G-käytävät; 2) 5G-liityntäverkkojen ja runkoliityntäverkon käyttöönotto muilla alueilla; 5G:n käyttöönottohankkeet, jotka koskevat keskeisten taloudellisten toimintojen ja keskeisten palvelujen yhteenliitettävyyttä ja digitalisointia; ja 4) 5G- ja 6G-ekosysteemien innovatiivisten sovellusten tukeminen. Suunnitelmassa on myös esitettävä tekniset perusteet (hankkeiden ja tarvittaessa niiden kattamien alojen keskeiset piirteet) sekä tarvittavat oikeudelliset ja sääntelytoimet, mukaan lukien tarvittavat toimet asiaankuuluvien EU:n valtiontukisääntöjen noudattamiseksi. Suunnitelmassa on myös asetettava lopulliset tavoitteet, jotka on saavutettava 31 päivään joulukuuta 2025 mennessä. </w:t>
      </w:r>
    </w:p>
    <w:p w14:paraId="68A4B104" w14:textId="1F2FF1E5" w:rsidR="0065073E" w:rsidRDefault="000A0998">
      <w:pPr>
        <w:pStyle w:val="P68B1DB1-Normal4"/>
        <w:spacing w:before="120" w:after="120" w:line="240" w:lineRule="auto"/>
        <w:jc w:val="both"/>
        <w:rPr>
          <w:rFonts w:eastAsia="Calibri" w:cs="Times New Roman"/>
          <w:noProof/>
        </w:rPr>
      </w:pPr>
      <w:r>
        <w:rPr>
          <w:noProof/>
        </w:rPr>
        <w:t>Investointi on saatettava päätökseen viimeistään 30 päivänä kesäkuuta 2026.</w:t>
      </w:r>
    </w:p>
    <w:p w14:paraId="1127DB1F" w14:textId="77777777" w:rsidR="0065073E" w:rsidRDefault="000A0998">
      <w:pPr>
        <w:pStyle w:val="P68B1DB1-Normal5"/>
        <w:spacing w:before="120" w:after="120" w:line="240" w:lineRule="auto"/>
        <w:jc w:val="both"/>
        <w:rPr>
          <w:rFonts w:cs="Times New Roman"/>
          <w:noProof/>
        </w:rPr>
      </w:pPr>
      <w:r>
        <w:rPr>
          <w:noProof/>
        </w:rPr>
        <w:t>Investointi 7 (C15.I7) kyberturvallisuus: Kansalaisten, pk-yritysten ja ammattilaisten valmiuksien parantaminen; alan ekosysteemin parantaminen</w:t>
      </w:r>
    </w:p>
    <w:p w14:paraId="410DE09F" w14:textId="77777777" w:rsidR="0065073E" w:rsidRDefault="000A0998">
      <w:pPr>
        <w:pStyle w:val="P68B1DB1-Normal4"/>
        <w:spacing w:before="120" w:after="120" w:line="240" w:lineRule="auto"/>
        <w:jc w:val="both"/>
        <w:rPr>
          <w:rFonts w:cs="Times New Roman"/>
          <w:noProof/>
        </w:rPr>
      </w:pPr>
      <w:r>
        <w:rPr>
          <w:noProof/>
        </w:rPr>
        <w:t xml:space="preserve">Investointi koostuu useista toimista, joilla pyritään kehittämään sekä kansalaisten että yritysten kyberturvallisuusvalmiuksia ja vahvistamaan Espanjan kyberturvallisuusekosysteemiä. Toimet jakautuvat kolmeen toimintalinjaan: </w:t>
      </w:r>
    </w:p>
    <w:p w14:paraId="4C6EFB9E" w14:textId="77777777" w:rsidR="0065073E" w:rsidRDefault="000A0998">
      <w:pPr>
        <w:pStyle w:val="P68B1DB1-Normal4"/>
        <w:spacing w:before="120" w:after="120" w:line="240" w:lineRule="auto"/>
        <w:ind w:left="709"/>
        <w:jc w:val="both"/>
        <w:rPr>
          <w:rFonts w:cs="Times New Roman"/>
          <w:noProof/>
        </w:rPr>
      </w:pPr>
      <w:r>
        <w:rPr>
          <w:noProof/>
        </w:rPr>
        <w:t>1) kansalaisten, pk-yritysten ja ammattilaisten kyberturvallisuusvalmiuksien vahvistaminen. Annetaan kansalaisille ja yrityksille, erityisesti pk-yrityksille, tarvittavat taidot digitaalisten palvelujen jokapäiväiseen käyttöön liittyvien riskien tunnistamiseksi. Tämän alan ohjelmiin sisältyy tiedotuskampanja, jonka odotetaan tavoittavan mahdollisimman monet ihmiset tiedotuskampanjoiden, läheisyystoimien ja erityisresurssien kehittämisen avulla. Tähän sisältyy myös reagointimekanismien lisääminen koordinoiduilla reagointipalveluilla ja toimilla, kuten kyberturvallisuuden neuvontapalvelulla, jolla lisätään sen kapasiteettia 20000 puheluun kuukaudessa.</w:t>
      </w:r>
    </w:p>
    <w:p w14:paraId="58B7BDA7" w14:textId="77777777" w:rsidR="0065073E" w:rsidRDefault="000A0998">
      <w:pPr>
        <w:pStyle w:val="P68B1DB1-Normal4"/>
        <w:spacing w:before="120" w:after="120" w:line="240" w:lineRule="auto"/>
        <w:ind w:left="709"/>
        <w:jc w:val="both"/>
        <w:rPr>
          <w:rFonts w:eastAsia="Calibri" w:cs="Times New Roman"/>
          <w:noProof/>
        </w:rPr>
      </w:pPr>
      <w:r>
        <w:rPr>
          <w:noProof/>
        </w:rPr>
        <w:t>2) kyberturvallisuuden teollisen ekosysteemin edistäminen. Tähän toimenpiteen osaan sisältyy erityistoimia, jotka koskevat seuraavia: kansallinen kyberturvallisuusala alan uusien yritysten perustamista, kasvua ja kehittämistä varten; kyberturvallisuutta koskeva tutkimus, kehitys ja innovointi, joka mahdollistaa korkean lisäarvon ratkaisujen ja palvelujen kehittämisen; osaajien kouluttaminen ja kehittäminen alan ammattilaisten täyttämättömään kysyntään vastaamiseksi. Lisäksi siinä säädetään demonstrointikeskuksen perustamisesta kyberturvallisuusinfrastruktuurin kehittämistä ja uusien kyberturvallisuuspalvelujen luomista varten, mukaan lukien testauslaboratoriot ja kyberhyökkäyssimulaattorit, sekä kyberturvallisuusmerkintöjen sertifiointien kehittämisestä. 3) Kansainvälisen kyberturvallisuuskeskuksen perustaminen alan vauhdittamiseksi Euroopassa osallistumalla aktiivisesti kyberturvallisuuskeskusten eurooppalaiseen verkostoon. Tähän sisältyy Euroopan osaamiskeskuksen (ERCC) peilikeskuksen käynnistäminen.</w:t>
      </w:r>
    </w:p>
    <w:p w14:paraId="1BF3A708" w14:textId="77777777" w:rsidR="0065073E" w:rsidRDefault="000A0998">
      <w:pPr>
        <w:pStyle w:val="P68B1DB1-Normal4"/>
        <w:spacing w:after="0" w:line="240" w:lineRule="auto"/>
        <w:rPr>
          <w:rFonts w:eastAsia="Calibri" w:cs="Times New Roman"/>
          <w:noProof/>
        </w:rPr>
      </w:pPr>
      <w:r>
        <w:rPr>
          <w:noProof/>
        </w:rPr>
        <w:t xml:space="preserve">Investoinnin toteutus saatetaan päätökseen viimeistään 30. kesäkuuta 2026. </w:t>
      </w:r>
    </w:p>
    <w:p w14:paraId="6EED76DD" w14:textId="77777777" w:rsidR="0065073E" w:rsidRDefault="000A0998">
      <w:pPr>
        <w:pStyle w:val="P68B1DB1-Normal5"/>
        <w:spacing w:before="120" w:after="120" w:line="240" w:lineRule="auto"/>
        <w:jc w:val="both"/>
        <w:rPr>
          <w:rFonts w:cs="Times New Roman"/>
          <w:noProof/>
        </w:rPr>
      </w:pPr>
      <w:r>
        <w:rPr>
          <w:noProof/>
        </w:rPr>
        <w:t>Investointi 8 (C15.I8) – PERTE-siru: Tieteellisen ja teknologisen ekosysteemin vahvistaminen. Paremmat suunnitteluvalmiudet</w:t>
      </w:r>
    </w:p>
    <w:p w14:paraId="26F5EB1B" w14:textId="137DA6B5" w:rsidR="0065073E" w:rsidRDefault="000A0998">
      <w:pPr>
        <w:pStyle w:val="P68B1DB1-Normal4"/>
        <w:spacing w:before="120" w:after="120" w:line="240" w:lineRule="auto"/>
        <w:jc w:val="both"/>
        <w:rPr>
          <w:rFonts w:cs="Times New Roman"/>
          <w:noProof/>
        </w:rPr>
      </w:pPr>
      <w:r>
        <w:rPr>
          <w:noProof/>
        </w:rPr>
        <w:t>Tämä toimenpide on osa strategista aloitetta PERTE Chip, jonka tavoitteena on kehittää mikroelektroniikka- ja puolijohdeteollisuuden tieteellisiä, suunnittelu- ja tuotantovalmiuksia Espanjassa. Tällä investoinnilla vahvistetaan puolijohdeteollisuuden tieteellistä ja teknologista ekosysteemiä keskittyen tutkimuksen, kehityksen ja innovoinnin kehittämiseen koko alalla, mukaan lukien puhtaan huoneen infrastruktuurin luominen ja parantaminen, lahjakkuuksien luominen ja houkutteleminen tai tiettyjen alojen, kuten integroidun fotoniikan tai RISC-V:n, vahvistaminen.</w:t>
      </w:r>
    </w:p>
    <w:p w14:paraId="43493729" w14:textId="52D4B4C3" w:rsidR="0065073E" w:rsidRDefault="000A0998">
      <w:pPr>
        <w:pStyle w:val="P68B1DB1-Normal4"/>
        <w:spacing w:before="120" w:after="120" w:line="240" w:lineRule="auto"/>
        <w:jc w:val="both"/>
        <w:rPr>
          <w:rFonts w:cs="Times New Roman"/>
          <w:noProof/>
        </w:rPr>
      </w:pPr>
      <w:r>
        <w:rPr>
          <w:noProof/>
        </w:rPr>
        <w:t>Tästä investoinnista tuettavilla hankkeilla on edistettävä ainakin osittain yhtä tai useampaa seuraavista toimintalinjoista:</w:t>
      </w:r>
    </w:p>
    <w:p w14:paraId="6AD5FD41" w14:textId="77777777" w:rsidR="0065073E" w:rsidRDefault="000A0998">
      <w:pPr>
        <w:pStyle w:val="P68B1DB1-ListParagraph6"/>
        <w:numPr>
          <w:ilvl w:val="0"/>
          <w:numId w:val="631"/>
        </w:numPr>
        <w:spacing w:before="120" w:after="120" w:line="240" w:lineRule="auto"/>
        <w:rPr>
          <w:rFonts w:cs="Times New Roman"/>
          <w:noProof/>
        </w:rPr>
      </w:pPr>
      <w:r>
        <w:rPr>
          <w:noProof/>
        </w:rPr>
        <w:t>Toimi 1. Huippuprosessoreja ja vaihtoehtoisia arkkitehtuureja koskevan T &amp; K &amp; I-toiminnan kehittäminen.</w:t>
      </w:r>
    </w:p>
    <w:p w14:paraId="2E618CE4" w14:textId="77777777" w:rsidR="0065073E" w:rsidRDefault="000A0998">
      <w:pPr>
        <w:pStyle w:val="P68B1DB1-ListParagraph6"/>
        <w:numPr>
          <w:ilvl w:val="0"/>
          <w:numId w:val="631"/>
        </w:numPr>
        <w:spacing w:before="120" w:after="120" w:line="240" w:lineRule="auto"/>
        <w:rPr>
          <w:rFonts w:cs="Times New Roman"/>
          <w:noProof/>
        </w:rPr>
      </w:pPr>
      <w:r>
        <w:rPr>
          <w:noProof/>
        </w:rPr>
        <w:t>Toimi 2. Fotoniikan kehittäminen T &amp; K &amp; I-toiminta</w:t>
      </w:r>
    </w:p>
    <w:p w14:paraId="6F66DE6B" w14:textId="77777777" w:rsidR="0065073E" w:rsidRDefault="000A0998">
      <w:pPr>
        <w:pStyle w:val="P68B1DB1-ListParagraph6"/>
        <w:numPr>
          <w:ilvl w:val="0"/>
          <w:numId w:val="631"/>
        </w:numPr>
        <w:spacing w:before="120" w:after="120" w:line="240" w:lineRule="auto"/>
        <w:rPr>
          <w:rFonts w:cs="Times New Roman"/>
          <w:noProof/>
        </w:rPr>
      </w:pPr>
      <w:r>
        <w:rPr>
          <w:noProof/>
        </w:rPr>
        <w:t>Toimi 3. Mikroelektroniikkaa ja viestintäteknologiaa koskevan lPCEI:n budjettikohta (IPCEI ME-TC)</w:t>
      </w:r>
    </w:p>
    <w:p w14:paraId="586F95AC" w14:textId="77777777" w:rsidR="0065073E" w:rsidRDefault="000A0998">
      <w:pPr>
        <w:pStyle w:val="P68B1DB1-ListParagraph6"/>
        <w:numPr>
          <w:ilvl w:val="0"/>
          <w:numId w:val="631"/>
        </w:numPr>
        <w:spacing w:before="120" w:after="120" w:line="240" w:lineRule="auto"/>
        <w:rPr>
          <w:rFonts w:cs="Times New Roman"/>
          <w:noProof/>
        </w:rPr>
      </w:pPr>
      <w:r>
        <w:rPr>
          <w:noProof/>
        </w:rPr>
        <w:t>Toimi 4. Perustetaan fables-yrityksiä huipputason mikroprosessorien ja vaihtoehtoisten arkkitehtuurien suunnittelua varten.</w:t>
      </w:r>
    </w:p>
    <w:p w14:paraId="4BCDC96A" w14:textId="77777777" w:rsidR="0065073E" w:rsidRDefault="000A0998">
      <w:pPr>
        <w:pStyle w:val="P68B1DB1-ListParagraph6"/>
        <w:numPr>
          <w:ilvl w:val="0"/>
          <w:numId w:val="631"/>
        </w:numPr>
        <w:spacing w:before="120" w:after="120" w:line="240" w:lineRule="auto"/>
        <w:rPr>
          <w:rFonts w:cs="Times New Roman"/>
          <w:noProof/>
        </w:rPr>
      </w:pPr>
      <w:r>
        <w:rPr>
          <w:noProof/>
        </w:rPr>
        <w:t>Toimi 5. Pilottitestauslinjojen luominen.</w:t>
      </w:r>
    </w:p>
    <w:p w14:paraId="30B4D0DC" w14:textId="77777777" w:rsidR="0065073E" w:rsidRDefault="000A0998">
      <w:pPr>
        <w:pStyle w:val="P68B1DB1-ListParagraph6"/>
        <w:numPr>
          <w:ilvl w:val="0"/>
          <w:numId w:val="631"/>
        </w:numPr>
        <w:spacing w:before="120" w:after="120" w:line="240" w:lineRule="auto"/>
        <w:rPr>
          <w:rFonts w:cs="Times New Roman"/>
          <w:noProof/>
        </w:rPr>
      </w:pPr>
      <w:r>
        <w:rPr>
          <w:noProof/>
        </w:rPr>
        <w:t>Toimi 6. Puolijohteita koskevan koulutusverkoston perustaminen</w:t>
      </w:r>
    </w:p>
    <w:p w14:paraId="23BD4A3C" w14:textId="77777777" w:rsidR="0065073E" w:rsidRDefault="000A0998">
      <w:pPr>
        <w:pStyle w:val="P68B1DB1-ListParagraph6"/>
        <w:numPr>
          <w:ilvl w:val="0"/>
          <w:numId w:val="631"/>
        </w:numPr>
        <w:spacing w:before="120" w:after="120" w:line="240" w:lineRule="auto"/>
        <w:rPr>
          <w:rFonts w:cs="Times New Roman"/>
          <w:noProof/>
        </w:rPr>
      </w:pPr>
      <w:r>
        <w:rPr>
          <w:noProof/>
        </w:rPr>
        <w:t xml:space="preserve">Toimi 7. Niiden valmistuskapasiteetti on alle 5 nm </w:t>
      </w:r>
    </w:p>
    <w:p w14:paraId="2FD5B01F" w14:textId="77777777" w:rsidR="0065073E" w:rsidRDefault="000A0998">
      <w:pPr>
        <w:pStyle w:val="P68B1DB1-ListParagraph6"/>
        <w:numPr>
          <w:ilvl w:val="0"/>
          <w:numId w:val="631"/>
        </w:numPr>
        <w:spacing w:before="120" w:after="120" w:line="240" w:lineRule="auto"/>
        <w:rPr>
          <w:rFonts w:cs="Times New Roman"/>
          <w:noProof/>
        </w:rPr>
      </w:pPr>
      <w:r>
        <w:rPr>
          <w:noProof/>
        </w:rPr>
        <w:t xml:space="preserve">Toimi 8. Niiden valmistuskapasiteetti on yli 5 nm </w:t>
      </w:r>
    </w:p>
    <w:p w14:paraId="33D26450" w14:textId="77777777" w:rsidR="0065073E" w:rsidRDefault="000A0998">
      <w:pPr>
        <w:pStyle w:val="P68B1DB1-ListParagraph6"/>
        <w:numPr>
          <w:ilvl w:val="0"/>
          <w:numId w:val="631"/>
        </w:numPr>
        <w:spacing w:before="120" w:after="120" w:line="240" w:lineRule="auto"/>
        <w:rPr>
          <w:rFonts w:cs="Times New Roman"/>
          <w:noProof/>
        </w:rPr>
      </w:pPr>
      <w:r>
        <w:rPr>
          <w:noProof/>
        </w:rPr>
        <w:t>Toimi 9. Tieto- ja viestintätekniikan valmistuksen kannustinjärjestelmä</w:t>
      </w:r>
    </w:p>
    <w:p w14:paraId="40DE6A08" w14:textId="77777777" w:rsidR="0065073E" w:rsidRDefault="000A0998">
      <w:pPr>
        <w:pStyle w:val="P68B1DB1-Normal4"/>
        <w:spacing w:before="120" w:after="120" w:line="240" w:lineRule="auto"/>
        <w:rPr>
          <w:rFonts w:cs="Times New Roman"/>
          <w:noProof/>
        </w:rPr>
      </w:pPr>
      <w:r>
        <w:rPr>
          <w:noProof/>
        </w:rPr>
        <w:t xml:space="preserve">Investoinnin toteutus saatetaan päätökseen viimeistään 30. kesäkuuta 2026. </w:t>
      </w:r>
    </w:p>
    <w:p w14:paraId="2F9699E9" w14:textId="5DE423BE" w:rsidR="0065073E" w:rsidRDefault="000A0998">
      <w:pPr>
        <w:ind w:left="720"/>
        <w:rPr>
          <w:rFonts w:ascii="Times New Roman" w:hAnsi="Times New Roman" w:cs="Times New Roman"/>
          <w:noProof/>
          <w:u w:val="single"/>
        </w:rPr>
      </w:pPr>
      <w:r>
        <w:rPr>
          <w:rFonts w:ascii="Times New Roman" w:hAnsi="Times New Roman"/>
          <w:b/>
          <w:noProof/>
          <w:sz w:val="24"/>
          <w:u w:val="single"/>
        </w:rPr>
        <w:t xml:space="preserve">O.2.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3F9B53CA"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44EA458C" w14:textId="77777777" w:rsidR="0065073E" w:rsidRDefault="0065073E">
      <w:pPr>
        <w:spacing w:before="120" w:after="120" w:line="240" w:lineRule="auto"/>
        <w:jc w:val="both"/>
        <w:rPr>
          <w:rFonts w:ascii="Times New Roman" w:hAnsi="Times New Roman" w:cs="Times New Roman"/>
          <w:b/>
          <w:noProof/>
          <w:sz w:val="24"/>
          <w:u w:val="single"/>
        </w:rPr>
      </w:pPr>
    </w:p>
    <w:p w14:paraId="08AB0B9E"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348"/>
          <w:headerReference w:type="default" r:id="rId349"/>
          <w:footerReference w:type="even" r:id="rId350"/>
          <w:footerReference w:type="default" r:id="rId351"/>
          <w:headerReference w:type="first" r:id="rId352"/>
          <w:footerReference w:type="first" r:id="rId353"/>
          <w:pgSz w:w="11907" w:h="16839"/>
          <w:pgMar w:top="1134" w:right="1134" w:bottom="1134" w:left="1134" w:header="567" w:footer="567" w:gutter="0"/>
          <w:cols w:space="720"/>
          <w:docGrid w:linePitch="360"/>
        </w:sectPr>
      </w:pPr>
    </w:p>
    <w:tbl>
      <w:tblPr>
        <w:tblW w:w="15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06"/>
        <w:gridCol w:w="952"/>
        <w:gridCol w:w="818"/>
        <w:gridCol w:w="2405"/>
        <w:gridCol w:w="1252"/>
        <w:gridCol w:w="697"/>
        <w:gridCol w:w="974"/>
        <w:gridCol w:w="763"/>
        <w:gridCol w:w="492"/>
        <w:gridCol w:w="696"/>
        <w:gridCol w:w="5563"/>
        <w:gridCol w:w="6"/>
      </w:tblGrid>
      <w:tr w:rsidR="0065073E" w14:paraId="7A0188BB" w14:textId="77777777">
        <w:trPr>
          <w:trHeight w:val="309"/>
          <w:tblHeader/>
          <w:jc w:val="center"/>
        </w:trPr>
        <w:tc>
          <w:tcPr>
            <w:tcW w:w="806"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65073E" w:rsidRDefault="000A0998">
            <w:pPr>
              <w:pStyle w:val="P68B1DB1-Normal8"/>
              <w:spacing w:after="0"/>
              <w:jc w:val="center"/>
              <w:rPr>
                <w:rFonts w:cs="Times New Roman"/>
                <w:noProof/>
              </w:rPr>
            </w:pPr>
            <w:r>
              <w:rPr>
                <w:noProof/>
              </w:rPr>
              <w:t>Määrä</w:t>
            </w:r>
          </w:p>
        </w:tc>
        <w:tc>
          <w:tcPr>
            <w:tcW w:w="952"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65073E" w:rsidRDefault="000A0998">
            <w:pPr>
              <w:pStyle w:val="P68B1DB1-Normal8"/>
              <w:spacing w:after="0"/>
              <w:jc w:val="center"/>
              <w:rPr>
                <w:rFonts w:cs="Times New Roman"/>
                <w:noProof/>
              </w:rPr>
            </w:pPr>
            <w:r>
              <w:rPr>
                <w:noProof/>
              </w:rPr>
              <w:t>Toimenpide</w:t>
            </w:r>
          </w:p>
        </w:tc>
        <w:tc>
          <w:tcPr>
            <w:tcW w:w="818"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40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65073E" w:rsidRDefault="000A0998">
            <w:pPr>
              <w:pStyle w:val="P68B1DB1-Normal8"/>
              <w:spacing w:after="0"/>
              <w:jc w:val="center"/>
              <w:rPr>
                <w:rFonts w:cs="Times New Roman"/>
                <w:noProof/>
              </w:rPr>
            </w:pPr>
            <w:r>
              <w:rPr>
                <w:noProof/>
              </w:rPr>
              <w:t>Nimi</w:t>
            </w:r>
          </w:p>
        </w:tc>
        <w:tc>
          <w:tcPr>
            <w:tcW w:w="1252"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65073E" w:rsidRDefault="000A0998">
            <w:pPr>
              <w:pStyle w:val="P68B1DB1-Normal8"/>
              <w:spacing w:after="0"/>
              <w:jc w:val="center"/>
              <w:rPr>
                <w:rFonts w:cs="Times New Roman"/>
                <w:noProof/>
              </w:rPr>
            </w:pPr>
            <w:r>
              <w:rPr>
                <w:noProof/>
              </w:rPr>
              <w:t>Välitavoitteiden laadullinen indikaattori</w:t>
            </w:r>
          </w:p>
        </w:tc>
        <w:tc>
          <w:tcPr>
            <w:tcW w:w="243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65073E" w:rsidRDefault="000A0998">
            <w:pPr>
              <w:pStyle w:val="P68B1DB1-Normal8"/>
              <w:spacing w:after="0"/>
              <w:jc w:val="center"/>
              <w:rPr>
                <w:rFonts w:cs="Times New Roman"/>
                <w:noProof/>
              </w:rPr>
            </w:pPr>
            <w:r>
              <w:rPr>
                <w:noProof/>
              </w:rPr>
              <w:t>Määrällinen indikaattori tavoitteelle</w:t>
            </w:r>
          </w:p>
        </w:tc>
        <w:tc>
          <w:tcPr>
            <w:tcW w:w="118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65073E" w:rsidRDefault="000A0998">
            <w:pPr>
              <w:pStyle w:val="P68B1DB1-Normal8"/>
              <w:spacing w:after="0"/>
              <w:jc w:val="center"/>
              <w:rPr>
                <w:rFonts w:cs="Times New Roman"/>
                <w:noProof/>
              </w:rPr>
            </w:pPr>
            <w:r>
              <w:rPr>
                <w:noProof/>
              </w:rPr>
              <w:t>Aika</w:t>
            </w:r>
          </w:p>
        </w:tc>
        <w:tc>
          <w:tcPr>
            <w:tcW w:w="5569"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4067725C" w14:textId="77777777">
        <w:trPr>
          <w:trHeight w:val="309"/>
          <w:tblHeader/>
          <w:jc w:val="center"/>
        </w:trPr>
        <w:tc>
          <w:tcPr>
            <w:tcW w:w="806"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65073E" w:rsidRDefault="0065073E">
            <w:pPr>
              <w:spacing w:after="0"/>
              <w:jc w:val="center"/>
              <w:rPr>
                <w:rFonts w:ascii="Times New Roman" w:hAnsi="Times New Roman" w:cs="Times New Roman"/>
                <w:b/>
                <w:noProof/>
                <w:sz w:val="18"/>
              </w:rPr>
            </w:pPr>
          </w:p>
        </w:tc>
        <w:tc>
          <w:tcPr>
            <w:tcW w:w="952"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65073E" w:rsidRDefault="0065073E">
            <w:pPr>
              <w:spacing w:after="0"/>
              <w:jc w:val="center"/>
              <w:rPr>
                <w:rFonts w:ascii="Times New Roman" w:hAnsi="Times New Roman" w:cs="Times New Roman"/>
                <w:b/>
                <w:noProof/>
                <w:sz w:val="18"/>
              </w:rPr>
            </w:pPr>
          </w:p>
        </w:tc>
        <w:tc>
          <w:tcPr>
            <w:tcW w:w="818"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65073E" w:rsidRDefault="0065073E">
            <w:pPr>
              <w:spacing w:after="0"/>
              <w:jc w:val="center"/>
              <w:rPr>
                <w:rFonts w:ascii="Times New Roman" w:hAnsi="Times New Roman" w:cs="Times New Roman"/>
                <w:b/>
                <w:noProof/>
                <w:sz w:val="18"/>
              </w:rPr>
            </w:pPr>
          </w:p>
        </w:tc>
        <w:tc>
          <w:tcPr>
            <w:tcW w:w="2405"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65073E" w:rsidRDefault="0065073E">
            <w:pPr>
              <w:spacing w:after="0"/>
              <w:rPr>
                <w:rFonts w:ascii="Times New Roman" w:hAnsi="Times New Roman" w:cs="Times New Roman"/>
                <w:b/>
                <w:noProof/>
                <w:sz w:val="18"/>
              </w:rPr>
            </w:pPr>
          </w:p>
        </w:tc>
        <w:tc>
          <w:tcPr>
            <w:tcW w:w="1252"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65073E" w:rsidRDefault="0065073E">
            <w:pPr>
              <w:spacing w:after="0"/>
              <w:jc w:val="center"/>
              <w:rPr>
                <w:rFonts w:ascii="Times New Roman" w:hAnsi="Times New Roman" w:cs="Times New Roman"/>
                <w:b/>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65073E" w:rsidRDefault="000A0998">
            <w:pPr>
              <w:pStyle w:val="P68B1DB1-Normal8"/>
              <w:spacing w:after="0"/>
              <w:jc w:val="center"/>
              <w:rPr>
                <w:rFonts w:cs="Times New Roman"/>
                <w:noProof/>
              </w:rPr>
            </w:pPr>
            <w:r>
              <w:rPr>
                <w:noProof/>
              </w:rPr>
              <w:t>Yksikkö</w:t>
            </w:r>
          </w:p>
        </w:tc>
        <w:tc>
          <w:tcPr>
            <w:tcW w:w="9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9D7F9E" w:rsidR="0065073E" w:rsidRDefault="000A0998">
            <w:pPr>
              <w:pStyle w:val="P68B1DB1-Normal8"/>
              <w:spacing w:after="0"/>
              <w:jc w:val="center"/>
              <w:rPr>
                <w:rFonts w:cs="Times New Roman"/>
                <w:noProof/>
              </w:rPr>
            </w:pPr>
            <w:r>
              <w:rPr>
                <w:noProof/>
              </w:rPr>
              <w:t>Lähtötaso</w:t>
            </w:r>
          </w:p>
        </w:tc>
        <w:tc>
          <w:tcPr>
            <w:tcW w:w="7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65073E" w:rsidRDefault="000A0998">
            <w:pPr>
              <w:pStyle w:val="P68B1DB1-Normal8"/>
              <w:spacing w:after="0"/>
              <w:jc w:val="center"/>
              <w:rPr>
                <w:rFonts w:cs="Times New Roman"/>
                <w:noProof/>
              </w:rPr>
            </w:pPr>
            <w:r>
              <w:rPr>
                <w:noProof/>
              </w:rPr>
              <w:t>Päämäärä</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65073E" w:rsidRDefault="000A0998">
            <w:pPr>
              <w:pStyle w:val="P68B1DB1-Normal8"/>
              <w:spacing w:after="0"/>
              <w:jc w:val="center"/>
              <w:rPr>
                <w:rFonts w:cs="Times New Roman"/>
                <w:noProof/>
              </w:rPr>
            </w:pPr>
            <w:r>
              <w:rPr>
                <w:noProof/>
              </w:rPr>
              <w:t>Q</w:t>
            </w:r>
          </w:p>
        </w:tc>
        <w:tc>
          <w:tcPr>
            <w:tcW w:w="6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65073E" w:rsidRDefault="000A0998">
            <w:pPr>
              <w:pStyle w:val="P68B1DB1-Normal8"/>
              <w:spacing w:after="0"/>
              <w:jc w:val="center"/>
              <w:rPr>
                <w:rFonts w:cs="Times New Roman"/>
                <w:noProof/>
              </w:rPr>
            </w:pPr>
            <w:r>
              <w:rPr>
                <w:noProof/>
              </w:rPr>
              <w:t>Vuosi</w:t>
            </w:r>
          </w:p>
        </w:tc>
        <w:tc>
          <w:tcPr>
            <w:tcW w:w="5569"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65073E" w:rsidRDefault="0065073E">
            <w:pPr>
              <w:spacing w:after="0"/>
              <w:rPr>
                <w:rFonts w:ascii="Times New Roman" w:hAnsi="Times New Roman" w:cs="Times New Roman"/>
                <w:b/>
                <w:noProof/>
                <w:sz w:val="18"/>
              </w:rPr>
            </w:pPr>
          </w:p>
        </w:tc>
      </w:tr>
      <w:tr w:rsidR="0065073E" w14:paraId="1A64BBD6"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65073E" w:rsidRDefault="000A0998">
            <w:pPr>
              <w:pStyle w:val="P68B1DB1-Normal12"/>
              <w:spacing w:after="0"/>
              <w:jc w:val="center"/>
              <w:rPr>
                <w:rFonts w:eastAsia="Times New Roman" w:cs="Times New Roman"/>
                <w:noProof/>
              </w:rPr>
            </w:pPr>
            <w:r>
              <w:rPr>
                <w:noProof/>
              </w:rPr>
              <w:t>229</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65073E" w:rsidRDefault="000A0998">
            <w:pPr>
              <w:pStyle w:val="P68B1DB1-Normal12"/>
              <w:spacing w:after="0"/>
              <w:jc w:val="center"/>
              <w:rPr>
                <w:rFonts w:eastAsia="Times New Roman" w:cs="Times New Roman"/>
                <w:noProof/>
              </w:rPr>
            </w:pPr>
            <w:r>
              <w:rPr>
                <w:noProof/>
              </w:rPr>
              <w:t>C15.R1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65073E" w:rsidRDefault="000A0998">
            <w:pPr>
              <w:pStyle w:val="P68B1DB1-Normal12"/>
              <w:spacing w:after="0"/>
              <w:rPr>
                <w:rFonts w:eastAsia="Times New Roman" w:cs="Times New Roman"/>
                <w:noProof/>
              </w:rPr>
            </w:pPr>
            <w:r>
              <w:rPr>
                <w:noProof/>
              </w:rPr>
              <w:t>Televiestintälain voimaantulo</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65073E" w:rsidRDefault="000A0998">
            <w:pPr>
              <w:pStyle w:val="P68B1DB1-Normal12"/>
              <w:spacing w:after="0"/>
              <w:jc w:val="center"/>
              <w:rPr>
                <w:rFonts w:eastAsia="Times New Roman" w:cs="Times New Roman"/>
                <w:noProof/>
              </w:rPr>
            </w:pPr>
            <w:r>
              <w:rPr>
                <w:noProof/>
              </w:rPr>
              <w:t xml:space="preserve">Lain voimaantuloon viittaava säännös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65073E" w:rsidRDefault="000A0998">
            <w:pPr>
              <w:pStyle w:val="P68B1DB1-Normal12"/>
              <w:spacing w:after="0"/>
              <w:jc w:val="center"/>
              <w:rPr>
                <w:rFonts w:eastAsia="Times New Roman"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65073E" w:rsidRDefault="000A0998">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65073E" w:rsidRDefault="000A0998">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65073E" w:rsidRDefault="000A0998">
            <w:pPr>
              <w:pStyle w:val="P68B1DB1-Normal12"/>
              <w:spacing w:after="0"/>
              <w:jc w:val="center"/>
              <w:rPr>
                <w:rFonts w:eastAsia="Times New Roman"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65073E" w:rsidRDefault="000A0998">
            <w:pPr>
              <w:pStyle w:val="P68B1DB1-Normal12"/>
              <w:spacing w:after="0"/>
              <w:jc w:val="center"/>
              <w:rPr>
                <w:rFonts w:eastAsia="Times New Roman"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65073E" w:rsidRDefault="000A0998">
            <w:pPr>
              <w:pStyle w:val="P68B1DB1-Normal12"/>
              <w:spacing w:after="0"/>
              <w:rPr>
                <w:rFonts w:eastAsia="Times New Roman" w:cs="Times New Roman"/>
                <w:noProof/>
              </w:rPr>
            </w:pPr>
            <w:r>
              <w:rPr>
                <w:noProof/>
              </w:rPr>
              <w:t>Televiestintälailla on myös saatettava osaksi kansallista lainsäädäntöä eurooppalaisesta sähköisen viestinnän säännöstöstä annettu direktiivi 2018/1972.  Lakiin sisällytetään myös suositukset EU:n yhteenliitettävyysvälineistöstä, jonka on oltava Espanjan oikeudellisen kehyksen mukainen laki. Sen lisäksi, että eurooppalaisesta sähköisen viestinnän säännöstöstä annettu direktiivi 2018/1972 on saatettu osaksi kansallista lainsäädäntöä, lakiin on sisällyttävä I) merenalaisten kaapeleiden ja IXP/tietokeskusten inventointia koskevat säännökset; II) sekä verkon käyttöönotosta kannettavia paikallisia veroja koskeva yksinkertaistettu verojärjestelmä; ja iii) keskitetyn yhteyspisteen käyttöönotto eri hallintotasojen verkkojen käyttöönottoa varten myöntämien toimilupien ja lupien soveltamista varten.</w:t>
            </w:r>
          </w:p>
        </w:tc>
      </w:tr>
      <w:tr w:rsidR="0065073E" w14:paraId="7BB81DD8"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65073E" w:rsidRDefault="000A0998">
            <w:pPr>
              <w:pStyle w:val="P68B1DB1-Normal12"/>
              <w:spacing w:after="0"/>
              <w:jc w:val="center"/>
              <w:rPr>
                <w:rFonts w:eastAsia="Times New Roman" w:cs="Times New Roman"/>
                <w:noProof/>
              </w:rPr>
            </w:pPr>
            <w:r>
              <w:rPr>
                <w:noProof/>
              </w:rPr>
              <w:t>230</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65073E" w:rsidRDefault="000A0998">
            <w:pPr>
              <w:pStyle w:val="P68B1DB1-Normal12"/>
              <w:spacing w:after="0"/>
              <w:jc w:val="center"/>
              <w:rPr>
                <w:rFonts w:eastAsia="Times New Roman"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65073E" w:rsidRDefault="000A0998">
            <w:pPr>
              <w:pStyle w:val="P68B1DB1-Normal12"/>
              <w:spacing w:after="0"/>
              <w:rPr>
                <w:rFonts w:eastAsia="Times New Roman" w:cs="Times New Roman"/>
                <w:noProof/>
              </w:rPr>
            </w:pPr>
            <w:r>
              <w:rPr>
                <w:noProof/>
              </w:rPr>
              <w:t>Vuoden 2025 digitaalinen Espanjan suunnitelma ja strategia 5G-teknologian edistämiseksi</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65073E" w:rsidRDefault="000A0998">
            <w:pPr>
              <w:pStyle w:val="P68B1DB1-Normal12"/>
              <w:spacing w:after="0"/>
              <w:jc w:val="center"/>
              <w:rPr>
                <w:rFonts w:eastAsia="Times New Roman" w:cs="Times New Roman"/>
                <w:noProof/>
              </w:rPr>
            </w:pPr>
            <w:r>
              <w:rPr>
                <w:noProof/>
              </w:rPr>
              <w:t>Julkaiseminen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65073E" w:rsidRDefault="000A0998">
            <w:pPr>
              <w:pStyle w:val="P68B1DB1-Normal12"/>
              <w:spacing w:after="0"/>
              <w:jc w:val="center"/>
              <w:rPr>
                <w:rFonts w:eastAsia="Times New Roman"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65073E" w:rsidRDefault="000A0998">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65073E" w:rsidRDefault="000A0998">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65073E" w:rsidRDefault="000A0998">
            <w:pPr>
              <w:pStyle w:val="P68B1DB1-Normal12"/>
              <w:spacing w:after="0"/>
              <w:jc w:val="center"/>
              <w:rPr>
                <w:rFonts w:eastAsia="Times New Roman" w:cs="Times New Roman"/>
                <w:noProof/>
              </w:rPr>
            </w:pPr>
            <w:r>
              <w:rPr>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65073E" w:rsidRDefault="000A0998">
            <w:pPr>
              <w:pStyle w:val="P68B1DB1-Normal12"/>
              <w:spacing w:after="0"/>
              <w:rPr>
                <w:rFonts w:eastAsia="Times New Roman" w:cs="Times New Roman"/>
                <w:noProof/>
              </w:rPr>
            </w:pPr>
            <w:r>
              <w:rPr>
                <w:noProof/>
              </w:rPr>
              <w:t>Digitaalinen Espanja 2025 -suunnitelman julkaiseminen ja ministerineuvoston hyväksyntä 5G-teknologian edistämisstrategialle</w:t>
            </w:r>
          </w:p>
        </w:tc>
      </w:tr>
      <w:tr w:rsidR="0065073E" w14:paraId="36906E23"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65073E" w:rsidRDefault="000A0998">
            <w:pPr>
              <w:pStyle w:val="P68B1DB1-Normal12"/>
              <w:spacing w:after="0"/>
              <w:jc w:val="center"/>
              <w:rPr>
                <w:rFonts w:eastAsia="Times New Roman" w:cs="Times New Roman"/>
                <w:noProof/>
              </w:rPr>
            </w:pPr>
            <w:r>
              <w:rPr>
                <w:noProof/>
              </w:rPr>
              <w:t>231</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65073E" w:rsidRDefault="000A0998">
            <w:pPr>
              <w:pStyle w:val="P68B1DB1-Normal12"/>
              <w:spacing w:after="0"/>
              <w:jc w:val="center"/>
              <w:rPr>
                <w:rFonts w:eastAsia="Times New Roman"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65073E" w:rsidRDefault="000A0998">
            <w:pPr>
              <w:pStyle w:val="P68B1DB1-Normal12"/>
              <w:spacing w:after="0"/>
              <w:rPr>
                <w:rFonts w:eastAsia="Times New Roman" w:cs="Times New Roman"/>
                <w:noProof/>
              </w:rPr>
            </w:pPr>
            <w:r>
              <w:rPr>
                <w:noProof/>
              </w:rPr>
              <w:t>Vapauttaa 700 MHz:n taajuusalue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65073E" w:rsidRDefault="000A0998">
            <w:pPr>
              <w:pStyle w:val="P68B1DB1-Normal12"/>
              <w:spacing w:after="0"/>
              <w:jc w:val="center"/>
              <w:rPr>
                <w:rFonts w:eastAsia="Times New Roman" w:cs="Times New Roman"/>
                <w:noProof/>
              </w:rPr>
            </w:pPr>
            <w:r>
              <w:rPr>
                <w:noProof/>
              </w:rPr>
              <w:t>Ilmoitus Euroopan komissiolle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65073E" w:rsidRDefault="000A0998">
            <w:pPr>
              <w:pStyle w:val="P68B1DB1-Normal12"/>
              <w:spacing w:after="0"/>
              <w:jc w:val="center"/>
              <w:rPr>
                <w:rFonts w:eastAsia="Times New Roman"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65073E" w:rsidRDefault="000A0998">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65073E" w:rsidRDefault="000A0998">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65073E" w:rsidRDefault="000A0998">
            <w:pPr>
              <w:pStyle w:val="P68B1DB1-Normal12"/>
              <w:spacing w:after="0"/>
              <w:jc w:val="center"/>
              <w:rPr>
                <w:rFonts w:eastAsia="Times New Roman" w:cs="Times New Roman"/>
                <w:noProof/>
              </w:rPr>
            </w:pPr>
            <w:r>
              <w:rPr>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65073E" w:rsidRDefault="000A0998">
            <w:pPr>
              <w:pStyle w:val="P68B1DB1-Normal12"/>
              <w:spacing w:after="0"/>
              <w:rPr>
                <w:rFonts w:eastAsia="Times New Roman" w:cs="Times New Roman"/>
                <w:noProof/>
              </w:rPr>
            </w:pPr>
            <w:r>
              <w:rPr>
                <w:noProof/>
              </w:rPr>
              <w:t>700 MHz:n taajuusalueen vapauttamisprosessin loppuun saattaminen 470–790 MHz:n taajuusalueen käytöstä unionissa 17 päivänä toukokuuta 2017 annetun Euroopan parlamentin ja neuvoston päätöksen (EU) 2017/899 mukaisesti</w:t>
            </w:r>
          </w:p>
        </w:tc>
      </w:tr>
      <w:tr w:rsidR="0065073E" w14:paraId="07A1718C"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65073E" w:rsidRDefault="000A0998">
            <w:pPr>
              <w:pStyle w:val="P68B1DB1-Normal12"/>
              <w:spacing w:after="0"/>
              <w:jc w:val="center"/>
              <w:rPr>
                <w:rFonts w:eastAsia="Times New Roman" w:cs="Times New Roman"/>
                <w:noProof/>
              </w:rPr>
            </w:pPr>
            <w:r>
              <w:rPr>
                <w:noProof/>
              </w:rPr>
              <w:t>232</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65073E" w:rsidRDefault="000A0998">
            <w:pPr>
              <w:pStyle w:val="P68B1DB1-Normal12"/>
              <w:spacing w:after="0"/>
              <w:jc w:val="center"/>
              <w:rPr>
                <w:rFonts w:eastAsia="Times New Roman"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65073E" w:rsidRDefault="000A0998">
            <w:pPr>
              <w:pStyle w:val="P68B1DB1-Normal12"/>
              <w:spacing w:after="0"/>
              <w:rPr>
                <w:rFonts w:eastAsia="Times New Roman" w:cs="Times New Roman"/>
                <w:noProof/>
              </w:rPr>
            </w:pPr>
            <w:r>
              <w:rPr>
                <w:noProof/>
              </w:rPr>
              <w:t>700 MHz:n taajuusalueen osoittaminen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77777777" w:rsidR="0065073E" w:rsidRDefault="000A0998">
            <w:pPr>
              <w:pStyle w:val="P68B1DB1-Normal12"/>
              <w:spacing w:after="0"/>
              <w:jc w:val="center"/>
              <w:rPr>
                <w:rFonts w:eastAsia="Times New Roman" w:cs="Times New Roman"/>
                <w:noProof/>
              </w:rPr>
            </w:pPr>
            <w:r>
              <w:rPr>
                <w:noProof/>
              </w:rPr>
              <w:t>Julkaiseminen virallisessa lehdessä</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65073E" w:rsidRDefault="000A0998">
            <w:pPr>
              <w:pStyle w:val="P68B1DB1-Normal12"/>
              <w:spacing w:after="0"/>
              <w:jc w:val="center"/>
              <w:rPr>
                <w:rFonts w:eastAsia="Times New Roman"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65073E" w:rsidRDefault="000A0998">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65073E" w:rsidRDefault="000A0998">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65073E" w:rsidRDefault="000A0998">
            <w:pPr>
              <w:pStyle w:val="P68B1DB1-Normal12"/>
              <w:spacing w:after="0"/>
              <w:jc w:val="center"/>
              <w:rPr>
                <w:rFonts w:eastAsia="Times New Roman" w:cs="Times New Roman"/>
                <w:noProof/>
              </w:rPr>
            </w:pPr>
            <w:r>
              <w:rPr>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65073E" w:rsidRDefault="000A0998">
            <w:pPr>
              <w:pStyle w:val="P68B1DB1-Normal12"/>
              <w:spacing w:after="0"/>
              <w:rPr>
                <w:rFonts w:eastAsia="Times New Roman" w:cs="Times New Roman"/>
                <w:noProof/>
              </w:rPr>
            </w:pPr>
            <w:r>
              <w:rPr>
                <w:noProof/>
              </w:rPr>
              <w:t xml:space="preserve">Huutokaupan tuloksena myönnetyn 700 MHz:n taajuusalueen julkaiseminen Euroopan unionin virallisessa lehdessä </w:t>
            </w:r>
          </w:p>
        </w:tc>
      </w:tr>
      <w:tr w:rsidR="0065073E" w14:paraId="0983D9D3"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65073E" w:rsidRDefault="000A0998">
            <w:pPr>
              <w:pStyle w:val="P68B1DB1-Normal12"/>
              <w:spacing w:after="0"/>
              <w:jc w:val="center"/>
              <w:rPr>
                <w:rFonts w:eastAsia="Times New Roman" w:cs="Times New Roman"/>
                <w:noProof/>
              </w:rPr>
            </w:pPr>
            <w:r>
              <w:rPr>
                <w:noProof/>
              </w:rPr>
              <w:t>233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65073E" w:rsidRDefault="000A0998">
            <w:pPr>
              <w:pStyle w:val="P68B1DB1-Normal12"/>
              <w:spacing w:after="0"/>
              <w:jc w:val="center"/>
              <w:rPr>
                <w:rFonts w:eastAsia="Times New Roman"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65073E" w:rsidRDefault="000A0998">
            <w:pPr>
              <w:pStyle w:val="P68B1DB1-Normal12"/>
              <w:spacing w:after="0"/>
              <w:rPr>
                <w:rFonts w:eastAsia="Times New Roman" w:cs="Times New Roman"/>
                <w:noProof/>
              </w:rPr>
            </w:pPr>
            <w:r>
              <w:rPr>
                <w:noProof/>
              </w:rPr>
              <w:t>5G-taajuuksien verotuksen alentamista koskevan säädöksen voimaantulo</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65073E" w:rsidRDefault="000A0998">
            <w:pPr>
              <w:pStyle w:val="P68B1DB1-Normal12"/>
              <w:spacing w:after="0"/>
              <w:jc w:val="center"/>
              <w:rPr>
                <w:rFonts w:eastAsia="Times New Roman" w:cs="Times New Roman"/>
                <w:noProof/>
              </w:rPr>
            </w:pPr>
            <w:r>
              <w:rPr>
                <w:noProof/>
              </w:rPr>
              <w:t>Säädöksen säännös voimaantulopäivästä</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65073E" w:rsidRDefault="000A0998">
            <w:pPr>
              <w:pStyle w:val="P68B1DB1-Normal12"/>
              <w:spacing w:after="0"/>
              <w:jc w:val="center"/>
              <w:rPr>
                <w:rFonts w:eastAsia="Times New Roman"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65073E" w:rsidRDefault="000A0998">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65073E" w:rsidRDefault="000A0998">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65073E" w:rsidRDefault="000A0998">
            <w:pPr>
              <w:pStyle w:val="P68B1DB1-Normal12"/>
              <w:spacing w:after="0"/>
              <w:jc w:val="center"/>
              <w:rPr>
                <w:rFonts w:eastAsia="Times New Roman" w:cs="Times New Roman"/>
                <w:noProof/>
              </w:rPr>
            </w:pPr>
            <w:r>
              <w:rPr>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65073E" w:rsidRDefault="000A0998">
            <w:pPr>
              <w:pStyle w:val="P68B1DB1-Normal12"/>
              <w:spacing w:after="0"/>
              <w:rPr>
                <w:rFonts w:eastAsia="Times New Roman" w:cs="Times New Roman"/>
                <w:noProof/>
              </w:rPr>
            </w:pPr>
            <w:r>
              <w:rPr>
                <w:noProof/>
              </w:rPr>
              <w:t>5G-taajuuksien verotuksen alentamista koskevan säädöksen hyväksyminen 5G:n käyttöönoton nopeuttamiseksi ja 5G:n käyttöönoton nopeuttamiseksi määritellään 5G:n käyttöönoton nopeuttaminen. Säädöksessä vahvistetaan hankkeen käyttöönoton edellyttämät oikeudelliset ja sääntelyvaiheet. </w:t>
            </w:r>
          </w:p>
        </w:tc>
      </w:tr>
      <w:tr w:rsidR="0065073E" w14:paraId="63723CF5"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65073E" w:rsidRDefault="000A0998">
            <w:pPr>
              <w:pStyle w:val="P68B1DB1-Normal12"/>
              <w:spacing w:after="0"/>
              <w:jc w:val="center"/>
              <w:rPr>
                <w:rFonts w:cs="Times New Roman"/>
                <w:noProof/>
              </w:rPr>
            </w:pPr>
            <w:r>
              <w:rPr>
                <w:noProof/>
              </w:rPr>
              <w:t>234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65073E" w:rsidRDefault="000A0998">
            <w:pPr>
              <w:pStyle w:val="P68B1DB1-Normal12"/>
              <w:spacing w:after="0"/>
              <w:jc w:val="center"/>
              <w:rPr>
                <w:rFonts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65073E" w:rsidRDefault="000A0998">
            <w:pPr>
              <w:pStyle w:val="P68B1DB1-Normal12"/>
              <w:spacing w:after="0"/>
              <w:rPr>
                <w:rFonts w:cs="Times New Roman"/>
                <w:noProof/>
              </w:rPr>
            </w:pPr>
            <w:r>
              <w:rPr>
                <w:noProof/>
              </w:rPr>
              <w:t>26 GHz:n taajuusalueen osoittaminen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7777777" w:rsidR="0065073E" w:rsidRDefault="000A0998">
            <w:pPr>
              <w:pStyle w:val="P68B1DB1-Normal12"/>
              <w:spacing w:after="0"/>
              <w:jc w:val="center"/>
              <w:rPr>
                <w:rFonts w:cs="Times New Roman"/>
                <w:noProof/>
              </w:rPr>
            </w:pPr>
            <w:r>
              <w:rPr>
                <w:noProof/>
              </w:rPr>
              <w:t>Julkaiseminen virallisessa lehdessä</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65073E" w:rsidRDefault="000A0998">
            <w:pPr>
              <w:pStyle w:val="P68B1DB1-Normal12"/>
              <w:spacing w:after="0"/>
              <w:jc w:val="center"/>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65073E" w:rsidRDefault="000A0998">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65073E" w:rsidRDefault="000A0998">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65073E" w:rsidRDefault="000A0998">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65073E" w:rsidRDefault="000A0998">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65073E" w:rsidRDefault="000A0998">
            <w:pPr>
              <w:pStyle w:val="P68B1DB1-Normal12"/>
              <w:spacing w:after="0" w:line="256" w:lineRule="auto"/>
              <w:rPr>
                <w:rFonts w:cs="Times New Roman"/>
                <w:noProof/>
              </w:rPr>
            </w:pPr>
            <w:r>
              <w:rPr>
                <w:noProof/>
              </w:rPr>
              <w:t xml:space="preserve">Huutokaupan tuloksena 26 GHz:n taajuusalueen myöntämisen julkaiseminen Euroopan unionin virallisessa lehdessä </w:t>
            </w:r>
          </w:p>
        </w:tc>
      </w:tr>
      <w:tr w:rsidR="0065073E" w14:paraId="63A9F233"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65073E" w:rsidRDefault="000A0998">
            <w:pPr>
              <w:pStyle w:val="P68B1DB1-Normal12"/>
              <w:spacing w:after="0"/>
              <w:jc w:val="center"/>
              <w:rPr>
                <w:rFonts w:cs="Times New Roman"/>
                <w:noProof/>
              </w:rPr>
            </w:pPr>
            <w:r>
              <w:rPr>
                <w:noProof/>
              </w:rPr>
              <w:t>235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65073E" w:rsidRDefault="000A0998">
            <w:pPr>
              <w:pStyle w:val="P68B1DB1-Normal12"/>
              <w:spacing w:after="0"/>
              <w:jc w:val="center"/>
              <w:rPr>
                <w:rFonts w:cs="Times New Roman"/>
                <w:noProof/>
              </w:rPr>
            </w:pPr>
            <w:r>
              <w:rPr>
                <w:noProof/>
              </w:rPr>
              <w:t>C15.R2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65073E" w:rsidRDefault="000A0998">
            <w:pPr>
              <w:pStyle w:val="P68B1DB1-Normal12"/>
              <w:spacing w:after="0"/>
              <w:rPr>
                <w:rFonts w:cs="Times New Roman"/>
                <w:noProof/>
              </w:rPr>
            </w:pPr>
            <w:r>
              <w:rPr>
                <w:noProof/>
              </w:rPr>
              <w:t xml:space="preserve">5G-kyberturvallisuutta koskevan lain voimaantulo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65073E" w:rsidRDefault="000A0998">
            <w:pPr>
              <w:pStyle w:val="P68B1DB1-Normal12"/>
              <w:spacing w:after="0"/>
              <w:jc w:val="center"/>
              <w:rPr>
                <w:rFonts w:cs="Times New Roman"/>
                <w:noProof/>
              </w:rPr>
            </w:pPr>
            <w:r>
              <w:rPr>
                <w:noProof/>
              </w:rPr>
              <w:t xml:space="preserve">5G-kyberturvallisuutta koskevan lain säännös voimaantulopäivänä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65073E" w:rsidRDefault="000A0998">
            <w:pPr>
              <w:pStyle w:val="P68B1DB1-Normal12"/>
              <w:spacing w:after="0"/>
              <w:jc w:val="center"/>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65073E" w:rsidRDefault="000A0998">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65073E" w:rsidRDefault="000A0998">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65073E" w:rsidRDefault="000A0998">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65073E" w:rsidRDefault="000A0998">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F3CE5A6" w14:textId="3B821A18" w:rsidR="0065073E" w:rsidRDefault="000A0998">
            <w:pPr>
              <w:pStyle w:val="P68B1DB1-Normal12"/>
              <w:spacing w:after="0" w:line="256" w:lineRule="auto"/>
              <w:rPr>
                <w:noProof/>
              </w:rPr>
            </w:pPr>
            <w:r>
              <w:rPr>
                <w:noProof/>
              </w:rPr>
              <w:t>5G-kyberturvallisuutta koskeva laki sisältää 5G-kyberturvallisuutta koskevasta EU:n välineistöstä annetun suosituksen ja panee sen täytäntöön.</w:t>
            </w:r>
          </w:p>
          <w:p w14:paraId="0E4311E3" w14:textId="77777777" w:rsidR="0065073E" w:rsidRDefault="000A0998">
            <w:pPr>
              <w:pStyle w:val="P68B1DB1-Normal12"/>
              <w:spacing w:after="0" w:line="256" w:lineRule="auto"/>
              <w:rPr>
                <w:noProof/>
              </w:rPr>
            </w:pPr>
            <w:r>
              <w:rPr>
                <w:noProof/>
              </w:rPr>
              <w:t>Laissa on oltava ainakin seuraavat ominaisuudet:</w:t>
            </w:r>
          </w:p>
          <w:p w14:paraId="3E11D941" w14:textId="77777777" w:rsidR="0065073E" w:rsidRDefault="000A0998">
            <w:pPr>
              <w:pStyle w:val="P68B1DB1-Normal12"/>
              <w:spacing w:after="0" w:line="256" w:lineRule="auto"/>
              <w:rPr>
                <w:noProof/>
              </w:rPr>
            </w:pPr>
            <w:r>
              <w:rPr>
                <w:noProof/>
              </w:rPr>
              <w:t>— Teleoperaattoreita koskevat turvallisuusriskien arviointi- ja hallintavelvoitteet; Toimitusketjujen monipuolistamista koskevat velvoitteet teknologisen riippuvuuden välttämiseksi;</w:t>
            </w:r>
          </w:p>
          <w:p w14:paraId="4DC85766" w14:textId="77777777" w:rsidR="0065073E" w:rsidRDefault="000A0998">
            <w:pPr>
              <w:pStyle w:val="P68B1DB1-Normal12"/>
              <w:spacing w:after="0" w:line="256" w:lineRule="auto"/>
              <w:rPr>
                <w:noProof/>
              </w:rPr>
            </w:pPr>
            <w:r>
              <w:rPr>
                <w:noProof/>
              </w:rPr>
              <w:t xml:space="preserve">— Keinot suuren ja keskisuuren riskin myyjien tunnistamiseksi ja </w:t>
            </w:r>
          </w:p>
          <w:p w14:paraId="222E4215" w14:textId="19CDB428" w:rsidR="0065073E" w:rsidRDefault="000A0998">
            <w:pPr>
              <w:pStyle w:val="P68B1DB1-Normal12"/>
              <w:spacing w:after="0" w:line="256" w:lineRule="auto"/>
              <w:rPr>
                <w:rFonts w:cs="Times New Roman"/>
                <w:noProof/>
              </w:rPr>
            </w:pPr>
            <w:r>
              <w:rPr>
                <w:noProof/>
              </w:rPr>
              <w:t>niiden käytön mahdolliset rajoitukset.</w:t>
            </w:r>
          </w:p>
        </w:tc>
      </w:tr>
      <w:tr w:rsidR="0065073E" w14:paraId="5E7774A0"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65073E" w:rsidRDefault="000A0998">
            <w:pPr>
              <w:pStyle w:val="P68B1DB1-Normal12"/>
              <w:spacing w:after="0"/>
              <w:jc w:val="center"/>
              <w:rPr>
                <w:rFonts w:cs="Times New Roman"/>
                <w:noProof/>
              </w:rPr>
            </w:pPr>
            <w:r>
              <w:rPr>
                <w:noProof/>
              </w:rPr>
              <w:t>236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65073E" w:rsidRDefault="000A0998">
            <w:pPr>
              <w:pStyle w:val="P68B1DB1-Normal12"/>
              <w:spacing w:after="0"/>
              <w:jc w:val="center"/>
              <w:rPr>
                <w:rFonts w:cs="Times New Roman"/>
                <w:noProof/>
              </w:rPr>
            </w:pPr>
            <w:r>
              <w:rPr>
                <w:noProof/>
              </w:rPr>
              <w:t>C15.I1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65073E" w:rsidRDefault="000A0998">
            <w:pPr>
              <w:pStyle w:val="P68B1DB1-Normal12"/>
              <w:spacing w:after="0"/>
              <w:rPr>
                <w:rFonts w:cs="Times New Roman"/>
                <w:noProof/>
              </w:rPr>
            </w:pPr>
            <w:r>
              <w:rPr>
                <w:noProof/>
              </w:rPr>
              <w:t>Ultranopean laajakaistan käyttöönotto: palkinto</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65073E" w:rsidRDefault="000A0998">
            <w:pPr>
              <w:pStyle w:val="P68B1DB1-Normal12"/>
              <w:spacing w:after="0"/>
              <w:jc w:val="center"/>
              <w:rPr>
                <w:rFonts w:cs="Times New Roman"/>
                <w:noProof/>
              </w:rPr>
            </w:pPr>
            <w:r>
              <w:rPr>
                <w:noProof/>
              </w:rPr>
              <w:t>Hankkeiden myöntäminen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65073E" w:rsidRDefault="000A0998">
            <w:pPr>
              <w:pStyle w:val="P68B1DB1-Normal12"/>
              <w:spacing w:after="0"/>
              <w:jc w:val="center"/>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65073E" w:rsidRDefault="000A0998">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65073E" w:rsidRDefault="000A0998">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65073E" w:rsidRDefault="000A0998">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65073E" w:rsidRDefault="000A0998">
            <w:pPr>
              <w:pStyle w:val="P68B1DB1-Normal12"/>
              <w:spacing w:after="0"/>
              <w:jc w:val="center"/>
              <w:rPr>
                <w:rFonts w:cs="Times New Roman"/>
                <w:noProof/>
              </w:rPr>
            </w:pPr>
            <w:r>
              <w:rPr>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65073E" w:rsidRDefault="000A0998">
            <w:pPr>
              <w:pStyle w:val="P68B1DB1-Normal12"/>
              <w:spacing w:after="0" w:line="256" w:lineRule="auto"/>
              <w:rPr>
                <w:rFonts w:cs="Times New Roman"/>
                <w:noProof/>
              </w:rPr>
            </w:pPr>
            <w:r>
              <w:rPr>
                <w:noProof/>
              </w:rPr>
              <w:t>Kaikkien sopimusten ja avustusten myöntäminen (kokonaisbudjetti 752000000 euroa) ja varojen siirto</w:t>
            </w:r>
            <w:r>
              <w:rPr>
                <w:noProof/>
                <w:shd w:val="clear" w:color="auto" w:fill="E6E6E6"/>
              </w:rPr>
              <w:t xml:space="preserve"> </w:t>
            </w:r>
            <w:r>
              <w:rPr>
                <w:noProof/>
              </w:rPr>
              <w:t>sellaisten toimien toteuttamiseksi, joilla tarjotaan ultranopeita laajakaistayhteyksiä valkoisilla ja harmailla alueilla, joiden symmetrinen nopeus on 300 Mbit/s ja jotka voidaan päivittää symmetriseen 1 Gbit/s:iin, lukuun ottamatta syrjäisiä maaseutualueita, jotka tarvitsevat erityishankkeita, joilla taataan vähintään 100 Mbit/s/s.</w:t>
            </w:r>
          </w:p>
        </w:tc>
      </w:tr>
      <w:tr w:rsidR="0065073E" w14:paraId="4B8434B3"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65073E" w:rsidRDefault="000A0998">
            <w:pPr>
              <w:pStyle w:val="P68B1DB1-Normal12"/>
              <w:spacing w:after="0"/>
              <w:jc w:val="center"/>
              <w:rPr>
                <w:rFonts w:cs="Times New Roman"/>
                <w:noProof/>
              </w:rPr>
            </w:pPr>
            <w:r>
              <w:rPr>
                <w:noProof/>
              </w:rPr>
              <w:t>237</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65073E" w:rsidRDefault="000A0998">
            <w:pPr>
              <w:pStyle w:val="P68B1DB1-Normal12"/>
              <w:spacing w:after="0"/>
              <w:jc w:val="center"/>
              <w:rPr>
                <w:rFonts w:cs="Times New Roman"/>
                <w:noProof/>
              </w:rPr>
            </w:pPr>
            <w:r>
              <w:rPr>
                <w:noProof/>
              </w:rPr>
              <w:t>C15.I1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65073E" w:rsidRDefault="000A0998">
            <w:pPr>
              <w:pStyle w:val="P68B1DB1-Normal12"/>
              <w:spacing w:after="0"/>
              <w:rPr>
                <w:rFonts w:cs="Times New Roman"/>
                <w:noProof/>
              </w:rPr>
            </w:pPr>
            <w:r>
              <w:rPr>
                <w:noProof/>
              </w:rPr>
              <w:t>Ultranopean laajakaistan käyttöönotto: Hankkeen loppuun saattaminen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65073E" w:rsidRDefault="000A0998">
            <w:pPr>
              <w:pStyle w:val="P68B1DB1-Normal12"/>
              <w:spacing w:after="0"/>
              <w:jc w:val="center"/>
              <w:rPr>
                <w:rFonts w:cs="Times New Roman"/>
                <w:noProof/>
              </w:rPr>
            </w:pPr>
            <w:r>
              <w:rPr>
                <w:noProof/>
              </w:rPr>
              <w:t>Myönnettyjen hankkeiden loppuun saattaminen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65073E" w:rsidRDefault="000A0998">
            <w:pPr>
              <w:pStyle w:val="P68B1DB1-Normal12"/>
              <w:spacing w:after="0"/>
              <w:jc w:val="center"/>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65073E" w:rsidRDefault="000A0998">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65073E" w:rsidRDefault="000A0998">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65073E" w:rsidRDefault="000A0998">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65073E" w:rsidRDefault="000A0998">
            <w:pPr>
              <w:pStyle w:val="P68B1DB1-Normal12"/>
              <w:spacing w:after="0"/>
              <w:jc w:val="center"/>
              <w:rPr>
                <w:rFonts w:cs="Times New Roman"/>
                <w:noProof/>
              </w:rPr>
            </w:pPr>
            <w:r>
              <w:rPr>
                <w:noProof/>
              </w:rPr>
              <w:t>2025</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65073E" w:rsidRDefault="000A0998">
            <w:pPr>
              <w:pStyle w:val="P68B1DB1-Normal12"/>
              <w:spacing w:after="0" w:line="256" w:lineRule="auto"/>
              <w:rPr>
                <w:rFonts w:cs="Times New Roman"/>
                <w:noProof/>
              </w:rPr>
            </w:pPr>
            <w:r>
              <w:rPr>
                <w:noProof/>
              </w:rPr>
              <w:t>Ultranopean laajakaistan käyttöönottoa koskevien hankkeiden loppuun saattaminen ohjelman myöntämisperusteiden mukaisesti (Milestone #236).</w:t>
            </w:r>
          </w:p>
        </w:tc>
      </w:tr>
      <w:tr w:rsidR="0065073E" w14:paraId="11EB6E5C"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65073E" w:rsidRDefault="000A0998">
            <w:pPr>
              <w:pStyle w:val="P68B1DB1-Normal12"/>
              <w:spacing w:after="0" w:line="256" w:lineRule="auto"/>
              <w:jc w:val="center"/>
              <w:rPr>
                <w:rFonts w:cs="Times New Roman"/>
                <w:noProof/>
              </w:rPr>
            </w:pPr>
            <w:r>
              <w:rPr>
                <w:noProof/>
              </w:rPr>
              <w:t>238</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65073E" w:rsidRDefault="000A0998">
            <w:pPr>
              <w:pStyle w:val="P68B1DB1-Normal12"/>
              <w:spacing w:after="0" w:line="256" w:lineRule="auto"/>
              <w:jc w:val="center"/>
              <w:rPr>
                <w:rFonts w:cs="Times New Roman"/>
                <w:noProof/>
              </w:rPr>
            </w:pPr>
            <w:r>
              <w:rPr>
                <w:noProof/>
              </w:rPr>
              <w:t>C15.I2</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65073E" w:rsidRDefault="000A0998">
            <w:pPr>
              <w:pStyle w:val="P68B1DB1-Normal12"/>
              <w:spacing w:after="0" w:line="256" w:lineRule="auto"/>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65073E" w:rsidRDefault="000A0998">
            <w:pPr>
              <w:pStyle w:val="P68B1DB1-Normal12"/>
              <w:spacing w:after="0" w:line="256" w:lineRule="auto"/>
              <w:rPr>
                <w:rFonts w:cs="Times New Roman"/>
                <w:noProof/>
              </w:rPr>
            </w:pPr>
            <w:r>
              <w:rPr>
                <w:noProof/>
              </w:rPr>
              <w:t xml:space="preserve">Yhteyksien parantaminen keskeisissä keskuksissa ja sektoreilla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65073E" w:rsidRDefault="000A0998">
            <w:pPr>
              <w:pStyle w:val="P68B1DB1-Normal12"/>
              <w:spacing w:after="0" w:line="256" w:lineRule="auto"/>
              <w:jc w:val="center"/>
              <w:rPr>
                <w:rFonts w:cs="Times New Roman"/>
                <w:noProof/>
              </w:rPr>
            </w:pPr>
            <w:r>
              <w:rPr>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65073E" w:rsidRDefault="000A0998">
            <w:pPr>
              <w:pStyle w:val="P68B1DB1-Normal12"/>
              <w:spacing w:after="0" w:line="256" w:lineRule="auto"/>
              <w:jc w:val="center"/>
              <w:rPr>
                <w:rFonts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65073E" w:rsidRDefault="000A0998">
            <w:pPr>
              <w:pStyle w:val="P68B1DB1-Normal12"/>
              <w:spacing w:after="0" w:line="256" w:lineRule="auto"/>
              <w:jc w:val="center"/>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65073E" w:rsidRDefault="000A0998">
            <w:pPr>
              <w:pStyle w:val="P68B1DB1-Normal12"/>
              <w:spacing w:after="0" w:line="256" w:lineRule="auto"/>
              <w:jc w:val="center"/>
              <w:rPr>
                <w:rFonts w:cs="Times New Roman"/>
                <w:noProof/>
              </w:rPr>
            </w:pPr>
            <w:r>
              <w:rPr>
                <w:noProof/>
              </w:rPr>
              <w:t>16 100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65073E" w:rsidRDefault="000A0998">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65073E" w:rsidRDefault="000A0998">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65073E" w:rsidRDefault="000A0998">
            <w:pPr>
              <w:spacing w:after="0" w:line="256" w:lineRule="auto"/>
              <w:rPr>
                <w:rFonts w:ascii="Times New Roman" w:hAnsi="Times New Roman" w:cs="Times New Roman"/>
                <w:noProof/>
                <w:sz w:val="18"/>
              </w:rPr>
            </w:pPr>
            <w:r>
              <w:rPr>
                <w:rFonts w:ascii="Times New Roman" w:hAnsi="Times New Roman"/>
                <w:noProof/>
                <w:sz w:val="18"/>
              </w:rPr>
              <w:t>Niiden yksiköiden lukumäärä, jotka on parannettu 1-gigabittiyhteysnopeuteen:</w:t>
            </w:r>
            <w:r>
              <w:rPr>
                <w:noProof/>
              </w:rPr>
              <w:t xml:space="preserve"> </w:t>
            </w:r>
            <w:r>
              <w:rPr>
                <w:noProof/>
              </w:rPr>
              <w:br/>
            </w:r>
            <w:r>
              <w:rPr>
                <w:rFonts w:ascii="Times New Roman" w:hAnsi="Times New Roman"/>
                <w:noProof/>
                <w:sz w:val="18"/>
              </w:rPr>
              <w:t>— vähintään 9000 julkista keskusta ja palvelua, kuten kansanterveyskeskuksia, koulutuskeskuksia ja T &amp; K-keskuksia;</w:t>
            </w:r>
            <w:r>
              <w:rPr>
                <w:noProof/>
              </w:rPr>
              <w:t xml:space="preserve"> </w:t>
            </w:r>
            <w:r>
              <w:rPr>
                <w:noProof/>
              </w:rPr>
              <w:br/>
            </w:r>
            <w:r>
              <w:rPr>
                <w:rFonts w:ascii="Times New Roman" w:hAnsi="Times New Roman"/>
                <w:noProof/>
                <w:sz w:val="18"/>
              </w:rPr>
              <w:t>— vähintään 1600 pientä teollisuus- ja liikelaitosta;</w:t>
            </w:r>
            <w:r>
              <w:rPr>
                <w:noProof/>
              </w:rPr>
              <w:t xml:space="preserve"> </w:t>
            </w:r>
            <w:r>
              <w:rPr>
                <w:noProof/>
              </w:rPr>
              <w:br/>
            </w:r>
            <w:r>
              <w:rPr>
                <w:rFonts w:ascii="Times New Roman" w:hAnsi="Times New Roman"/>
                <w:noProof/>
                <w:sz w:val="18"/>
              </w:rPr>
              <w:t>— vähintään 5500 yhteyttä digitointihankkeisiin (terveys, maatalouselintarvike, liikkuvuus, matkailu, teollisuus, kauppa jne.).</w:t>
            </w:r>
          </w:p>
        </w:tc>
      </w:tr>
      <w:tr w:rsidR="0065073E" w14:paraId="411FCCE6"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65073E" w:rsidRDefault="000A0998">
            <w:pPr>
              <w:pStyle w:val="P68B1DB1-Normal12"/>
              <w:spacing w:after="0" w:line="256" w:lineRule="auto"/>
              <w:jc w:val="center"/>
              <w:rPr>
                <w:rFonts w:cs="Times New Roman"/>
                <w:noProof/>
              </w:rPr>
            </w:pPr>
            <w:r>
              <w:rPr>
                <w:noProof/>
              </w:rPr>
              <w:t>239</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65073E" w:rsidRDefault="000A0998">
            <w:pPr>
              <w:pStyle w:val="P68B1DB1-Normal12"/>
              <w:spacing w:after="0" w:line="256" w:lineRule="auto"/>
              <w:jc w:val="center"/>
              <w:rPr>
                <w:rFonts w:cs="Times New Roman"/>
                <w:noProof/>
              </w:rPr>
            </w:pPr>
            <w:r>
              <w:rPr>
                <w:noProof/>
              </w:rPr>
              <w:t>C15.I3</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65073E" w:rsidRDefault="000A0998">
            <w:pPr>
              <w:pStyle w:val="P68B1DB1-Normal12"/>
              <w:spacing w:after="0" w:line="256" w:lineRule="auto"/>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65073E" w:rsidRDefault="000A0998">
            <w:pPr>
              <w:pStyle w:val="P68B1DB1-Normal12"/>
              <w:spacing w:after="0" w:line="256" w:lineRule="auto"/>
              <w:rPr>
                <w:rFonts w:cs="Times New Roman"/>
                <w:noProof/>
              </w:rPr>
            </w:pPr>
            <w:r>
              <w:rPr>
                <w:noProof/>
              </w:rPr>
              <w:t xml:space="preserve">Yhteenliitettävyyssetelit pk-yrityksille ja haavoittuvassa asemassa oleville ryhmille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65073E" w:rsidRDefault="000A0998">
            <w:pPr>
              <w:pStyle w:val="P68B1DB1-Normal12"/>
              <w:spacing w:after="0" w:line="256" w:lineRule="auto"/>
              <w:jc w:val="center"/>
              <w:rPr>
                <w:rFonts w:cs="Times New Roman"/>
                <w:noProof/>
              </w:rPr>
            </w:pPr>
            <w:r>
              <w:rPr>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65073E" w:rsidRDefault="000A0998">
            <w:pPr>
              <w:pStyle w:val="P68B1DB1-Normal12"/>
              <w:spacing w:after="0" w:line="256" w:lineRule="auto"/>
              <w:rPr>
                <w:rFonts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65073E" w:rsidRDefault="000A0998">
            <w:pPr>
              <w:pStyle w:val="P68B1DB1-Normal12"/>
              <w:spacing w:after="0" w:line="256" w:lineRule="auto"/>
              <w:jc w:val="center"/>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65073E" w:rsidRDefault="000A0998">
            <w:pPr>
              <w:pStyle w:val="P68B1DB1-Normal12"/>
              <w:spacing w:after="0" w:line="256" w:lineRule="auto"/>
              <w:jc w:val="center"/>
              <w:rPr>
                <w:rFonts w:cs="Times New Roman"/>
                <w:noProof/>
              </w:rPr>
            </w:pPr>
            <w:r>
              <w:rPr>
                <w:noProof/>
              </w:rPr>
              <w:t>136 000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65073E" w:rsidRDefault="000A0998">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65073E" w:rsidRDefault="000A0998">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65073E" w:rsidRDefault="000A0998">
            <w:pPr>
              <w:pStyle w:val="P68B1DB1-Normal12"/>
              <w:spacing w:after="0" w:line="256" w:lineRule="auto"/>
              <w:rPr>
                <w:rFonts w:cs="Times New Roman"/>
                <w:noProof/>
              </w:rPr>
            </w:pPr>
            <w:r>
              <w:rPr>
                <w:noProof/>
              </w:rPr>
              <w:t>Vähintään 125000 liityntäarvoseteliä henkilöille tai perheille, jotka on määritelty ”haavoittuviksi” (tarvimman teknologian laajakaistayhteyspaketin hankkimiseksi) ja vähintään 11000 yhteysseteliä pk-yrityksille (arvosetelit koostuvat kahdesta erillisestä elementistä, 100 Mbit/s:n yhteyksistä ja joukosta lisäarvopalveluja, VPN, kyberturvallisuus).</w:t>
            </w:r>
          </w:p>
        </w:tc>
      </w:tr>
      <w:tr w:rsidR="0065073E" w14:paraId="7635A7D6"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65073E" w:rsidRDefault="000A0998">
            <w:pPr>
              <w:pStyle w:val="P68B1DB1-Normal12"/>
              <w:jc w:val="center"/>
              <w:rPr>
                <w:rFonts w:cs="Times New Roman"/>
                <w:noProof/>
              </w:rPr>
            </w:pPr>
            <w:r>
              <w:rPr>
                <w:noProof/>
              </w:rPr>
              <w:t>240</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65073E" w:rsidRDefault="000A0998">
            <w:pPr>
              <w:pStyle w:val="P68B1DB1-Normal12"/>
              <w:jc w:val="center"/>
              <w:rPr>
                <w:rFonts w:cs="Times New Roman"/>
                <w:noProof/>
              </w:rPr>
            </w:pPr>
            <w:r>
              <w:rPr>
                <w:noProof/>
              </w:rPr>
              <w:t>C15.I4</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65073E" w:rsidRDefault="000A0998">
            <w:pPr>
              <w:pStyle w:val="P68B1DB1-Normal12"/>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77777777" w:rsidR="0065073E" w:rsidRDefault="000A0998">
            <w:pPr>
              <w:pStyle w:val="P68B1DB1-Normal12"/>
              <w:rPr>
                <w:rFonts w:cs="Times New Roman"/>
                <w:noProof/>
              </w:rPr>
            </w:pPr>
            <w:r>
              <w:rPr>
                <w:noProof/>
              </w:rPr>
              <w:t>Rakennusten televiestintäinfrastruktuurin mukauttaminen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65073E" w:rsidRDefault="000A0998">
            <w:pPr>
              <w:pStyle w:val="P68B1DB1-Normal12"/>
              <w:jc w:val="center"/>
              <w:rPr>
                <w:rFonts w:cs="Times New Roman"/>
                <w:noProof/>
              </w:rPr>
            </w:pPr>
            <w:r>
              <w:rPr>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65073E" w:rsidRDefault="000A0998">
            <w:pPr>
              <w:pStyle w:val="P68B1DB1-Normal12"/>
              <w:rPr>
                <w:rFonts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65073E" w:rsidRDefault="000A0998">
            <w:pPr>
              <w:pStyle w:val="P68B1DB1-Normal12"/>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65073E" w:rsidRDefault="000A0998">
            <w:pPr>
              <w:pStyle w:val="P68B1DB1-Normal12"/>
              <w:rPr>
                <w:rFonts w:cs="Times New Roman"/>
                <w:noProof/>
              </w:rPr>
            </w:pPr>
            <w:r>
              <w:rPr>
                <w:noProof/>
              </w:rPr>
              <w:t>7 700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65073E" w:rsidRDefault="000A0998">
            <w:pPr>
              <w:pStyle w:val="P68B1DB1-Normal12"/>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65073E" w:rsidRDefault="000A0998">
            <w:pPr>
              <w:pStyle w:val="P68B1DB1-Normal12"/>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65073E" w:rsidRDefault="000A0998">
            <w:pPr>
              <w:pStyle w:val="P68B1DB1-Normal12"/>
              <w:rPr>
                <w:rFonts w:cs="Times New Roman"/>
                <w:noProof/>
              </w:rPr>
            </w:pPr>
            <w:r>
              <w:rPr>
                <w:noProof/>
              </w:rPr>
              <w:t>Vähintään 7700 rakennukseen tehdyt työt, joilla parannetaan niiden yhteistä yhteysverkkoinfrastruktuuria erittäin suuren kapasiteetin verkkojen tasolla.</w:t>
            </w:r>
          </w:p>
        </w:tc>
      </w:tr>
      <w:tr w:rsidR="0065073E" w14:paraId="68826676"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65073E" w:rsidRDefault="000A0998">
            <w:pPr>
              <w:pStyle w:val="P68B1DB1-Normal12"/>
              <w:spacing w:after="0" w:line="256" w:lineRule="auto"/>
              <w:jc w:val="center"/>
              <w:rPr>
                <w:rFonts w:cs="Times New Roman"/>
                <w:noProof/>
              </w:rPr>
            </w:pPr>
            <w:r>
              <w:rPr>
                <w:noProof/>
              </w:rPr>
              <w:t>241</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65073E" w:rsidRDefault="000A0998">
            <w:pPr>
              <w:pStyle w:val="P68B1DB1-Normal12"/>
              <w:spacing w:after="0" w:line="256" w:lineRule="auto"/>
              <w:jc w:val="center"/>
              <w:rPr>
                <w:rFonts w:cs="Times New Roman"/>
                <w:noProof/>
              </w:rPr>
            </w:pPr>
            <w:r>
              <w:rPr>
                <w:noProof/>
              </w:rPr>
              <w:t>C15.I5</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65073E" w:rsidRDefault="000A0998">
            <w:pPr>
              <w:pStyle w:val="P68B1DB1-Normal12"/>
              <w:spacing w:after="0" w:line="256" w:lineRule="auto"/>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65073E" w:rsidRDefault="000A0998">
            <w:pPr>
              <w:pStyle w:val="P68B1DB1-Normal12"/>
              <w:spacing w:after="0" w:line="256" w:lineRule="auto"/>
              <w:rPr>
                <w:rFonts w:cs="Times New Roman"/>
                <w:noProof/>
              </w:rPr>
            </w:pPr>
            <w:r>
              <w:rPr>
                <w:noProof/>
              </w:rPr>
              <w:t>Rajatylittävän digitaalisen infrastruktuurin parantaminen: palkinto</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77777777" w:rsidR="0065073E" w:rsidRDefault="000A0998">
            <w:pPr>
              <w:pStyle w:val="P68B1DB1-Normal12"/>
              <w:spacing w:after="0" w:line="256" w:lineRule="auto"/>
              <w:rPr>
                <w:rFonts w:cs="Times New Roman"/>
                <w:noProof/>
              </w:rPr>
            </w:pPr>
            <w:r>
              <w:rPr>
                <w:noProof/>
              </w:rPr>
              <w:t xml:space="preserve">Hankkeiden palkinnon virallinen julkaiseminen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65073E" w:rsidRDefault="000A0998">
            <w:pPr>
              <w:pStyle w:val="P68B1DB1-Normal12"/>
              <w:spacing w:after="0" w:line="256" w:lineRule="auto"/>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65073E" w:rsidRDefault="000A0998">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65073E" w:rsidRDefault="000A0998">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65073E" w:rsidRDefault="000A0998">
            <w:pPr>
              <w:pStyle w:val="P68B1DB1-Normal12"/>
              <w:spacing w:after="0" w:line="256" w:lineRule="auto"/>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65073E" w:rsidRDefault="000A0998">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65073E" w:rsidRDefault="000A0998">
            <w:pPr>
              <w:pStyle w:val="P68B1DB1-Normal12"/>
              <w:spacing w:after="0" w:line="256" w:lineRule="auto"/>
              <w:rPr>
                <w:rFonts w:cs="Times New Roman"/>
                <w:noProof/>
              </w:rPr>
            </w:pPr>
            <w:r>
              <w:rPr>
                <w:noProof/>
              </w:rPr>
              <w:t xml:space="preserve">Kaikkia hankkeita koskevien sopimusten ja avustusten myöntäminen (hankepyynnön kokonaisbudjetti 500000000 euroa) ja varojen siirto seuraavien toimien toteuttamiseksi: a) merenalaiset kaapelit ja pilvi-/datainfrastruktuurin yhteenliittäminen; b) pilvipalvelujen ja reuna-alueiden uuden sukupolven infrastruktuurien ja palvelujen hankkeista; C) kehittyneitä prosessoreja ja puolijohteita koskevista hankkeista; ja d) T &amp; K &amp; I-hankkeista kvanttiviestintää ja suojattua satelliittiviestintää koskevien valmiuksien vahvistamiseksi </w:t>
            </w:r>
          </w:p>
        </w:tc>
      </w:tr>
      <w:tr w:rsidR="0065073E" w14:paraId="2CC6FE17"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65073E" w:rsidRDefault="000A0998">
            <w:pPr>
              <w:pStyle w:val="P68B1DB1-Normal12"/>
              <w:spacing w:after="0" w:line="256" w:lineRule="auto"/>
              <w:jc w:val="center"/>
              <w:rPr>
                <w:rFonts w:cs="Times New Roman"/>
                <w:noProof/>
              </w:rPr>
            </w:pPr>
            <w:r>
              <w:rPr>
                <w:noProof/>
              </w:rPr>
              <w:t>242</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65073E" w:rsidRDefault="000A0998">
            <w:pPr>
              <w:pStyle w:val="P68B1DB1-Normal12"/>
              <w:spacing w:after="0" w:line="256" w:lineRule="auto"/>
              <w:jc w:val="center"/>
              <w:rPr>
                <w:rFonts w:cs="Times New Roman"/>
                <w:noProof/>
              </w:rPr>
            </w:pPr>
            <w:r>
              <w:rPr>
                <w:noProof/>
              </w:rPr>
              <w:t>C15.I5</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65073E" w:rsidRDefault="000A0998">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65073E" w:rsidRDefault="000A0998">
            <w:pPr>
              <w:pStyle w:val="P68B1DB1-Normal12"/>
              <w:rPr>
                <w:rFonts w:cs="Times New Roman"/>
                <w:noProof/>
              </w:rPr>
            </w:pPr>
            <w:r>
              <w:rPr>
                <w:noProof/>
              </w:rPr>
              <w:t>Rajatylittävän digitaalisen infrastruktuurin parantaminen: hankkeen loppuun saattaminen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65073E" w:rsidRDefault="000A0998">
            <w:pPr>
              <w:pStyle w:val="P68B1DB1-Normal12"/>
              <w:rPr>
                <w:rFonts w:cs="Times New Roman"/>
                <w:noProof/>
              </w:rPr>
            </w:pPr>
            <w:r>
              <w:rPr>
                <w:noProof/>
              </w:rPr>
              <w:t>Myönnettyjen hankkeiden loppuun saattaminen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65073E" w:rsidRDefault="000A0998">
            <w:pPr>
              <w:pStyle w:val="P68B1DB1-Normal12"/>
              <w:spacing w:after="0" w:line="256" w:lineRule="auto"/>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65073E" w:rsidRDefault="000A0998">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65073E" w:rsidRDefault="000A0998">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65073E" w:rsidRDefault="000A0998">
            <w:pPr>
              <w:pStyle w:val="P68B1DB1-Normal12"/>
              <w:spacing w:after="0" w:line="256" w:lineRule="auto"/>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65073E" w:rsidRDefault="000A0998">
            <w:pPr>
              <w:pStyle w:val="P68B1DB1-Normal12"/>
              <w:spacing w:after="0" w:line="256" w:lineRule="auto"/>
              <w:jc w:val="center"/>
              <w:rPr>
                <w:rFonts w:cs="Times New Roman"/>
                <w:noProof/>
              </w:rPr>
            </w:pPr>
            <w:r>
              <w:rPr>
                <w:noProof/>
              </w:rPr>
              <w:t xml:space="preserve">2026 </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65073E" w:rsidRDefault="000A0998">
            <w:pPr>
              <w:pStyle w:val="P68B1DB1-Normal12"/>
              <w:spacing w:after="0" w:line="256" w:lineRule="auto"/>
              <w:rPr>
                <w:rFonts w:cs="Times New Roman"/>
                <w:noProof/>
              </w:rPr>
            </w:pPr>
            <w:r>
              <w:rPr>
                <w:noProof/>
              </w:rPr>
              <w:t xml:space="preserve">Vedenalaisia kaapeleita ja pilvi- ja datainfrastruktuurin yhteenliittämistä koskevien hankkeiden loppuun saattaminen (myönnetty välitavoite #241); b) hankkeista, jotka koskevat pilvipalvelujen ja reuna-alueiden infrastruktuurien ja palvelujen uutta sukupolvea; C) kehittyneitä prosessoreja ja puolijohteita koskevista hankkeista; ja d) T &amp; K &amp; I-hankkeista kvanttiviestintää ja suojattua satelliittiviestintää koskevien valmiuksien vahvistamiseksi </w:t>
            </w:r>
          </w:p>
        </w:tc>
      </w:tr>
      <w:tr w:rsidR="0065073E" w14:paraId="4F590BBC"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65073E" w:rsidRDefault="000A0998">
            <w:pPr>
              <w:pStyle w:val="P68B1DB1-Normal12"/>
              <w:jc w:val="center"/>
              <w:rPr>
                <w:rFonts w:cs="Times New Roman"/>
                <w:noProof/>
              </w:rPr>
            </w:pPr>
            <w:r>
              <w:rPr>
                <w:noProof/>
              </w:rPr>
              <w:t>243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65073E" w:rsidRDefault="000A0998">
            <w:pPr>
              <w:pStyle w:val="P68B1DB1-Normal12"/>
              <w:jc w:val="center"/>
              <w:rPr>
                <w:rFonts w:cs="Times New Roman"/>
                <w:noProof/>
              </w:rPr>
            </w:pPr>
            <w:r>
              <w:rPr>
                <w:noProof/>
              </w:rPr>
              <w:t>C15.I6</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65073E" w:rsidRDefault="000A0998">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65073E" w:rsidRDefault="000A0998">
            <w:pPr>
              <w:pStyle w:val="P68B1DB1-Normal12"/>
              <w:rPr>
                <w:rFonts w:cs="Times New Roman"/>
                <w:noProof/>
              </w:rPr>
            </w:pPr>
            <w:r>
              <w:rPr>
                <w:noProof/>
              </w:rPr>
              <w:t>5G-teknologian käyttöönotto: palkinto</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7777777" w:rsidR="0065073E" w:rsidRDefault="000A0998">
            <w:pPr>
              <w:pStyle w:val="P68B1DB1-Normal12"/>
              <w:rPr>
                <w:rFonts w:cs="Times New Roman"/>
                <w:noProof/>
              </w:rPr>
            </w:pPr>
            <w:r>
              <w:rPr>
                <w:noProof/>
              </w:rPr>
              <w:t>Hankkeiden palkinnon virallinen julkaiseminen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65073E" w:rsidRDefault="000A0998">
            <w:pPr>
              <w:pStyle w:val="P68B1DB1-Normal12"/>
              <w:spacing w:after="0" w:line="256" w:lineRule="auto"/>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65073E" w:rsidRDefault="000A0998">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65073E" w:rsidRDefault="000A0998">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65073E" w:rsidRDefault="000A0998">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65073E" w:rsidRDefault="000A0998">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65073E" w:rsidRDefault="000A0998">
            <w:pPr>
              <w:pStyle w:val="P68B1DB1-Normal12"/>
              <w:spacing w:after="0" w:line="256" w:lineRule="auto"/>
              <w:rPr>
                <w:rFonts w:cs="Times New Roman"/>
                <w:noProof/>
              </w:rPr>
            </w:pPr>
            <w:r>
              <w:rPr>
                <w:noProof/>
              </w:rPr>
              <w:t xml:space="preserve">Kaikkia hankkeita koskevien sopimusten ja avustusten myöntäminen (hankkeiden kokonaisbudjetti 1465000000 euroa) ja varojen siirto toimien toteuttamiseksi seuraavien osalta: a) 5G:n käyttöönotto tärkeimmillä kansallisilla (tietyillä alueilla) ja rajat ylittävissä liikennekäytävissä (4000 paikkaa); b) 5G:n käyttöönotto tietyillä alueilla tavoitteena saavuttaa 75 prosentin väestökattavuus vuoteen 2025 mennessä 5G-etualueilla (vähintään 7000 uutta tai olemassa olevaa paikkaa, joissa on uusia 5G-laitteita; ja vähintään 4000 olemassa olevaa paikkaa, joilla toteutetaan toimia runkoliityntäverkon kapasiteetin lisäämiseksi); C) 5G:n käyttöönotto keskeisillä taloudellisilla toiminnoilla, keskeiset palvelut (43 yhteenliitettävyyshanketta); ja d) tuki 5G- ja 6G-verkkojen tutkimus- ja kehitystoiminnalle innovaatioekosysteemeille (200 hanketta) ja 5G-kyberturvallisuusekosysteemeille. </w:t>
            </w:r>
          </w:p>
        </w:tc>
      </w:tr>
      <w:tr w:rsidR="0065073E" w14:paraId="39769899"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65073E" w:rsidRDefault="000A0998">
            <w:pPr>
              <w:pStyle w:val="P68B1DB1-Normal12"/>
              <w:spacing w:after="0" w:line="256" w:lineRule="auto"/>
              <w:jc w:val="center"/>
              <w:rPr>
                <w:rFonts w:cs="Times New Roman"/>
                <w:noProof/>
              </w:rPr>
            </w:pPr>
            <w:r>
              <w:rPr>
                <w:noProof/>
              </w:rPr>
              <w:t>244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65073E" w:rsidRDefault="000A0998">
            <w:pPr>
              <w:pStyle w:val="P68B1DB1-Normal12"/>
              <w:spacing w:after="0" w:line="256" w:lineRule="auto"/>
              <w:jc w:val="center"/>
              <w:rPr>
                <w:rFonts w:cs="Times New Roman"/>
                <w:noProof/>
              </w:rPr>
            </w:pPr>
            <w:r>
              <w:rPr>
                <w:noProof/>
              </w:rPr>
              <w:t>C15.I6</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65073E" w:rsidRDefault="000A0998">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65073E" w:rsidRDefault="000A0998">
            <w:pPr>
              <w:pStyle w:val="P68B1DB1-Normal12"/>
              <w:rPr>
                <w:rFonts w:cs="Times New Roman"/>
                <w:noProof/>
              </w:rPr>
            </w:pPr>
            <w:r>
              <w:rPr>
                <w:noProof/>
              </w:rPr>
              <w:t>5G-teknologian käyttöönotto: Hankkeen loppuun saattaminen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65073E" w:rsidRDefault="000A0998">
            <w:pPr>
              <w:pStyle w:val="P68B1DB1-Normal12"/>
              <w:rPr>
                <w:rFonts w:cs="Times New Roman"/>
                <w:noProof/>
              </w:rPr>
            </w:pPr>
            <w:r>
              <w:rPr>
                <w:noProof/>
              </w:rPr>
              <w:t>Myönnettyjen hankkeiden loppuun saattaminen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65073E" w:rsidRDefault="000A0998">
            <w:pPr>
              <w:pStyle w:val="P68B1DB1-Normal30"/>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65073E" w:rsidRDefault="000A0998">
            <w:pPr>
              <w:pStyle w:val="P68B1DB1-Normal30"/>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65073E" w:rsidRDefault="000A0998">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65073E" w:rsidRDefault="000A0998">
            <w:pPr>
              <w:pStyle w:val="P68B1DB1-Normal12"/>
              <w:spacing w:after="0" w:line="256" w:lineRule="auto"/>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65073E" w:rsidRDefault="000A0998">
            <w:pPr>
              <w:pStyle w:val="P68B1DB1-Normal12"/>
              <w:spacing w:after="0" w:line="256" w:lineRule="auto"/>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65073E" w:rsidRDefault="000A0998">
            <w:pPr>
              <w:pStyle w:val="P68B1DB1-Normal12"/>
              <w:spacing w:after="0" w:line="256" w:lineRule="auto"/>
              <w:rPr>
                <w:rFonts w:cs="Times New Roman"/>
                <w:noProof/>
              </w:rPr>
            </w:pPr>
            <w:r>
              <w:rPr>
                <w:noProof/>
              </w:rPr>
              <w:t>Sellaisten hankkeiden loppuun saattaminen, jotka koskevat a) 5G:n käyttöönottoa pääasiallisella kansallisella alueella (tietyillä alueilla) ja rajat ylittäviä liikennekäytäviä (4000 kohdetta); b) 5G:n käyttöönotto tietyillä alueilla tavoitteena saavuttaa 75 prosentin väestökattavuus vuoteen 2025 mennessä 5G-etualueilla (vähintään 7000 uutta tai olemassa olevaa paikkaa, joissa on uusia 5G-laitteita, ja vähintään 4000 olemassa olevaa paikkaa, joilla toteutetaan toimia runkoliityntäverkon kapasiteetin lisäämiseksi); C) 5G:n käyttöönotto keskeisillä taloudellisilla toiminnoilla, keskeiset palvelut (43 yhteenliitettävyyshanketta); ja d) tuki 5G- ja 6G-verkkojen tutkimus- ja kehitystoiminnalle innovaatioekosysteemeille (200 hanketta) ja 5G-kyberturvallisuusekosysteemeille. Hankkeet saatetaan päätökseen ohjelman myöntämisperusteiden mukaisesti (Milestone 243).</w:t>
            </w:r>
          </w:p>
        </w:tc>
      </w:tr>
      <w:tr w:rsidR="0065073E" w14:paraId="2FEA3BFE"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65073E" w:rsidRDefault="000A0998">
            <w:pPr>
              <w:pStyle w:val="P68B1DB1-Normal12"/>
              <w:spacing w:after="0"/>
              <w:jc w:val="center"/>
              <w:rPr>
                <w:rFonts w:eastAsia="Times New Roman" w:cs="Times New Roman"/>
                <w:noProof/>
              </w:rPr>
            </w:pPr>
            <w:r>
              <w:rPr>
                <w:noProof/>
              </w:rPr>
              <w:t>245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65073E" w:rsidRDefault="000A0998">
            <w:pPr>
              <w:pStyle w:val="P68B1DB1-Normal12"/>
              <w:spacing w:after="0"/>
              <w:jc w:val="center"/>
              <w:rPr>
                <w:rFonts w:eastAsia="Times New Roman" w:cs="Times New Roman"/>
                <w:noProof/>
              </w:rPr>
            </w:pPr>
            <w:r>
              <w:rPr>
                <w:noProof/>
              </w:rPr>
              <w:t>C15.I7</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65073E" w:rsidRDefault="000A0998">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65073E" w:rsidRDefault="000A0998">
            <w:pPr>
              <w:pStyle w:val="P68B1DB1-Normal12"/>
              <w:spacing w:after="0"/>
              <w:rPr>
                <w:rFonts w:eastAsia="Times New Roman" w:cs="Times New Roman"/>
                <w:noProof/>
              </w:rPr>
            </w:pPr>
            <w:r>
              <w:rPr>
                <w:noProof/>
              </w:rPr>
              <w:t>Kansallisen kyberturvallisuusalan tukiohjelman, maailmanlaajuisen turvallisuusinnovaatio-ohjelman ja niihin liittyvien toimien käynnistäminen.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65073E" w:rsidRDefault="000A0998">
            <w:pPr>
              <w:pStyle w:val="P68B1DB1-Normal12"/>
              <w:spacing w:after="0"/>
              <w:jc w:val="center"/>
              <w:rPr>
                <w:rFonts w:eastAsia="Times New Roman" w:cs="Times New Roman"/>
                <w:noProof/>
              </w:rPr>
            </w:pPr>
            <w:r>
              <w:rPr>
                <w:noProof/>
              </w:rPr>
              <w:t>Ohjelmien julkaiseminen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65073E" w:rsidRDefault="0065073E">
            <w:pPr>
              <w:spacing w:after="0"/>
              <w:jc w:val="center"/>
              <w:rPr>
                <w:rFonts w:ascii="Times New Roman" w:eastAsia="Times New Roman" w:hAnsi="Times New Roman" w:cs="Times New Roman"/>
                <w:noProof/>
                <w:sz w:val="18"/>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65073E" w:rsidRDefault="0065073E">
            <w:pPr>
              <w:spacing w:after="0"/>
              <w:jc w:val="center"/>
              <w:rPr>
                <w:rFonts w:ascii="Times New Roman" w:eastAsia="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65073E" w:rsidRDefault="000A0998">
            <w:pPr>
              <w:pStyle w:val="P68B1DB1-Normal12"/>
              <w:spacing w:after="0"/>
              <w:jc w:val="center"/>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65073E" w:rsidRDefault="000A0998">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65073E" w:rsidRDefault="000A0998">
            <w:pPr>
              <w:spacing w:after="0"/>
              <w:rPr>
                <w:rFonts w:ascii="Times New Roman" w:eastAsia="Times New Roman" w:hAnsi="Times New Roman" w:cs="Times New Roman"/>
                <w:noProof/>
                <w:sz w:val="18"/>
              </w:rPr>
            </w:pPr>
            <w:r>
              <w:rPr>
                <w:rFonts w:ascii="Times New Roman" w:hAnsi="Times New Roman"/>
                <w:noProof/>
                <w:sz w:val="18"/>
              </w:rPr>
              <w:t>Kansallisen kyberturvallisuusalan tukiohjelman ja maailmanlaajuisen turvallisuusinnovaatio-ohjelman käynnistäminen ja muut asiaan liittyvät toimet</w:t>
            </w:r>
            <w:r>
              <w:rPr>
                <w:noProof/>
              </w:rPr>
              <w:t xml:space="preserve"> (joiden budjetti on 311000000 euroa), jotka koskevat teollisuuden keskeisiä näkökohtia, kuten  </w:t>
            </w:r>
            <w:r>
              <w:rPr>
                <w:noProof/>
              </w:rPr>
              <w:br/>
            </w:r>
            <w:r>
              <w:rPr>
                <w:rFonts w:ascii="Times New Roman" w:hAnsi="Times New Roman"/>
                <w:noProof/>
                <w:sz w:val="18"/>
              </w:rPr>
              <w:t>— kansallisen kyberturvallisuusteollisuuden edistäminen alan yritysten perustamista, kasvua ja kehitystä varten</w:t>
            </w:r>
            <w:r>
              <w:rPr>
                <w:noProof/>
              </w:rPr>
              <w:t xml:space="preserve"> </w:t>
            </w:r>
            <w:r>
              <w:rPr>
                <w:noProof/>
              </w:rPr>
              <w:br/>
              <w:t xml:space="preserve"> </w:t>
            </w:r>
            <w:r>
              <w:rPr>
                <w:rFonts w:ascii="Times New Roman" w:hAnsi="Times New Roman"/>
                <w:noProof/>
                <w:sz w:val="18"/>
              </w:rPr>
              <w:t>— korkean lisäarvon ratkaisujen ja palvelujen kehittäminen kyberturvallisuuden alalla</w:t>
            </w:r>
            <w:r>
              <w:rPr>
                <w:noProof/>
              </w:rPr>
              <w:t xml:space="preserve"> </w:t>
            </w:r>
            <w:r>
              <w:rPr>
                <w:noProof/>
              </w:rPr>
              <w:br/>
              <w:t xml:space="preserve"> </w:t>
            </w:r>
            <w:r>
              <w:rPr>
                <w:rFonts w:ascii="Times New Roman" w:hAnsi="Times New Roman"/>
                <w:noProof/>
                <w:sz w:val="18"/>
              </w:rPr>
              <w:t>— kyberturvallisuuteen erikoistuneiden lahjakkuuksien kouluttaminen ja kehittäminen</w:t>
            </w:r>
            <w:r>
              <w:rPr>
                <w:noProof/>
              </w:rPr>
              <w:t xml:space="preserve"> </w:t>
            </w:r>
            <w:r>
              <w:rPr>
                <w:noProof/>
              </w:rPr>
              <w:br/>
              <w:t xml:space="preserve"> </w:t>
            </w:r>
            <w:r>
              <w:rPr>
                <w:rFonts w:ascii="Times New Roman" w:hAnsi="Times New Roman"/>
                <w:noProof/>
                <w:sz w:val="18"/>
              </w:rPr>
              <w:t>— Kyberturvallisuuden alan kansainvälistymistoimet</w:t>
            </w:r>
            <w:r>
              <w:rPr>
                <w:noProof/>
              </w:rPr>
              <w:t xml:space="preserve"> </w:t>
            </w:r>
            <w:r>
              <w:rPr>
                <w:noProof/>
              </w:rPr>
              <w:br/>
              <w:t xml:space="preserve"> </w:t>
            </w:r>
            <w:r>
              <w:rPr>
                <w:rFonts w:ascii="Times New Roman" w:hAnsi="Times New Roman"/>
                <w:noProof/>
                <w:sz w:val="18"/>
              </w:rPr>
              <w:t>— perustetaan demonstrointikeskus kyberturvallisuusinfrastruktuurin kehittämistä ja uusien kyberturvallisuuspalvelujen luomista varten, mukaan lukien testauslaboratoriot ja kyberhyökkäyssimulaattorit</w:t>
            </w:r>
            <w:r>
              <w:rPr>
                <w:noProof/>
              </w:rPr>
              <w:t xml:space="preserve"> </w:t>
            </w:r>
            <w:r>
              <w:rPr>
                <w:noProof/>
              </w:rPr>
              <w:br/>
              <w:t xml:space="preserve"> </w:t>
            </w:r>
            <w:r>
              <w:rPr>
                <w:rFonts w:ascii="Times New Roman" w:hAnsi="Times New Roman"/>
                <w:noProof/>
                <w:sz w:val="18"/>
              </w:rPr>
              <w:t>— kyberturvallisuusmerkintöjen sertifiointien kehittäminen.</w:t>
            </w:r>
          </w:p>
        </w:tc>
      </w:tr>
      <w:tr w:rsidR="0065073E" w14:paraId="2558A584" w14:textId="77777777">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65073E" w:rsidRDefault="000A0998">
            <w:pPr>
              <w:pStyle w:val="P68B1DB1-Normal12"/>
              <w:spacing w:after="0"/>
              <w:jc w:val="center"/>
              <w:rPr>
                <w:rFonts w:cs="Times New Roman"/>
                <w:noProof/>
              </w:rPr>
            </w:pPr>
            <w:r>
              <w:rPr>
                <w:noProof/>
              </w:rPr>
              <w:t>453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65073E" w:rsidRDefault="000A0998">
            <w:pPr>
              <w:pStyle w:val="P68B1DB1-Normal12"/>
              <w:spacing w:after="0"/>
              <w:jc w:val="center"/>
              <w:rPr>
                <w:rFonts w:cs="Times New Roman"/>
                <w:noProof/>
              </w:rPr>
            </w:pPr>
            <w:r>
              <w:rPr>
                <w:noProof/>
              </w:rPr>
              <w:t>C15.I7</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65073E" w:rsidRDefault="000A0998">
            <w:pPr>
              <w:pStyle w:val="P68B1DB1-Normal12"/>
              <w:spacing w:after="0"/>
              <w:rPr>
                <w:rFonts w:cs="Times New Roman"/>
                <w:noProof/>
              </w:rPr>
            </w:pPr>
            <w:r>
              <w:rPr>
                <w:noProof/>
              </w:rPr>
              <w:t>Kansallisen kyberturvallisuusalan tukiohjelman, maailmanlaajuisen turvallisuusinnovaatio-ohjelman ja niihin liittyvien toimien käynnistäminen.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65073E" w:rsidRDefault="000A0998">
            <w:pPr>
              <w:pStyle w:val="P68B1DB1-Normal12"/>
              <w:spacing w:after="0"/>
              <w:jc w:val="center"/>
              <w:rPr>
                <w:rFonts w:cs="Times New Roman"/>
                <w:noProof/>
              </w:rPr>
            </w:pPr>
            <w:r>
              <w:rPr>
                <w:noProof/>
              </w:rPr>
              <w:t>Ohjelmien julkaiseminen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65073E" w:rsidRDefault="0065073E">
            <w:pPr>
              <w:spacing w:after="0"/>
              <w:jc w:val="center"/>
              <w:rPr>
                <w:rFonts w:ascii="Times New Roman" w:hAnsi="Times New Roman" w:cs="Times New Roman"/>
                <w:noProof/>
                <w:sz w:val="18"/>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65073E" w:rsidRDefault="0065073E">
            <w:pPr>
              <w:spacing w:after="0"/>
              <w:jc w:val="center"/>
              <w:rPr>
                <w:rFonts w:ascii="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65073E" w:rsidRDefault="0065073E">
            <w:pPr>
              <w:spacing w:after="0"/>
              <w:jc w:val="center"/>
              <w:rPr>
                <w:rFonts w:ascii="Times New Roman" w:hAnsi="Times New Roman" w:cs="Times New Roman"/>
                <w:noProof/>
                <w:sz w:val="18"/>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65073E" w:rsidRDefault="000A0998">
            <w:pPr>
              <w:pStyle w:val="P68B1DB1-Normal12"/>
              <w:spacing w:after="0"/>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65073E" w:rsidRDefault="000A0998">
            <w:pPr>
              <w:pStyle w:val="P68B1DB1-Normal12"/>
              <w:spacing w:after="0"/>
              <w:jc w:val="center"/>
              <w:rPr>
                <w:rFonts w:cs="Times New Roman"/>
                <w:noProof/>
              </w:rPr>
            </w:pPr>
            <w:r>
              <w:rPr>
                <w:noProof/>
              </w:rPr>
              <w:t>2023</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65073E" w:rsidRDefault="000A0998">
            <w:pPr>
              <w:spacing w:after="0"/>
              <w:rPr>
                <w:rFonts w:ascii="Times New Roman" w:hAnsi="Times New Roman" w:cs="Times New Roman"/>
                <w:noProof/>
                <w:sz w:val="18"/>
              </w:rPr>
            </w:pPr>
            <w:r>
              <w:rPr>
                <w:rFonts w:ascii="Times New Roman" w:hAnsi="Times New Roman"/>
                <w:noProof/>
                <w:sz w:val="18"/>
              </w:rPr>
              <w:t>Kansallisen kyberteollisuuden tukiohjelman ja maailmanlaajuisen turvallisuusinnovaatio-ohjelman ja muiden siihen liittyvien toimien täytäntöönpanon jatkaminen</w:t>
            </w:r>
            <w:r>
              <w:rPr>
                <w:noProof/>
              </w:rPr>
              <w:t xml:space="preserve"> välitavoite 245:stä </w:t>
            </w:r>
            <w:r>
              <w:rPr>
                <w:rFonts w:ascii="Times New Roman" w:hAnsi="Times New Roman"/>
                <w:noProof/>
                <w:sz w:val="18"/>
              </w:rPr>
              <w:t xml:space="preserve">(budjetti on myönnetty 107000000 euroa välitavoitteen 245 määrärahojen lisäksi yhteensä 418000000 euroa), joka koskee keskeisiä teollisuuden näkökohtia, kuten </w:t>
            </w:r>
          </w:p>
          <w:p w14:paraId="4C3E715A" w14:textId="77777777" w:rsidR="0065073E" w:rsidRDefault="000A0998">
            <w:pPr>
              <w:pStyle w:val="P68B1DB1-Normal12"/>
              <w:spacing w:after="0"/>
              <w:rPr>
                <w:rFonts w:cs="Times New Roman"/>
                <w:noProof/>
              </w:rPr>
            </w:pPr>
            <w:r>
              <w:rPr>
                <w:noProof/>
              </w:rPr>
              <w:t xml:space="preserve">— kansallisen kyberturvallisuusteollisuuden edistäminen alan yritysten perustamista, kasvua ja kehittämistä varten; </w:t>
            </w:r>
          </w:p>
          <w:p w14:paraId="128F5FCB" w14:textId="77777777" w:rsidR="0065073E" w:rsidRDefault="000A0998">
            <w:pPr>
              <w:pStyle w:val="P68B1DB1-Normal12"/>
              <w:spacing w:after="0"/>
              <w:rPr>
                <w:rFonts w:cs="Times New Roman"/>
                <w:noProof/>
              </w:rPr>
            </w:pPr>
            <w:r>
              <w:rPr>
                <w:noProof/>
              </w:rPr>
              <w:t xml:space="preserve">— korkean lisäarvon ratkaisujen ja palvelujen kehittäminen kyberturvallisuuden alalla </w:t>
            </w:r>
          </w:p>
          <w:p w14:paraId="215A96E9" w14:textId="77777777" w:rsidR="0065073E" w:rsidRDefault="000A0998">
            <w:pPr>
              <w:pStyle w:val="P68B1DB1-Normal12"/>
              <w:spacing w:after="0"/>
              <w:rPr>
                <w:rFonts w:cs="Times New Roman"/>
                <w:noProof/>
              </w:rPr>
            </w:pPr>
            <w:r>
              <w:rPr>
                <w:noProof/>
              </w:rPr>
              <w:t xml:space="preserve">— kyberturvallisuuteen erikoistuneiden lahjakkuuksien kouluttaminen ja kehittäminen </w:t>
            </w:r>
          </w:p>
          <w:p w14:paraId="2B5C29E9" w14:textId="77777777" w:rsidR="0065073E" w:rsidRDefault="000A0998">
            <w:pPr>
              <w:pStyle w:val="P68B1DB1-Normal12"/>
              <w:spacing w:after="0"/>
              <w:rPr>
                <w:rFonts w:cs="Times New Roman"/>
                <w:noProof/>
              </w:rPr>
            </w:pPr>
            <w:r>
              <w:rPr>
                <w:noProof/>
              </w:rPr>
              <w:t xml:space="preserve">— kyberturvallisuuden alan kansainvälistymistoimet; </w:t>
            </w:r>
          </w:p>
          <w:p w14:paraId="09C08B24" w14:textId="77777777" w:rsidR="0065073E" w:rsidRDefault="000A0998">
            <w:pPr>
              <w:pStyle w:val="P68B1DB1-Normal12"/>
              <w:spacing w:after="0"/>
              <w:rPr>
                <w:rFonts w:cs="Times New Roman"/>
                <w:noProof/>
              </w:rPr>
            </w:pPr>
            <w:r>
              <w:rPr>
                <w:noProof/>
              </w:rPr>
              <w:t xml:space="preserve">— perustetaan demonstrointikeskus kyberturvallisuusinfrastruktuurin kehittämistä ja uusien kyberturvallisuuspalvelujen luomista varten, mukaan lukien testauslaboratoriot ja kyberhyökkäyssimulaattorit </w:t>
            </w:r>
          </w:p>
          <w:p w14:paraId="3AA6A019" w14:textId="0E4BC905" w:rsidR="0065073E" w:rsidRDefault="000A0998">
            <w:pPr>
              <w:pStyle w:val="P68B1DB1-Normal12"/>
              <w:spacing w:after="0"/>
              <w:rPr>
                <w:rFonts w:cs="Times New Roman"/>
                <w:noProof/>
              </w:rPr>
            </w:pPr>
            <w:r>
              <w:rPr>
                <w:noProof/>
              </w:rPr>
              <w:t>— kyberturvallisuusmerkintöjen sertifiointien kehittäminen.</w:t>
            </w:r>
          </w:p>
        </w:tc>
      </w:tr>
      <w:tr w:rsidR="0065073E" w14:paraId="499C6D84"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65073E" w:rsidRDefault="000A0998">
            <w:pPr>
              <w:pStyle w:val="P68B1DB1-Normal12"/>
              <w:spacing w:after="0"/>
              <w:jc w:val="center"/>
              <w:rPr>
                <w:rFonts w:eastAsia="Times New Roman" w:cs="Times New Roman"/>
                <w:noProof/>
              </w:rPr>
            </w:pPr>
            <w:r>
              <w:rPr>
                <w:noProof/>
              </w:rPr>
              <w:t>246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65073E" w:rsidRDefault="000A0998">
            <w:pPr>
              <w:pStyle w:val="P68B1DB1-Normal12"/>
              <w:spacing w:after="0"/>
              <w:jc w:val="center"/>
              <w:rPr>
                <w:rFonts w:eastAsia="Times New Roman" w:cs="Times New Roman"/>
                <w:noProof/>
              </w:rPr>
            </w:pPr>
            <w:r>
              <w:rPr>
                <w:noProof/>
              </w:rPr>
              <w:t>C15.I7</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65073E" w:rsidRDefault="000A0998">
            <w:pPr>
              <w:pStyle w:val="P68B1DB1-Normal12"/>
              <w:spacing w:after="0"/>
              <w:jc w:val="center"/>
              <w:rPr>
                <w:rFonts w:eastAsia="Times New Roman"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65073E" w:rsidRDefault="000A0998">
            <w:pPr>
              <w:pStyle w:val="P68B1DB1-Normal12"/>
              <w:spacing w:after="0"/>
              <w:rPr>
                <w:rFonts w:eastAsia="Times New Roman" w:cs="Times New Roman"/>
                <w:noProof/>
              </w:rPr>
            </w:pPr>
            <w:r>
              <w:rPr>
                <w:noProof/>
              </w:rPr>
              <w:t>Kyberturvallisuusvalmiuksien vahvistaminen ja parantaminen: Resurssit</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65073E" w:rsidRDefault="000A0998">
            <w:pPr>
              <w:pStyle w:val="P68B1DB1-Normal12"/>
              <w:spacing w:after="0"/>
              <w:jc w:val="center"/>
              <w:rPr>
                <w:rFonts w:eastAsia="Times New Roman" w:cs="Times New Roman"/>
                <w:noProof/>
              </w:rPr>
            </w:pPr>
            <w:r>
              <w:rPr>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65073E" w:rsidRDefault="000A0998">
            <w:pPr>
              <w:pStyle w:val="P68B1DB1-Normal12"/>
              <w:spacing w:after="0"/>
              <w:jc w:val="right"/>
              <w:rPr>
                <w:rFonts w:eastAsia="Times New Roman"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65073E" w:rsidRDefault="000A0998">
            <w:pPr>
              <w:pStyle w:val="P68B1DB1-Normal12"/>
              <w:spacing w:after="0"/>
              <w:jc w:val="right"/>
              <w:rPr>
                <w:rFonts w:eastAsia="Times New Roman"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65073E" w:rsidRDefault="000A0998">
            <w:pPr>
              <w:pStyle w:val="P68B1DB1-Normal12"/>
              <w:spacing w:after="0"/>
              <w:jc w:val="right"/>
              <w:rPr>
                <w:rFonts w:eastAsia="Times New Roman" w:cs="Times New Roman"/>
                <w:noProof/>
              </w:rPr>
            </w:pPr>
            <w:r>
              <w:rPr>
                <w:noProof/>
              </w:rPr>
              <w:t>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65073E" w:rsidRDefault="000A0998">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65073E" w:rsidRDefault="000A0998">
            <w:pPr>
              <w:pStyle w:val="P68B1DB1-Normal12"/>
              <w:spacing w:after="0"/>
              <w:jc w:val="center"/>
              <w:rPr>
                <w:rFonts w:eastAsia="Times New Roman" w:cs="Times New Roman"/>
                <w:noProof/>
              </w:rPr>
            </w:pPr>
            <w:r>
              <w:rPr>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65073E" w:rsidRDefault="000A0998">
            <w:pPr>
              <w:pStyle w:val="P68B1DB1-Normal12"/>
              <w:spacing w:after="0"/>
              <w:rPr>
                <w:rFonts w:eastAsia="Times New Roman" w:cs="Times New Roman"/>
                <w:noProof/>
              </w:rPr>
            </w:pPr>
            <w:r>
              <w:rPr>
                <w:noProof/>
              </w:rPr>
              <w:t>Vahvistetaan ja parannetaan kyberturvallisuusvalmiuksia toimittamalla vähintään 100 resurssia kyberturvallisuuden alan tiedotus- ja viestintätoimiin. Kyberturvallisuuteen liittyviä digitaalisia taitoja kehitetään kaikilla koulutustasoilla kehittämällä erityisiä resursseja, välineitä ja materiaaleja. Lisäksi perustetaan kyberturvallisuuden kansainvälinen keskus, joka osallistuu kyberturvallisuuskeskusten eurooppalaiseen verkostoon.</w:t>
            </w:r>
          </w:p>
        </w:tc>
      </w:tr>
      <w:tr w:rsidR="0065073E" w14:paraId="5AE9C9F7"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65073E" w:rsidRDefault="000A0998">
            <w:pPr>
              <w:pStyle w:val="P68B1DB1-Normal12"/>
              <w:spacing w:after="0"/>
              <w:jc w:val="center"/>
              <w:rPr>
                <w:rFonts w:cs="Times New Roman"/>
                <w:noProof/>
              </w:rPr>
            </w:pPr>
            <w:r>
              <w:rPr>
                <w:noProof/>
              </w:rPr>
              <w:t>247</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65073E" w:rsidRDefault="000A0998">
            <w:pPr>
              <w:pStyle w:val="P68B1DB1-Normal12"/>
              <w:spacing w:after="0"/>
              <w:jc w:val="center"/>
              <w:rPr>
                <w:rFonts w:cs="Times New Roman"/>
                <w:noProof/>
              </w:rPr>
            </w:pPr>
            <w:r>
              <w:rPr>
                <w:noProof/>
              </w:rPr>
              <w:t>C15.I7</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65073E" w:rsidRDefault="000A0998">
            <w:pPr>
              <w:pStyle w:val="P68B1DB1-Normal12"/>
              <w:spacing w:after="0"/>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65073E" w:rsidRDefault="000A0998">
            <w:pPr>
              <w:pStyle w:val="P68B1DB1-Normal12"/>
              <w:spacing w:after="0"/>
              <w:rPr>
                <w:rFonts w:cs="Times New Roman"/>
                <w:noProof/>
              </w:rPr>
            </w:pPr>
            <w:r>
              <w:rPr>
                <w:noProof/>
              </w:rPr>
              <w:t>Kyberturvallisuusvalmiuksien vahvistaminen ja parantaminen: Kyberturvallisuuden neuvontapalvelu</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65073E" w:rsidRDefault="000A0998">
            <w:pPr>
              <w:pStyle w:val="P68B1DB1-Normal12"/>
              <w:spacing w:after="0"/>
              <w:jc w:val="center"/>
              <w:rPr>
                <w:rFonts w:cs="Times New Roman"/>
                <w:noProof/>
              </w:rPr>
            </w:pPr>
            <w:r>
              <w:rPr>
                <w:noProof/>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65073E" w:rsidRDefault="000A0998">
            <w:pPr>
              <w:pStyle w:val="P68B1DB1-Normal12"/>
              <w:spacing w:after="0"/>
              <w:jc w:val="right"/>
              <w:rPr>
                <w:rFonts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65073E" w:rsidRDefault="000A0998">
            <w:pPr>
              <w:pStyle w:val="P68B1DB1-Normal12"/>
              <w:spacing w:after="0"/>
              <w:jc w:val="right"/>
              <w:rPr>
                <w:rFonts w:cs="Times New Roman"/>
                <w:noProof/>
              </w:rPr>
            </w:pPr>
            <w:r>
              <w:rPr>
                <w:noProof/>
              </w:rPr>
              <w:t>5 000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65073E" w:rsidRDefault="000A0998">
            <w:pPr>
              <w:pStyle w:val="P68B1DB1-Normal12"/>
              <w:spacing w:after="0"/>
              <w:jc w:val="right"/>
              <w:rPr>
                <w:rFonts w:cs="Times New Roman"/>
                <w:noProof/>
              </w:rPr>
            </w:pPr>
            <w:r>
              <w:rPr>
                <w:noProof/>
              </w:rPr>
              <w:t>20 000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65073E" w:rsidRDefault="000A0998">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65073E" w:rsidRDefault="000A0998">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65073E" w:rsidRDefault="000A0998">
            <w:pPr>
              <w:pStyle w:val="P68B1DB1-Normal12"/>
              <w:spacing w:after="0"/>
              <w:rPr>
                <w:rFonts w:cs="Times New Roman"/>
                <w:noProof/>
              </w:rPr>
            </w:pPr>
            <w:r>
              <w:rPr>
                <w:noProof/>
              </w:rPr>
              <w:t>Vahvistetaan kyberturvallisuusvalmiuksia parantamalla kansallisen kyberturvallisuusinstituutin (INCIBE) kyberturvallisuusneuvontalinjaa, jonka kuukausittainen kapasiteetti on vähintään 20000 puhelua. Tämän puhelinpalvelun on myös tuettava lasten seksuaaliseen hyväksikäyttöön liittyvän materiaalin poistamista verkkoresursseista.</w:t>
            </w:r>
          </w:p>
        </w:tc>
      </w:tr>
      <w:tr w:rsidR="0065073E" w14:paraId="30A996CB"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65073E" w:rsidRDefault="000A0998">
            <w:pPr>
              <w:pStyle w:val="P68B1DB1-Normal12"/>
              <w:spacing w:after="0"/>
              <w:jc w:val="center"/>
              <w:rPr>
                <w:rFonts w:cs="Times New Roman"/>
                <w:noProof/>
                <w:highlight w:val="yellow"/>
              </w:rPr>
            </w:pPr>
            <w:r>
              <w:rPr>
                <w:noProof/>
              </w:rPr>
              <w:t>248</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65073E" w:rsidRDefault="000A0998">
            <w:pPr>
              <w:pStyle w:val="P68B1DB1-Normal12"/>
              <w:spacing w:after="0"/>
              <w:jc w:val="center"/>
              <w:rPr>
                <w:rFonts w:cs="Times New Roman"/>
                <w:noProof/>
              </w:rPr>
            </w:pPr>
            <w:r>
              <w:rPr>
                <w:noProof/>
              </w:rPr>
              <w:t>C15.I7</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65073E" w:rsidRDefault="000A0998">
            <w:pPr>
              <w:pStyle w:val="P68B1DB1-Normal12"/>
              <w:spacing w:after="0"/>
              <w:rPr>
                <w:rFonts w:cs="Times New Roman"/>
                <w:noProof/>
              </w:rPr>
            </w:pPr>
            <w:r>
              <w:rPr>
                <w:noProof/>
              </w:rPr>
              <w:t>Kansallisen kyberturvallisuusalan tukiohjelman, maailmanlaajuisen turvallisuusinnovaatio-ohjelman ja niihin liittyvien toimien hankkeiden loppuun saattaminen.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77777777" w:rsidR="0065073E" w:rsidRDefault="000A0998">
            <w:pPr>
              <w:pStyle w:val="P68B1DB1-Normal12"/>
              <w:spacing w:after="0"/>
              <w:jc w:val="center"/>
              <w:rPr>
                <w:rFonts w:cs="Times New Roman"/>
                <w:noProof/>
              </w:rPr>
            </w:pPr>
            <w:r>
              <w:rPr>
                <w:noProof/>
              </w:rPr>
              <w:t>Ilmoitus investointihankkeiden loppuun saattamisesta</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65073E" w:rsidRDefault="000A0998">
            <w:pPr>
              <w:pStyle w:val="P68B1DB1-Normal12"/>
              <w:spacing w:after="0"/>
              <w:jc w:val="right"/>
              <w:rPr>
                <w:rFonts w:cs="Times New Roman"/>
                <w:noProof/>
              </w:rPr>
            </w:pPr>
            <w:r>
              <w:rPr>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65073E" w:rsidRDefault="000A0998">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65073E" w:rsidRDefault="000A0998">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65073E" w:rsidRDefault="000A0998">
            <w:pPr>
              <w:pStyle w:val="P68B1DB1-Normal12"/>
              <w:spacing w:after="0"/>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65073E" w:rsidRDefault="000A0998">
            <w:pPr>
              <w:pStyle w:val="P68B1DB1-Normal12"/>
              <w:spacing w:after="0"/>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65073E" w:rsidRDefault="000A0998">
            <w:pPr>
              <w:spacing w:after="0"/>
              <w:rPr>
                <w:rFonts w:ascii="Times New Roman" w:hAnsi="Times New Roman" w:cs="Times New Roman"/>
                <w:noProof/>
                <w:sz w:val="18"/>
              </w:rPr>
            </w:pPr>
            <w:r>
              <w:rPr>
                <w:rFonts w:ascii="Times New Roman" w:hAnsi="Times New Roman"/>
                <w:noProof/>
                <w:sz w:val="18"/>
              </w:rPr>
              <w:t>Kansalliseen kyberturvallisuusalan tukiohjelmaan ja maailmanlaajuiseen turvallisuusinnovaatio-ohjelmaan sisältyvien hankkeiden ja muiden asiaan liittyvien toimien loppuun saattaminen seuraavilla aloilla (myönnetty välitavoite 245):</w:t>
            </w:r>
            <w:r>
              <w:rPr>
                <w:noProof/>
              </w:rPr>
              <w:t xml:space="preserve"> </w:t>
            </w:r>
            <w:r>
              <w:rPr>
                <w:noProof/>
              </w:rPr>
              <w:br/>
            </w:r>
            <w:r>
              <w:rPr>
                <w:rFonts w:ascii="Times New Roman" w:hAnsi="Times New Roman"/>
                <w:noProof/>
                <w:sz w:val="18"/>
              </w:rPr>
              <w:t>— kansallisen kyberturvallisuusteollisuuden edistäminen alan yritysten perustamista, kasvua ja kehitystä varten</w:t>
            </w:r>
            <w:r>
              <w:rPr>
                <w:noProof/>
              </w:rPr>
              <w:t xml:space="preserve"> </w:t>
            </w:r>
            <w:r>
              <w:rPr>
                <w:noProof/>
              </w:rPr>
              <w:br/>
              <w:t xml:space="preserve"> </w:t>
            </w:r>
            <w:r>
              <w:rPr>
                <w:rFonts w:ascii="Times New Roman" w:hAnsi="Times New Roman"/>
                <w:noProof/>
                <w:sz w:val="18"/>
              </w:rPr>
              <w:t>— korkean lisäarvon ratkaisujen ja palvelujen kehittäminen kyberturvallisuuden alalla</w:t>
            </w:r>
            <w:r>
              <w:rPr>
                <w:noProof/>
              </w:rPr>
              <w:t xml:space="preserve"> </w:t>
            </w:r>
            <w:r>
              <w:rPr>
                <w:noProof/>
              </w:rPr>
              <w:br/>
              <w:t xml:space="preserve"> </w:t>
            </w:r>
            <w:r>
              <w:rPr>
                <w:rFonts w:ascii="Times New Roman" w:hAnsi="Times New Roman"/>
                <w:noProof/>
                <w:sz w:val="18"/>
              </w:rPr>
              <w:t>— kouluttaa ja kehittää lahjakkuuksia kyberturvallisuuden alalla,</w:t>
            </w:r>
            <w:r>
              <w:rPr>
                <w:noProof/>
              </w:rPr>
              <w:t xml:space="preserve"> </w:t>
            </w:r>
            <w:r>
              <w:rPr>
                <w:noProof/>
              </w:rPr>
              <w:br/>
              <w:t xml:space="preserve"> </w:t>
            </w:r>
            <w:r>
              <w:rPr>
                <w:rFonts w:ascii="Times New Roman" w:hAnsi="Times New Roman"/>
                <w:noProof/>
                <w:sz w:val="18"/>
              </w:rPr>
              <w:t>— Kyberturvallisuuden alan kansainvälistymistoimet</w:t>
            </w:r>
            <w:r>
              <w:rPr>
                <w:noProof/>
              </w:rPr>
              <w:t xml:space="preserve"> </w:t>
            </w:r>
            <w:r>
              <w:rPr>
                <w:noProof/>
              </w:rPr>
              <w:br/>
              <w:t xml:space="preserve"> </w:t>
            </w:r>
            <w:r>
              <w:rPr>
                <w:rFonts w:ascii="Times New Roman" w:hAnsi="Times New Roman"/>
                <w:noProof/>
                <w:sz w:val="18"/>
              </w:rPr>
              <w:t>— perustetaan demonstrointikeskus kyberturvallisuusinfrastruktuurin kehittämistä ja uusien kyberturvallisuuspalvelujen luomista varten, mukaan lukien testauslaboratoriot ja kyberhyökkäyssimulaattorit</w:t>
            </w:r>
            <w:r>
              <w:rPr>
                <w:noProof/>
              </w:rPr>
              <w:t xml:space="preserve"> </w:t>
            </w:r>
            <w:r>
              <w:rPr>
                <w:noProof/>
              </w:rPr>
              <w:br/>
              <w:t xml:space="preserve"> </w:t>
            </w:r>
            <w:r>
              <w:rPr>
                <w:rFonts w:ascii="Times New Roman" w:hAnsi="Times New Roman"/>
                <w:noProof/>
                <w:sz w:val="18"/>
              </w:rPr>
              <w:t>— kyberturvallisuusmerkintöjen sertifiointien kehittäminen</w:t>
            </w:r>
          </w:p>
        </w:tc>
      </w:tr>
      <w:tr w:rsidR="0065073E" w14:paraId="50CCF006" w14:textId="77777777">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65073E" w:rsidRDefault="000A0998">
            <w:pPr>
              <w:pStyle w:val="P68B1DB1-Normal12"/>
              <w:spacing w:after="0"/>
              <w:jc w:val="center"/>
              <w:rPr>
                <w:rFonts w:cs="Times New Roman"/>
                <w:noProof/>
                <w:shd w:val="clear" w:color="auto" w:fill="E6E6E6"/>
              </w:rPr>
            </w:pPr>
            <w:r>
              <w:rPr>
                <w:noProof/>
              </w:rPr>
              <w:t>454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65073E" w:rsidRDefault="000A0998">
            <w:pPr>
              <w:pStyle w:val="P68B1DB1-Normal12"/>
              <w:spacing w:after="0"/>
              <w:jc w:val="center"/>
              <w:rPr>
                <w:rFonts w:cs="Times New Roman"/>
                <w:noProof/>
                <w:shd w:val="clear" w:color="auto" w:fill="E6E6E6"/>
              </w:rPr>
            </w:pPr>
            <w:r>
              <w:rPr>
                <w:noProof/>
              </w:rPr>
              <w:t>C15.I8</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65073E" w:rsidRDefault="000A0998">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65073E" w:rsidRDefault="000A0998">
            <w:pPr>
              <w:pStyle w:val="P68B1DB1-Normal12"/>
              <w:spacing w:after="0"/>
              <w:rPr>
                <w:rFonts w:eastAsia="Times New Roman" w:cs="Times New Roman"/>
                <w:noProof/>
              </w:rPr>
            </w:pPr>
            <w:r>
              <w:rPr>
                <w:noProof/>
              </w:rPr>
              <w:t>PERTE-SIRU. Tieteellisten valmiuksien, suunnittelun ja innovatiivisen valmistuksen vahvistaminen: palkinto</w:t>
            </w:r>
          </w:p>
          <w:p w14:paraId="11F6290C" w14:textId="77777777" w:rsidR="0065073E" w:rsidRDefault="0065073E">
            <w:pPr>
              <w:spacing w:after="0"/>
              <w:rPr>
                <w:rFonts w:ascii="Times New Roman" w:hAnsi="Times New Roman" w:cs="Times New Roman"/>
                <w:noProof/>
                <w:sz w:val="18"/>
                <w:shd w:val="clear" w:color="auto" w:fill="E6E6E6"/>
              </w:rPr>
            </w:pP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7777777" w:rsidR="0065073E" w:rsidRDefault="000A0998">
            <w:pPr>
              <w:pStyle w:val="P68B1DB1-Normal12"/>
              <w:spacing w:after="0"/>
              <w:jc w:val="center"/>
              <w:rPr>
                <w:rFonts w:eastAsia="Times New Roman" w:cs="Times New Roman"/>
                <w:noProof/>
              </w:rPr>
            </w:pPr>
            <w:r>
              <w:rPr>
                <w:noProof/>
              </w:rPr>
              <w:t>Hankkeiden palkinnon virallinen julkaiseminen</w:t>
            </w:r>
          </w:p>
          <w:p w14:paraId="07207186" w14:textId="77777777" w:rsidR="0065073E" w:rsidRDefault="0065073E">
            <w:pPr>
              <w:spacing w:after="0"/>
              <w:jc w:val="center"/>
              <w:rPr>
                <w:rFonts w:ascii="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65073E" w:rsidRDefault="0065073E">
            <w:pPr>
              <w:spacing w:after="0"/>
              <w:jc w:val="right"/>
              <w:rPr>
                <w:rFonts w:ascii="Times New Roman" w:hAnsi="Times New Roman" w:cs="Times New Roman"/>
                <w:noProof/>
                <w:sz w:val="18"/>
                <w:shd w:val="clear" w:color="auto" w:fill="E6E6E6"/>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65073E" w:rsidRDefault="0065073E">
            <w:pPr>
              <w:spacing w:after="0"/>
              <w:jc w:val="right"/>
              <w:rPr>
                <w:rFonts w:ascii="Times New Roman" w:hAnsi="Times New Roman" w:cs="Times New Roman"/>
                <w:noProof/>
                <w:sz w:val="18"/>
                <w:shd w:val="clear" w:color="auto" w:fill="E6E6E6"/>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65073E" w:rsidRDefault="0065073E">
            <w:pPr>
              <w:spacing w:after="0"/>
              <w:jc w:val="right"/>
              <w:rPr>
                <w:rFonts w:ascii="Times New Roman" w:hAnsi="Times New Roman" w:cs="Times New Roman"/>
                <w:noProof/>
                <w:sz w:val="18"/>
                <w:shd w:val="clear" w:color="auto" w:fill="E6E6E6"/>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65073E" w:rsidRDefault="000A0998">
            <w:pPr>
              <w:pStyle w:val="P68B1DB1-Normal12"/>
              <w:spacing w:after="0"/>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65073E" w:rsidRDefault="000A0998">
            <w:pPr>
              <w:pStyle w:val="P68B1DB1-Normal12"/>
              <w:spacing w:after="0"/>
              <w:jc w:val="center"/>
              <w:rPr>
                <w:rFonts w:cs="Times New Roman"/>
                <w:noProof/>
                <w:shd w:val="clear" w:color="auto" w:fill="E6E6E6"/>
              </w:rPr>
            </w:pPr>
            <w:r>
              <w:rPr>
                <w:noProof/>
              </w:rPr>
              <w:t>2025</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65073E" w:rsidRDefault="000A0998">
            <w:pPr>
              <w:pStyle w:val="P68B1DB1-Normal12"/>
              <w:spacing w:after="0"/>
              <w:rPr>
                <w:rFonts w:cs="Times New Roman"/>
                <w:noProof/>
                <w:shd w:val="clear" w:color="auto" w:fill="E6E6E6"/>
              </w:rPr>
            </w:pPr>
            <w:r>
              <w:rPr>
                <w:noProof/>
              </w:rPr>
              <w:t>Vähintään 540900000 euroa myönnettiin mikroelektroniikan ja puolijohteiden alan T &amp; K &amp; I-hankkeisiin, mukaan lukien valkohuoneinfrastruktuurin luominen ja parantaminen, kykyjen suunnittelu, tuottaminen ja houkutteleminen tai innovatiivinen valmistus.</w:t>
            </w:r>
          </w:p>
        </w:tc>
      </w:tr>
      <w:tr w:rsidR="0065073E" w14:paraId="261D3CE2"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65073E" w:rsidRDefault="000A0998">
            <w:pPr>
              <w:pStyle w:val="P68B1DB1-Normal12"/>
              <w:spacing w:after="0"/>
              <w:jc w:val="center"/>
              <w:rPr>
                <w:rFonts w:cs="Times New Roman"/>
                <w:noProof/>
              </w:rPr>
            </w:pPr>
            <w:r>
              <w:rPr>
                <w:noProof/>
              </w:rPr>
              <w:t>455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65073E" w:rsidRDefault="000A0998">
            <w:pPr>
              <w:pStyle w:val="P68B1DB1-Normal12"/>
              <w:spacing w:after="0"/>
              <w:jc w:val="center"/>
              <w:rPr>
                <w:rFonts w:cs="Times New Roman"/>
                <w:noProof/>
              </w:rPr>
            </w:pPr>
            <w:r>
              <w:rPr>
                <w:noProof/>
              </w:rPr>
              <w:t>C15.I8</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65073E" w:rsidRDefault="000A0998">
            <w:pPr>
              <w:pStyle w:val="P68B1DB1-Normal12"/>
              <w:spacing w:after="0"/>
              <w:jc w:val="both"/>
              <w:rPr>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65073E" w:rsidRDefault="000A0998">
            <w:pPr>
              <w:pStyle w:val="P68B1DB1-Normal12"/>
              <w:spacing w:after="0"/>
              <w:rPr>
                <w:rFonts w:cs="Times New Roman"/>
                <w:noProof/>
              </w:rPr>
            </w:pPr>
            <w:r>
              <w:rPr>
                <w:noProof/>
              </w:rPr>
              <w:t>PERTE-SIRU. Tieteellisten valmiuksien, suunnittelun ja innovatiivisen valmistuksen vahvistaminen: maksut.</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65073E" w:rsidRDefault="0065073E">
            <w:pPr>
              <w:spacing w:after="0"/>
              <w:jc w:val="center"/>
              <w:rPr>
                <w:rFonts w:ascii="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65073E" w:rsidRDefault="000A0998">
            <w:pPr>
              <w:pStyle w:val="P68B1DB1-Normal12"/>
              <w:spacing w:after="0"/>
              <w:jc w:val="right"/>
              <w:rPr>
                <w:rFonts w:cs="Times New Roman"/>
                <w:noProof/>
              </w:rPr>
            </w:pPr>
            <w:r>
              <w:rPr>
                <w:noProof/>
              </w:rPr>
              <w:t>Miljoonaa euroa</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65073E" w:rsidRDefault="000A0998">
            <w:pPr>
              <w:pStyle w:val="P68B1DB1-Normal12"/>
              <w:spacing w:after="0"/>
              <w:jc w:val="right"/>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65073E" w:rsidRDefault="000A0998">
            <w:pPr>
              <w:pStyle w:val="P68B1DB1-Normal12"/>
              <w:spacing w:after="0"/>
              <w:jc w:val="right"/>
              <w:rPr>
                <w:rFonts w:cs="Times New Roman"/>
                <w:noProof/>
              </w:rPr>
            </w:pPr>
            <w:r>
              <w:rPr>
                <w:noProof/>
              </w:rPr>
              <w:t>486,81</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65073E" w:rsidRDefault="000A0998">
            <w:pPr>
              <w:pStyle w:val="P68B1DB1-Normal12"/>
              <w:spacing w:after="0"/>
              <w:jc w:val="center"/>
              <w:rPr>
                <w:rFonts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65073E" w:rsidRDefault="000A0998">
            <w:pPr>
              <w:pStyle w:val="P68B1DB1-Normal12"/>
              <w:spacing w:after="0"/>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65073E" w:rsidRDefault="000A0998">
            <w:pPr>
              <w:pStyle w:val="P68B1DB1-Normal12"/>
              <w:spacing w:after="0"/>
              <w:rPr>
                <w:rFonts w:cs="Times New Roman"/>
                <w:noProof/>
              </w:rPr>
            </w:pPr>
            <w:r>
              <w:rPr>
                <w:noProof/>
              </w:rPr>
              <w:t xml:space="preserve">Vähintään 486810000 euron maksaminen mikroelektroniikan ja puolijohteiden alan T &amp; K &amp; I-hankkeisiin, mukaan lukien valkohuoneinfrastruktuurin luominen ja parantaminen, kykyjen suunnittelu, tuottaminen ja houkutteleminen tai innovatiivinen valmistus. </w:t>
            </w:r>
          </w:p>
        </w:tc>
      </w:tr>
      <w:tr w:rsidR="0065073E" w14:paraId="241EC10F" w14:textId="7777777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65073E" w:rsidRDefault="000A0998">
            <w:pPr>
              <w:pStyle w:val="P68B1DB1-Normal12"/>
              <w:spacing w:after="0"/>
              <w:jc w:val="center"/>
              <w:rPr>
                <w:rFonts w:eastAsia="Times New Roman" w:cs="Times New Roman"/>
                <w:noProof/>
              </w:rPr>
            </w:pPr>
            <w:r>
              <w:rPr>
                <w:noProof/>
              </w:rPr>
              <w:t>456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65073E" w:rsidRDefault="000A0998">
            <w:pPr>
              <w:pStyle w:val="P68B1DB1-Normal12"/>
              <w:spacing w:after="0"/>
              <w:jc w:val="center"/>
              <w:rPr>
                <w:rFonts w:eastAsia="Times New Roman" w:cs="Times New Roman"/>
                <w:noProof/>
              </w:rPr>
            </w:pPr>
            <w:r>
              <w:rPr>
                <w:noProof/>
              </w:rPr>
              <w:t>C15.I8</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65073E" w:rsidRDefault="000A0998">
            <w:pPr>
              <w:pStyle w:val="P68B1DB1-Normal12"/>
              <w:spacing w:after="0"/>
              <w:jc w:val="both"/>
              <w:rPr>
                <w:rFonts w:eastAsia="Times New Roman"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65073E" w:rsidRDefault="000A0998">
            <w:pPr>
              <w:pStyle w:val="P68B1DB1-Normal12"/>
              <w:spacing w:after="0"/>
              <w:rPr>
                <w:rFonts w:eastAsia="Times New Roman" w:cs="Times New Roman"/>
                <w:noProof/>
              </w:rPr>
            </w:pPr>
            <w:r>
              <w:rPr>
                <w:noProof/>
              </w:rPr>
              <w:t>PERTE-SIRU. Puheenjohtajat ja mikroelektroniikan osaaminen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65073E" w:rsidRDefault="0065073E">
            <w:pPr>
              <w:spacing w:after="0"/>
              <w:rPr>
                <w:rFonts w:ascii="Times New Roman" w:eastAsia="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65073E" w:rsidRDefault="000A0998">
            <w:pPr>
              <w:pStyle w:val="P68B1DB1-Normal12"/>
              <w:spacing w:after="0"/>
              <w:jc w:val="both"/>
              <w:rPr>
                <w:rFonts w:eastAsia="Times New Roman" w:cs="Times New Roman"/>
                <w:noProof/>
              </w:rPr>
            </w:pPr>
            <w:r>
              <w:rPr>
                <w:noProof/>
              </w:rPr>
              <w:t>Määrä</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65073E" w:rsidRDefault="000A0998">
            <w:pPr>
              <w:pStyle w:val="P68B1DB1-Normal12"/>
              <w:spacing w:after="0"/>
              <w:jc w:val="right"/>
              <w:rPr>
                <w:rFonts w:eastAsia="Times New Roman"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65073E" w:rsidRDefault="000A0998">
            <w:pPr>
              <w:pStyle w:val="P68B1DB1-Normal12"/>
              <w:spacing w:after="0"/>
              <w:jc w:val="right"/>
              <w:rPr>
                <w:rFonts w:eastAsia="Times New Roman" w:cs="Times New Roman"/>
                <w:noProof/>
              </w:rPr>
            </w:pPr>
            <w:r>
              <w:rPr>
                <w:noProof/>
              </w:rPr>
              <w:t>13</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65073E" w:rsidRDefault="000A0998">
            <w:pPr>
              <w:pStyle w:val="P68B1DB1-Normal12"/>
              <w:spacing w:after="0"/>
              <w:jc w:val="center"/>
              <w:rPr>
                <w:rFonts w:eastAsia="Times New Roman" w:cs="Times New Roman"/>
                <w:noProof/>
              </w:rPr>
            </w:pPr>
            <w:r>
              <w:rPr>
                <w:noProof/>
              </w:rPr>
              <w:t>TOINEN VUOSINELJÄNNES</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65073E" w:rsidRDefault="000A0998">
            <w:pPr>
              <w:pStyle w:val="P68B1DB1-Normal12"/>
              <w:spacing w:after="0"/>
              <w:jc w:val="center"/>
              <w:rPr>
                <w:rFonts w:eastAsia="Times New Roman"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65073E" w:rsidRDefault="000A0998">
            <w:pPr>
              <w:pStyle w:val="P68B1DB1-Normal12"/>
              <w:spacing w:after="0"/>
              <w:rPr>
                <w:rFonts w:cs="Times New Roman"/>
                <w:noProof/>
              </w:rPr>
            </w:pPr>
            <w:r>
              <w:rPr>
                <w:noProof/>
              </w:rPr>
              <w:t>Perustetaan ja rahoitetaan vähintään 13 yliopiston professoria, joista kukin kestää kolme vuotta ja joita rahoitetaan elpymis- ja palautumistukivälineestä ja joissa keskitytään mikroelektroniikkaan puolijohteiden suunnitteluun ja valmistukseen liittyvien lahjakkuuksien lisäämiseksi Espanjassa.</w:t>
            </w:r>
          </w:p>
        </w:tc>
      </w:tr>
    </w:tbl>
    <w:p w14:paraId="3535129C" w14:textId="77777777" w:rsidR="0065073E" w:rsidRDefault="000A0998">
      <w:pPr>
        <w:rPr>
          <w:rFonts w:ascii="Times New Roman" w:hAnsi="Times New Roman" w:cs="Times New Roman"/>
          <w:noProof/>
        </w:rPr>
        <w:sectPr w:rsidR="0065073E" w:rsidSect="00B511EF">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134" w:right="1134" w:bottom="1134" w:left="1134" w:header="567" w:footer="567" w:gutter="0"/>
          <w:cols w:space="720"/>
          <w:docGrid w:linePitch="360"/>
        </w:sectPr>
      </w:pPr>
      <w:r>
        <w:rPr>
          <w:noProof/>
        </w:rPr>
        <w:br/>
      </w:r>
    </w:p>
    <w:p w14:paraId="7806FB6E" w14:textId="464E5019" w:rsidR="0065073E" w:rsidRDefault="000A0998">
      <w:pPr>
        <w:pStyle w:val="P68B1DB1-Heading2blue31"/>
        <w:rPr>
          <w:noProof/>
        </w:rPr>
      </w:pPr>
      <w:r>
        <w:rPr>
          <w:noProof/>
        </w:rPr>
        <w:t xml:space="preserve">O.3. </w:t>
      </w:r>
      <w:r>
        <w:rPr>
          <w:noProof/>
        </w:rPr>
        <w:tab/>
        <w:t>Lainatukeen liittyvien uudistusten ja investointien kuvaus</w:t>
      </w:r>
    </w:p>
    <w:p w14:paraId="3EE89FB3" w14:textId="77777777" w:rsidR="0065073E" w:rsidRDefault="000A0998">
      <w:pPr>
        <w:pStyle w:val="P68B1DB1-Heading3blue32"/>
        <w:rPr>
          <w:noProof/>
          <w:shd w:val="clear" w:color="auto" w:fill="E6E6E6"/>
        </w:rPr>
      </w:pPr>
      <w:r>
        <w:rPr>
          <w:noProof/>
        </w:rPr>
        <w:t xml:space="preserve">Investointi </w:t>
      </w:r>
      <w:bookmarkStart w:id="51" w:name="_Hlk141289400"/>
      <w:r>
        <w:rPr>
          <w:noProof/>
        </w:rPr>
        <w:t>9 (C15.I9) – CHIP-rahoitusjärjestely</w:t>
      </w:r>
      <w:bookmarkEnd w:id="51"/>
    </w:p>
    <w:p w14:paraId="7D436FDD" w14:textId="6E835E48"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Tämä toimenpide koostuu julkisesta investoinnista välineeseen eli CHIP-rahoitusvälineeseen, jolla kannustetaan yksityisiä investointeja ja parannetaan rahoituksen saantia </w:t>
      </w:r>
      <w:r>
        <w:rPr>
          <w:rFonts w:ascii="Times New Roman" w:hAnsi="Times New Roman"/>
          <w:noProof/>
          <w:sz w:val="24"/>
        </w:rPr>
        <w:t>Espanjan puolijohdealalla, mukaan lukien suuret valmistuslaitokset</w:t>
      </w:r>
      <w:r>
        <w:rPr>
          <w:rStyle w:val="normaltextrun"/>
          <w:rFonts w:ascii="Times New Roman" w:hAnsi="Times New Roman"/>
          <w:noProof/>
          <w:sz w:val="24"/>
          <w:shd w:val="clear" w:color="auto" w:fill="FFFFFF"/>
        </w:rPr>
        <w:t>. Lainajärjestelyn on toimittava tarjoamalla lainoja, oman pääoman ehtoisia ja oman pääoman luonteisia sijoituksia (tai niiden yhdistelmää) yksityiselle sektorille sekä vastaavaa toimintaa harjoittaville julkisyhteisöille ja julkisoikeudellisille laitoksille. Elpymis- ja palautumistukivälineen investointien perusteella tukivälineestä on alun perin tarkoitus myöntää rahoitusta vähintään 10750000000 euroa.</w:t>
      </w:r>
    </w:p>
    <w:p w14:paraId="1F276953" w14:textId="0D09D759"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Välinettä hallinnoi toteutuskumppanina toimiva </w:t>
      </w:r>
      <w:r>
        <w:rPr>
          <w:rFonts w:ascii="Times New Roman" w:hAnsi="Times New Roman"/>
          <w:noProof/>
          <w:sz w:val="24"/>
        </w:rPr>
        <w:t xml:space="preserve">Sociedad Estatal de Microelectrónica y Semiconductores ( </w:t>
      </w:r>
      <w:r>
        <w:rPr>
          <w:rStyle w:val="normaltextrun"/>
          <w:rFonts w:ascii="Times New Roman" w:hAnsi="Times New Roman"/>
          <w:noProof/>
          <w:sz w:val="24"/>
          <w:shd w:val="clear" w:color="auto" w:fill="FFFFFF"/>
        </w:rPr>
        <w:t xml:space="preserve">SEMyS). Rahasto sisältää seuraavat tuotelinjat: </w:t>
      </w:r>
    </w:p>
    <w:p w14:paraId="46004854" w14:textId="1F2B9830" w:rsidR="0065073E" w:rsidRDefault="000A0998">
      <w:pPr>
        <w:pStyle w:val="ListParagraph"/>
        <w:numPr>
          <w:ilvl w:val="0"/>
          <w:numId w:val="551"/>
        </w:numPr>
        <w:spacing w:line="240" w:lineRule="auto"/>
        <w:jc w:val="both"/>
        <w:rPr>
          <w:rStyle w:val="eop"/>
          <w:rFonts w:ascii="Times New Roman" w:hAnsi="Times New Roman" w:cs="Times New Roman"/>
          <w:noProof/>
          <w:sz w:val="24"/>
        </w:rPr>
      </w:pPr>
      <w:r>
        <w:rPr>
          <w:rStyle w:val="normaltextrun"/>
          <w:rFonts w:ascii="Times New Roman" w:hAnsi="Times New Roman"/>
          <w:noProof/>
          <w:sz w:val="24"/>
        </w:rPr>
        <w:t>Ohivalinta: Suorat sijoitukset yrityksiin, jotka käyttävät tavanomaisia lainoja, osakkuuslainoja sekä osallistumista tilapäiseen pääomaan ja vähemmistöpääomaan. Rahaston oman pääoman ehtoiset sijoitukset eivät saa johtaa siihen, että julkisessa omistuksessa olevan pääoman osuus lopullisesta tuensaajasta ylittää 49 prosenttia koko pääomasta.</w:t>
      </w:r>
    </w:p>
    <w:p w14:paraId="27E92ACA" w14:textId="4D972568" w:rsidR="0065073E" w:rsidRDefault="000A0998">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Pr>
          <w:rStyle w:val="eop"/>
          <w:rFonts w:ascii="Times New Roman" w:hAnsi="Times New Roman"/>
          <w:noProof/>
          <w:sz w:val="24"/>
          <w:shd w:val="clear" w:color="auto" w:fill="FFFFFF"/>
        </w:rPr>
        <w:t>Yhteisinvestoinnit EU:n avoimiin tilausvalmistajiin ja integroituihin tuotantolaitoksiin: Espanjan puolijohteiden valmistusteollisuuden</w:t>
      </w:r>
      <w:r>
        <w:rPr>
          <w:rStyle w:val="eop"/>
          <w:rFonts w:ascii="Times New Roman" w:hAnsi="Times New Roman"/>
          <w:noProof/>
          <w:sz w:val="24"/>
        </w:rPr>
        <w:t xml:space="preserve">tukemiseksi rahastosta voidaan myöntää tukea yhdistettyihin rahoitusvälineisiin lainojen, oman pääoman ehtoisen ja oman pääoman luonteisen rahoituksen (tai niiden yhdistelmän) kautta, joihin yhdistetään yksityistä ja julkista pääomaa koordinoidusti julkisten tukiohjelmien kanssa jäljempänä esitettyjen hallintovaatimusten mukaisesti. </w:t>
      </w:r>
    </w:p>
    <w:p w14:paraId="3C3BF76C" w14:textId="0BD71608" w:rsidR="0065073E" w:rsidRDefault="000A0998">
      <w:pPr>
        <w:pStyle w:val="P68B1DB1-Normal4"/>
        <w:spacing w:line="240" w:lineRule="auto"/>
        <w:jc w:val="both"/>
        <w:rPr>
          <w:rFonts w:eastAsia="Times New Roman" w:cs="Times New Roman"/>
          <w:noProof/>
        </w:rPr>
      </w:pPr>
      <w:r>
        <w:rPr>
          <w:noProof/>
        </w:rPr>
        <w:t xml:space="preserve">Investointikehykseen tehtävän investoinnin toteuttamiseksi Espanjan ja SEMyS:n on allekirjoitettava täytäntöönpanosopimus tai Espanjan on hyväksyttävä vastaava oikeudellinen väline ja siihen liittyvät asiakirjat, joiden sisältö on seuraava: </w:t>
      </w:r>
    </w:p>
    <w:p w14:paraId="638FB3BD" w14:textId="77777777" w:rsidR="0065073E" w:rsidRDefault="000A0998">
      <w:pPr>
        <w:pStyle w:val="P68B1DB1-ListParagraph6"/>
        <w:numPr>
          <w:ilvl w:val="0"/>
          <w:numId w:val="761"/>
        </w:numPr>
        <w:spacing w:line="240" w:lineRule="auto"/>
        <w:contextualSpacing w:val="0"/>
        <w:jc w:val="both"/>
        <w:rPr>
          <w:rFonts w:eastAsia="Times New Roman" w:cs="Times New Roman"/>
          <w:noProof/>
        </w:rPr>
      </w:pPr>
      <w:r>
        <w:rPr>
          <w:noProof/>
        </w:rPr>
        <w:t>Tukivälineen päätöksentekoprosessin kuvaus:  Investointikehyksen alkuperäisen investointipäätöksen tekee investointikomitea tai muu vastaava hallintoelin, ja se hyväksytään Espanjan hallituksesta riippumattomien jäsenten äänten enemmistöllä. Investointikehyksen lopullinen investointipäätös rajoittuu investointikomitean tai vastaavan hallintoelimen ehdottaman investointipäätöksen hyväksymiseen (ilman muutoksia) tai veto-oikeuden käyttämiseen.</w:t>
      </w:r>
    </w:p>
    <w:p w14:paraId="1AEF3AC5" w14:textId="77777777" w:rsidR="0065073E" w:rsidRDefault="000A0998">
      <w:pPr>
        <w:pStyle w:val="P68B1DB1-ListParagraph6"/>
        <w:numPr>
          <w:ilvl w:val="0"/>
          <w:numId w:val="761"/>
        </w:numPr>
        <w:spacing w:line="240" w:lineRule="auto"/>
        <w:jc w:val="both"/>
        <w:rPr>
          <w:rFonts w:eastAsia="Times New Roman" w:cs="Times New Roman"/>
          <w:noProof/>
        </w:rPr>
      </w:pPr>
      <w:r>
        <w:rPr>
          <w:noProof/>
        </w:rPr>
        <w:t>Asiaan liittyvän sijoituspolitiikan keskeiset vaatimukset, joihin on sisällyttävä</w:t>
      </w:r>
    </w:p>
    <w:p w14:paraId="66AE5AA0" w14:textId="29EBD758" w:rsidR="0065073E" w:rsidRDefault="000A0998">
      <w:pPr>
        <w:pStyle w:val="P68B1DB1-ListParagraph6"/>
        <w:numPr>
          <w:ilvl w:val="1"/>
          <w:numId w:val="761"/>
        </w:numPr>
        <w:spacing w:line="240" w:lineRule="auto"/>
        <w:jc w:val="both"/>
        <w:rPr>
          <w:rFonts w:eastAsia="Times New Roman" w:cs="Times New Roman"/>
          <w:noProof/>
        </w:rPr>
      </w:pPr>
      <w:r>
        <w:rPr>
          <w:noProof/>
        </w:rPr>
        <w:t xml:space="preserve">Kuvaus rahoitustuotteista ja tukikelpoisista lopullisista tuensaajista toimenpiteen kuvauksen mukaisesti.  </w:t>
      </w:r>
    </w:p>
    <w:p w14:paraId="49D79BC5" w14:textId="77777777" w:rsidR="0065073E" w:rsidRDefault="000A0998">
      <w:pPr>
        <w:pStyle w:val="P68B1DB1-ListParagraph6"/>
        <w:numPr>
          <w:ilvl w:val="1"/>
          <w:numId w:val="761"/>
        </w:numPr>
        <w:spacing w:line="240" w:lineRule="auto"/>
        <w:jc w:val="both"/>
        <w:rPr>
          <w:rFonts w:eastAsia="Times New Roman" w:cs="Times New Roman"/>
          <w:noProof/>
        </w:rPr>
      </w:pPr>
      <w:r>
        <w:rPr>
          <w:noProof/>
        </w:rPr>
        <w:t>Vaatimus, jonka mukaan kaikkien tuettujen investointien on oltava taloudellisesti kannattavia.</w:t>
      </w:r>
    </w:p>
    <w:p w14:paraId="6F7FA0C4" w14:textId="77777777" w:rsidR="0065073E" w:rsidRDefault="000A0998">
      <w:pPr>
        <w:pStyle w:val="P68B1DB1-ListParagraph6"/>
        <w:numPr>
          <w:ilvl w:val="1"/>
          <w:numId w:val="761"/>
        </w:numPr>
        <w:spacing w:line="240" w:lineRule="auto"/>
        <w:jc w:val="both"/>
        <w:rPr>
          <w:rFonts w:eastAsia="Times New Roman" w:cs="Times New Roman"/>
          <w:noProof/>
        </w:rPr>
      </w:pPr>
      <w:r>
        <w:rPr>
          <w:noProof/>
        </w:rPr>
        <w:t xml:space="preserve">Kielto jälleenrahoittaa kaikkia jäljellä olevia lainoja.  </w:t>
      </w:r>
    </w:p>
    <w:p w14:paraId="11646C73" w14:textId="7329574C" w:rsidR="0065073E" w:rsidRDefault="000A0998">
      <w:pPr>
        <w:pStyle w:val="P68B1DB1-ListParagraph6"/>
        <w:numPr>
          <w:ilvl w:val="1"/>
          <w:numId w:val="761"/>
        </w:numPr>
        <w:spacing w:line="240" w:lineRule="auto"/>
        <w:jc w:val="both"/>
        <w:rPr>
          <w:rFonts w:eastAsia="Times New Roman" w:cs="Times New Roman"/>
          <w:noProof/>
        </w:rPr>
      </w:pPr>
      <w:r>
        <w:rPr>
          <w:noProof/>
        </w:rPr>
        <w:t>Vaatimuksessa noudattaa ”ei merkittävää haittaa” -periaatetta, sellaisena kuin se esitetään ”ei merkittävää haittaa” -periaatetta (2021/C58/01), erityisesti uusiin laitoksiin tehtävissä investoinneissa on käytettävä parasta saatavilla olevaa teknologiaa, jolla on vähiten ympäristövaikutuksia alalla. Lisäksi investointipolitiikassa on edellytettävä, että tukivälineen lopulliset edunsaajat noudattavat asiaankuuluvaa EU:n ja kansallista ympäristölainsäädäntöä.</w:t>
      </w:r>
    </w:p>
    <w:p w14:paraId="54A13A50" w14:textId="77777777" w:rsidR="0065073E" w:rsidRDefault="000A0998">
      <w:pPr>
        <w:pStyle w:val="P68B1DB1-ListParagraph6"/>
        <w:numPr>
          <w:ilvl w:val="1"/>
          <w:numId w:val="761"/>
        </w:numPr>
        <w:rPr>
          <w:rFonts w:eastAsia="Times New Roman" w:cs="Times New Roman"/>
          <w:noProof/>
        </w:rPr>
      </w:pPr>
      <w:r>
        <w:rPr>
          <w:noProof/>
        </w:rPr>
        <w:t>Vaatimus, jonka mukaan lainajärjestelyn lopulliset edunsaajat eivät saa saada tukea muista unionin välineistä samojen kustannusten kattamiseksi.</w:t>
      </w:r>
    </w:p>
    <w:p w14:paraId="4846F44A" w14:textId="05D03274" w:rsidR="0065073E" w:rsidRDefault="000A0998">
      <w:pPr>
        <w:pStyle w:val="P68B1DB1-ListParagraph6"/>
        <w:numPr>
          <w:ilvl w:val="0"/>
          <w:numId w:val="761"/>
        </w:numPr>
        <w:jc w:val="both"/>
        <w:rPr>
          <w:rFonts w:eastAsia="Times New Roman" w:cs="Times New Roman"/>
          <w:noProof/>
        </w:rPr>
      </w:pPr>
      <w:r>
        <w:rPr>
          <w:noProof/>
        </w:rPr>
        <w:t>Oikeudellisella välineellä ja siihen liittyvillä tukivälineen perustamisasiakirjoilla katettu määrä, toteutuskumppanin maksurakenne ja vaatimus sijoittaa takaisin saadut varat tukivälineen investointipolitiikan mukaisesti, paitsi jos niitä käytetään elpymis- ja palautumistukivälineen lainojen takaisinmaksuun.</w:t>
      </w:r>
    </w:p>
    <w:p w14:paraId="6516A3EE" w14:textId="77777777" w:rsidR="0065073E" w:rsidRDefault="000A0998">
      <w:pPr>
        <w:pStyle w:val="P68B1DB1-ListParagraph6"/>
        <w:numPr>
          <w:ilvl w:val="0"/>
          <w:numId w:val="761"/>
        </w:numPr>
        <w:jc w:val="both"/>
        <w:rPr>
          <w:rFonts w:eastAsia="Times New Roman" w:cs="Times New Roman"/>
          <w:noProof/>
        </w:rPr>
      </w:pPr>
      <w:r>
        <w:rPr>
          <w:noProof/>
        </w:rPr>
        <w:t>Seuranta-, auditointi- ja valvontavaatimukset, mukaan lukien</w:t>
      </w:r>
    </w:p>
    <w:p w14:paraId="309BD4A1" w14:textId="77777777" w:rsidR="0065073E" w:rsidRDefault="000A0998">
      <w:pPr>
        <w:pStyle w:val="P68B1DB1-ListParagraph6"/>
        <w:numPr>
          <w:ilvl w:val="1"/>
          <w:numId w:val="761"/>
        </w:numPr>
        <w:jc w:val="both"/>
        <w:rPr>
          <w:rFonts w:eastAsia="Times New Roman" w:cs="Times New Roman"/>
          <w:noProof/>
        </w:rPr>
      </w:pPr>
      <w:r>
        <w:rPr>
          <w:noProof/>
        </w:rPr>
        <w:t>Kuvaus toteutuskumppanin seurantajärjestelmästä, jolla raportoidaan käyttöön otetuista investoinneista.</w:t>
      </w:r>
    </w:p>
    <w:p w14:paraId="6538DEEE" w14:textId="77777777" w:rsidR="0065073E" w:rsidRDefault="000A0998">
      <w:pPr>
        <w:pStyle w:val="P68B1DB1-ListParagraph6"/>
        <w:numPr>
          <w:ilvl w:val="1"/>
          <w:numId w:val="761"/>
        </w:numPr>
        <w:jc w:val="both"/>
        <w:rPr>
          <w:rFonts w:eastAsia="Times New Roman" w:cs="Times New Roman"/>
          <w:noProof/>
        </w:rPr>
      </w:pPr>
      <w:r>
        <w:rPr>
          <w:noProof/>
        </w:rPr>
        <w:t xml:space="preserve">Kuvaus toteutuskumppanin menettelyistä, joilla varmistetaan petosten, lahjonnan ja eturistiriitojen ehkäiseminen, havaitseminen ja korjaaminen. </w:t>
      </w:r>
    </w:p>
    <w:p w14:paraId="51CD4460" w14:textId="2CEB35A9" w:rsidR="0065073E" w:rsidRDefault="000A0998">
      <w:pPr>
        <w:pStyle w:val="P68B1DB1-ListParagraph6"/>
        <w:numPr>
          <w:ilvl w:val="1"/>
          <w:numId w:val="761"/>
        </w:numPr>
        <w:jc w:val="both"/>
        <w:rPr>
          <w:rFonts w:eastAsia="Times New Roman" w:cs="Times New Roman"/>
          <w:noProof/>
        </w:rPr>
      </w:pPr>
      <w:r>
        <w:rPr>
          <w:noProof/>
        </w:rPr>
        <w:t>Velvollisuus tarkistaa jokaisen toimen tukikelpoisuus tukivälineen perustamisesta annetuissa asetuksissa vahvistettujen vaatimusten mukaisesti ennen kuin sitoudutaan rahoittamaan toimea.</w:t>
      </w:r>
    </w:p>
    <w:p w14:paraId="4AC4F0A4" w14:textId="3406215D" w:rsidR="0065073E" w:rsidRDefault="000A0998">
      <w:pPr>
        <w:pStyle w:val="P68B1DB1-ListParagraph6"/>
        <w:numPr>
          <w:ilvl w:val="1"/>
          <w:numId w:val="761"/>
        </w:numPr>
        <w:jc w:val="both"/>
        <w:rPr>
          <w:rFonts w:eastAsia="Times New Roman" w:cs="Times New Roman"/>
          <w:noProof/>
        </w:rPr>
      </w:pPr>
      <w:r>
        <w:rPr>
          <w:noProof/>
        </w:rPr>
        <w:t xml:space="preserve">Velvoite suorittaa riskiperusteisia jälkitarkastuksia SEMySin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täytäntöönpanosopimuksen tai tukivälineen perustamisesta annetun asetuksen ja siihen liittyvien asiakirjojen sekä rahoitussopimusten ehtoja noudatetaan. </w:t>
      </w:r>
    </w:p>
    <w:p w14:paraId="49750047" w14:textId="57E4284F" w:rsidR="0065073E" w:rsidRDefault="000A0998">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Pr>
          <w:rFonts w:ascii="Times New Roman" w:hAnsi="Times New Roman"/>
          <w:noProof/>
          <w:sz w:val="24"/>
        </w:rPr>
        <w:t>Toteutuskumppanin tekemiä digitaalisia investointeja koskevat vaatimukset: vähintään 10750000000 eurolla elpymis- ja palautumistukivälineen investointivälineestä tukivälineeseen on edistettävä digitaalisen siirtymän tavoitteita elpymis- ja palautumistukivälinettä koskevan asetuksen liitteen VII mukaisesti.</w:t>
      </w:r>
      <w:r>
        <w:rPr>
          <w:rStyle w:val="FootnoteReference"/>
          <w:rFonts w:ascii="Times New Roman" w:eastAsia="Times New Roman" w:hAnsi="Times New Roman" w:cs="Times New Roman"/>
          <w:noProof/>
          <w:sz w:val="24"/>
        </w:rPr>
        <w:footnoteReference w:id="160"/>
      </w:r>
      <w:r>
        <w:rPr>
          <w:rFonts w:ascii="Times New Roman" w:hAnsi="Times New Roman"/>
          <w:noProof/>
          <w:sz w:val="24"/>
        </w:rPr>
        <w:t xml:space="preserve"> </w:t>
      </w:r>
    </w:p>
    <w:p w14:paraId="26E1CE06" w14:textId="77777777" w:rsidR="0065073E" w:rsidRDefault="000A0998">
      <w:pPr>
        <w:pStyle w:val="maintext"/>
        <w:rPr>
          <w:noProof/>
        </w:rPr>
      </w:pPr>
      <w:r>
        <w:rPr>
          <w:noProof/>
        </w:rPr>
        <w:t>Toimenpiteen täytäntöönpano on saatettava päätökseen 31 päivään elokuuta 2026 mennessä.</w:t>
      </w:r>
    </w:p>
    <w:p w14:paraId="3FA97640" w14:textId="77777777" w:rsidR="0065073E" w:rsidRDefault="000A0998">
      <w:pPr>
        <w:ind w:left="720"/>
        <w:rPr>
          <w:rFonts w:ascii="Times New Roman" w:hAnsi="Times New Roman" w:cs="Times New Roman"/>
          <w:noProof/>
        </w:rPr>
      </w:pPr>
      <w:r>
        <w:rPr>
          <w:rFonts w:ascii="Times New Roman" w:hAnsi="Times New Roman"/>
          <w:b/>
          <w:noProof/>
          <w:sz w:val="24"/>
          <w:u w:val="single"/>
        </w:rPr>
        <w:t xml:space="preserve">O.4 </w:t>
      </w:r>
      <w:r>
        <w:rPr>
          <w:noProof/>
        </w:rPr>
        <w:t xml:space="preserve"> </w:t>
      </w:r>
      <w:r>
        <w:rPr>
          <w:rFonts w:ascii="Times New Roman" w:hAnsi="Times New Roman"/>
          <w:b/>
          <w:noProof/>
          <w:sz w:val="24"/>
          <w:u w:val="single"/>
        </w:rPr>
        <w:t>Takaisinmaksettavan rahoitustuen seurannan ja täytäntöönpanon välitavoitteet, tavoitteet, indikaattorit ja aikataulu</w:t>
      </w:r>
    </w:p>
    <w:p w14:paraId="632A4652" w14:textId="4B519587" w:rsidR="0065073E" w:rsidRDefault="000A0998">
      <w:pPr>
        <w:pStyle w:val="P68B1DB1-Normal17"/>
        <w:rPr>
          <w:rFonts w:cs="Times New Roman"/>
          <w:noProof/>
        </w:rPr>
      </w:pPr>
      <w:r>
        <w:rPr>
          <w:noProof/>
        </w:rPr>
        <w:t xml:space="preserve">Ks. taulukko jäljempänä. Kaikkien indikaattoreiden perustason päivämäärä on 1. helmikuuta 2020, ellei toimen kuvauksessa toisin mainita. </w:t>
      </w:r>
    </w:p>
    <w:p w14:paraId="67D8A628" w14:textId="77777777" w:rsidR="0065073E" w:rsidRDefault="0065073E">
      <w:pPr>
        <w:spacing w:line="240" w:lineRule="auto"/>
        <w:rPr>
          <w:rFonts w:ascii="Times New Roman" w:hAnsi="Times New Roman" w:cs="Times New Roman"/>
          <w:noProof/>
        </w:rPr>
      </w:pPr>
    </w:p>
    <w:p w14:paraId="7D6B3BB9"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360"/>
          <w:headerReference w:type="default" r:id="rId361"/>
          <w:footerReference w:type="even" r:id="rId362"/>
          <w:footerReference w:type="default" r:id="rId363"/>
          <w:headerReference w:type="first" r:id="rId364"/>
          <w:footerReference w:type="first" r:id="rId365"/>
          <w:pgSz w:w="11907" w:h="16839"/>
          <w:pgMar w:top="1134" w:right="1134" w:bottom="1134" w:left="1134" w:header="567" w:footer="567"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0"/>
        <w:gridCol w:w="972"/>
        <w:gridCol w:w="972"/>
        <w:gridCol w:w="1667"/>
        <w:gridCol w:w="1251"/>
        <w:gridCol w:w="695"/>
        <w:gridCol w:w="972"/>
        <w:gridCol w:w="694"/>
        <w:gridCol w:w="418"/>
        <w:gridCol w:w="556"/>
        <w:gridCol w:w="4857"/>
      </w:tblGrid>
      <w:tr w:rsidR="0065073E" w14:paraId="43963385" w14:textId="77777777">
        <w:trPr>
          <w:trHeight w:val="300"/>
          <w:tblHeader/>
        </w:trPr>
        <w:tc>
          <w:tcPr>
            <w:tcW w:w="846" w:type="dxa"/>
            <w:vMerge w:val="restart"/>
            <w:shd w:val="clear" w:color="auto" w:fill="BDD7EE"/>
            <w:vAlign w:val="center"/>
            <w:hideMark/>
          </w:tcPr>
          <w:p w14:paraId="15DF1754" w14:textId="77777777" w:rsidR="0065073E" w:rsidRDefault="000A0998">
            <w:pPr>
              <w:pStyle w:val="P68B1DB1-Normal8"/>
              <w:jc w:val="center"/>
              <w:rPr>
                <w:rFonts w:eastAsia="Times New Roman" w:cs="Times New Roman"/>
                <w:noProof/>
              </w:rPr>
            </w:pPr>
            <w:r>
              <w:rPr>
                <w:noProof/>
              </w:rPr>
              <w:t>Määrä</w:t>
            </w:r>
          </w:p>
        </w:tc>
        <w:tc>
          <w:tcPr>
            <w:tcW w:w="992" w:type="dxa"/>
            <w:vMerge w:val="restart"/>
            <w:shd w:val="clear" w:color="auto" w:fill="BDD7EE"/>
            <w:vAlign w:val="center"/>
            <w:hideMark/>
          </w:tcPr>
          <w:p w14:paraId="2A8EB361" w14:textId="77777777" w:rsidR="0065073E" w:rsidRDefault="000A0998">
            <w:pPr>
              <w:pStyle w:val="P68B1DB1-Normal8"/>
              <w:jc w:val="center"/>
              <w:rPr>
                <w:rFonts w:eastAsia="Times New Roman" w:cs="Times New Roman"/>
                <w:noProof/>
              </w:rPr>
            </w:pPr>
            <w:r>
              <w:rPr>
                <w:noProof/>
              </w:rPr>
              <w:t>Toimenpide</w:t>
            </w:r>
          </w:p>
        </w:tc>
        <w:tc>
          <w:tcPr>
            <w:tcW w:w="992" w:type="dxa"/>
            <w:vMerge w:val="restart"/>
            <w:shd w:val="clear" w:color="auto" w:fill="BDD7EE"/>
            <w:vAlign w:val="center"/>
            <w:hideMark/>
          </w:tcPr>
          <w:p w14:paraId="3F845D1D" w14:textId="77777777" w:rsidR="0065073E" w:rsidRDefault="000A0998">
            <w:pPr>
              <w:jc w:val="center"/>
              <w:rPr>
                <w:rFonts w:ascii="Times New Roman" w:eastAsia="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701" w:type="dxa"/>
            <w:vMerge w:val="restart"/>
            <w:shd w:val="clear" w:color="auto" w:fill="BDD7EE"/>
            <w:vAlign w:val="center"/>
            <w:hideMark/>
          </w:tcPr>
          <w:p w14:paraId="53F5094F" w14:textId="77777777" w:rsidR="0065073E" w:rsidRDefault="000A0998">
            <w:pPr>
              <w:pStyle w:val="P68B1DB1-Normal8"/>
              <w:jc w:val="center"/>
              <w:rPr>
                <w:rFonts w:eastAsia="Times New Roman" w:cs="Times New Roman"/>
                <w:noProof/>
              </w:rPr>
            </w:pPr>
            <w:r>
              <w:rPr>
                <w:noProof/>
              </w:rPr>
              <w:t>Nimi</w:t>
            </w:r>
          </w:p>
        </w:tc>
        <w:tc>
          <w:tcPr>
            <w:tcW w:w="1276" w:type="dxa"/>
            <w:vMerge w:val="restart"/>
            <w:shd w:val="clear" w:color="auto" w:fill="BDD7EE"/>
            <w:vAlign w:val="center"/>
            <w:hideMark/>
          </w:tcPr>
          <w:p w14:paraId="7A730B7D" w14:textId="77777777" w:rsidR="0065073E" w:rsidRDefault="000A0998">
            <w:pPr>
              <w:pStyle w:val="P68B1DB1-Normal8"/>
              <w:jc w:val="center"/>
              <w:rPr>
                <w:rFonts w:eastAsia="Times New Roman" w:cs="Times New Roman"/>
                <w:noProof/>
              </w:rPr>
            </w:pPr>
            <w:r>
              <w:rPr>
                <w:noProof/>
              </w:rPr>
              <w:t>Välitavoitteiden laadullinen indikaattori</w:t>
            </w:r>
          </w:p>
        </w:tc>
        <w:tc>
          <w:tcPr>
            <w:tcW w:w="2126" w:type="dxa"/>
            <w:gridSpan w:val="3"/>
            <w:shd w:val="clear" w:color="auto" w:fill="BDD7EE"/>
            <w:vAlign w:val="center"/>
            <w:hideMark/>
          </w:tcPr>
          <w:p w14:paraId="2A8CBAEA" w14:textId="77777777" w:rsidR="0065073E" w:rsidRDefault="000A0998">
            <w:pPr>
              <w:pStyle w:val="P68B1DB1-Normal8"/>
              <w:jc w:val="center"/>
              <w:rPr>
                <w:rFonts w:eastAsia="Times New Roman" w:cs="Times New Roman"/>
                <w:noProof/>
              </w:rPr>
            </w:pPr>
            <w:r>
              <w:rPr>
                <w:noProof/>
              </w:rPr>
              <w:t>Määrällinen indikaattori tavoitteelle</w:t>
            </w:r>
          </w:p>
        </w:tc>
        <w:tc>
          <w:tcPr>
            <w:tcW w:w="993" w:type="dxa"/>
            <w:gridSpan w:val="2"/>
            <w:shd w:val="clear" w:color="auto" w:fill="BDD7EE"/>
            <w:vAlign w:val="center"/>
            <w:hideMark/>
          </w:tcPr>
          <w:p w14:paraId="73EB6A43" w14:textId="77777777" w:rsidR="0065073E" w:rsidRDefault="000A0998">
            <w:pPr>
              <w:pStyle w:val="P68B1DB1-Normal8"/>
              <w:jc w:val="center"/>
              <w:rPr>
                <w:rFonts w:eastAsia="Times New Roman" w:cs="Times New Roman"/>
                <w:noProof/>
              </w:rPr>
            </w:pPr>
            <w:r>
              <w:rPr>
                <w:noProof/>
              </w:rPr>
              <w:t>Aika</w:t>
            </w:r>
          </w:p>
        </w:tc>
        <w:tc>
          <w:tcPr>
            <w:tcW w:w="4958" w:type="dxa"/>
            <w:vMerge w:val="restart"/>
            <w:shd w:val="clear" w:color="auto" w:fill="BDD7EE"/>
            <w:vAlign w:val="center"/>
            <w:hideMark/>
          </w:tcPr>
          <w:p w14:paraId="29588294" w14:textId="77777777" w:rsidR="0065073E" w:rsidRDefault="000A0998">
            <w:pPr>
              <w:pStyle w:val="P68B1DB1-Normal8"/>
              <w:jc w:val="center"/>
              <w:rPr>
                <w:rFonts w:eastAsia="Times New Roman" w:cs="Times New Roman"/>
                <w:noProof/>
              </w:rPr>
            </w:pPr>
            <w:r>
              <w:rPr>
                <w:noProof/>
              </w:rPr>
              <w:t>Kunkin välitavoitteen ja tavoitteen kuvaus</w:t>
            </w:r>
          </w:p>
        </w:tc>
      </w:tr>
      <w:tr w:rsidR="0065073E" w14:paraId="5C2B87F9" w14:textId="77777777">
        <w:trPr>
          <w:trHeight w:val="495"/>
        </w:trPr>
        <w:tc>
          <w:tcPr>
            <w:tcW w:w="846" w:type="dxa"/>
            <w:vMerge/>
            <w:shd w:val="clear" w:color="auto" w:fill="BDD7EE"/>
            <w:hideMark/>
          </w:tcPr>
          <w:p w14:paraId="7443414A" w14:textId="77777777" w:rsidR="0065073E" w:rsidRDefault="0065073E">
            <w:pPr>
              <w:jc w:val="center"/>
              <w:rPr>
                <w:rFonts w:ascii="Times New Roman" w:eastAsia="Times New Roman" w:hAnsi="Times New Roman" w:cs="Times New Roman"/>
                <w:b/>
                <w:noProof/>
                <w:sz w:val="18"/>
              </w:rPr>
            </w:pPr>
          </w:p>
        </w:tc>
        <w:tc>
          <w:tcPr>
            <w:tcW w:w="992" w:type="dxa"/>
            <w:vMerge/>
            <w:shd w:val="clear" w:color="auto" w:fill="BDD7EE"/>
            <w:hideMark/>
          </w:tcPr>
          <w:p w14:paraId="532CBB21" w14:textId="77777777" w:rsidR="0065073E" w:rsidRDefault="0065073E">
            <w:pPr>
              <w:jc w:val="center"/>
              <w:rPr>
                <w:rFonts w:ascii="Times New Roman" w:eastAsia="Times New Roman" w:hAnsi="Times New Roman" w:cs="Times New Roman"/>
                <w:b/>
                <w:noProof/>
                <w:sz w:val="18"/>
              </w:rPr>
            </w:pPr>
          </w:p>
        </w:tc>
        <w:tc>
          <w:tcPr>
            <w:tcW w:w="992" w:type="dxa"/>
            <w:vMerge/>
            <w:shd w:val="clear" w:color="auto" w:fill="BDD7EE"/>
            <w:hideMark/>
          </w:tcPr>
          <w:p w14:paraId="7613B594" w14:textId="77777777" w:rsidR="0065073E" w:rsidRDefault="0065073E">
            <w:pPr>
              <w:jc w:val="center"/>
              <w:rPr>
                <w:rFonts w:ascii="Times New Roman" w:eastAsia="Times New Roman" w:hAnsi="Times New Roman" w:cs="Times New Roman"/>
                <w:b/>
                <w:noProof/>
                <w:sz w:val="18"/>
              </w:rPr>
            </w:pPr>
          </w:p>
        </w:tc>
        <w:tc>
          <w:tcPr>
            <w:tcW w:w="1701" w:type="dxa"/>
            <w:vMerge/>
            <w:shd w:val="clear" w:color="auto" w:fill="BDD7EE"/>
            <w:hideMark/>
          </w:tcPr>
          <w:p w14:paraId="6D29F1BD" w14:textId="77777777" w:rsidR="0065073E" w:rsidRDefault="0065073E">
            <w:pPr>
              <w:jc w:val="center"/>
              <w:rPr>
                <w:rFonts w:ascii="Times New Roman" w:eastAsia="Times New Roman" w:hAnsi="Times New Roman" w:cs="Times New Roman"/>
                <w:b/>
                <w:noProof/>
                <w:sz w:val="18"/>
              </w:rPr>
            </w:pPr>
          </w:p>
        </w:tc>
        <w:tc>
          <w:tcPr>
            <w:tcW w:w="1276" w:type="dxa"/>
            <w:vMerge/>
            <w:shd w:val="clear" w:color="auto" w:fill="BDD7EE"/>
            <w:hideMark/>
          </w:tcPr>
          <w:p w14:paraId="7D2BCCFA" w14:textId="77777777" w:rsidR="0065073E" w:rsidRDefault="0065073E">
            <w:pPr>
              <w:jc w:val="center"/>
              <w:rPr>
                <w:rFonts w:ascii="Times New Roman" w:eastAsia="Times New Roman" w:hAnsi="Times New Roman" w:cs="Times New Roman"/>
                <w:b/>
                <w:noProof/>
                <w:sz w:val="18"/>
              </w:rPr>
            </w:pPr>
          </w:p>
        </w:tc>
        <w:tc>
          <w:tcPr>
            <w:tcW w:w="709" w:type="dxa"/>
            <w:shd w:val="clear" w:color="auto" w:fill="BDD7EE"/>
            <w:hideMark/>
          </w:tcPr>
          <w:p w14:paraId="146393A0" w14:textId="77777777" w:rsidR="0065073E" w:rsidRDefault="000A0998">
            <w:pPr>
              <w:pStyle w:val="P68B1DB1-Normal8"/>
              <w:jc w:val="center"/>
              <w:rPr>
                <w:rFonts w:eastAsia="Times New Roman" w:cs="Times New Roman"/>
                <w:noProof/>
              </w:rPr>
            </w:pPr>
            <w:r>
              <w:rPr>
                <w:noProof/>
              </w:rPr>
              <w:t>Yksikkö</w:t>
            </w:r>
          </w:p>
        </w:tc>
        <w:tc>
          <w:tcPr>
            <w:tcW w:w="992" w:type="dxa"/>
            <w:shd w:val="clear" w:color="auto" w:fill="BDD7EE"/>
            <w:hideMark/>
          </w:tcPr>
          <w:p w14:paraId="4B231DE4" w14:textId="380F9785" w:rsidR="0065073E" w:rsidRDefault="000A0998">
            <w:pPr>
              <w:pStyle w:val="P68B1DB1-Normal8"/>
              <w:jc w:val="center"/>
              <w:rPr>
                <w:rFonts w:eastAsia="Times New Roman" w:cs="Times New Roman"/>
                <w:noProof/>
              </w:rPr>
            </w:pPr>
            <w:r>
              <w:rPr>
                <w:noProof/>
              </w:rPr>
              <w:t>Lähtötaso</w:t>
            </w:r>
          </w:p>
        </w:tc>
        <w:tc>
          <w:tcPr>
            <w:tcW w:w="708" w:type="dxa"/>
            <w:shd w:val="clear" w:color="auto" w:fill="BDD7EE"/>
            <w:hideMark/>
          </w:tcPr>
          <w:p w14:paraId="1D3E9995" w14:textId="77777777" w:rsidR="0065073E" w:rsidRDefault="000A0998">
            <w:pPr>
              <w:pStyle w:val="P68B1DB1-Normal8"/>
              <w:jc w:val="center"/>
              <w:rPr>
                <w:rFonts w:eastAsia="Times New Roman" w:cs="Times New Roman"/>
                <w:noProof/>
              </w:rPr>
            </w:pPr>
            <w:r>
              <w:rPr>
                <w:noProof/>
              </w:rPr>
              <w:t>Päämäärä</w:t>
            </w:r>
          </w:p>
        </w:tc>
        <w:tc>
          <w:tcPr>
            <w:tcW w:w="426" w:type="dxa"/>
            <w:shd w:val="clear" w:color="auto" w:fill="BDD7EE"/>
            <w:hideMark/>
          </w:tcPr>
          <w:p w14:paraId="0596B63C" w14:textId="4DF0A5B8" w:rsidR="0065073E" w:rsidRDefault="000A0998">
            <w:pPr>
              <w:pStyle w:val="P68B1DB1-Normal8"/>
              <w:jc w:val="center"/>
              <w:rPr>
                <w:rFonts w:eastAsia="Times New Roman" w:cs="Times New Roman"/>
                <w:noProof/>
              </w:rPr>
            </w:pPr>
            <w:r>
              <w:rPr>
                <w:noProof/>
              </w:rPr>
              <w:t>Q</w:t>
            </w:r>
          </w:p>
        </w:tc>
        <w:tc>
          <w:tcPr>
            <w:tcW w:w="567" w:type="dxa"/>
            <w:shd w:val="clear" w:color="auto" w:fill="BDD7EE"/>
            <w:hideMark/>
          </w:tcPr>
          <w:p w14:paraId="207A5044" w14:textId="7406E71C" w:rsidR="0065073E" w:rsidRDefault="000A0998">
            <w:pPr>
              <w:pStyle w:val="P68B1DB1-Normal8"/>
              <w:jc w:val="center"/>
              <w:rPr>
                <w:rFonts w:eastAsia="Times New Roman" w:cs="Times New Roman"/>
                <w:noProof/>
              </w:rPr>
            </w:pPr>
            <w:r>
              <w:rPr>
                <w:noProof/>
              </w:rPr>
              <w:t>Vuosi</w:t>
            </w:r>
          </w:p>
          <w:p w14:paraId="01D9CBC1" w14:textId="77EB7F29" w:rsidR="0065073E" w:rsidRDefault="0065073E">
            <w:pPr>
              <w:rPr>
                <w:rFonts w:ascii="Times New Roman" w:eastAsia="Times New Roman" w:hAnsi="Times New Roman" w:cs="Times New Roman"/>
                <w:noProof/>
                <w:sz w:val="18"/>
              </w:rPr>
            </w:pPr>
          </w:p>
        </w:tc>
        <w:tc>
          <w:tcPr>
            <w:tcW w:w="4958" w:type="dxa"/>
            <w:vMerge/>
            <w:shd w:val="clear" w:color="auto" w:fill="BDD7EE"/>
            <w:hideMark/>
          </w:tcPr>
          <w:p w14:paraId="1B6A682F" w14:textId="77777777" w:rsidR="0065073E" w:rsidRDefault="0065073E">
            <w:pPr>
              <w:jc w:val="center"/>
              <w:rPr>
                <w:rFonts w:ascii="Times New Roman" w:eastAsia="Times New Roman" w:hAnsi="Times New Roman" w:cs="Times New Roman"/>
                <w:b/>
                <w:noProof/>
                <w:sz w:val="18"/>
              </w:rPr>
            </w:pPr>
          </w:p>
        </w:tc>
      </w:tr>
      <w:tr w:rsidR="0065073E" w14:paraId="7D05D04F" w14:textId="77777777">
        <w:trPr>
          <w:trHeight w:val="300"/>
        </w:trPr>
        <w:tc>
          <w:tcPr>
            <w:tcW w:w="846" w:type="dxa"/>
            <w:shd w:val="clear" w:color="auto" w:fill="C6EFCE"/>
            <w:hideMark/>
          </w:tcPr>
          <w:p w14:paraId="0D0C5572" w14:textId="280387A3" w:rsidR="0065073E" w:rsidRDefault="000A0998">
            <w:pPr>
              <w:pStyle w:val="P68B1DB1-Normal12"/>
              <w:jc w:val="center"/>
              <w:rPr>
                <w:rFonts w:cs="Times New Roman"/>
                <w:noProof/>
              </w:rPr>
            </w:pPr>
            <w:r>
              <w:rPr>
                <w:noProof/>
              </w:rPr>
              <w:t>L63</w:t>
            </w:r>
          </w:p>
        </w:tc>
        <w:tc>
          <w:tcPr>
            <w:tcW w:w="992" w:type="dxa"/>
            <w:shd w:val="clear" w:color="auto" w:fill="C6EFCE"/>
            <w:hideMark/>
          </w:tcPr>
          <w:p w14:paraId="2D369ECD" w14:textId="348F3DBF" w:rsidR="0065073E" w:rsidRDefault="000A0998">
            <w:pPr>
              <w:pStyle w:val="P68B1DB1-Normal12"/>
              <w:jc w:val="center"/>
              <w:rPr>
                <w:rFonts w:cs="Times New Roman"/>
                <w:noProof/>
              </w:rPr>
            </w:pPr>
            <w:r>
              <w:rPr>
                <w:noProof/>
              </w:rPr>
              <w:t>C15.I9</w:t>
            </w:r>
          </w:p>
        </w:tc>
        <w:tc>
          <w:tcPr>
            <w:tcW w:w="992" w:type="dxa"/>
            <w:shd w:val="clear" w:color="auto" w:fill="C6EFCE"/>
            <w:hideMark/>
          </w:tcPr>
          <w:p w14:paraId="2376F4A4" w14:textId="29A95FDB" w:rsidR="0065073E" w:rsidRDefault="000A0998">
            <w:pPr>
              <w:pStyle w:val="P68B1DB1-Normal12"/>
              <w:jc w:val="center"/>
              <w:rPr>
                <w:rFonts w:cs="Times New Roman"/>
                <w:noProof/>
              </w:rPr>
            </w:pPr>
            <w:r>
              <w:rPr>
                <w:noProof/>
              </w:rPr>
              <w:t>M</w:t>
            </w:r>
          </w:p>
        </w:tc>
        <w:tc>
          <w:tcPr>
            <w:tcW w:w="1701" w:type="dxa"/>
            <w:shd w:val="clear" w:color="auto" w:fill="C6EFCE"/>
            <w:hideMark/>
          </w:tcPr>
          <w:p w14:paraId="25940D13" w14:textId="53DD0140" w:rsidR="0065073E" w:rsidRDefault="000A0998">
            <w:pPr>
              <w:pStyle w:val="P68B1DB1-Normal12"/>
              <w:rPr>
                <w:rFonts w:cs="Times New Roman"/>
                <w:noProof/>
              </w:rPr>
            </w:pPr>
            <w:r>
              <w:rPr>
                <w:noProof/>
              </w:rPr>
              <w:t>Sirujen rahoitusjärjestely: Rahoitusmekanismin virallinen hyväksyminen</w:t>
            </w:r>
          </w:p>
        </w:tc>
        <w:tc>
          <w:tcPr>
            <w:tcW w:w="1276" w:type="dxa"/>
            <w:shd w:val="clear" w:color="auto" w:fill="C6EFCE"/>
            <w:hideMark/>
          </w:tcPr>
          <w:p w14:paraId="3BC64F0B" w14:textId="77777777" w:rsidR="0065073E" w:rsidRDefault="000A0998">
            <w:pPr>
              <w:pStyle w:val="P68B1DB1-Normal12"/>
              <w:rPr>
                <w:rFonts w:cs="Times New Roman"/>
                <w:noProof/>
              </w:rPr>
            </w:pPr>
            <w:r>
              <w:rPr>
                <w:noProof/>
              </w:rPr>
              <w:t>Täytäntöönpanosopimuksen allekirjoittaminen </w:t>
            </w:r>
          </w:p>
        </w:tc>
        <w:tc>
          <w:tcPr>
            <w:tcW w:w="709" w:type="dxa"/>
            <w:shd w:val="clear" w:color="auto" w:fill="C6EFCE"/>
            <w:hideMark/>
          </w:tcPr>
          <w:p w14:paraId="41D33B3A" w14:textId="77777777" w:rsidR="0065073E" w:rsidRDefault="000A0998">
            <w:pPr>
              <w:pStyle w:val="P68B1DB1-Normal12"/>
              <w:rPr>
                <w:rFonts w:cs="Times New Roman"/>
                <w:noProof/>
              </w:rPr>
            </w:pPr>
            <w:r>
              <w:rPr>
                <w:noProof/>
              </w:rPr>
              <w:t xml:space="preserve"> </w:t>
            </w:r>
          </w:p>
        </w:tc>
        <w:tc>
          <w:tcPr>
            <w:tcW w:w="992" w:type="dxa"/>
            <w:shd w:val="clear" w:color="auto" w:fill="C6EFCE"/>
            <w:hideMark/>
          </w:tcPr>
          <w:p w14:paraId="5F93FEEE" w14:textId="77777777" w:rsidR="0065073E" w:rsidRDefault="000A0998">
            <w:pPr>
              <w:pStyle w:val="P68B1DB1-Normal12"/>
              <w:rPr>
                <w:rFonts w:cs="Times New Roman"/>
                <w:noProof/>
              </w:rPr>
            </w:pPr>
            <w:r>
              <w:rPr>
                <w:noProof/>
              </w:rPr>
              <w:t xml:space="preserve"> </w:t>
            </w:r>
          </w:p>
        </w:tc>
        <w:tc>
          <w:tcPr>
            <w:tcW w:w="708" w:type="dxa"/>
            <w:shd w:val="clear" w:color="auto" w:fill="C6EFCE"/>
            <w:hideMark/>
          </w:tcPr>
          <w:p w14:paraId="4BA7C8A7" w14:textId="77777777" w:rsidR="0065073E" w:rsidRDefault="000A0998">
            <w:pPr>
              <w:pStyle w:val="P68B1DB1-Normal12"/>
              <w:rPr>
                <w:rFonts w:cs="Times New Roman"/>
                <w:noProof/>
              </w:rPr>
            </w:pPr>
            <w:r>
              <w:rPr>
                <w:noProof/>
              </w:rPr>
              <w:t xml:space="preserve"> </w:t>
            </w:r>
          </w:p>
        </w:tc>
        <w:tc>
          <w:tcPr>
            <w:tcW w:w="426" w:type="dxa"/>
            <w:shd w:val="clear" w:color="auto" w:fill="C6EFCE"/>
            <w:hideMark/>
          </w:tcPr>
          <w:p w14:paraId="7EC9807C" w14:textId="5C54D2D9" w:rsidR="0065073E" w:rsidRDefault="000A0998">
            <w:pPr>
              <w:pStyle w:val="P68B1DB1-Normal12"/>
              <w:jc w:val="center"/>
              <w:rPr>
                <w:rFonts w:cs="Times New Roman"/>
                <w:noProof/>
              </w:rPr>
            </w:pPr>
            <w:r>
              <w:rPr>
                <w:noProof/>
              </w:rPr>
              <w:t>Q4</w:t>
            </w:r>
          </w:p>
        </w:tc>
        <w:tc>
          <w:tcPr>
            <w:tcW w:w="567" w:type="dxa"/>
            <w:shd w:val="clear" w:color="auto" w:fill="C6EFCE"/>
            <w:hideMark/>
          </w:tcPr>
          <w:p w14:paraId="135322BD" w14:textId="77777777" w:rsidR="0065073E" w:rsidRDefault="000A0998">
            <w:pPr>
              <w:pStyle w:val="P68B1DB1-Normal12"/>
              <w:jc w:val="center"/>
              <w:rPr>
                <w:rFonts w:eastAsia="Times New Roman" w:cs="Times New Roman"/>
                <w:noProof/>
              </w:rPr>
            </w:pPr>
            <w:r>
              <w:rPr>
                <w:noProof/>
              </w:rPr>
              <w:t>2023</w:t>
            </w:r>
          </w:p>
        </w:tc>
        <w:tc>
          <w:tcPr>
            <w:tcW w:w="4958" w:type="dxa"/>
            <w:shd w:val="clear" w:color="auto" w:fill="C6EFCE"/>
            <w:hideMark/>
          </w:tcPr>
          <w:p w14:paraId="776872B7" w14:textId="13E22D45" w:rsidR="0065073E" w:rsidRDefault="000A0998">
            <w:pPr>
              <w:pStyle w:val="P68B1DB1-Normal12"/>
              <w:rPr>
                <w:rFonts w:cs="Times New Roman"/>
                <w:noProof/>
              </w:rPr>
            </w:pPr>
            <w:r>
              <w:rPr>
                <w:noProof/>
              </w:rPr>
              <w:t>Täytäntöönpanosopimuksen allekirjoittaminen ministeriössä ja SEMyS:ssä tai asetuksen ja siihen liittyvien, rahaston perustamista koskevien asiakirjojen voimaantulo.</w:t>
            </w:r>
          </w:p>
        </w:tc>
      </w:tr>
      <w:tr w:rsidR="0065073E" w14:paraId="1CB13C5D" w14:textId="77777777">
        <w:trPr>
          <w:trHeight w:val="300"/>
        </w:trPr>
        <w:tc>
          <w:tcPr>
            <w:tcW w:w="846" w:type="dxa"/>
            <w:shd w:val="clear" w:color="auto" w:fill="C6EFCE"/>
          </w:tcPr>
          <w:p w14:paraId="63157463" w14:textId="6C136408" w:rsidR="0065073E" w:rsidRDefault="000A0998">
            <w:pPr>
              <w:pStyle w:val="P68B1DB1-Normal12"/>
              <w:jc w:val="center"/>
              <w:rPr>
                <w:rFonts w:cs="Times New Roman"/>
                <w:noProof/>
              </w:rPr>
            </w:pPr>
            <w:r>
              <w:rPr>
                <w:noProof/>
              </w:rPr>
              <w:t>L64</w:t>
            </w:r>
          </w:p>
        </w:tc>
        <w:tc>
          <w:tcPr>
            <w:tcW w:w="992" w:type="dxa"/>
            <w:shd w:val="clear" w:color="auto" w:fill="C6EFCE"/>
          </w:tcPr>
          <w:p w14:paraId="491EE663" w14:textId="7BDE6061" w:rsidR="0065073E" w:rsidRDefault="000A0998">
            <w:pPr>
              <w:pStyle w:val="P68B1DB1-Normal12"/>
              <w:jc w:val="center"/>
              <w:rPr>
                <w:rFonts w:cs="Times New Roman"/>
                <w:noProof/>
              </w:rPr>
            </w:pPr>
            <w:r>
              <w:rPr>
                <w:noProof/>
              </w:rPr>
              <w:t>C15.I9</w:t>
            </w:r>
          </w:p>
        </w:tc>
        <w:tc>
          <w:tcPr>
            <w:tcW w:w="992" w:type="dxa"/>
            <w:shd w:val="clear" w:color="auto" w:fill="C6EFCE"/>
          </w:tcPr>
          <w:p w14:paraId="4179376F" w14:textId="05FC026A" w:rsidR="0065073E" w:rsidRDefault="000A0998">
            <w:pPr>
              <w:pStyle w:val="P68B1DB1-Normal12"/>
              <w:jc w:val="center"/>
              <w:rPr>
                <w:rFonts w:cs="Times New Roman"/>
                <w:noProof/>
              </w:rPr>
            </w:pPr>
            <w:r>
              <w:rPr>
                <w:noProof/>
              </w:rPr>
              <w:t>T</w:t>
            </w:r>
          </w:p>
        </w:tc>
        <w:tc>
          <w:tcPr>
            <w:tcW w:w="1701" w:type="dxa"/>
            <w:shd w:val="clear" w:color="auto" w:fill="C6EFCE"/>
          </w:tcPr>
          <w:p w14:paraId="62508480" w14:textId="5A6F9073" w:rsidR="0065073E" w:rsidRDefault="000A0998">
            <w:pPr>
              <w:pStyle w:val="P68B1DB1-Normal12"/>
              <w:rPr>
                <w:rFonts w:cs="Times New Roman"/>
                <w:noProof/>
              </w:rPr>
            </w:pPr>
            <w:r>
              <w:rPr>
                <w:noProof/>
              </w:rPr>
              <w:t>Sirujen rahoitusjärjestely: Lopullisten edunsaajien kanssa allekirjoitetut oikeudelliset sopimukset (I)</w:t>
            </w:r>
          </w:p>
        </w:tc>
        <w:tc>
          <w:tcPr>
            <w:tcW w:w="1276" w:type="dxa"/>
            <w:shd w:val="clear" w:color="auto" w:fill="C6EFCE"/>
          </w:tcPr>
          <w:p w14:paraId="45F800E9" w14:textId="77777777" w:rsidR="0065073E" w:rsidRDefault="0065073E">
            <w:pPr>
              <w:rPr>
                <w:rFonts w:ascii="Times New Roman" w:hAnsi="Times New Roman" w:cs="Times New Roman"/>
                <w:noProof/>
                <w:sz w:val="18"/>
              </w:rPr>
            </w:pPr>
          </w:p>
        </w:tc>
        <w:tc>
          <w:tcPr>
            <w:tcW w:w="709" w:type="dxa"/>
            <w:shd w:val="clear" w:color="auto" w:fill="C6EFCE"/>
          </w:tcPr>
          <w:p w14:paraId="5647BF63" w14:textId="66EF5FA5" w:rsidR="0065073E" w:rsidRDefault="0065073E">
            <w:pPr>
              <w:rPr>
                <w:rFonts w:ascii="Times New Roman" w:hAnsi="Times New Roman" w:cs="Times New Roman"/>
                <w:noProof/>
                <w:sz w:val="18"/>
              </w:rPr>
            </w:pPr>
          </w:p>
        </w:tc>
        <w:tc>
          <w:tcPr>
            <w:tcW w:w="992" w:type="dxa"/>
            <w:shd w:val="clear" w:color="auto" w:fill="C6EFCE"/>
          </w:tcPr>
          <w:p w14:paraId="19862384" w14:textId="77777777" w:rsidR="0065073E" w:rsidRDefault="000A0998">
            <w:pPr>
              <w:pStyle w:val="P68B1DB1-Normal12"/>
              <w:jc w:val="center"/>
              <w:rPr>
                <w:rFonts w:cs="Times New Roman"/>
                <w:noProof/>
              </w:rPr>
            </w:pPr>
            <w:r>
              <w:rPr>
                <w:noProof/>
              </w:rPr>
              <w:t>0</w:t>
            </w:r>
          </w:p>
        </w:tc>
        <w:tc>
          <w:tcPr>
            <w:tcW w:w="708" w:type="dxa"/>
            <w:shd w:val="clear" w:color="auto" w:fill="C6EFCE"/>
          </w:tcPr>
          <w:p w14:paraId="4A0D3DAB" w14:textId="083523E6" w:rsidR="0065073E" w:rsidRDefault="000A0998">
            <w:pPr>
              <w:pStyle w:val="P68B1DB1-Normal12"/>
              <w:jc w:val="center"/>
              <w:rPr>
                <w:rFonts w:cs="Times New Roman"/>
                <w:noProof/>
              </w:rPr>
            </w:pPr>
            <w:r>
              <w:rPr>
                <w:noProof/>
              </w:rPr>
              <w:t>25 %</w:t>
            </w:r>
          </w:p>
        </w:tc>
        <w:tc>
          <w:tcPr>
            <w:tcW w:w="426" w:type="dxa"/>
            <w:shd w:val="clear" w:color="auto" w:fill="C6EFCE"/>
          </w:tcPr>
          <w:p w14:paraId="7903A43B" w14:textId="77777777" w:rsidR="0065073E" w:rsidRDefault="000A0998">
            <w:pPr>
              <w:pStyle w:val="P68B1DB1-Normal12"/>
              <w:jc w:val="center"/>
              <w:rPr>
                <w:rFonts w:cs="Times New Roman"/>
                <w:noProof/>
              </w:rPr>
            </w:pPr>
            <w:r>
              <w:rPr>
                <w:noProof/>
              </w:rPr>
              <w:t>TOINEN VUOSINELJÄNNES</w:t>
            </w:r>
          </w:p>
        </w:tc>
        <w:tc>
          <w:tcPr>
            <w:tcW w:w="567" w:type="dxa"/>
            <w:shd w:val="clear" w:color="auto" w:fill="C6EFCE"/>
          </w:tcPr>
          <w:p w14:paraId="1BC066D8" w14:textId="77777777" w:rsidR="0065073E" w:rsidRDefault="000A0998">
            <w:pPr>
              <w:pStyle w:val="P68B1DB1-Normal12"/>
              <w:jc w:val="center"/>
              <w:rPr>
                <w:rFonts w:eastAsia="Times New Roman" w:cs="Times New Roman"/>
                <w:noProof/>
              </w:rPr>
            </w:pPr>
            <w:r>
              <w:rPr>
                <w:noProof/>
              </w:rPr>
              <w:t>2025</w:t>
            </w:r>
          </w:p>
        </w:tc>
        <w:tc>
          <w:tcPr>
            <w:tcW w:w="4958" w:type="dxa"/>
            <w:shd w:val="clear" w:color="auto" w:fill="C6EFCE"/>
          </w:tcPr>
          <w:p w14:paraId="3F36263D" w14:textId="2DAFEEE7" w:rsidR="0065073E" w:rsidRDefault="000A0998">
            <w:pPr>
              <w:pStyle w:val="P68B1DB1-Normal12"/>
              <w:rPr>
                <w:rFonts w:cs="Times New Roman"/>
                <w:noProof/>
              </w:rPr>
            </w:pPr>
            <w:r>
              <w:rPr>
                <w:noProof/>
              </w:rPr>
              <w:t>Tukivälineestä on oltava tehty lopullisten tuensaajien kanssa oikeudellisia rahoitussopimuksia, jotka koskevat määrää, joka on tarpeen, jotta vähintään 25 prosenttia elpymis- ja palautumistukivälineen investoinneista voidaan käyttää tukivälineeseen (ottaen huomioon hallinnointipalkkiot).</w:t>
            </w:r>
          </w:p>
          <w:p w14:paraId="1B65CDBA" w14:textId="543E1CFB" w:rsidR="0065073E" w:rsidRDefault="000A0998">
            <w:pPr>
              <w:pStyle w:val="P68B1DB1-Normal12"/>
              <w:rPr>
                <w:rFonts w:cs="Times New Roman"/>
                <w:noProof/>
              </w:rPr>
            </w:pPr>
            <w:r>
              <w:rPr>
                <w:noProof/>
              </w:rPr>
              <w:t xml:space="preserve">Espanjan hallituksen ja hakijan on myös allekirjoitettava Espanjan kansallisessa lainsäädännössä tai vastaavassa diplomaattisessa välineessä kuvattu yleinen toimintapöytäkirja vähintään yhden puolijohteiden valmistuslaitoksen (joko etu- tai takapään) osalta EU:n avoimen tilausvalmistajan tai integroidun tuotantolaitoksen muodossa, joka on ensimmäinen laatuaan EU:n sirusäädöksessä vahvistettujen määritelmien mukaisesti. </w:t>
            </w:r>
          </w:p>
          <w:p w14:paraId="2B920AB3" w14:textId="684AAF71" w:rsidR="0065073E" w:rsidRDefault="000A0998">
            <w:pPr>
              <w:pStyle w:val="P68B1DB1-Normal12"/>
              <w:rPr>
                <w:rFonts w:cs="Times New Roman"/>
                <w:noProof/>
              </w:rPr>
            </w:pPr>
            <w:r>
              <w:rPr>
                <w:noProof/>
              </w:rPr>
              <w:t>SEMyS laatii kertomuksen, jossa esitetään yksityiskohtaisesti, että vähintään 100 prosentilla tästä rahoituksesta edistetään digitaalisen siirtymän tavoitteita elpymis- ja palautumistukivälinettä koskevan asetuksen liitteessä VII esitettyä menetelmää käyttäen.</w:t>
            </w:r>
          </w:p>
        </w:tc>
      </w:tr>
      <w:tr w:rsidR="0065073E" w14:paraId="2EA593B6" w14:textId="77777777">
        <w:trPr>
          <w:trHeight w:val="300"/>
        </w:trPr>
        <w:tc>
          <w:tcPr>
            <w:tcW w:w="846" w:type="dxa"/>
            <w:shd w:val="clear" w:color="auto" w:fill="C6EFCE"/>
          </w:tcPr>
          <w:p w14:paraId="56656C43" w14:textId="02454E2D" w:rsidR="0065073E" w:rsidRDefault="000A0998">
            <w:pPr>
              <w:pStyle w:val="P68B1DB1-Normal12"/>
              <w:jc w:val="center"/>
              <w:rPr>
                <w:rFonts w:cs="Times New Roman"/>
                <w:noProof/>
              </w:rPr>
            </w:pPr>
            <w:r>
              <w:rPr>
                <w:noProof/>
              </w:rPr>
              <w:t>L65</w:t>
            </w:r>
          </w:p>
        </w:tc>
        <w:tc>
          <w:tcPr>
            <w:tcW w:w="992" w:type="dxa"/>
            <w:shd w:val="clear" w:color="auto" w:fill="C6EFCE"/>
          </w:tcPr>
          <w:p w14:paraId="0BF73430" w14:textId="17653A36" w:rsidR="0065073E" w:rsidRDefault="000A0998">
            <w:pPr>
              <w:pStyle w:val="P68B1DB1-Normal12"/>
              <w:jc w:val="center"/>
              <w:rPr>
                <w:rFonts w:cs="Times New Roman"/>
                <w:noProof/>
              </w:rPr>
            </w:pPr>
            <w:r>
              <w:rPr>
                <w:noProof/>
              </w:rPr>
              <w:t>C15.I9</w:t>
            </w:r>
          </w:p>
        </w:tc>
        <w:tc>
          <w:tcPr>
            <w:tcW w:w="992" w:type="dxa"/>
            <w:shd w:val="clear" w:color="auto" w:fill="C6EFCE"/>
          </w:tcPr>
          <w:p w14:paraId="2599D3DB" w14:textId="753CD061" w:rsidR="0065073E" w:rsidRDefault="000A0998">
            <w:pPr>
              <w:pStyle w:val="P68B1DB1-Normal12"/>
              <w:jc w:val="center"/>
              <w:rPr>
                <w:rFonts w:eastAsia="Times New Roman" w:cs="Times New Roman"/>
                <w:noProof/>
              </w:rPr>
            </w:pPr>
            <w:r>
              <w:rPr>
                <w:noProof/>
              </w:rPr>
              <w:t>T</w:t>
            </w:r>
          </w:p>
        </w:tc>
        <w:tc>
          <w:tcPr>
            <w:tcW w:w="1701" w:type="dxa"/>
            <w:shd w:val="clear" w:color="auto" w:fill="C6EFCE"/>
          </w:tcPr>
          <w:p w14:paraId="196137CD" w14:textId="141A95CC" w:rsidR="0065073E" w:rsidRDefault="000A0998">
            <w:pPr>
              <w:pStyle w:val="P68B1DB1-Normal12"/>
              <w:rPr>
                <w:rFonts w:eastAsia="Times New Roman" w:cs="Times New Roman"/>
                <w:noProof/>
              </w:rPr>
            </w:pPr>
            <w:r>
              <w:rPr>
                <w:noProof/>
              </w:rPr>
              <w:t>Sirujen rahoitusjärjestely: Lopullisten edunsaajien kanssa allekirjoitetut oikeudelliset sopimukset (II)</w:t>
            </w:r>
          </w:p>
        </w:tc>
        <w:tc>
          <w:tcPr>
            <w:tcW w:w="1276" w:type="dxa"/>
            <w:shd w:val="clear" w:color="auto" w:fill="C6EFCE"/>
          </w:tcPr>
          <w:p w14:paraId="41A672A3" w14:textId="77777777" w:rsidR="0065073E" w:rsidRDefault="0065073E">
            <w:pPr>
              <w:rPr>
                <w:rFonts w:ascii="Times New Roman" w:eastAsia="Times New Roman" w:hAnsi="Times New Roman" w:cs="Times New Roman"/>
                <w:noProof/>
                <w:sz w:val="18"/>
              </w:rPr>
            </w:pPr>
          </w:p>
        </w:tc>
        <w:tc>
          <w:tcPr>
            <w:tcW w:w="709" w:type="dxa"/>
            <w:shd w:val="clear" w:color="auto" w:fill="C6EFCE"/>
          </w:tcPr>
          <w:p w14:paraId="2988B5C7" w14:textId="14397A8A" w:rsidR="0065073E" w:rsidRDefault="0065073E">
            <w:pPr>
              <w:rPr>
                <w:rFonts w:ascii="Times New Roman" w:hAnsi="Times New Roman" w:cs="Times New Roman"/>
                <w:noProof/>
                <w:sz w:val="18"/>
              </w:rPr>
            </w:pPr>
          </w:p>
        </w:tc>
        <w:tc>
          <w:tcPr>
            <w:tcW w:w="992" w:type="dxa"/>
            <w:shd w:val="clear" w:color="auto" w:fill="C6EFCE"/>
          </w:tcPr>
          <w:p w14:paraId="7CB24F9B" w14:textId="7C1EB69A" w:rsidR="0065073E" w:rsidRDefault="000A0998">
            <w:pPr>
              <w:pStyle w:val="P68B1DB1-Normal12"/>
              <w:jc w:val="center"/>
              <w:rPr>
                <w:rFonts w:eastAsia="Times New Roman" w:cs="Times New Roman"/>
                <w:noProof/>
              </w:rPr>
            </w:pPr>
            <w:r>
              <w:rPr>
                <w:noProof/>
              </w:rPr>
              <w:t>25 %</w:t>
            </w:r>
          </w:p>
        </w:tc>
        <w:tc>
          <w:tcPr>
            <w:tcW w:w="708" w:type="dxa"/>
            <w:shd w:val="clear" w:color="auto" w:fill="C6EFCE"/>
          </w:tcPr>
          <w:p w14:paraId="5FA4F5FA" w14:textId="4150342C" w:rsidR="0065073E" w:rsidRDefault="000A0998">
            <w:pPr>
              <w:pStyle w:val="P68B1DB1-Normal12"/>
              <w:jc w:val="center"/>
              <w:rPr>
                <w:rFonts w:eastAsia="Times New Roman" w:cs="Times New Roman"/>
                <w:noProof/>
              </w:rPr>
            </w:pPr>
            <w:r>
              <w:rPr>
                <w:noProof/>
              </w:rPr>
              <w:t>100 %</w:t>
            </w:r>
          </w:p>
        </w:tc>
        <w:tc>
          <w:tcPr>
            <w:tcW w:w="426" w:type="dxa"/>
            <w:shd w:val="clear" w:color="auto" w:fill="C6EFCE"/>
          </w:tcPr>
          <w:p w14:paraId="567D5DA6" w14:textId="3494F4C6" w:rsidR="0065073E" w:rsidRDefault="000A0998">
            <w:pPr>
              <w:pStyle w:val="P68B1DB1-Normal12"/>
              <w:jc w:val="center"/>
              <w:rPr>
                <w:rFonts w:cs="Times New Roman"/>
                <w:noProof/>
              </w:rPr>
            </w:pPr>
            <w:r>
              <w:rPr>
                <w:noProof/>
              </w:rPr>
              <w:t>Q3</w:t>
            </w:r>
          </w:p>
        </w:tc>
        <w:tc>
          <w:tcPr>
            <w:tcW w:w="567" w:type="dxa"/>
            <w:shd w:val="clear" w:color="auto" w:fill="C6EFCE"/>
          </w:tcPr>
          <w:p w14:paraId="227E7D60" w14:textId="32174019" w:rsidR="0065073E" w:rsidRDefault="000A0998">
            <w:pPr>
              <w:pStyle w:val="P68B1DB1-Normal12"/>
              <w:jc w:val="center"/>
              <w:rPr>
                <w:rFonts w:cs="Times New Roman"/>
                <w:noProof/>
              </w:rPr>
            </w:pPr>
            <w:r>
              <w:rPr>
                <w:noProof/>
              </w:rPr>
              <w:t>2026</w:t>
            </w:r>
          </w:p>
        </w:tc>
        <w:tc>
          <w:tcPr>
            <w:tcW w:w="4958" w:type="dxa"/>
            <w:shd w:val="clear" w:color="auto" w:fill="C6EFCE"/>
          </w:tcPr>
          <w:p w14:paraId="78AE8FD0" w14:textId="6A3AB5B0" w:rsidR="0065073E" w:rsidRDefault="000A0998">
            <w:pPr>
              <w:pStyle w:val="P68B1DB1-Normal12"/>
              <w:rPr>
                <w:rFonts w:cs="Times New Roman"/>
                <w:noProof/>
              </w:rPr>
            </w:pPr>
            <w:r>
              <w:rPr>
                <w:noProof/>
              </w:rPr>
              <w:t>Tukivälineestä on oltava tehty lopullisten edunsaajien kanssa oikeudellisia rahoitussopimuksia, jotka koskevat määrää, joka on tarpeen, jotta 100 prosenttia elpymis- ja palautumistukivälineen investoinneista voidaan käyttää tukivälineeseen (ottaen huomioon hallinnointipalkkiot).</w:t>
            </w:r>
          </w:p>
          <w:p w14:paraId="3868FC58" w14:textId="70DB73BF" w:rsidR="0065073E" w:rsidRDefault="000A0998">
            <w:pPr>
              <w:pStyle w:val="P68B1DB1-Normal12"/>
              <w:rPr>
                <w:rFonts w:cs="Times New Roman"/>
                <w:noProof/>
              </w:rPr>
            </w:pPr>
            <w:r>
              <w:rPr>
                <w:noProof/>
              </w:rPr>
              <w:t>SEMyS laatii kertomuksen, jossa esitetään yksityiskohtaisesti, että vähintään 100 prosentilla tästä rahoituksesta edistetään digitaalisen siirtymän tavoitteita elpymis- ja palautumistukivälinettä koskevan asetuksen liitteessä VII esitettyä menetelmää käyttäen.</w:t>
            </w:r>
          </w:p>
        </w:tc>
      </w:tr>
      <w:tr w:rsidR="0065073E" w14:paraId="7FA53FE6" w14:textId="77777777">
        <w:trPr>
          <w:trHeight w:val="300"/>
        </w:trPr>
        <w:tc>
          <w:tcPr>
            <w:tcW w:w="846" w:type="dxa"/>
            <w:shd w:val="clear" w:color="auto" w:fill="C6EFCE"/>
          </w:tcPr>
          <w:p w14:paraId="052B4093" w14:textId="43FB1F02" w:rsidR="0065073E" w:rsidRDefault="000A0998">
            <w:pPr>
              <w:pStyle w:val="P68B1DB1-Normal12"/>
              <w:jc w:val="center"/>
              <w:rPr>
                <w:rFonts w:cs="Times New Roman"/>
                <w:noProof/>
              </w:rPr>
            </w:pPr>
            <w:r>
              <w:rPr>
                <w:noProof/>
              </w:rPr>
              <w:t>L66</w:t>
            </w:r>
          </w:p>
        </w:tc>
        <w:tc>
          <w:tcPr>
            <w:tcW w:w="992" w:type="dxa"/>
            <w:shd w:val="clear" w:color="auto" w:fill="C6EFCE"/>
          </w:tcPr>
          <w:p w14:paraId="6758F82E" w14:textId="4102C823" w:rsidR="0065073E" w:rsidRDefault="000A0998">
            <w:pPr>
              <w:pStyle w:val="P68B1DB1-Normal12"/>
              <w:jc w:val="center"/>
              <w:rPr>
                <w:rFonts w:cs="Times New Roman"/>
                <w:noProof/>
              </w:rPr>
            </w:pPr>
            <w:r>
              <w:rPr>
                <w:noProof/>
              </w:rPr>
              <w:t>C15.I9</w:t>
            </w:r>
          </w:p>
        </w:tc>
        <w:tc>
          <w:tcPr>
            <w:tcW w:w="992" w:type="dxa"/>
            <w:shd w:val="clear" w:color="auto" w:fill="C6EFCE"/>
          </w:tcPr>
          <w:p w14:paraId="5B35E011" w14:textId="53EBF650" w:rsidR="0065073E" w:rsidRDefault="000A0998">
            <w:pPr>
              <w:pStyle w:val="P68B1DB1-Normal12"/>
              <w:jc w:val="center"/>
              <w:rPr>
                <w:rFonts w:cs="Times New Roman"/>
                <w:noProof/>
              </w:rPr>
            </w:pPr>
            <w:r>
              <w:rPr>
                <w:noProof/>
              </w:rPr>
              <w:t>M</w:t>
            </w:r>
          </w:p>
        </w:tc>
        <w:tc>
          <w:tcPr>
            <w:tcW w:w="1701" w:type="dxa"/>
            <w:shd w:val="clear" w:color="auto" w:fill="C6EFCE"/>
          </w:tcPr>
          <w:p w14:paraId="3CE1C078" w14:textId="5849E117" w:rsidR="0065073E" w:rsidRDefault="000A0998">
            <w:pPr>
              <w:pStyle w:val="P68B1DB1-Normal12"/>
              <w:rPr>
                <w:rFonts w:cs="Times New Roman"/>
                <w:noProof/>
              </w:rPr>
            </w:pPr>
            <w:r>
              <w:rPr>
                <w:noProof/>
              </w:rPr>
              <w:t xml:space="preserve">Sirujen rahoitusjärjestely: Ministeriö on saattanut investoinnin päätökseen. </w:t>
            </w:r>
          </w:p>
        </w:tc>
        <w:tc>
          <w:tcPr>
            <w:tcW w:w="1276" w:type="dxa"/>
            <w:shd w:val="clear" w:color="auto" w:fill="C6EFCE"/>
          </w:tcPr>
          <w:p w14:paraId="3BA1A2B2" w14:textId="172197F1" w:rsidR="0065073E" w:rsidRDefault="000A0998">
            <w:pPr>
              <w:pStyle w:val="P68B1DB1-Normal12"/>
              <w:rPr>
                <w:rFonts w:cs="Times New Roman"/>
                <w:noProof/>
              </w:rPr>
            </w:pPr>
            <w:r>
              <w:rPr>
                <w:noProof/>
              </w:rPr>
              <w:t xml:space="preserve">Siirtotodistus </w:t>
            </w:r>
          </w:p>
        </w:tc>
        <w:tc>
          <w:tcPr>
            <w:tcW w:w="709" w:type="dxa"/>
            <w:shd w:val="clear" w:color="auto" w:fill="C6EFCE"/>
          </w:tcPr>
          <w:p w14:paraId="42EB5E1B" w14:textId="1E55410B" w:rsidR="0065073E" w:rsidRDefault="0065073E">
            <w:pPr>
              <w:jc w:val="center"/>
              <w:rPr>
                <w:rFonts w:ascii="Times New Roman" w:hAnsi="Times New Roman" w:cs="Times New Roman"/>
                <w:noProof/>
                <w:sz w:val="18"/>
              </w:rPr>
            </w:pPr>
          </w:p>
        </w:tc>
        <w:tc>
          <w:tcPr>
            <w:tcW w:w="992" w:type="dxa"/>
            <w:shd w:val="clear" w:color="auto" w:fill="C6EFCE"/>
          </w:tcPr>
          <w:p w14:paraId="5A860AAC" w14:textId="47ACFEA4" w:rsidR="0065073E" w:rsidRDefault="0065073E">
            <w:pPr>
              <w:rPr>
                <w:rFonts w:ascii="Times New Roman" w:hAnsi="Times New Roman" w:cs="Times New Roman"/>
                <w:noProof/>
                <w:sz w:val="18"/>
              </w:rPr>
            </w:pPr>
          </w:p>
        </w:tc>
        <w:tc>
          <w:tcPr>
            <w:tcW w:w="708" w:type="dxa"/>
            <w:shd w:val="clear" w:color="auto" w:fill="C6EFCE"/>
          </w:tcPr>
          <w:p w14:paraId="635452A8" w14:textId="52B1A388" w:rsidR="0065073E" w:rsidRDefault="0065073E">
            <w:pPr>
              <w:rPr>
                <w:rFonts w:ascii="Times New Roman" w:hAnsi="Times New Roman" w:cs="Times New Roman"/>
                <w:noProof/>
                <w:sz w:val="18"/>
              </w:rPr>
            </w:pPr>
          </w:p>
        </w:tc>
        <w:tc>
          <w:tcPr>
            <w:tcW w:w="426" w:type="dxa"/>
            <w:shd w:val="clear" w:color="auto" w:fill="C6EFCE"/>
          </w:tcPr>
          <w:p w14:paraId="34F3DFA2" w14:textId="0B501E19" w:rsidR="0065073E" w:rsidRDefault="000A0998">
            <w:pPr>
              <w:pStyle w:val="P68B1DB1-Normal12"/>
              <w:jc w:val="center"/>
              <w:rPr>
                <w:rFonts w:cs="Times New Roman"/>
                <w:noProof/>
              </w:rPr>
            </w:pPr>
            <w:r>
              <w:rPr>
                <w:noProof/>
              </w:rPr>
              <w:t>Q3</w:t>
            </w:r>
          </w:p>
        </w:tc>
        <w:tc>
          <w:tcPr>
            <w:tcW w:w="567" w:type="dxa"/>
            <w:shd w:val="clear" w:color="auto" w:fill="C6EFCE"/>
          </w:tcPr>
          <w:p w14:paraId="0AD71336" w14:textId="77777777" w:rsidR="0065073E" w:rsidRDefault="000A0998">
            <w:pPr>
              <w:pStyle w:val="P68B1DB1-Normal12"/>
              <w:jc w:val="center"/>
              <w:rPr>
                <w:rFonts w:cs="Times New Roman"/>
                <w:noProof/>
              </w:rPr>
            </w:pPr>
            <w:r>
              <w:rPr>
                <w:noProof/>
              </w:rPr>
              <w:t>2026</w:t>
            </w:r>
          </w:p>
        </w:tc>
        <w:tc>
          <w:tcPr>
            <w:tcW w:w="4958" w:type="dxa"/>
            <w:shd w:val="clear" w:color="auto" w:fill="C6EFCE"/>
          </w:tcPr>
          <w:p w14:paraId="7808AB6C" w14:textId="5CEBF4B5" w:rsidR="0065073E" w:rsidRDefault="000A0998">
            <w:pPr>
              <w:pStyle w:val="P68B1DB1-Normal12"/>
              <w:rPr>
                <w:rFonts w:cs="Times New Roman"/>
                <w:noProof/>
              </w:rPr>
            </w:pPr>
            <w:r>
              <w:rPr>
                <w:noProof/>
              </w:rPr>
              <w:t>Espanjan on siirrettävä SEMyS:lle 10750000000 euroa tukivälinettä varten.</w:t>
            </w:r>
          </w:p>
        </w:tc>
      </w:tr>
    </w:tbl>
    <w:p w14:paraId="01914987" w14:textId="77777777" w:rsidR="0065073E" w:rsidRDefault="0065073E">
      <w:pPr>
        <w:spacing w:before="120" w:after="120" w:line="240" w:lineRule="auto"/>
        <w:ind w:left="709"/>
        <w:jc w:val="both"/>
        <w:rPr>
          <w:rFonts w:ascii="Times New Roman" w:hAnsi="Times New Roman" w:cs="Times New Roman"/>
          <w:noProof/>
          <w:sz w:val="24"/>
        </w:rPr>
      </w:pPr>
    </w:p>
    <w:p w14:paraId="3DBE73F8"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366"/>
          <w:headerReference w:type="default" r:id="rId367"/>
          <w:footerReference w:type="even" r:id="rId368"/>
          <w:footerReference w:type="default" r:id="rId369"/>
          <w:headerReference w:type="first" r:id="rId370"/>
          <w:footerReference w:type="first" r:id="rId371"/>
          <w:pgSz w:w="16839" w:h="11907" w:orient="landscape"/>
          <w:pgMar w:top="1134" w:right="1134" w:bottom="1134" w:left="1134" w:header="567" w:footer="567" w:gutter="0"/>
          <w:cols w:space="720"/>
          <w:docGrid w:linePitch="360"/>
        </w:sectPr>
      </w:pPr>
    </w:p>
    <w:p w14:paraId="4E73C637" w14:textId="77777777" w:rsidR="0065073E" w:rsidRDefault="000A0998">
      <w:pPr>
        <w:pStyle w:val="P68B1DB1-Heading12"/>
        <w:rPr>
          <w:rFonts w:cs="Times New Roman"/>
          <w:noProof/>
        </w:rPr>
      </w:pPr>
      <w:r>
        <w:rPr>
          <w:noProof/>
        </w:rPr>
        <w:t>P. OSA 16: Tekoäly</w:t>
      </w:r>
    </w:p>
    <w:p w14:paraId="4A87F81B" w14:textId="77777777" w:rsidR="0065073E" w:rsidRDefault="000A0998">
      <w:pPr>
        <w:pStyle w:val="P68B1DB1-Normal4"/>
        <w:spacing w:before="120" w:after="120" w:line="240" w:lineRule="auto"/>
        <w:jc w:val="both"/>
        <w:rPr>
          <w:rFonts w:cs="Times New Roman"/>
          <w:noProof/>
        </w:rPr>
      </w:pPr>
      <w:r>
        <w:rPr>
          <w:noProof/>
        </w:rPr>
        <w:t xml:space="preserve">Tekoälyllä on teknologiselta, taloudelliselta ja sosiaaliselta kannalta merkittäviä muutosmahdollisuuksia, kun otetaan huomioon sen monialainen levinneisyys, suuri vaikutus, nopea kasvu sekä tuottavuuden ja kilpailukyvyn parantaminen. </w:t>
      </w:r>
    </w:p>
    <w:p w14:paraId="5D4612A0" w14:textId="77777777" w:rsidR="0065073E" w:rsidRDefault="000A0998">
      <w:pPr>
        <w:pStyle w:val="P68B1DB1-Normal4"/>
        <w:spacing w:before="120" w:after="120" w:line="240" w:lineRule="auto"/>
        <w:jc w:val="both"/>
        <w:rPr>
          <w:rFonts w:cs="Times New Roman"/>
          <w:noProof/>
        </w:rPr>
      </w:pPr>
      <w:r>
        <w:rPr>
          <w:noProof/>
        </w:rPr>
        <w:t>Espanjan elpymis- ja palautumissuunnitelman tällä osa-alueella käsiteltävät tärkeimmät haasteet liittyvät seuraaviin: I) tekoälyn rajallinen käyttö yrityksissä, erityisesti pk-yrityksissä, ii) laajalti saatavilla olevien tietovarastojen luominen ja iii) julkisten ja yksityisten investointien edistäminen tekoälyyn liittyvään innovointiin. Komponentti rakentuu kansallisen tekoälystrategian (ENIA) ympärille, joka on yksi Espanjan hallituksen</w:t>
      </w:r>
      <w:r>
        <w:rPr>
          <w:i/>
          <w:noProof/>
        </w:rPr>
        <w:t>digitaalistrategian (Espanjan digitaali 2025</w:t>
      </w:r>
      <w:r>
        <w:rPr>
          <w:noProof/>
        </w:rPr>
        <w:t xml:space="preserve">) tärkeimmistä suunnitelmista. Tällä osa-alueella edistetään myös yhteiskunnallisiin haasteisiin vastaamista, erityisesti sukupuolten välisen kuilun kaventamista (naisiin kohdistettujen toimien avulla), digitaalista kuilua, ekologista siirtymää ja alueellista yhteenkuuluvuutta. </w:t>
      </w:r>
    </w:p>
    <w:p w14:paraId="644576C3" w14:textId="77777777" w:rsidR="0065073E" w:rsidRDefault="000A0998">
      <w:pPr>
        <w:pStyle w:val="P68B1DB1-Normal4"/>
        <w:spacing w:before="120" w:after="120" w:line="240" w:lineRule="auto"/>
        <w:jc w:val="both"/>
        <w:rPr>
          <w:rFonts w:cs="Times New Roman"/>
          <w:noProof/>
        </w:rPr>
      </w:pPr>
      <w:r>
        <w:rPr>
          <w:noProof/>
        </w:rPr>
        <w:t xml:space="preserve">Tästä näkökulmasta tämän osa-alueen tavoitteena on </w:t>
      </w:r>
    </w:p>
    <w:p w14:paraId="57EA1398"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asetetaan Espanja johtavaksi maaksi tekoälyn tieteellisen huippuosaamisen ja innovoinnin alalla monitieteisellä tavalla;</w:t>
      </w:r>
    </w:p>
    <w:p w14:paraId="49FE989E"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johtaa maailmanlaajuisesti välineiden, teknologioiden ja sovellusten kehittämistä espanjan kielen projisointia ja käyttöä varten tekoälyssä;</w:t>
      </w:r>
    </w:p>
    <w:p w14:paraId="4731BC8A"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edistetään ammattitaitoa vaativien työpaikkojen luomista, edistetään koulutusta, kannustetaan espanjalaisia lahjakkuuksia ja houkutellaan lahjakkuuksia maailmanlaajuisesti;</w:t>
      </w:r>
    </w:p>
    <w:p w14:paraId="5A1ADD7D"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sisällytetään tekoäly Espanjan yksityisen sektorin tuottavuuden parantamiseen, julkishallinnon tehokkuuteen ja kestävän ja osallistavan talouskasvun vauhdittajaan;</w:t>
      </w:r>
    </w:p>
    <w:p w14:paraId="53AFD8B4"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luoda tekoälyyn liittyvä luottamuksen ilmapiiri sekä teknologisen kehityksen, sääntelyn että sosiaalisten vaikutusten osalta;</w:t>
      </w:r>
    </w:p>
    <w:p w14:paraId="1C19587F"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edistetään maailmanlaajuista keskustelua teknologisesta humanismista luomalla foorumeita ja tiedotustoimia ja osallistumalla niihin sellaisten eettisten puitteiden kehittämiseksi, joilla taataan kansalaisten yksilölliset ja kollektiiviset oikeudet;</w:t>
      </w:r>
    </w:p>
    <w:p w14:paraId="1364B138" w14:textId="77777777" w:rsidR="0065073E" w:rsidRDefault="000A0998">
      <w:pPr>
        <w:pStyle w:val="P68B1DB1-Normal4"/>
        <w:numPr>
          <w:ilvl w:val="0"/>
          <w:numId w:val="127"/>
        </w:numPr>
        <w:spacing w:before="120" w:after="120" w:line="240" w:lineRule="auto"/>
        <w:ind w:left="426" w:hanging="426"/>
        <w:jc w:val="both"/>
        <w:rPr>
          <w:rFonts w:cs="Times New Roman"/>
          <w:noProof/>
        </w:rPr>
      </w:pPr>
      <w:r>
        <w:rPr>
          <w:noProof/>
        </w:rPr>
        <w:t>tekoälyn vahvistaminen monialaisena tekijänä, jotta voidaan vastata yhteiskunnan suuriin haasteisiin ja erityisesti kaventaa sukupuolten välistä kuilua, digitaalista kuilua sekä tukea ekologista siirtymää ja alueellista yhteenkuuluvuutta.</w:t>
      </w:r>
    </w:p>
    <w:p w14:paraId="18EF63D9" w14:textId="77777777" w:rsidR="0065073E" w:rsidRDefault="000A0998">
      <w:pPr>
        <w:pStyle w:val="P68B1DB1-Normal4"/>
        <w:spacing w:before="120" w:after="120" w:line="240" w:lineRule="auto"/>
        <w:jc w:val="both"/>
        <w:rPr>
          <w:rFonts w:cs="Times New Roman"/>
          <w:noProof/>
        </w:rPr>
      </w:pPr>
      <w:r>
        <w:rPr>
          <w:noProof/>
        </w:rPr>
        <w:t>Tämä osa-alue vastaa maakohtaisia suosituksia innovointiin tehtävien investointien edistämisestä (maakohtainen suositus 3 2019), digitaalisen oppimisen saatavuuden parantamisesta (maakohtainen suositus 2 2020) sekä julkisten ja yksityisten investointien edistämisestä ja digitaalisen siirtymän edistämisestä (maakohtainen suositus 3 2020).</w:t>
      </w:r>
    </w:p>
    <w:p w14:paraId="32D63FA5" w14:textId="77777777" w:rsidR="0065073E" w:rsidRDefault="000A0998">
      <w:pPr>
        <w:pStyle w:val="P68B1DB1-Normal4"/>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60545F2D" w14:textId="77777777" w:rsidR="0065073E" w:rsidRDefault="000A0998">
      <w:pPr>
        <w:pStyle w:val="Heading2"/>
        <w:numPr>
          <w:ilvl w:val="0"/>
          <w:numId w:val="0"/>
        </w:numPr>
        <w:ind w:left="850"/>
        <w:rPr>
          <w:rFonts w:ascii="Times New Roman" w:hAnsi="Times New Roman" w:cs="Times New Roman"/>
          <w:b w:val="0"/>
          <w:noProof/>
          <w:u w:val="single"/>
        </w:rPr>
      </w:pPr>
      <w:r>
        <w:rPr>
          <w:rFonts w:ascii="Times New Roman" w:hAnsi="Times New Roman"/>
          <w:noProof/>
          <w:u w:val="single"/>
        </w:rPr>
        <w:t xml:space="preserve">P.1. </w:t>
      </w:r>
      <w:r>
        <w:rPr>
          <w:noProof/>
        </w:rPr>
        <w:t></w:t>
      </w:r>
      <w:r>
        <w:rPr>
          <w:rFonts w:ascii="Times New Roman" w:hAnsi="Times New Roman"/>
          <w:noProof/>
          <w:u w:val="single"/>
        </w:rPr>
        <w:t>Kuvaus uudistuksista ja investoinneista, joita rahoitetaan rahoitustuella, jota ei makseta takaisin</w:t>
      </w:r>
    </w:p>
    <w:p w14:paraId="1FD43111" w14:textId="77777777" w:rsidR="0065073E" w:rsidRDefault="000A0998">
      <w:pPr>
        <w:pStyle w:val="P68B1DB1-Heading333"/>
        <w:numPr>
          <w:ilvl w:val="0"/>
          <w:numId w:val="0"/>
        </w:numPr>
        <w:ind w:left="850" w:hanging="850"/>
        <w:rPr>
          <w:rFonts w:cs="Times New Roman"/>
          <w:noProof/>
        </w:rPr>
      </w:pPr>
      <w:r>
        <w:rPr>
          <w:noProof/>
        </w:rPr>
        <w:t>Uudistus 1 (C16.R1) – Kansallinen tekoälystrategia</w:t>
      </w:r>
    </w:p>
    <w:p w14:paraId="2A6B2C59" w14:textId="77777777" w:rsidR="0065073E" w:rsidRDefault="000A0998">
      <w:pPr>
        <w:pStyle w:val="P68B1DB1-Normal4"/>
        <w:keepNext/>
        <w:spacing w:before="120" w:after="120" w:line="240" w:lineRule="auto"/>
        <w:jc w:val="both"/>
        <w:rPr>
          <w:rFonts w:cs="Times New Roman"/>
          <w:noProof/>
        </w:rPr>
      </w:pPr>
      <w:r>
        <w:rPr>
          <w:noProof/>
        </w:rPr>
        <w:t xml:space="preserve">Tämän kattavan toimenpiteen tavoitteena on luoda puitteet sellaisen luotettavan, avoimen ja osallistavan kansallisen tekoälystrategian täytäntöönpanolle, jolla varmistetaan perusperiaatteiden ja -arvojen noudattaminen ja otetaan huomioon kansalaisten yhteiset pyrkimykset. Tätä varten toimenpiteeseen on sisällyttävä kolme lainsäädäntöuudistusta tekoälyä koskevan sääntely- ja eettisen kehyksen vahvistamiseksi ja yhdeksän investointihanketta, joilla tuetaan tekoälyyn perustuvan teknologian kehittämistä ja käyttöönottoa Espanjan taloudessa ja yhteiskunnassa, kuten taitoja, lahjakkuuksia ja infrastruktuureja koskevia hankkeita. </w:t>
      </w:r>
    </w:p>
    <w:p w14:paraId="6C911DA2" w14:textId="77777777" w:rsidR="0065073E" w:rsidRDefault="000A0998">
      <w:pPr>
        <w:pStyle w:val="P68B1DB1-Normal4"/>
        <w:spacing w:before="120" w:after="120" w:line="240" w:lineRule="auto"/>
        <w:jc w:val="both"/>
        <w:rPr>
          <w:rFonts w:cs="Times New Roman"/>
          <w:noProof/>
        </w:rPr>
      </w:pPr>
      <w:r>
        <w:rPr>
          <w:noProof/>
        </w:rPr>
        <w:t>Toimet on ryhmitelty viiteen politiikan viputekijään:</w:t>
      </w:r>
    </w:p>
    <w:p w14:paraId="162ABEC0" w14:textId="77777777" w:rsidR="0065073E" w:rsidRDefault="000A0998">
      <w:pPr>
        <w:pStyle w:val="P68B1DB1-ListParagraph6"/>
        <w:numPr>
          <w:ilvl w:val="0"/>
          <w:numId w:val="550"/>
        </w:numPr>
        <w:spacing w:before="120" w:after="120" w:line="240" w:lineRule="auto"/>
        <w:jc w:val="both"/>
        <w:rPr>
          <w:rFonts w:cs="Times New Roman"/>
          <w:noProof/>
        </w:rPr>
      </w:pPr>
      <w:r>
        <w:rPr>
          <w:noProof/>
        </w:rPr>
        <w:t xml:space="preserve">Sääntely- ja eettiset puitteet (säädökset): </w:t>
      </w:r>
    </w:p>
    <w:p w14:paraId="00E478A3"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kansallinen tekoälystrategia (ENIA): kansallinen toiminta- ja uudistussuunnitelma tekoälyyn perustuvan teknologian käyttöönottamiseksi ja laajentamiseksi Espanjan taloudessa ja yhteiskunnassa perustamalla tekoälyä käsittelevä neuvoa-antava toimikunta;</w:t>
      </w:r>
    </w:p>
    <w:p w14:paraId="57F4B11F"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sääntelyn testiympäristöt: kehitetään tarvittavat säädökset, jotta tekoälyn soveltamista varten voidaan käyttää sääntelyn testiympäristöjä. Dataan perustuvien uusien prosessien ja palvelujen käyttöönottoon on käytettävä turvallisia ympäristöjä tai testiympäristöjä sekä julkisella että yksityisellä sektorilla. Valtion virastot, tekoälyn käyttäjät ja tietovarastojen luojat, mahdollisesti osana digitaali-innovointikeskittymien verkostoa, voivat hyödyntää turvallisia ympäristöjä ja testiympäristöjä uusien tuotteiden ja sovellusten käyttöönottamiseksi ja sääntelemiseksi;</w:t>
      </w:r>
    </w:p>
    <w:p w14:paraId="613BDD09"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Tekoälyn seurantakeskus ja luottamussertifiointi: mukaan lukien i) suojasuunnitelma tekoälyn haavoittuville ryhmille, mukaan lukien työntekijöiden oikeudet ja sosiaaliset oikeudet ja naisten tarpeet, ii) suunnitelma tekoälyä koskevan tietoisuuden ja luottamuksen lisäämiseksi, iii) tekoälyä sisältävien algoritmien eettisiä ja sääntelyyn liittyviä vaikutuksia käsittelevät seurantakeskukset, iv) tekoälytuotteiden ja -palvelujen luotettava tekoälyn sertifiointi- ja leimaarkkitehtuuri sekä v) digitaalisten oikeuksien peruskirjan laatiminen ja edistäminen.</w:t>
      </w:r>
    </w:p>
    <w:p w14:paraId="509B815A"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 xml:space="preserve">Perustetaan Espanjan virasto (AESIA), jonka tehtävänä on seurata sekä julkisella että yksityisellä sektorilla toimivia tekoälyjärjestelmiä. Viraston on erityisesti vähintään seurattava ja edistettävä tekoälyyn liittyvien oikeuksien takaamista, tulkittava sääntelyn testiympäristöjen kehittämisen tuloksia ja suoritettava tekoälyn kehittämistä koskevia arviointeja tekoälyä koskevan sääntelyn ja ohjeiden kehittämiseksi edelleen. </w:t>
      </w:r>
    </w:p>
    <w:p w14:paraId="78BE46CA" w14:textId="77777777" w:rsidR="0065073E" w:rsidRDefault="000A0998">
      <w:pPr>
        <w:pStyle w:val="P68B1DB1-ListParagraph6"/>
        <w:numPr>
          <w:ilvl w:val="0"/>
          <w:numId w:val="550"/>
        </w:numPr>
        <w:spacing w:before="120" w:after="120" w:line="240" w:lineRule="auto"/>
        <w:jc w:val="both"/>
        <w:rPr>
          <w:rFonts w:cs="Times New Roman"/>
          <w:noProof/>
        </w:rPr>
      </w:pPr>
      <w:r>
        <w:rPr>
          <w:noProof/>
        </w:rPr>
        <w:t xml:space="preserve">Tekoälyn T &amp; K &amp; I-toiminnan edistäminen (hankkeet): </w:t>
      </w:r>
    </w:p>
    <w:p w14:paraId="36AE9F35"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T &amp; K &amp; I-tehtävät: rahoitetaan teollista tutkimusta tai kokeellista kehittämistä koskevia hankkeita tekoälyn alalla, jotta voidaan vastata ENIAssa tarkoitettuihin suuriin yhteiskunnallisiin haasteisiin tai maakohtaisiin missioihin (sukupuolten välinen kuilu, ekologinen siirtymä, alueellinen rakenne ja digitaalinen kuilu) aloilla, joilla on suuri häiriö- ja vaikutuskyky (esim. energia, liikkuvuus, biolääketiede, ilmasto, maatalouselintarvike, terveys, matkailu ja majoitus- ja ravitsemisala);</w:t>
      </w:r>
    </w:p>
    <w:p w14:paraId="641E766A"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monialainen tekoälyinstituutti: sellaisen monialaisen tutkimuskeskuksen perustaminen, joka yhdistää tekoälyn yhdessä muiden tieteenalojen kanssa keskittyen erityisesti neuroteknologiaan;</w:t>
      </w:r>
    </w:p>
    <w:p w14:paraId="7FB1A941"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tekoälyn huippuosaamisen verkosto: perustetaan espanjalainen tekoälyalan huippuosaamisverkosto, johon kuuluu tieteidenvälistä koulutusta ja korkean erikoistumisen ohjelmia sekä mekanismeja sellaisten lahjakkuuksien rekrytoimiseksi ja säilyttämiseksi, jotka toimivat integroidusti tutkimuksen koordinoimiseksi kansallisella tasolla.</w:t>
      </w:r>
    </w:p>
    <w:p w14:paraId="5DB72044" w14:textId="77777777" w:rsidR="0065073E" w:rsidRDefault="000A0998">
      <w:pPr>
        <w:pStyle w:val="P68B1DB1-ListParagraph6"/>
        <w:numPr>
          <w:ilvl w:val="0"/>
          <w:numId w:val="550"/>
        </w:numPr>
        <w:spacing w:before="120" w:after="120" w:line="240" w:lineRule="auto"/>
        <w:jc w:val="both"/>
        <w:rPr>
          <w:rFonts w:cs="Times New Roman"/>
          <w:noProof/>
        </w:rPr>
      </w:pPr>
      <w:r>
        <w:rPr>
          <w:noProof/>
        </w:rPr>
        <w:t xml:space="preserve">Lahjakkuuksien houkutteleminen (hankkeet): </w:t>
      </w:r>
    </w:p>
    <w:p w14:paraId="555DC212" w14:textId="77777777" w:rsidR="0065073E" w:rsidRDefault="000A0998">
      <w:pPr>
        <w:pStyle w:val="P68B1DB1-Normal4"/>
        <w:numPr>
          <w:ilvl w:val="0"/>
          <w:numId w:val="124"/>
        </w:numPr>
        <w:spacing w:before="120" w:after="120" w:line="240" w:lineRule="auto"/>
        <w:ind w:left="851" w:hanging="426"/>
        <w:contextualSpacing/>
        <w:jc w:val="both"/>
        <w:rPr>
          <w:rFonts w:cs="Times New Roman"/>
          <w:noProof/>
        </w:rPr>
      </w:pPr>
      <w:r>
        <w:rPr>
          <w:noProof/>
        </w:rPr>
        <w:t>Espanjan osaamiskeskus: tietokeskuksen perustaminen lahjakkuuksien houkuttelemiseksi ja säilyttämiseksi tekoälyn alalla, Espanjan osaamiskeskus, jonka odotetaan toimivan yhteyspisteenä lahjakkuuksien rekrytoinnissa ja lisäämisessä ja ulkomaisissa investoinneissa kiinnittäen erityistä huomiota naisten tarpeisiin ja sosiaalisiin vaikutuksiin tehtäviin investointeihin;</w:t>
      </w:r>
    </w:p>
    <w:p w14:paraId="08EAFF90" w14:textId="77777777" w:rsidR="0065073E" w:rsidRDefault="000A0998">
      <w:pPr>
        <w:pStyle w:val="P68B1DB1-Normal4"/>
        <w:numPr>
          <w:ilvl w:val="0"/>
          <w:numId w:val="124"/>
        </w:numPr>
        <w:spacing w:before="120" w:after="120" w:line="240" w:lineRule="auto"/>
        <w:ind w:left="851" w:hanging="426"/>
        <w:contextualSpacing/>
        <w:jc w:val="both"/>
        <w:rPr>
          <w:rFonts w:cs="Times New Roman"/>
          <w:noProof/>
        </w:rPr>
      </w:pPr>
      <w:r>
        <w:rPr>
          <w:noProof/>
        </w:rPr>
        <w:t>Akateemiset puheenjohtajat: rahoitetaan 10–15 väliaikaisen akateemisen puheenjohtajan perustamista 1. tammikuuta 2021 ja 31. joulukuuta 2023 välisenä aikana keskittyen keskeisiin teemoihin, kuten tekoälyn vaikutukseen demokratiaan, uusiin tekoälysuuntauksiin, tekoälyjärjestelmien arviointeihin, aivoteknologian hybridisaatioon ja biolääketieteelliseen tekoälyyn.</w:t>
      </w:r>
    </w:p>
    <w:p w14:paraId="3A5AF4AE" w14:textId="77777777" w:rsidR="0065073E" w:rsidRDefault="000A0998">
      <w:pPr>
        <w:pStyle w:val="P68B1DB1-ListParagraph6"/>
        <w:numPr>
          <w:ilvl w:val="0"/>
          <w:numId w:val="550"/>
        </w:numPr>
        <w:spacing w:before="120" w:after="120" w:line="240" w:lineRule="auto"/>
        <w:jc w:val="both"/>
        <w:rPr>
          <w:rFonts w:cs="Times New Roman"/>
          <w:noProof/>
        </w:rPr>
      </w:pPr>
      <w:r>
        <w:rPr>
          <w:noProof/>
        </w:rPr>
        <w:t xml:space="preserve">Tieto- ja teknologiainfrastruktuurit (hankkeet): </w:t>
      </w:r>
    </w:p>
    <w:p w14:paraId="4E6987FC"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Luonnonkielten teknologiasuunnitelma: tavoitteena on kehittää Espanjan luonnollisen kielen prosessointiteollisuutta sekä konekäännös- ja keskustelujärjestelmiä, erityisesti espanjan ja muiden virallisten kielten osalta.</w:t>
      </w:r>
    </w:p>
    <w:p w14:paraId="4192A10B"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suurteholaskentavalmiuksien vahvistaminen: kehitetään ohjelma, jolla helpotetaan pk-yritysten ja suurteholaskentakeskusten (kuten Extremaduran, Galician ja Aragonin) pääsyä ja niiden käyttöä, sekä kvanttilaskentahankkeiden hyväksyminen eri teemoihin, kuten liikkuvuuteen ja ilmastonmuutokseen. Lisäksi PERTE-sirujen yhteydessä on vahvistettava kvanttisirujen kehittämistä tukemalla T &amp; K &amp; I-toimintaa uuden sukupolven kvanttisiruteknologioiden kehittämisessä.</w:t>
      </w:r>
    </w:p>
    <w:p w14:paraId="3138FC50" w14:textId="77777777" w:rsidR="0065073E" w:rsidRDefault="000A0998">
      <w:pPr>
        <w:pStyle w:val="P68B1DB1-ListParagraph6"/>
        <w:numPr>
          <w:ilvl w:val="0"/>
          <w:numId w:val="550"/>
        </w:numPr>
        <w:spacing w:before="120" w:after="120" w:line="240" w:lineRule="auto"/>
        <w:jc w:val="both"/>
        <w:rPr>
          <w:rFonts w:cs="Times New Roman"/>
          <w:noProof/>
        </w:rPr>
      </w:pPr>
      <w:r>
        <w:rPr>
          <w:noProof/>
        </w:rPr>
        <w:t>Tekoälyn sisällyttäminen arvoketjuihin (hankkeet):</w:t>
      </w:r>
    </w:p>
    <w:p w14:paraId="72345051"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ehdotuspyyntö tekoälyn integroimiseksi arvoketjuihin: tukiohjelmasta rahoitetaan kokeellisia kehittämishankkeita, joiden teknologinen kypsyysaste vastaa teknologisen valmiuden tasoa 6, 7 ja 8. Hankkeiden rahoittaminen näillä teknologisen kypsyysasteen tasoilla on vahva tuki tuotteille, jotka voisivat olla lähellä markkinoille saattamista ja jotka voidaan siten siirtää arvoketjuun;</w:t>
      </w:r>
    </w:p>
    <w:p w14:paraId="5BFA29A9" w14:textId="77777777" w:rsidR="0065073E" w:rsidRDefault="000A0998">
      <w:pPr>
        <w:pStyle w:val="P68B1DB1-Normal4"/>
        <w:numPr>
          <w:ilvl w:val="0"/>
          <w:numId w:val="124"/>
        </w:numPr>
        <w:spacing w:before="120" w:after="120" w:line="240" w:lineRule="auto"/>
        <w:ind w:left="851" w:hanging="425"/>
        <w:contextualSpacing/>
        <w:jc w:val="both"/>
        <w:rPr>
          <w:rFonts w:cs="Times New Roman"/>
          <w:noProof/>
        </w:rPr>
      </w:pPr>
      <w:r>
        <w:rPr>
          <w:noProof/>
        </w:rPr>
        <w:t>Kansallinen vihreiden algoritmien ohjelma: tukiohjelma, jolla kehitetään vihreitä algoritmeja energiatehokkuuden maksimoimiseksi ja tekoälymallien ympäristövaikutusten vähentämiseksi ja tuetaan samalla tämän teknologian käyttöä erilaisiin ympäristöhaasteisiin vastaamiseksi.</w:t>
      </w:r>
    </w:p>
    <w:p w14:paraId="271D2A83" w14:textId="77777777" w:rsidR="0065073E" w:rsidRDefault="000A0998">
      <w:pPr>
        <w:pStyle w:val="P68B1DB1-Normal4"/>
        <w:spacing w:before="120" w:after="120" w:line="240" w:lineRule="auto"/>
        <w:jc w:val="both"/>
        <w:rPr>
          <w:rFonts w:cs="Times New Roman"/>
          <w:noProof/>
        </w:rPr>
      </w:pPr>
      <w:r>
        <w:rPr>
          <w:noProof/>
        </w:rPr>
        <w:t xml:space="preserve">Uudistukset ja investoinnit toteutetaan i) ehdotuspyyntöjen kautta, jotka koskevat avustuksia, T &amp; K &amp; I-missioita, tekoälyn sisällyttämistä arvoketjuihin ja uuden sukupolven kvanttisiruteknologioiden kehittämistä; II) data- ja teknologiainfrastruktuureja koskevat yleissopimukset; III) sääntely- ja eettisiin puitteisiin, kansalliseen vihreiden algoritmien ohjelmaan ja luonnonkielisuunnitelmaan liittyvät hankinnat; ja iv) konsortiot monialaisen tekoälyinstituutin osalta. </w:t>
      </w:r>
    </w:p>
    <w:p w14:paraId="24F4AF92" w14:textId="2D9996CA" w:rsidR="0065073E" w:rsidRDefault="000A0998">
      <w:pPr>
        <w:pStyle w:val="P68B1DB1-Normal4"/>
        <w:spacing w:before="120" w:after="120" w:line="240" w:lineRule="auto"/>
        <w:jc w:val="both"/>
        <w:rPr>
          <w:rFonts w:cs="Times New Roman"/>
          <w:noProof/>
        </w:rPr>
      </w:pPr>
      <w:r>
        <w:rPr>
          <w:noProof/>
        </w:rPr>
        <w:t xml:space="preserve">Uudistuksen toteutus on määrä saattaa päätökseen 30. kesäkuuta 2026 mennessä. </w:t>
      </w:r>
    </w:p>
    <w:p w14:paraId="5406F878" w14:textId="77777777" w:rsidR="0065073E" w:rsidRDefault="000A0998">
      <w:pPr>
        <w:ind w:left="720"/>
        <w:rPr>
          <w:rFonts w:ascii="Times New Roman" w:hAnsi="Times New Roman" w:cs="Times New Roman"/>
          <w:noProof/>
          <w:u w:val="single"/>
        </w:rPr>
      </w:pPr>
      <w:r>
        <w:rPr>
          <w:rFonts w:ascii="Times New Roman" w:hAnsi="Times New Roman"/>
          <w:b/>
          <w:noProof/>
          <w:sz w:val="24"/>
          <w:u w:val="single"/>
        </w:rPr>
        <w:t xml:space="preserve">P.2.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2A76E93D"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2EDE943D" w14:textId="77777777" w:rsidR="0065073E" w:rsidRDefault="0065073E">
      <w:pPr>
        <w:spacing w:before="120" w:after="120" w:line="240" w:lineRule="auto"/>
        <w:jc w:val="both"/>
        <w:rPr>
          <w:rFonts w:ascii="Times New Roman" w:hAnsi="Times New Roman" w:cs="Times New Roman"/>
          <w:b/>
          <w:noProof/>
          <w:sz w:val="24"/>
          <w:u w:val="single"/>
        </w:rPr>
      </w:pPr>
    </w:p>
    <w:p w14:paraId="2BE9C227"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372"/>
          <w:headerReference w:type="default" r:id="rId373"/>
          <w:footerReference w:type="even" r:id="rId374"/>
          <w:footerReference w:type="default" r:id="rId375"/>
          <w:headerReference w:type="first" r:id="rId376"/>
          <w:footerReference w:type="first" r:id="rId377"/>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829"/>
        <w:gridCol w:w="828"/>
        <w:gridCol w:w="2619"/>
        <w:gridCol w:w="1241"/>
        <w:gridCol w:w="829"/>
        <w:gridCol w:w="966"/>
        <w:gridCol w:w="553"/>
        <w:gridCol w:w="553"/>
        <w:gridCol w:w="553"/>
        <w:gridCol w:w="5648"/>
      </w:tblGrid>
      <w:tr w:rsidR="0065073E" w14:paraId="18F62D71" w14:textId="77777777">
        <w:trPr>
          <w:trHeight w:val="309"/>
          <w:tblHeader/>
        </w:trPr>
        <w:tc>
          <w:tcPr>
            <w:tcW w:w="833" w:type="dxa"/>
            <w:tcBorders>
              <w:bottom w:val="nil"/>
            </w:tcBorders>
            <w:shd w:val="clear" w:color="auto" w:fill="C6D9F1" w:themeFill="text2" w:themeFillTint="33"/>
            <w:noWrap/>
          </w:tcPr>
          <w:p w14:paraId="41CA0B6A" w14:textId="77777777"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tcPr>
          <w:p w14:paraId="7F24B2A7"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tcPr>
          <w:p w14:paraId="3DE6A602"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19" w:type="dxa"/>
            <w:tcBorders>
              <w:bottom w:val="nil"/>
            </w:tcBorders>
            <w:shd w:val="clear" w:color="auto" w:fill="C6D9F1" w:themeFill="text2" w:themeFillTint="33"/>
            <w:noWrap/>
          </w:tcPr>
          <w:p w14:paraId="547B5F96" w14:textId="77777777" w:rsidR="0065073E" w:rsidRDefault="000A0998">
            <w:pPr>
              <w:pStyle w:val="P68B1DB1-Normal8"/>
              <w:spacing w:after="0" w:line="240" w:lineRule="auto"/>
              <w:jc w:val="center"/>
              <w:rPr>
                <w:rFonts w:cs="Times New Roman"/>
                <w:noProof/>
              </w:rPr>
            </w:pPr>
            <w:r>
              <w:rPr>
                <w:noProof/>
              </w:rPr>
              <w:t>Nimi</w:t>
            </w:r>
          </w:p>
        </w:tc>
        <w:tc>
          <w:tcPr>
            <w:tcW w:w="1241" w:type="dxa"/>
            <w:tcBorders>
              <w:bottom w:val="nil"/>
            </w:tcBorders>
            <w:shd w:val="clear" w:color="auto" w:fill="C6D9F1" w:themeFill="text2" w:themeFillTint="33"/>
            <w:noWrap/>
          </w:tcPr>
          <w:p w14:paraId="1C0ED490"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48" w:type="dxa"/>
            <w:gridSpan w:val="3"/>
            <w:shd w:val="clear" w:color="auto" w:fill="C6D9F1" w:themeFill="text2" w:themeFillTint="33"/>
            <w:noWrap/>
          </w:tcPr>
          <w:p w14:paraId="7FFD4E55"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06" w:type="dxa"/>
            <w:gridSpan w:val="2"/>
            <w:shd w:val="clear" w:color="auto" w:fill="C6D9F1" w:themeFill="text2" w:themeFillTint="33"/>
            <w:noWrap/>
          </w:tcPr>
          <w:p w14:paraId="33B311A9" w14:textId="77777777" w:rsidR="0065073E" w:rsidRDefault="000A0998">
            <w:pPr>
              <w:pStyle w:val="P68B1DB1-Normal8"/>
              <w:spacing w:after="0" w:line="240" w:lineRule="auto"/>
              <w:jc w:val="center"/>
              <w:rPr>
                <w:rFonts w:cs="Times New Roman"/>
                <w:noProof/>
              </w:rPr>
            </w:pPr>
            <w:r>
              <w:rPr>
                <w:noProof/>
              </w:rPr>
              <w:t>Aika</w:t>
            </w:r>
          </w:p>
        </w:tc>
        <w:tc>
          <w:tcPr>
            <w:tcW w:w="5648" w:type="dxa"/>
            <w:tcBorders>
              <w:bottom w:val="nil"/>
            </w:tcBorders>
            <w:shd w:val="clear" w:color="auto" w:fill="C6D9F1" w:themeFill="text2" w:themeFillTint="33"/>
            <w:noWrap/>
          </w:tcPr>
          <w:p w14:paraId="77B940C1"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21CB8188" w14:textId="77777777">
        <w:trPr>
          <w:trHeight w:val="309"/>
          <w:tblHeader/>
        </w:trPr>
        <w:tc>
          <w:tcPr>
            <w:tcW w:w="833" w:type="dxa"/>
            <w:tcBorders>
              <w:top w:val="nil"/>
            </w:tcBorders>
            <w:shd w:val="clear" w:color="auto" w:fill="C6D9F1" w:themeFill="text2" w:themeFillTint="33"/>
            <w:noWrap/>
          </w:tcPr>
          <w:p w14:paraId="373A0F4F"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496A1993"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0663E802" w14:textId="77777777" w:rsidR="0065073E" w:rsidRDefault="0065073E">
            <w:pPr>
              <w:spacing w:after="0" w:line="240" w:lineRule="auto"/>
              <w:jc w:val="center"/>
              <w:rPr>
                <w:rFonts w:ascii="Times New Roman" w:hAnsi="Times New Roman" w:cs="Times New Roman"/>
                <w:b/>
                <w:noProof/>
                <w:sz w:val="18"/>
              </w:rPr>
            </w:pPr>
          </w:p>
        </w:tc>
        <w:tc>
          <w:tcPr>
            <w:tcW w:w="2619" w:type="dxa"/>
            <w:tcBorders>
              <w:top w:val="nil"/>
            </w:tcBorders>
            <w:shd w:val="clear" w:color="auto" w:fill="C6D9F1" w:themeFill="text2" w:themeFillTint="33"/>
            <w:noWrap/>
          </w:tcPr>
          <w:p w14:paraId="41C852C4" w14:textId="77777777" w:rsidR="0065073E" w:rsidRDefault="0065073E">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3D1C1254"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78F7F448"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tcPr>
          <w:p w14:paraId="5B637134" w14:textId="5CCAB2E2" w:rsidR="0065073E" w:rsidRDefault="000A0998">
            <w:pPr>
              <w:pStyle w:val="P68B1DB1-Normal8"/>
              <w:spacing w:after="0" w:line="240" w:lineRule="auto"/>
              <w:jc w:val="center"/>
              <w:rPr>
                <w:rFonts w:cs="Times New Roman"/>
                <w:noProof/>
              </w:rPr>
            </w:pPr>
            <w:r>
              <w:rPr>
                <w:noProof/>
              </w:rPr>
              <w:t>Lähtötaso</w:t>
            </w:r>
          </w:p>
        </w:tc>
        <w:tc>
          <w:tcPr>
            <w:tcW w:w="553" w:type="dxa"/>
            <w:shd w:val="clear" w:color="auto" w:fill="C6D9F1" w:themeFill="text2" w:themeFillTint="33"/>
            <w:noWrap/>
          </w:tcPr>
          <w:p w14:paraId="10FACC42" w14:textId="77777777" w:rsidR="0065073E" w:rsidRDefault="000A0998">
            <w:pPr>
              <w:pStyle w:val="P68B1DB1-Normal8"/>
              <w:spacing w:after="0" w:line="240" w:lineRule="auto"/>
              <w:jc w:val="center"/>
              <w:rPr>
                <w:rFonts w:cs="Times New Roman"/>
                <w:noProof/>
              </w:rPr>
            </w:pPr>
            <w:r>
              <w:rPr>
                <w:noProof/>
              </w:rPr>
              <w:t>Päämäärä</w:t>
            </w:r>
          </w:p>
        </w:tc>
        <w:tc>
          <w:tcPr>
            <w:tcW w:w="553" w:type="dxa"/>
            <w:shd w:val="clear" w:color="auto" w:fill="C6D9F1" w:themeFill="text2" w:themeFillTint="33"/>
            <w:noWrap/>
          </w:tcPr>
          <w:p w14:paraId="007AB6D4"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7EC494FD" w14:textId="77777777" w:rsidR="0065073E" w:rsidRDefault="000A0998">
            <w:pPr>
              <w:pStyle w:val="P68B1DB1-Normal8"/>
              <w:spacing w:after="0" w:line="240" w:lineRule="auto"/>
              <w:jc w:val="center"/>
              <w:rPr>
                <w:rFonts w:cs="Times New Roman"/>
                <w:noProof/>
              </w:rPr>
            </w:pPr>
            <w:r>
              <w:rPr>
                <w:noProof/>
              </w:rPr>
              <w:t>Vuosi</w:t>
            </w:r>
          </w:p>
        </w:tc>
        <w:tc>
          <w:tcPr>
            <w:tcW w:w="5648" w:type="dxa"/>
            <w:tcBorders>
              <w:top w:val="nil"/>
            </w:tcBorders>
            <w:shd w:val="clear" w:color="auto" w:fill="C6D9F1" w:themeFill="text2" w:themeFillTint="33"/>
            <w:noWrap/>
          </w:tcPr>
          <w:p w14:paraId="5694B408" w14:textId="77777777" w:rsidR="0065073E" w:rsidRDefault="0065073E">
            <w:pPr>
              <w:spacing w:after="0" w:line="240" w:lineRule="auto"/>
              <w:rPr>
                <w:rFonts w:ascii="Times New Roman" w:hAnsi="Times New Roman" w:cs="Times New Roman"/>
                <w:b/>
                <w:noProof/>
                <w:sz w:val="18"/>
              </w:rPr>
            </w:pPr>
          </w:p>
        </w:tc>
      </w:tr>
      <w:tr w:rsidR="0065073E" w14:paraId="36F932E5" w14:textId="77777777">
        <w:trPr>
          <w:trHeight w:val="309"/>
        </w:trPr>
        <w:tc>
          <w:tcPr>
            <w:tcW w:w="833" w:type="dxa"/>
            <w:shd w:val="clear" w:color="auto" w:fill="C6EFCE"/>
            <w:noWrap/>
          </w:tcPr>
          <w:p w14:paraId="17350418" w14:textId="77777777" w:rsidR="0065073E" w:rsidRDefault="000A0998">
            <w:pPr>
              <w:pStyle w:val="P68B1DB1-Normal12"/>
              <w:spacing w:after="0" w:line="240" w:lineRule="auto"/>
              <w:jc w:val="center"/>
              <w:rPr>
                <w:rFonts w:eastAsia="Times New Roman" w:cs="Times New Roman"/>
                <w:noProof/>
              </w:rPr>
            </w:pPr>
            <w:r>
              <w:rPr>
                <w:noProof/>
              </w:rPr>
              <w:t>249</w:t>
            </w:r>
          </w:p>
        </w:tc>
        <w:tc>
          <w:tcPr>
            <w:tcW w:w="829" w:type="dxa"/>
            <w:shd w:val="clear" w:color="auto" w:fill="C6EFCE"/>
            <w:noWrap/>
          </w:tcPr>
          <w:p w14:paraId="67EABD58" w14:textId="77777777" w:rsidR="0065073E" w:rsidRDefault="000A0998">
            <w:pPr>
              <w:pStyle w:val="P68B1DB1-Normal12"/>
              <w:spacing w:after="0" w:line="240" w:lineRule="auto"/>
              <w:jc w:val="center"/>
              <w:rPr>
                <w:rFonts w:eastAsia="Times New Roman" w:cs="Times New Roman"/>
                <w:noProof/>
              </w:rPr>
            </w:pPr>
            <w:r>
              <w:rPr>
                <w:noProof/>
              </w:rPr>
              <w:t>C16.R1</w:t>
            </w:r>
          </w:p>
        </w:tc>
        <w:tc>
          <w:tcPr>
            <w:tcW w:w="828" w:type="dxa"/>
            <w:shd w:val="clear" w:color="auto" w:fill="C6EFCE"/>
            <w:noWrap/>
          </w:tcPr>
          <w:p w14:paraId="336ED4C0" w14:textId="77777777" w:rsidR="0065073E" w:rsidRDefault="000A0998">
            <w:pPr>
              <w:pStyle w:val="P68B1DB1-Normal12"/>
              <w:spacing w:after="0" w:line="240" w:lineRule="auto"/>
              <w:jc w:val="center"/>
              <w:rPr>
                <w:rFonts w:eastAsia="Times New Roman" w:cs="Times New Roman"/>
                <w:noProof/>
              </w:rPr>
            </w:pPr>
            <w:r>
              <w:rPr>
                <w:noProof/>
              </w:rPr>
              <w:t>M</w:t>
            </w:r>
          </w:p>
        </w:tc>
        <w:tc>
          <w:tcPr>
            <w:tcW w:w="2619" w:type="dxa"/>
            <w:shd w:val="clear" w:color="auto" w:fill="C6EFCE"/>
            <w:noWrap/>
          </w:tcPr>
          <w:p w14:paraId="3DE4A649" w14:textId="77777777" w:rsidR="0065073E" w:rsidRDefault="000A0998">
            <w:pPr>
              <w:pStyle w:val="P68B1DB1-Normal12"/>
              <w:spacing w:after="0" w:line="240" w:lineRule="auto"/>
              <w:rPr>
                <w:rFonts w:eastAsia="Times New Roman" w:cs="Times New Roman"/>
                <w:noProof/>
              </w:rPr>
            </w:pPr>
            <w:r>
              <w:rPr>
                <w:noProof/>
              </w:rPr>
              <w:t xml:space="preserve">Kansallinen tekoälystrategia </w:t>
            </w:r>
          </w:p>
        </w:tc>
        <w:tc>
          <w:tcPr>
            <w:tcW w:w="1241" w:type="dxa"/>
            <w:shd w:val="clear" w:color="auto" w:fill="C6EFCE"/>
            <w:noWrap/>
          </w:tcPr>
          <w:p w14:paraId="07CC24E0" w14:textId="77777777" w:rsidR="0065073E" w:rsidRDefault="000A0998">
            <w:pPr>
              <w:pStyle w:val="P68B1DB1-Normal12"/>
              <w:spacing w:after="0" w:line="240" w:lineRule="auto"/>
              <w:jc w:val="center"/>
              <w:rPr>
                <w:rFonts w:eastAsia="Times New Roman" w:cs="Times New Roman"/>
                <w:noProof/>
              </w:rPr>
            </w:pPr>
            <w:r>
              <w:rPr>
                <w:noProof/>
              </w:rPr>
              <w:t>Julkaiseminen EUVL:ssä</w:t>
            </w:r>
          </w:p>
        </w:tc>
        <w:tc>
          <w:tcPr>
            <w:tcW w:w="829" w:type="dxa"/>
            <w:shd w:val="clear" w:color="auto" w:fill="C6EFCE"/>
            <w:noWrap/>
          </w:tcPr>
          <w:p w14:paraId="3DAF5D7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0BA2ACD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7ACDE741"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482DB46E" w14:textId="77777777" w:rsidR="0065073E" w:rsidRDefault="000A0998">
            <w:pPr>
              <w:pStyle w:val="P68B1DB1-Normal12"/>
              <w:spacing w:after="0" w:line="240" w:lineRule="auto"/>
              <w:jc w:val="center"/>
              <w:rPr>
                <w:rFonts w:eastAsia="Times New Roman" w:cs="Times New Roman"/>
                <w:noProof/>
              </w:rPr>
            </w:pPr>
            <w:r>
              <w:rPr>
                <w:noProof/>
              </w:rPr>
              <w:t>Q3</w:t>
            </w:r>
          </w:p>
        </w:tc>
        <w:tc>
          <w:tcPr>
            <w:tcW w:w="553" w:type="dxa"/>
            <w:shd w:val="clear" w:color="auto" w:fill="C6EFCE"/>
            <w:noWrap/>
          </w:tcPr>
          <w:p w14:paraId="1C6FB7B4" w14:textId="77777777" w:rsidR="0065073E" w:rsidRDefault="000A0998">
            <w:pPr>
              <w:pStyle w:val="P68B1DB1-Normal12"/>
              <w:spacing w:after="0" w:line="240" w:lineRule="auto"/>
              <w:jc w:val="center"/>
              <w:rPr>
                <w:rFonts w:eastAsia="Times New Roman" w:cs="Times New Roman"/>
                <w:noProof/>
              </w:rPr>
            </w:pPr>
            <w:r>
              <w:rPr>
                <w:noProof/>
              </w:rPr>
              <w:t>2020</w:t>
            </w:r>
          </w:p>
        </w:tc>
        <w:tc>
          <w:tcPr>
            <w:tcW w:w="5648" w:type="dxa"/>
            <w:shd w:val="clear" w:color="auto" w:fill="C6EFCE"/>
            <w:noWrap/>
          </w:tcPr>
          <w:p w14:paraId="04E742C5" w14:textId="77777777" w:rsidR="0065073E" w:rsidRDefault="000A0998">
            <w:pPr>
              <w:spacing w:after="0" w:line="240" w:lineRule="auto"/>
              <w:rPr>
                <w:rFonts w:ascii="Times New Roman" w:eastAsia="Times New Roman" w:hAnsi="Times New Roman" w:cs="Times New Roman"/>
                <w:noProof/>
                <w:sz w:val="18"/>
              </w:rPr>
            </w:pPr>
            <w:r>
              <w:rPr>
                <w:noProof/>
              </w:rPr>
              <w:t>Kansallisen tekoälystrategian</w:t>
            </w:r>
            <w:r>
              <w:rPr>
                <w:rFonts w:ascii="Times New Roman" w:hAnsi="Times New Roman"/>
                <w:noProof/>
                <w:sz w:val="18"/>
              </w:rPr>
              <w:t xml:space="preserve">julkaiseminen. Strategian tavoitteet ovat seuraavat: </w:t>
            </w:r>
            <w:r>
              <w:rPr>
                <w:noProof/>
              </w:rPr>
              <w:t xml:space="preserve"> </w:t>
            </w:r>
            <w:r>
              <w:rPr>
                <w:noProof/>
              </w:rPr>
              <w:br/>
            </w:r>
            <w:r>
              <w:rPr>
                <w:rFonts w:ascii="Times New Roman" w:hAnsi="Times New Roman"/>
                <w:noProof/>
                <w:sz w:val="18"/>
              </w:rPr>
              <w:t>1. Espanjan asema maana, joka on sitoutunut edistämään tieteellistä huippuosaamista ja innovointia tekoälyn alalla.</w:t>
            </w:r>
            <w:r>
              <w:rPr>
                <w:noProof/>
              </w:rPr>
              <w:t xml:space="preserve"> </w:t>
            </w:r>
            <w:r>
              <w:rPr>
                <w:noProof/>
              </w:rPr>
              <w:br/>
            </w:r>
            <w:r>
              <w:rPr>
                <w:rFonts w:ascii="Times New Roman" w:hAnsi="Times New Roman"/>
                <w:noProof/>
                <w:sz w:val="18"/>
              </w:rPr>
              <w:t xml:space="preserve">2. Espanjan kielen projisointi tekoälyssä. </w:t>
            </w:r>
            <w:r>
              <w:rPr>
                <w:noProof/>
              </w:rPr>
              <w:t xml:space="preserve"> </w:t>
            </w:r>
            <w:r>
              <w:rPr>
                <w:noProof/>
              </w:rPr>
              <w:br/>
            </w:r>
            <w:r>
              <w:rPr>
                <w:rFonts w:ascii="Times New Roman" w:hAnsi="Times New Roman"/>
                <w:noProof/>
                <w:sz w:val="18"/>
              </w:rPr>
              <w:t>3. Ammattitaitoisten työpaikkojen luominen, lahjakkuuksien kannustaminen ja houkutteleminen kiinnittäen erityistä huomiota naisiin.</w:t>
            </w:r>
            <w:r>
              <w:rPr>
                <w:noProof/>
              </w:rPr>
              <w:t xml:space="preserve"> </w:t>
            </w:r>
            <w:r>
              <w:rPr>
                <w:noProof/>
              </w:rPr>
              <w:br/>
            </w:r>
            <w:r>
              <w:rPr>
                <w:rFonts w:ascii="Times New Roman" w:hAnsi="Times New Roman"/>
                <w:noProof/>
                <w:sz w:val="18"/>
              </w:rPr>
              <w:t>4. Tekoälyn sisällyttäminen tuotantojärjestelmään espanjalaisten yritysten tuottavuuden parantamiseksi.</w:t>
            </w:r>
            <w:r>
              <w:rPr>
                <w:noProof/>
              </w:rPr>
              <w:t xml:space="preserve"> </w:t>
            </w:r>
            <w:r>
              <w:rPr>
                <w:noProof/>
              </w:rPr>
              <w:br/>
            </w:r>
            <w:r>
              <w:rPr>
                <w:rFonts w:ascii="Times New Roman" w:hAnsi="Times New Roman"/>
                <w:noProof/>
                <w:sz w:val="18"/>
              </w:rPr>
              <w:t>5. Tekoälyyn liittyvän luotettavan ympäristön luominen.</w:t>
            </w:r>
            <w:r>
              <w:rPr>
                <w:noProof/>
              </w:rPr>
              <w:t xml:space="preserve"> </w:t>
            </w:r>
            <w:r>
              <w:rPr>
                <w:noProof/>
              </w:rPr>
              <w:br/>
            </w:r>
            <w:r>
              <w:rPr>
                <w:rFonts w:ascii="Times New Roman" w:hAnsi="Times New Roman"/>
                <w:noProof/>
                <w:sz w:val="18"/>
              </w:rPr>
              <w:t>6. Kehitetään eettiset puitteet, joilla taataan kansalaisten yksilölliset ja kollektiiviset oikeudet tekoälyssä.</w:t>
            </w:r>
            <w:r>
              <w:rPr>
                <w:noProof/>
              </w:rPr>
              <w:t xml:space="preserve"> </w:t>
            </w:r>
            <w:r>
              <w:rPr>
                <w:noProof/>
              </w:rPr>
              <w:br/>
            </w:r>
            <w:r>
              <w:rPr>
                <w:rFonts w:ascii="Times New Roman" w:hAnsi="Times New Roman"/>
                <w:noProof/>
                <w:sz w:val="18"/>
              </w:rPr>
              <w:t>7. Osallistavan ja kestävän tekoälyn vahvistaminen; erityisesti sukupuolten välisen kuilun ja digitaalisen kuilun kaventamiseksi sekä ekologisen siirtymän ja alueellisen yhteenkuuluvuuden tukemiseksi.</w:t>
            </w:r>
          </w:p>
        </w:tc>
      </w:tr>
      <w:tr w:rsidR="0065073E" w14:paraId="2FFA111E" w14:textId="77777777">
        <w:trPr>
          <w:trHeight w:val="309"/>
        </w:trPr>
        <w:tc>
          <w:tcPr>
            <w:tcW w:w="833" w:type="dxa"/>
            <w:shd w:val="clear" w:color="auto" w:fill="C6EFCE"/>
            <w:noWrap/>
          </w:tcPr>
          <w:p w14:paraId="11223EEE" w14:textId="77777777" w:rsidR="0065073E" w:rsidRDefault="000A0998">
            <w:pPr>
              <w:pStyle w:val="P68B1DB1-Normal12"/>
              <w:spacing w:after="0" w:line="240" w:lineRule="auto"/>
              <w:jc w:val="center"/>
              <w:rPr>
                <w:rFonts w:eastAsia="Times New Roman" w:cs="Times New Roman"/>
                <w:noProof/>
              </w:rPr>
            </w:pPr>
            <w:r>
              <w:rPr>
                <w:noProof/>
              </w:rPr>
              <w:t>250</w:t>
            </w:r>
          </w:p>
        </w:tc>
        <w:tc>
          <w:tcPr>
            <w:tcW w:w="829" w:type="dxa"/>
            <w:shd w:val="clear" w:color="auto" w:fill="C6EFCE"/>
            <w:noWrap/>
          </w:tcPr>
          <w:p w14:paraId="69D4EBBA" w14:textId="77777777" w:rsidR="0065073E" w:rsidRDefault="000A0998">
            <w:pPr>
              <w:pStyle w:val="P68B1DB1-Normal12"/>
              <w:spacing w:after="0" w:line="240" w:lineRule="auto"/>
              <w:jc w:val="center"/>
              <w:rPr>
                <w:rFonts w:eastAsia="Times New Roman" w:cs="Times New Roman"/>
                <w:noProof/>
              </w:rPr>
            </w:pPr>
            <w:r>
              <w:rPr>
                <w:noProof/>
              </w:rPr>
              <w:t>C16.R1</w:t>
            </w:r>
          </w:p>
        </w:tc>
        <w:tc>
          <w:tcPr>
            <w:tcW w:w="828" w:type="dxa"/>
            <w:shd w:val="clear" w:color="auto" w:fill="C6EFCE"/>
            <w:noWrap/>
          </w:tcPr>
          <w:p w14:paraId="28643269" w14:textId="77777777" w:rsidR="0065073E" w:rsidRDefault="000A0998">
            <w:pPr>
              <w:pStyle w:val="P68B1DB1-Normal12"/>
              <w:spacing w:after="0" w:line="240" w:lineRule="auto"/>
              <w:jc w:val="center"/>
              <w:rPr>
                <w:rFonts w:eastAsia="Times New Roman" w:cs="Times New Roman"/>
                <w:noProof/>
              </w:rPr>
            </w:pPr>
            <w:r>
              <w:rPr>
                <w:noProof/>
              </w:rPr>
              <w:t>M</w:t>
            </w:r>
          </w:p>
        </w:tc>
        <w:tc>
          <w:tcPr>
            <w:tcW w:w="2619" w:type="dxa"/>
            <w:shd w:val="clear" w:color="auto" w:fill="C6EFCE"/>
            <w:noWrap/>
          </w:tcPr>
          <w:p w14:paraId="26EEB8F1" w14:textId="77777777" w:rsidR="0065073E" w:rsidRDefault="000A0998">
            <w:pPr>
              <w:pStyle w:val="P68B1DB1-Normal12"/>
              <w:spacing w:after="0" w:line="240" w:lineRule="auto"/>
              <w:rPr>
                <w:rFonts w:eastAsia="Times New Roman" w:cs="Times New Roman"/>
                <w:noProof/>
              </w:rPr>
            </w:pPr>
            <w:r>
              <w:rPr>
                <w:noProof/>
              </w:rPr>
              <w:t>Digitaalisten oikeuksien peruskirja</w:t>
            </w:r>
          </w:p>
        </w:tc>
        <w:tc>
          <w:tcPr>
            <w:tcW w:w="1241" w:type="dxa"/>
            <w:shd w:val="clear" w:color="auto" w:fill="C6EFCE"/>
            <w:noWrap/>
          </w:tcPr>
          <w:p w14:paraId="2F39C460" w14:textId="77777777" w:rsidR="0065073E" w:rsidRDefault="000A0998">
            <w:pPr>
              <w:pStyle w:val="P68B1DB1-Normal12"/>
              <w:spacing w:after="0" w:line="240" w:lineRule="auto"/>
              <w:jc w:val="center"/>
              <w:rPr>
                <w:rFonts w:eastAsia="Times New Roman" w:cs="Times New Roman"/>
                <w:noProof/>
              </w:rPr>
            </w:pPr>
            <w:r>
              <w:rPr>
                <w:noProof/>
              </w:rPr>
              <w:t>Julkaiseminen EUVL:ssä</w:t>
            </w:r>
          </w:p>
        </w:tc>
        <w:tc>
          <w:tcPr>
            <w:tcW w:w="829" w:type="dxa"/>
            <w:shd w:val="clear" w:color="auto" w:fill="C6EFCE"/>
            <w:noWrap/>
          </w:tcPr>
          <w:p w14:paraId="562F7403"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7582687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26EE5AC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211C302C"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5170D935"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648" w:type="dxa"/>
            <w:shd w:val="clear" w:color="auto" w:fill="C6EFCE"/>
            <w:noWrap/>
          </w:tcPr>
          <w:p w14:paraId="71499C32" w14:textId="77777777" w:rsidR="0065073E" w:rsidRDefault="000A0998">
            <w:pPr>
              <w:pStyle w:val="P68B1DB1-Normal12"/>
              <w:spacing w:after="0" w:line="240" w:lineRule="auto"/>
              <w:rPr>
                <w:rFonts w:eastAsia="Times New Roman" w:cs="Times New Roman"/>
                <w:noProof/>
              </w:rPr>
            </w:pPr>
            <w:r>
              <w:rPr>
                <w:noProof/>
              </w:rPr>
              <w:t xml:space="preserve">Espanjan hallitus hyväksyy digitaalisten oikeuksien peruskirjan ja julkaisee sen virallisella verkkosivustolla. Perusoikeuskirja ei ole luonteeltaan normatiivinen, vaan sen tarkoituksena on tunnustaa uudet soveltamis- ja tulkintahaasteet, joita oikeuksien mukauttaminen digitaaliseen ympäristöön aiheuttaa, ja ehdottaa niihin liittyviä periaatteita ja toimintalinjoja tässä yhteydessä. Tämän lisäksi se ehdottaa viranomaisten toiminnalle viitekehystä, jossa hyödynnetään ja kehitetään nykyisen digitaalisen ympäristön kaikkia mahdollisuuksia ja mahdollisuuksia välttäen samalla sen riskejä. </w:t>
            </w:r>
          </w:p>
        </w:tc>
      </w:tr>
      <w:tr w:rsidR="0065073E" w14:paraId="029A96F6" w14:textId="77777777">
        <w:trPr>
          <w:trHeight w:val="309"/>
        </w:trPr>
        <w:tc>
          <w:tcPr>
            <w:tcW w:w="833" w:type="dxa"/>
            <w:shd w:val="clear" w:color="auto" w:fill="C6EFCE"/>
            <w:noWrap/>
          </w:tcPr>
          <w:p w14:paraId="276F758E" w14:textId="77777777" w:rsidR="0065073E" w:rsidRDefault="000A0998">
            <w:pPr>
              <w:pStyle w:val="P68B1DB1-Normal12"/>
              <w:spacing w:after="0" w:line="240" w:lineRule="auto"/>
              <w:jc w:val="center"/>
              <w:rPr>
                <w:rFonts w:eastAsia="Times New Roman" w:cs="Times New Roman"/>
                <w:noProof/>
              </w:rPr>
            </w:pPr>
            <w:r>
              <w:rPr>
                <w:noProof/>
              </w:rPr>
              <w:t>251</w:t>
            </w:r>
          </w:p>
        </w:tc>
        <w:tc>
          <w:tcPr>
            <w:tcW w:w="829" w:type="dxa"/>
            <w:shd w:val="clear" w:color="auto" w:fill="C6EFCE"/>
            <w:noWrap/>
          </w:tcPr>
          <w:p w14:paraId="79FD9143" w14:textId="77777777" w:rsidR="0065073E" w:rsidRDefault="000A0998">
            <w:pPr>
              <w:pStyle w:val="P68B1DB1-Normal12"/>
              <w:spacing w:after="0" w:line="240" w:lineRule="auto"/>
              <w:jc w:val="center"/>
              <w:rPr>
                <w:rFonts w:eastAsia="Times New Roman" w:cs="Times New Roman"/>
                <w:noProof/>
              </w:rPr>
            </w:pPr>
            <w:r>
              <w:rPr>
                <w:noProof/>
              </w:rPr>
              <w:t>C16.R1</w:t>
            </w:r>
          </w:p>
        </w:tc>
        <w:tc>
          <w:tcPr>
            <w:tcW w:w="828" w:type="dxa"/>
            <w:shd w:val="clear" w:color="auto" w:fill="C6EFCE"/>
            <w:noWrap/>
          </w:tcPr>
          <w:p w14:paraId="0FBABEE3" w14:textId="77777777" w:rsidR="0065073E" w:rsidRDefault="000A0998">
            <w:pPr>
              <w:pStyle w:val="P68B1DB1-Normal12"/>
              <w:spacing w:after="0" w:line="240" w:lineRule="auto"/>
              <w:jc w:val="center"/>
              <w:rPr>
                <w:rFonts w:eastAsia="Times New Roman" w:cs="Times New Roman"/>
                <w:noProof/>
              </w:rPr>
            </w:pPr>
            <w:r>
              <w:rPr>
                <w:noProof/>
              </w:rPr>
              <w:t>M</w:t>
            </w:r>
          </w:p>
        </w:tc>
        <w:tc>
          <w:tcPr>
            <w:tcW w:w="2619" w:type="dxa"/>
            <w:shd w:val="clear" w:color="auto" w:fill="C6EFCE"/>
            <w:noWrap/>
          </w:tcPr>
          <w:p w14:paraId="0A39D493" w14:textId="77777777" w:rsidR="0065073E" w:rsidRDefault="000A0998">
            <w:pPr>
              <w:pStyle w:val="P68B1DB1-Normal12"/>
              <w:spacing w:after="0" w:line="240" w:lineRule="auto"/>
              <w:rPr>
                <w:rFonts w:eastAsia="Times New Roman" w:cs="Times New Roman"/>
                <w:noProof/>
              </w:rPr>
            </w:pPr>
            <w:r>
              <w:rPr>
                <w:noProof/>
              </w:rPr>
              <w:t xml:space="preserve">Tekoälyhankkeiden tukeminen </w:t>
            </w:r>
          </w:p>
        </w:tc>
        <w:tc>
          <w:tcPr>
            <w:tcW w:w="1241" w:type="dxa"/>
            <w:shd w:val="clear" w:color="auto" w:fill="C6EFCE"/>
            <w:noWrap/>
          </w:tcPr>
          <w:p w14:paraId="679CB12A" w14:textId="77777777" w:rsidR="0065073E" w:rsidRDefault="000A0998">
            <w:pPr>
              <w:pStyle w:val="P68B1DB1-Normal12"/>
              <w:spacing w:after="0" w:line="240" w:lineRule="auto"/>
              <w:jc w:val="center"/>
              <w:rPr>
                <w:rFonts w:eastAsia="Times New Roman" w:cs="Times New Roman"/>
                <w:noProof/>
              </w:rPr>
            </w:pPr>
            <w:r>
              <w:rPr>
                <w:noProof/>
              </w:rPr>
              <w:t>Ohjelman avustusten julkaiseminen ja rahoitus</w:t>
            </w:r>
          </w:p>
        </w:tc>
        <w:tc>
          <w:tcPr>
            <w:tcW w:w="829" w:type="dxa"/>
            <w:shd w:val="clear" w:color="auto" w:fill="C6EFCE"/>
            <w:noWrap/>
          </w:tcPr>
          <w:p w14:paraId="0145871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635BD68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554268E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6FBEC253"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0431DFA5"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648" w:type="dxa"/>
            <w:shd w:val="clear" w:color="auto" w:fill="C6EFCE"/>
            <w:noWrap/>
          </w:tcPr>
          <w:p w14:paraId="085D693A" w14:textId="1627E95F" w:rsidR="0065073E" w:rsidRDefault="000A0998">
            <w:pPr>
              <w:pStyle w:val="P68B1DB1-Normal12"/>
              <w:spacing w:after="0" w:line="240" w:lineRule="auto"/>
              <w:rPr>
                <w:rFonts w:eastAsia="Times New Roman" w:cs="Times New Roman"/>
                <w:noProof/>
              </w:rPr>
            </w:pPr>
            <w:r>
              <w:rPr>
                <w:noProof/>
              </w:rPr>
              <w:t xml:space="preserve">Vähintään 500000000 euroa osoitettiin avustuksiin hankkeille, jotka koskevat tekoälyä koskevia tutkimus- ja kehityshankkeita, Espanjan tekoälyn osaamiskeskusta, tekoälyalan monialaista instituuttia, tekoälyn huippuosaamisen verkostoa, luonnonkielten teknologiasuunnitelmaa, akateemisia puheenjohtajia, seurantaryhmiä, luotettavaa tekoälyn sertifiointia ja leimaa, haavoittuvien tekoälyryhmien suojelusuunnitelmaa, tekoälytietoisuutta ja -luottamusta koskevaa suunnitelmaa, kvanttilaskentaa ja vihreitä algoritmeja koskevaa kansallista ohjelmaa. </w:t>
            </w:r>
          </w:p>
        </w:tc>
      </w:tr>
      <w:tr w:rsidR="0065073E" w14:paraId="3AD21B9A" w14:textId="77777777">
        <w:trPr>
          <w:trHeight w:val="309"/>
        </w:trPr>
        <w:tc>
          <w:tcPr>
            <w:tcW w:w="833" w:type="dxa"/>
            <w:shd w:val="clear" w:color="auto" w:fill="C6EFCE"/>
            <w:noWrap/>
          </w:tcPr>
          <w:p w14:paraId="5EC72927" w14:textId="617BAA48" w:rsidR="0065073E" w:rsidRDefault="000A0998">
            <w:pPr>
              <w:pStyle w:val="P68B1DB1-Normal12"/>
              <w:spacing w:after="0" w:line="240" w:lineRule="auto"/>
              <w:jc w:val="center"/>
              <w:rPr>
                <w:rFonts w:cs="Times New Roman"/>
                <w:noProof/>
              </w:rPr>
            </w:pPr>
            <w:r>
              <w:rPr>
                <w:noProof/>
              </w:rPr>
              <w:t>458</w:t>
            </w:r>
          </w:p>
        </w:tc>
        <w:tc>
          <w:tcPr>
            <w:tcW w:w="829" w:type="dxa"/>
            <w:shd w:val="clear" w:color="auto" w:fill="C6EFCE"/>
            <w:noWrap/>
          </w:tcPr>
          <w:p w14:paraId="19829B5B" w14:textId="6040864A" w:rsidR="0065073E" w:rsidRDefault="000A0998">
            <w:pPr>
              <w:pStyle w:val="P68B1DB1-Normal12"/>
              <w:spacing w:after="0" w:line="240" w:lineRule="auto"/>
              <w:jc w:val="center"/>
              <w:rPr>
                <w:rFonts w:cs="Times New Roman"/>
                <w:noProof/>
              </w:rPr>
            </w:pPr>
            <w:r>
              <w:rPr>
                <w:noProof/>
              </w:rPr>
              <w:t>C16.R1</w:t>
            </w:r>
          </w:p>
        </w:tc>
        <w:tc>
          <w:tcPr>
            <w:tcW w:w="828" w:type="dxa"/>
            <w:shd w:val="clear" w:color="auto" w:fill="C6EFCE"/>
            <w:noWrap/>
          </w:tcPr>
          <w:p w14:paraId="428EB1E6" w14:textId="266CA192" w:rsidR="0065073E" w:rsidRDefault="000A0998">
            <w:pPr>
              <w:pStyle w:val="P68B1DB1-Normal12"/>
              <w:spacing w:after="0" w:line="240" w:lineRule="auto"/>
              <w:jc w:val="center"/>
              <w:rPr>
                <w:rFonts w:cs="Times New Roman"/>
                <w:noProof/>
              </w:rPr>
            </w:pPr>
            <w:r>
              <w:rPr>
                <w:noProof/>
              </w:rPr>
              <w:t>M</w:t>
            </w:r>
          </w:p>
        </w:tc>
        <w:tc>
          <w:tcPr>
            <w:tcW w:w="2619" w:type="dxa"/>
            <w:shd w:val="clear" w:color="auto" w:fill="C6EFCE"/>
            <w:noWrap/>
          </w:tcPr>
          <w:p w14:paraId="774B9519" w14:textId="307F2BF7" w:rsidR="0065073E" w:rsidRDefault="000A0998">
            <w:pPr>
              <w:pStyle w:val="P68B1DB1-Normal12"/>
              <w:spacing w:after="0" w:line="240" w:lineRule="auto"/>
              <w:rPr>
                <w:rFonts w:cs="Times New Roman"/>
                <w:noProof/>
              </w:rPr>
            </w:pPr>
            <w:r>
              <w:rPr>
                <w:noProof/>
              </w:rPr>
              <w:t>Sääntelyn testiympäristöt ja Espanjan tekoälyvalvontavirasto (AESIA)</w:t>
            </w:r>
          </w:p>
        </w:tc>
        <w:tc>
          <w:tcPr>
            <w:tcW w:w="1241" w:type="dxa"/>
            <w:shd w:val="clear" w:color="auto" w:fill="C6EFCE"/>
            <w:noWrap/>
          </w:tcPr>
          <w:p w14:paraId="29A3EA67" w14:textId="19C678FA" w:rsidR="0065073E" w:rsidRDefault="000A0998">
            <w:pPr>
              <w:pStyle w:val="P68B1DB1-Normal12"/>
              <w:spacing w:after="0" w:line="240" w:lineRule="auto"/>
              <w:jc w:val="center"/>
              <w:rPr>
                <w:rFonts w:cs="Times New Roman"/>
                <w:noProof/>
              </w:rPr>
            </w:pPr>
            <w:r>
              <w:rPr>
                <w:noProof/>
              </w:rPr>
              <w:t>Julkaiseminen EUVL:ssä</w:t>
            </w:r>
          </w:p>
        </w:tc>
        <w:tc>
          <w:tcPr>
            <w:tcW w:w="829" w:type="dxa"/>
            <w:shd w:val="clear" w:color="auto" w:fill="C6EFCE"/>
            <w:noWrap/>
          </w:tcPr>
          <w:p w14:paraId="106430E3" w14:textId="77777777" w:rsidR="0065073E" w:rsidRDefault="0065073E">
            <w:pPr>
              <w:spacing w:after="0" w:line="240" w:lineRule="auto"/>
              <w:jc w:val="center"/>
              <w:rPr>
                <w:rFonts w:ascii="Times New Roman" w:hAnsi="Times New Roman" w:cs="Times New Roman"/>
                <w:noProof/>
                <w:sz w:val="18"/>
              </w:rPr>
            </w:pPr>
          </w:p>
        </w:tc>
        <w:tc>
          <w:tcPr>
            <w:tcW w:w="966" w:type="dxa"/>
            <w:shd w:val="clear" w:color="auto" w:fill="C6EFCE"/>
            <w:noWrap/>
          </w:tcPr>
          <w:p w14:paraId="6EB4222B" w14:textId="77777777" w:rsidR="0065073E" w:rsidRDefault="0065073E">
            <w:pPr>
              <w:spacing w:after="0" w:line="240" w:lineRule="auto"/>
              <w:jc w:val="right"/>
              <w:rPr>
                <w:rFonts w:ascii="Times New Roman" w:hAnsi="Times New Roman" w:cs="Times New Roman"/>
                <w:noProof/>
                <w:sz w:val="18"/>
              </w:rPr>
            </w:pPr>
          </w:p>
        </w:tc>
        <w:tc>
          <w:tcPr>
            <w:tcW w:w="553" w:type="dxa"/>
            <w:shd w:val="clear" w:color="auto" w:fill="C6EFCE"/>
            <w:noWrap/>
          </w:tcPr>
          <w:p w14:paraId="0F8FC42F" w14:textId="77777777" w:rsidR="0065073E" w:rsidRDefault="0065073E">
            <w:pPr>
              <w:spacing w:after="0" w:line="240" w:lineRule="auto"/>
              <w:jc w:val="right"/>
              <w:rPr>
                <w:rFonts w:ascii="Times New Roman" w:hAnsi="Times New Roman" w:cs="Times New Roman"/>
                <w:noProof/>
                <w:sz w:val="18"/>
              </w:rPr>
            </w:pPr>
          </w:p>
        </w:tc>
        <w:tc>
          <w:tcPr>
            <w:tcW w:w="553" w:type="dxa"/>
            <w:shd w:val="clear" w:color="auto" w:fill="C6EFCE"/>
            <w:noWrap/>
          </w:tcPr>
          <w:p w14:paraId="1965FC98" w14:textId="6E1BC4EB"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78980B90" w14:textId="3A5E4AC1" w:rsidR="0065073E" w:rsidRDefault="000A0998">
            <w:pPr>
              <w:pStyle w:val="P68B1DB1-Normal12"/>
              <w:spacing w:after="0" w:line="240" w:lineRule="auto"/>
              <w:jc w:val="center"/>
              <w:rPr>
                <w:rFonts w:cs="Times New Roman"/>
                <w:noProof/>
              </w:rPr>
            </w:pPr>
            <w:r>
              <w:rPr>
                <w:noProof/>
              </w:rPr>
              <w:t>2024</w:t>
            </w:r>
          </w:p>
        </w:tc>
        <w:tc>
          <w:tcPr>
            <w:tcW w:w="5648" w:type="dxa"/>
            <w:shd w:val="clear" w:color="auto" w:fill="C6EFCE"/>
            <w:noWrap/>
          </w:tcPr>
          <w:p w14:paraId="7C0083ED" w14:textId="4E66B0CB" w:rsidR="0065073E" w:rsidRDefault="000A0998">
            <w:pPr>
              <w:pStyle w:val="P68B1DB1-Normal12"/>
              <w:spacing w:after="0" w:line="240" w:lineRule="auto"/>
              <w:rPr>
                <w:rFonts w:cs="Times New Roman"/>
                <w:noProof/>
              </w:rPr>
            </w:pPr>
            <w:r>
              <w:rPr>
                <w:noProof/>
              </w:rPr>
              <w:t>Julkaistaan EUVL:ssä tarvittavat säädökset, joilla mahdollistetaan tekoälyn soveltamisen testiympäristöt, ja kuninkaallinen asetus, jolla hyväksytään Espanjan tekoälyvalvontaviraston sisäinen perussääntö. Viimeksi mainittuihin kuuluvat: viraston luonne ja oikeudellinen järjestelmä (julkisen oikeushenkilöyden, oman omaisuuden ja hallinnollisen itsenäisyyden myöntäminen) sen tavoite, tarkoitus ja pätevyys; luonnonmukainen rakenne ja sen valintaprosessi; sen omavaraisuus-, rahoitus- ja sopimusjärjestelmä; sekä talouden ja talousarvion hallinnointi ja valvonta.</w:t>
            </w:r>
          </w:p>
        </w:tc>
      </w:tr>
      <w:tr w:rsidR="0065073E" w14:paraId="4B1423DB" w14:textId="77777777">
        <w:trPr>
          <w:trHeight w:val="309"/>
        </w:trPr>
        <w:tc>
          <w:tcPr>
            <w:tcW w:w="833" w:type="dxa"/>
            <w:shd w:val="clear" w:color="auto" w:fill="C6EFCE"/>
            <w:noWrap/>
          </w:tcPr>
          <w:p w14:paraId="7F9E1A61" w14:textId="77777777" w:rsidR="0065073E" w:rsidRDefault="000A0998">
            <w:pPr>
              <w:pStyle w:val="P68B1DB1-Normal12"/>
              <w:spacing w:after="0" w:line="240" w:lineRule="auto"/>
              <w:jc w:val="center"/>
              <w:rPr>
                <w:rFonts w:eastAsia="Times New Roman" w:cs="Times New Roman"/>
                <w:noProof/>
              </w:rPr>
            </w:pPr>
            <w:r>
              <w:rPr>
                <w:noProof/>
              </w:rPr>
              <w:t>252</w:t>
            </w:r>
          </w:p>
        </w:tc>
        <w:tc>
          <w:tcPr>
            <w:tcW w:w="829" w:type="dxa"/>
            <w:shd w:val="clear" w:color="auto" w:fill="C6EFCE"/>
            <w:noWrap/>
          </w:tcPr>
          <w:p w14:paraId="6F66F239" w14:textId="77777777" w:rsidR="0065073E" w:rsidRDefault="000A0998">
            <w:pPr>
              <w:pStyle w:val="P68B1DB1-Normal12"/>
              <w:spacing w:after="0" w:line="240" w:lineRule="auto"/>
              <w:jc w:val="center"/>
              <w:rPr>
                <w:rFonts w:eastAsia="Times New Roman" w:cs="Times New Roman"/>
                <w:noProof/>
              </w:rPr>
            </w:pPr>
            <w:r>
              <w:rPr>
                <w:noProof/>
              </w:rPr>
              <w:t>C16.R1</w:t>
            </w:r>
          </w:p>
        </w:tc>
        <w:tc>
          <w:tcPr>
            <w:tcW w:w="828" w:type="dxa"/>
            <w:shd w:val="clear" w:color="auto" w:fill="C6EFCE"/>
            <w:noWrap/>
          </w:tcPr>
          <w:p w14:paraId="5B6776B5" w14:textId="77777777" w:rsidR="0065073E" w:rsidRDefault="000A0998">
            <w:pPr>
              <w:pStyle w:val="P68B1DB1-Normal12"/>
              <w:spacing w:after="0" w:line="240" w:lineRule="auto"/>
              <w:jc w:val="center"/>
              <w:rPr>
                <w:rFonts w:eastAsia="Times New Roman" w:cs="Times New Roman"/>
                <w:noProof/>
              </w:rPr>
            </w:pPr>
            <w:r>
              <w:rPr>
                <w:noProof/>
              </w:rPr>
              <w:t>T</w:t>
            </w:r>
          </w:p>
        </w:tc>
        <w:tc>
          <w:tcPr>
            <w:tcW w:w="2619" w:type="dxa"/>
            <w:shd w:val="clear" w:color="auto" w:fill="C6EFCE"/>
            <w:noWrap/>
          </w:tcPr>
          <w:p w14:paraId="2B41DD4A" w14:textId="77777777" w:rsidR="0065073E" w:rsidRDefault="000A0998">
            <w:pPr>
              <w:pStyle w:val="P68B1DB1-Normal12"/>
              <w:spacing w:after="0" w:line="240" w:lineRule="auto"/>
              <w:rPr>
                <w:rFonts w:eastAsia="Times New Roman" w:cs="Times New Roman"/>
                <w:noProof/>
              </w:rPr>
            </w:pPr>
            <w:r>
              <w:rPr>
                <w:noProof/>
              </w:rPr>
              <w:t xml:space="preserve">Maakohtaiset vierailut </w:t>
            </w:r>
          </w:p>
        </w:tc>
        <w:tc>
          <w:tcPr>
            <w:tcW w:w="1241" w:type="dxa"/>
            <w:shd w:val="clear" w:color="auto" w:fill="C6EFCE"/>
            <w:noWrap/>
          </w:tcPr>
          <w:p w14:paraId="18D32A11" w14:textId="77777777" w:rsidR="0065073E" w:rsidRDefault="000A0998">
            <w:pPr>
              <w:pStyle w:val="P68B1DB1-Normal12"/>
              <w:spacing w:after="0" w:line="240" w:lineRule="auto"/>
              <w:jc w:val="center"/>
              <w:rPr>
                <w:rFonts w:eastAsia="Times New Roman" w:cs="Times New Roman"/>
                <w:noProof/>
              </w:rPr>
            </w:pPr>
            <w:r>
              <w:rPr>
                <w:noProof/>
              </w:rPr>
              <w:t>—</w:t>
            </w:r>
          </w:p>
        </w:tc>
        <w:tc>
          <w:tcPr>
            <w:tcW w:w="829" w:type="dxa"/>
            <w:shd w:val="clear" w:color="auto" w:fill="C6EFCE"/>
            <w:noWrap/>
          </w:tcPr>
          <w:p w14:paraId="78017AE8"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shd w:val="clear" w:color="auto" w:fill="C6EFCE"/>
            <w:noWrap/>
          </w:tcPr>
          <w:p w14:paraId="6BD500FA"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59369D5" w14:textId="77777777" w:rsidR="0065073E" w:rsidRDefault="000A0998">
            <w:pPr>
              <w:pStyle w:val="P68B1DB1-Normal12"/>
              <w:spacing w:after="0" w:line="240" w:lineRule="auto"/>
              <w:jc w:val="right"/>
              <w:rPr>
                <w:rFonts w:eastAsia="Times New Roman" w:cs="Times New Roman"/>
                <w:noProof/>
              </w:rPr>
            </w:pPr>
            <w:r>
              <w:rPr>
                <w:noProof/>
              </w:rPr>
              <w:t>7</w:t>
            </w:r>
          </w:p>
        </w:tc>
        <w:tc>
          <w:tcPr>
            <w:tcW w:w="553" w:type="dxa"/>
            <w:shd w:val="clear" w:color="auto" w:fill="C6EFCE"/>
            <w:noWrap/>
          </w:tcPr>
          <w:p w14:paraId="635009B0"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53" w:type="dxa"/>
            <w:shd w:val="clear" w:color="auto" w:fill="C6EFCE"/>
            <w:noWrap/>
          </w:tcPr>
          <w:p w14:paraId="109081B4" w14:textId="77777777" w:rsidR="0065073E" w:rsidRDefault="000A0998">
            <w:pPr>
              <w:pStyle w:val="P68B1DB1-Normal12"/>
              <w:spacing w:after="0" w:line="240" w:lineRule="auto"/>
              <w:jc w:val="center"/>
              <w:rPr>
                <w:rFonts w:eastAsia="Times New Roman" w:cs="Times New Roman"/>
                <w:noProof/>
              </w:rPr>
            </w:pPr>
            <w:r>
              <w:rPr>
                <w:noProof/>
              </w:rPr>
              <w:t>2026</w:t>
            </w:r>
          </w:p>
        </w:tc>
        <w:tc>
          <w:tcPr>
            <w:tcW w:w="5648" w:type="dxa"/>
            <w:shd w:val="clear" w:color="auto" w:fill="C6EFCE"/>
            <w:noWrap/>
          </w:tcPr>
          <w:p w14:paraId="12CC84ED" w14:textId="77777777" w:rsidR="0065073E" w:rsidRDefault="000A0998">
            <w:pPr>
              <w:pStyle w:val="P68B1DB1-Normal12"/>
              <w:spacing w:after="0" w:line="240" w:lineRule="auto"/>
              <w:rPr>
                <w:rFonts w:eastAsia="Times New Roman" w:cs="Times New Roman"/>
                <w:noProof/>
              </w:rPr>
            </w:pPr>
            <w:r>
              <w:rPr>
                <w:noProof/>
              </w:rPr>
              <w:t>Vähintään 7:ää hanketta rahoitettiin tiettyjen maakohtaisten missioiden toteuttamiseksi innovatiivisilla tekoälyvetoisilla ratkaisuilla, joilla puututaan näissä missioissa havaittuihin ongelmiin: Terveys-, teollisuus-, ympäristö-, yhteiskunta-, energia-, maatalous- ja taloushankkeet toteutetaan rahoittamalla yhteistyöhankkeita noin 10000000–15000000 euroa.</w:t>
            </w:r>
          </w:p>
        </w:tc>
      </w:tr>
      <w:tr w:rsidR="0065073E" w14:paraId="62777899" w14:textId="77777777">
        <w:trPr>
          <w:trHeight w:val="309"/>
        </w:trPr>
        <w:tc>
          <w:tcPr>
            <w:tcW w:w="833" w:type="dxa"/>
            <w:shd w:val="clear" w:color="auto" w:fill="C6EFCE"/>
            <w:noWrap/>
          </w:tcPr>
          <w:p w14:paraId="5EB06565" w14:textId="77777777" w:rsidR="0065073E" w:rsidRDefault="000A0998">
            <w:pPr>
              <w:pStyle w:val="P68B1DB1-Normal12"/>
              <w:spacing w:after="0" w:line="240" w:lineRule="auto"/>
              <w:jc w:val="center"/>
              <w:rPr>
                <w:rFonts w:cs="Times New Roman"/>
                <w:noProof/>
              </w:rPr>
            </w:pPr>
            <w:r>
              <w:rPr>
                <w:noProof/>
              </w:rPr>
              <w:t>253</w:t>
            </w:r>
          </w:p>
        </w:tc>
        <w:tc>
          <w:tcPr>
            <w:tcW w:w="829" w:type="dxa"/>
            <w:shd w:val="clear" w:color="auto" w:fill="C6EFCE"/>
            <w:noWrap/>
          </w:tcPr>
          <w:p w14:paraId="302EAF8E" w14:textId="77777777" w:rsidR="0065073E" w:rsidRDefault="000A0998">
            <w:pPr>
              <w:pStyle w:val="P68B1DB1-Normal12"/>
              <w:spacing w:after="0" w:line="240" w:lineRule="auto"/>
              <w:jc w:val="center"/>
              <w:rPr>
                <w:rFonts w:cs="Times New Roman"/>
                <w:noProof/>
              </w:rPr>
            </w:pPr>
            <w:r>
              <w:rPr>
                <w:noProof/>
              </w:rPr>
              <w:t>C16.R1</w:t>
            </w:r>
          </w:p>
        </w:tc>
        <w:tc>
          <w:tcPr>
            <w:tcW w:w="828" w:type="dxa"/>
            <w:shd w:val="clear" w:color="auto" w:fill="C6EFCE"/>
            <w:noWrap/>
          </w:tcPr>
          <w:p w14:paraId="0A11A897" w14:textId="77777777" w:rsidR="0065073E" w:rsidRDefault="000A0998">
            <w:pPr>
              <w:pStyle w:val="P68B1DB1-Normal12"/>
              <w:spacing w:after="0" w:line="240" w:lineRule="auto"/>
              <w:jc w:val="center"/>
              <w:rPr>
                <w:rFonts w:cs="Times New Roman"/>
                <w:noProof/>
              </w:rPr>
            </w:pPr>
            <w:r>
              <w:rPr>
                <w:noProof/>
              </w:rPr>
              <w:t>M</w:t>
            </w:r>
          </w:p>
        </w:tc>
        <w:tc>
          <w:tcPr>
            <w:tcW w:w="2619" w:type="dxa"/>
            <w:shd w:val="clear" w:color="auto" w:fill="C6EFCE"/>
            <w:noWrap/>
          </w:tcPr>
          <w:p w14:paraId="627D5FB4" w14:textId="77777777" w:rsidR="0065073E" w:rsidRDefault="000A0998">
            <w:pPr>
              <w:pStyle w:val="P68B1DB1-Normal12"/>
              <w:spacing w:after="0" w:line="240" w:lineRule="auto"/>
              <w:rPr>
                <w:rFonts w:cs="Times New Roman"/>
                <w:noProof/>
              </w:rPr>
            </w:pPr>
            <w:r>
              <w:rPr>
                <w:noProof/>
              </w:rPr>
              <w:t xml:space="preserve">Tekoälyä koskevien hankkeiden loppuun saattaminen </w:t>
            </w:r>
          </w:p>
        </w:tc>
        <w:tc>
          <w:tcPr>
            <w:tcW w:w="1241" w:type="dxa"/>
            <w:shd w:val="clear" w:color="auto" w:fill="C6EFCE"/>
            <w:noWrap/>
          </w:tcPr>
          <w:p w14:paraId="7ECD54BA" w14:textId="77777777" w:rsidR="0065073E" w:rsidRDefault="000A0998">
            <w:pPr>
              <w:pStyle w:val="P68B1DB1-Normal12"/>
              <w:spacing w:after="0" w:line="240" w:lineRule="auto"/>
              <w:jc w:val="center"/>
              <w:rPr>
                <w:rFonts w:cs="Times New Roman"/>
                <w:noProof/>
              </w:rPr>
            </w:pPr>
            <w:r>
              <w:rPr>
                <w:noProof/>
              </w:rPr>
              <w:t>Ilmoitus investointihankkeiden loppuun saattamisesta</w:t>
            </w:r>
          </w:p>
        </w:tc>
        <w:tc>
          <w:tcPr>
            <w:tcW w:w="829" w:type="dxa"/>
            <w:shd w:val="clear" w:color="auto" w:fill="C6EFCE"/>
            <w:noWrap/>
          </w:tcPr>
          <w:p w14:paraId="263869B2" w14:textId="77777777" w:rsidR="0065073E" w:rsidRDefault="000A0998">
            <w:pPr>
              <w:pStyle w:val="P68B1DB1-Normal12"/>
              <w:spacing w:after="0" w:line="240" w:lineRule="auto"/>
              <w:jc w:val="center"/>
              <w:rPr>
                <w:rFonts w:cs="Times New Roman"/>
                <w:noProof/>
              </w:rPr>
            </w:pPr>
            <w:r>
              <w:rPr>
                <w:noProof/>
              </w:rPr>
              <w:t xml:space="preserve"> </w:t>
            </w:r>
          </w:p>
        </w:tc>
        <w:tc>
          <w:tcPr>
            <w:tcW w:w="966" w:type="dxa"/>
            <w:shd w:val="clear" w:color="auto" w:fill="C6EFCE"/>
            <w:noWrap/>
          </w:tcPr>
          <w:p w14:paraId="5D3B8A88" w14:textId="77777777" w:rsidR="0065073E" w:rsidRDefault="000A0998">
            <w:pPr>
              <w:pStyle w:val="P68B1DB1-Normal12"/>
              <w:spacing w:after="0" w:line="240" w:lineRule="auto"/>
              <w:jc w:val="right"/>
              <w:rPr>
                <w:rFonts w:cs="Times New Roman"/>
                <w:noProof/>
              </w:rPr>
            </w:pPr>
            <w:r>
              <w:rPr>
                <w:noProof/>
              </w:rPr>
              <w:t xml:space="preserve"> </w:t>
            </w:r>
          </w:p>
        </w:tc>
        <w:tc>
          <w:tcPr>
            <w:tcW w:w="553" w:type="dxa"/>
            <w:shd w:val="clear" w:color="auto" w:fill="C6EFCE"/>
            <w:noWrap/>
          </w:tcPr>
          <w:p w14:paraId="503E7E70" w14:textId="77777777" w:rsidR="0065073E" w:rsidRDefault="000A0998">
            <w:pPr>
              <w:pStyle w:val="P68B1DB1-Normal12"/>
              <w:spacing w:after="0" w:line="240" w:lineRule="auto"/>
              <w:jc w:val="right"/>
              <w:rPr>
                <w:rFonts w:cs="Times New Roman"/>
                <w:noProof/>
              </w:rPr>
            </w:pPr>
            <w:r>
              <w:rPr>
                <w:noProof/>
              </w:rPr>
              <w:t xml:space="preserve"> </w:t>
            </w:r>
          </w:p>
        </w:tc>
        <w:tc>
          <w:tcPr>
            <w:tcW w:w="553" w:type="dxa"/>
            <w:shd w:val="clear" w:color="auto" w:fill="C6EFCE"/>
            <w:noWrap/>
          </w:tcPr>
          <w:p w14:paraId="08857245" w14:textId="77777777" w:rsidR="0065073E" w:rsidRDefault="000A0998">
            <w:pPr>
              <w:pStyle w:val="P68B1DB1-Normal12"/>
              <w:spacing w:after="0" w:line="240" w:lineRule="auto"/>
              <w:jc w:val="center"/>
              <w:rPr>
                <w:rFonts w:cs="Times New Roman"/>
                <w:noProof/>
              </w:rPr>
            </w:pPr>
            <w:r>
              <w:rPr>
                <w:noProof/>
              </w:rPr>
              <w:t>ENSIMMÄINEN VUOSINELJÄNNES</w:t>
            </w:r>
          </w:p>
        </w:tc>
        <w:tc>
          <w:tcPr>
            <w:tcW w:w="553" w:type="dxa"/>
            <w:shd w:val="clear" w:color="auto" w:fill="C6EFCE"/>
            <w:noWrap/>
          </w:tcPr>
          <w:p w14:paraId="027D83E8" w14:textId="77777777" w:rsidR="0065073E" w:rsidRDefault="000A0998">
            <w:pPr>
              <w:pStyle w:val="P68B1DB1-Normal12"/>
              <w:spacing w:after="0" w:line="240" w:lineRule="auto"/>
              <w:jc w:val="center"/>
              <w:rPr>
                <w:rFonts w:cs="Times New Roman"/>
                <w:noProof/>
              </w:rPr>
            </w:pPr>
            <w:r>
              <w:rPr>
                <w:noProof/>
              </w:rPr>
              <w:t>2026</w:t>
            </w:r>
          </w:p>
        </w:tc>
        <w:tc>
          <w:tcPr>
            <w:tcW w:w="5648" w:type="dxa"/>
            <w:shd w:val="clear" w:color="auto" w:fill="C6EFCE"/>
            <w:noWrap/>
          </w:tcPr>
          <w:p w14:paraId="243A0FA8" w14:textId="1655BA11" w:rsidR="0065073E" w:rsidRDefault="000A0998">
            <w:pPr>
              <w:pStyle w:val="P68B1DB1-Normal12"/>
              <w:spacing w:after="0" w:line="240" w:lineRule="auto"/>
              <w:rPr>
                <w:rFonts w:cs="Times New Roman"/>
                <w:noProof/>
              </w:rPr>
            </w:pPr>
            <w:r>
              <w:rPr>
                <w:noProof/>
              </w:rPr>
              <w:t>Tekoälyn tutkimusta ja kehittämistä koskevien hankkeiden loppuun saattaminen, Espanjassa tekoälyosaamiskeskus, monialainen tekoälyinstituutti, tekoälyn huippuosaamisen verkosto, luonnonkielen teknologiasuunnitelma, akateemiset puheenjohtajat, seurantakeskukset, luotettava tekoälyn sertifiointi ja leima, haavoittuvien tekoälyryhmien suojelusuunnitelma, tekoälyyn liittyvää tietoisuutta ja luottamusta koskeva suunnitelma, kvanttilaskenta ja vihreitä algoritmeja koskeva kansallinen ohjelma tarjouspyynnöissä esitettyjen kriteerien mukaisesti (Milestone #251).</w:t>
            </w:r>
          </w:p>
        </w:tc>
      </w:tr>
      <w:tr w:rsidR="0065073E" w14:paraId="092CBB81" w14:textId="77777777">
        <w:trPr>
          <w:trHeight w:val="309"/>
        </w:trPr>
        <w:tc>
          <w:tcPr>
            <w:tcW w:w="833" w:type="dxa"/>
            <w:shd w:val="clear" w:color="auto" w:fill="C6EFCE"/>
            <w:noWrap/>
          </w:tcPr>
          <w:p w14:paraId="1C5A6AE3" w14:textId="61F1C44E" w:rsidR="0065073E" w:rsidRDefault="000A0998">
            <w:pPr>
              <w:pStyle w:val="P68B1DB1-Normal12"/>
              <w:spacing w:after="0" w:line="240" w:lineRule="auto"/>
              <w:jc w:val="center"/>
              <w:rPr>
                <w:rFonts w:cs="Times New Roman"/>
                <w:noProof/>
              </w:rPr>
            </w:pPr>
            <w:r>
              <w:rPr>
                <w:noProof/>
              </w:rPr>
              <w:t>457</w:t>
            </w:r>
          </w:p>
        </w:tc>
        <w:tc>
          <w:tcPr>
            <w:tcW w:w="829" w:type="dxa"/>
            <w:shd w:val="clear" w:color="auto" w:fill="C6EFCE"/>
            <w:noWrap/>
          </w:tcPr>
          <w:p w14:paraId="53C3501E" w14:textId="77777777" w:rsidR="0065073E" w:rsidRDefault="000A0998">
            <w:pPr>
              <w:pStyle w:val="P68B1DB1-Normal12"/>
              <w:spacing w:after="0" w:line="240" w:lineRule="auto"/>
              <w:jc w:val="center"/>
              <w:rPr>
                <w:rFonts w:cs="Times New Roman"/>
                <w:noProof/>
              </w:rPr>
            </w:pPr>
            <w:r>
              <w:rPr>
                <w:noProof/>
              </w:rPr>
              <w:t>C16.R1</w:t>
            </w:r>
          </w:p>
        </w:tc>
        <w:tc>
          <w:tcPr>
            <w:tcW w:w="828" w:type="dxa"/>
            <w:shd w:val="clear" w:color="auto" w:fill="C6EFCE"/>
            <w:noWrap/>
          </w:tcPr>
          <w:p w14:paraId="06E57DF2" w14:textId="77777777" w:rsidR="0065073E" w:rsidRDefault="000A0998">
            <w:pPr>
              <w:pStyle w:val="P68B1DB1-Normal12"/>
              <w:jc w:val="center"/>
              <w:rPr>
                <w:rFonts w:cs="Times New Roman"/>
                <w:noProof/>
              </w:rPr>
            </w:pPr>
            <w:r>
              <w:rPr>
                <w:noProof/>
              </w:rPr>
              <w:t>T</w:t>
            </w:r>
          </w:p>
        </w:tc>
        <w:tc>
          <w:tcPr>
            <w:tcW w:w="2619" w:type="dxa"/>
            <w:shd w:val="clear" w:color="auto" w:fill="C6EFCE"/>
            <w:noWrap/>
          </w:tcPr>
          <w:p w14:paraId="2D1D67BC" w14:textId="77777777" w:rsidR="0065073E" w:rsidRDefault="000A0998">
            <w:pPr>
              <w:pStyle w:val="P68B1DB1-Normal12"/>
              <w:spacing w:after="0" w:line="240" w:lineRule="auto"/>
              <w:rPr>
                <w:rFonts w:cs="Times New Roman"/>
                <w:noProof/>
              </w:rPr>
            </w:pPr>
            <w:r>
              <w:rPr>
                <w:noProof/>
              </w:rPr>
              <w:t>PERTE-SIRU. Kvanttiekosysteemin vahvistaminen.</w:t>
            </w:r>
          </w:p>
        </w:tc>
        <w:tc>
          <w:tcPr>
            <w:tcW w:w="1241" w:type="dxa"/>
            <w:shd w:val="clear" w:color="auto" w:fill="C6EFCE"/>
            <w:noWrap/>
          </w:tcPr>
          <w:p w14:paraId="5C216153"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079F98AE" w14:textId="77777777" w:rsidR="0065073E" w:rsidRDefault="000A0998">
            <w:pPr>
              <w:pStyle w:val="P68B1DB1-Normal12"/>
              <w:spacing w:after="0" w:line="240" w:lineRule="auto"/>
              <w:jc w:val="center"/>
              <w:rPr>
                <w:rFonts w:cs="Times New Roman"/>
                <w:noProof/>
              </w:rPr>
            </w:pPr>
            <w:r>
              <w:rPr>
                <w:noProof/>
              </w:rPr>
              <w:t>Miljoonaa euroa</w:t>
            </w:r>
          </w:p>
        </w:tc>
        <w:tc>
          <w:tcPr>
            <w:tcW w:w="966" w:type="dxa"/>
            <w:shd w:val="clear" w:color="auto" w:fill="C6EFCE"/>
            <w:noWrap/>
          </w:tcPr>
          <w:p w14:paraId="10B0F16D" w14:textId="77777777" w:rsidR="0065073E" w:rsidRDefault="000A0998">
            <w:pPr>
              <w:pStyle w:val="P68B1DB1-Normal12"/>
              <w:spacing w:after="0" w:line="240" w:lineRule="auto"/>
              <w:jc w:val="center"/>
              <w:rPr>
                <w:rFonts w:cs="Times New Roman"/>
                <w:noProof/>
              </w:rPr>
            </w:pPr>
            <w:r>
              <w:rPr>
                <w:noProof/>
              </w:rPr>
              <w:t>0</w:t>
            </w:r>
          </w:p>
        </w:tc>
        <w:tc>
          <w:tcPr>
            <w:tcW w:w="553" w:type="dxa"/>
            <w:shd w:val="clear" w:color="auto" w:fill="C6EFCE"/>
            <w:noWrap/>
          </w:tcPr>
          <w:p w14:paraId="6F2AAE7F" w14:textId="77777777" w:rsidR="0065073E" w:rsidRDefault="000A0998">
            <w:pPr>
              <w:pStyle w:val="P68B1DB1-Normal12"/>
              <w:spacing w:after="0" w:line="240" w:lineRule="auto"/>
              <w:jc w:val="center"/>
              <w:rPr>
                <w:rFonts w:cs="Times New Roman"/>
                <w:noProof/>
              </w:rPr>
            </w:pPr>
            <w:r>
              <w:rPr>
                <w:noProof/>
              </w:rPr>
              <w:t>36</w:t>
            </w:r>
          </w:p>
        </w:tc>
        <w:tc>
          <w:tcPr>
            <w:tcW w:w="553" w:type="dxa"/>
            <w:shd w:val="clear" w:color="auto" w:fill="C6EFCE"/>
            <w:noWrap/>
          </w:tcPr>
          <w:p w14:paraId="53753E6A" w14:textId="77777777"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53E84126" w14:textId="77777777" w:rsidR="0065073E" w:rsidRDefault="000A0998">
            <w:pPr>
              <w:pStyle w:val="P68B1DB1-Normal12"/>
              <w:spacing w:after="0" w:line="240" w:lineRule="auto"/>
              <w:jc w:val="center"/>
              <w:rPr>
                <w:rFonts w:cs="Times New Roman"/>
                <w:noProof/>
              </w:rPr>
            </w:pPr>
            <w:r>
              <w:rPr>
                <w:noProof/>
              </w:rPr>
              <w:t>2026</w:t>
            </w:r>
          </w:p>
        </w:tc>
        <w:tc>
          <w:tcPr>
            <w:tcW w:w="5648" w:type="dxa"/>
            <w:shd w:val="clear" w:color="auto" w:fill="C6EFCE"/>
            <w:noWrap/>
          </w:tcPr>
          <w:p w14:paraId="10182414" w14:textId="783A949A" w:rsidR="0065073E" w:rsidRDefault="000A0998">
            <w:pPr>
              <w:pStyle w:val="P68B1DB1-Normal12"/>
              <w:spacing w:after="0" w:line="240" w:lineRule="auto"/>
              <w:rPr>
                <w:rFonts w:cs="Times New Roman"/>
                <w:noProof/>
              </w:rPr>
            </w:pPr>
            <w:r>
              <w:rPr>
                <w:noProof/>
              </w:rPr>
              <w:t>Vähintään 36000000 euron maksaminen T &amp; K &amp; I-hankkeisiin uuden sukupolven kvanttiteknologioiden alalla, mukaan lukien tuki kvanttilaitteistojen, ohjelmistojen ja kvanttiväliohjelmistojen kehittämiseen, vaihtoehtoisten kuutioiden ja niihin liittyvien tarvittavien pilottituotantolinjojen kehittämiseen, kvanttiviestintään ja salaukseen, internetkvanttiteknologiaan, metrologiaan ja kvanttianturiin.</w:t>
            </w:r>
          </w:p>
        </w:tc>
      </w:tr>
    </w:tbl>
    <w:p w14:paraId="66F97877" w14:textId="77777777" w:rsidR="0065073E" w:rsidRDefault="0065073E">
      <w:pPr>
        <w:spacing w:before="120" w:after="120" w:line="240" w:lineRule="auto"/>
        <w:jc w:val="both"/>
        <w:rPr>
          <w:rFonts w:ascii="Times New Roman" w:hAnsi="Times New Roman" w:cs="Times New Roman"/>
          <w:b/>
          <w:noProof/>
          <w:sz w:val="24"/>
          <w:u w:val="single"/>
        </w:rPr>
      </w:pPr>
    </w:p>
    <w:p w14:paraId="0B8F6066"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378"/>
          <w:headerReference w:type="default" r:id="rId379"/>
          <w:footerReference w:type="even" r:id="rId380"/>
          <w:footerReference w:type="default" r:id="rId381"/>
          <w:headerReference w:type="first" r:id="rId382"/>
          <w:footerReference w:type="first" r:id="rId383"/>
          <w:pgSz w:w="16839" w:h="11907" w:orient="landscape"/>
          <w:pgMar w:top="1134" w:right="1134" w:bottom="1134" w:left="1134" w:header="567" w:footer="567" w:gutter="0"/>
          <w:cols w:space="720"/>
          <w:docGrid w:linePitch="360"/>
        </w:sectPr>
      </w:pPr>
    </w:p>
    <w:p w14:paraId="1671E380" w14:textId="77777777" w:rsidR="0065073E" w:rsidRDefault="000A0998">
      <w:pPr>
        <w:pStyle w:val="P68B1DB1-Heading12"/>
        <w:rPr>
          <w:rFonts w:cs="Times New Roman"/>
          <w:noProof/>
        </w:rPr>
      </w:pPr>
      <w:r>
        <w:rPr>
          <w:noProof/>
        </w:rPr>
        <w:t xml:space="preserve">Q. OSA 17: Tiede, teknologia ja innovointi </w:t>
      </w:r>
    </w:p>
    <w:p w14:paraId="2A31730D" w14:textId="77777777" w:rsidR="0065073E" w:rsidRDefault="000A0998">
      <w:pPr>
        <w:pStyle w:val="P68B1DB1-Normal4"/>
        <w:spacing w:before="120" w:after="120" w:line="240" w:lineRule="auto"/>
        <w:jc w:val="both"/>
        <w:rPr>
          <w:rFonts w:cs="Times New Roman"/>
          <w:noProof/>
        </w:rPr>
      </w:pPr>
      <w:r>
        <w:rPr>
          <w:noProof/>
        </w:rPr>
        <w:t xml:space="preserve">Espanjan tiede-, teknologia- ja innovointistrategiassa 2021–2027 ennustetaan, että investoinnit tutkimukseen, kehittämiseen ja innovointiin kasvavat merkittävästi Espanjassa ja ovat 2,12 prosenttia suhteessa BKT:hen vuonna 2027. Tässä yhteydessä Espanjan elpymis- ja palautumissuunnitelman tämän komponentin päätavoitteena on </w:t>
      </w:r>
      <w:r>
        <w:rPr>
          <w:noProof/>
          <w:shd w:val="clear" w:color="auto" w:fill="FFFFFF"/>
        </w:rPr>
        <w:t xml:space="preserve">parantaa Espanjan tiede-, teknologia- </w:t>
      </w:r>
      <w:r>
        <w:rPr>
          <w:noProof/>
        </w:rPr>
        <w:t xml:space="preserve">ja innovointijärjestelmää uudistamalla sen hallintoa, parantamalla toimijoiden välistä koordinointia, tehostamalla sen vaikuttavuutta ja nopeuttamalla investointeja tutkimukseen, kehitykseen ja innovointiin seuraavin keinoin: </w:t>
      </w:r>
    </w:p>
    <w:p w14:paraId="4617937D" w14:textId="77777777" w:rsidR="0065073E" w:rsidRDefault="000A0998">
      <w:pPr>
        <w:pStyle w:val="P68B1DB1-Normal4"/>
        <w:numPr>
          <w:ilvl w:val="0"/>
          <w:numId w:val="792"/>
        </w:numPr>
        <w:spacing w:before="120" w:after="120" w:line="240" w:lineRule="auto"/>
        <w:jc w:val="both"/>
        <w:rPr>
          <w:rFonts w:cs="Times New Roman"/>
          <w:noProof/>
        </w:rPr>
      </w:pPr>
      <w:r>
        <w:rPr>
          <w:noProof/>
        </w:rPr>
        <w:t xml:space="preserve">Sellaisen selkeän ja ennakoitavan sääntelykehyksen kehittäminen, joka parantaa alan hallintoa, lisää T &amp; K &amp; I-politiikan vaikuttavuutta, parantaa tietämyksen siirtoa ja edistää investointeja tutkimukseen, kehitykseen ja innovointiin; </w:t>
      </w:r>
    </w:p>
    <w:p w14:paraId="1181ED1E" w14:textId="77777777" w:rsidR="0065073E" w:rsidRDefault="000A0998">
      <w:pPr>
        <w:pStyle w:val="P68B1DB1-Normal4"/>
        <w:numPr>
          <w:ilvl w:val="0"/>
          <w:numId w:val="792"/>
        </w:numPr>
        <w:spacing w:before="120" w:after="120" w:line="240" w:lineRule="auto"/>
        <w:jc w:val="both"/>
        <w:rPr>
          <w:rFonts w:cs="Times New Roman"/>
          <w:noProof/>
        </w:rPr>
      </w:pPr>
      <w:r>
        <w:rPr>
          <w:noProof/>
        </w:rPr>
        <w:t xml:space="preserve">investoinnit infrastruktuuriin, laitteisiin ja inhimilliseen pääomaan; </w:t>
      </w:r>
    </w:p>
    <w:p w14:paraId="40724F0C" w14:textId="77777777" w:rsidR="0065073E" w:rsidRDefault="000A0998">
      <w:pPr>
        <w:pStyle w:val="P68B1DB1-Normal4"/>
        <w:numPr>
          <w:ilvl w:val="0"/>
          <w:numId w:val="792"/>
        </w:numPr>
        <w:spacing w:before="120" w:after="120" w:line="240" w:lineRule="auto"/>
        <w:jc w:val="both"/>
        <w:rPr>
          <w:rFonts w:cs="Times New Roman"/>
          <w:noProof/>
        </w:rPr>
      </w:pPr>
      <w:r>
        <w:rPr>
          <w:noProof/>
        </w:rPr>
        <w:t xml:space="preserve">investoinnit tietämyksen siirtoon, alueellisiin T &amp; K &amp; I-hankkeisiin, kansallisiin T &amp; K &amp; I-hankkeisiin ja julkisen ja yksityisen sektorin kumppanuuksiin; ja </w:t>
      </w:r>
    </w:p>
    <w:p w14:paraId="7C4F4D35" w14:textId="77777777" w:rsidR="0065073E" w:rsidRDefault="000A0998">
      <w:pPr>
        <w:pStyle w:val="P68B1DB1-Normal4"/>
        <w:numPr>
          <w:ilvl w:val="0"/>
          <w:numId w:val="792"/>
        </w:numPr>
        <w:spacing w:before="120" w:after="120" w:line="240" w:lineRule="auto"/>
        <w:jc w:val="both"/>
        <w:rPr>
          <w:rFonts w:cs="Times New Roman"/>
          <w:noProof/>
        </w:rPr>
      </w:pPr>
      <w:r>
        <w:rPr>
          <w:noProof/>
        </w:rPr>
        <w:t xml:space="preserve">investoinnit tutkimukseen, kehitykseen ja innovointiin strategisilla aloilla, joita ovat terveys, ympäristö, ilmastonmuutos ja energia, mikroelektroniikka ja puolijohteet, kestävä autoteollisuus ja ilmailu ja avaruus. </w:t>
      </w:r>
    </w:p>
    <w:p w14:paraId="0951DFE5" w14:textId="50457BD3" w:rsidR="0065073E" w:rsidRDefault="000A0998">
      <w:pPr>
        <w:pStyle w:val="P68B1DB1-Normal4"/>
        <w:spacing w:before="120" w:after="0" w:line="240" w:lineRule="auto"/>
        <w:jc w:val="both"/>
        <w:rPr>
          <w:rFonts w:cs="Times New Roman"/>
          <w:noProof/>
        </w:rPr>
      </w:pPr>
      <w:r>
        <w:rPr>
          <w:noProof/>
        </w:rPr>
        <w:t xml:space="preserve">Tämä osa-alue liittyy maakohtaisiin suosituksiin, jotka koskevat innovointiin ja energiatehokkuuteen tehtävien investointien edistämistä ja tutkimusta ja innovointia tukevien politiikkojen vaikuttavuuden parantamista (maakohtainen suositus 3 2019), </w:t>
      </w:r>
      <w:r>
        <w:rPr>
          <w:noProof/>
          <w:shd w:val="clear" w:color="auto" w:fill="FFFFFF"/>
        </w:rPr>
        <w:t xml:space="preserve">julkisten ja yksityisten investointien sekä tutkimuksen ja innovoinnin edistämistä ( </w:t>
      </w:r>
      <w:r>
        <w:rPr>
          <w:noProof/>
        </w:rPr>
        <w:t xml:space="preserve">maakohtainen suositus 3 2020), </w:t>
      </w:r>
      <w:r>
        <w:rPr>
          <w:noProof/>
          <w:shd w:val="clear" w:color="auto" w:fill="FFFFFF"/>
        </w:rPr>
        <w:t xml:space="preserve">hallinnon kaikkien tasojen koordinoinnin parantamista (maakohtainen </w:t>
      </w:r>
      <w:r>
        <w:rPr>
          <w:noProof/>
        </w:rPr>
        <w:t>suositus 4 2020) ja investointien keskittämistä vihreään ja digitaaliseen siirtymään, erityisesti tutkimuksen ja innovoinnin edistämiseen (maakohtainen suositus 3 2021).</w:t>
      </w:r>
    </w:p>
    <w:p w14:paraId="25070E90" w14:textId="77777777" w:rsidR="0065073E" w:rsidRDefault="000A0998">
      <w:pPr>
        <w:pStyle w:val="P68B1DB1-Normal4"/>
        <w:spacing w:before="120" w:after="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1AC670E6"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Q.1. </w:t>
      </w:r>
      <w:r>
        <w:rPr>
          <w:noProof/>
        </w:rPr>
        <w:t xml:space="preserve"> </w:t>
      </w:r>
      <w:r>
        <w:rPr>
          <w:rFonts w:ascii="Times New Roman" w:hAnsi="Times New Roman"/>
          <w:b/>
          <w:noProof/>
          <w:sz w:val="24"/>
          <w:u w:val="single"/>
        </w:rPr>
        <w:t>Kuvaus uudistuksista ja investoinneista, joita rahoitetaan rahoitustuella, jota ei makseta takaisin</w:t>
      </w:r>
    </w:p>
    <w:p w14:paraId="49E5DF14" w14:textId="77777777" w:rsidR="0065073E" w:rsidRDefault="000A0998">
      <w:pPr>
        <w:pStyle w:val="P68B1DB1-Normal5"/>
        <w:spacing w:before="120" w:after="120" w:line="240" w:lineRule="auto"/>
        <w:jc w:val="both"/>
        <w:rPr>
          <w:rFonts w:cs="Times New Roman"/>
          <w:noProof/>
        </w:rPr>
      </w:pPr>
      <w:r>
        <w:rPr>
          <w:noProof/>
        </w:rPr>
        <w:t xml:space="preserve">Uudistus 1 (C17.R1): Tiede-, teknologia- ja innovaatiolain uudistus </w:t>
      </w:r>
    </w:p>
    <w:p w14:paraId="12ABCC99"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vahvistaa tieteen, teknologian ja innovoinnin alan sääntelykehystä alan hallinnon ja koordinoinnin tehostamiseksi, houkuttelevan tieteellisen uran luomiseksi ja tietämyksen siirtämiseksi tutkimuksesta soveltavaan tuotteeseen tai palveluun yhteiskunnalle. Espanjan on erityisesti päivitettävä tiedettä, teknologiaa ja innovointia koskevaa lakia 14/2011, parannettava tiede-, tutkimus- ja innovointipolitiikkojen koordinointia, parannettava Espanjan tiedeteknologia- ja innovointijärjestelmän hallintoa ja koordinointia, otettava käyttöön uusi tieteellinen ura ja tehostettava tietämyksen siirtoa. </w:t>
      </w:r>
    </w:p>
    <w:p w14:paraId="63D4C440" w14:textId="77777777" w:rsidR="0065073E" w:rsidRDefault="000A0998">
      <w:pPr>
        <w:pStyle w:val="P68B1DB1-Normal4"/>
        <w:spacing w:before="120" w:after="120" w:line="240" w:lineRule="auto"/>
        <w:jc w:val="both"/>
        <w:rPr>
          <w:rFonts w:cs="Times New Roman"/>
          <w:noProof/>
        </w:rPr>
      </w:pPr>
      <w:r>
        <w:rPr>
          <w:noProof/>
        </w:rPr>
        <w:t>Tämä toimenpide liittyy jäljempänä kuvattuihin kohtiin C17.I1, C17.I4 ja C17.I5 sisältyviin investointeihin.</w:t>
      </w:r>
    </w:p>
    <w:p w14:paraId="7479ADB4" w14:textId="77777777" w:rsidR="0065073E" w:rsidRDefault="000A0998">
      <w:pPr>
        <w:pStyle w:val="P68B1DB1-Normal4"/>
        <w:autoSpaceDE w:val="0"/>
        <w:autoSpaceDN w:val="0"/>
        <w:spacing w:before="40" w:after="40"/>
        <w:rPr>
          <w:rFonts w:cs="Times New Roman"/>
          <w:noProof/>
        </w:rPr>
      </w:pPr>
      <w:r>
        <w:rPr>
          <w:noProof/>
        </w:rPr>
        <w:t xml:space="preserve">Toimenpiteen täytäntöönpano on saatettava päätökseen 30 päivään kesäkuuta 2022 mennessä. </w:t>
      </w:r>
    </w:p>
    <w:p w14:paraId="2AD1F2CF"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384"/>
          <w:headerReference w:type="default" r:id="rId385"/>
          <w:footerReference w:type="even" r:id="rId386"/>
          <w:footerReference w:type="default" r:id="rId387"/>
          <w:headerReference w:type="first" r:id="rId388"/>
          <w:footerReference w:type="first" r:id="rId389"/>
          <w:pgSz w:w="11907" w:h="16839"/>
          <w:pgMar w:top="1134" w:right="1134" w:bottom="1134" w:left="1134" w:header="567" w:footer="567" w:gutter="0"/>
          <w:cols w:space="720"/>
          <w:docGrid w:linePitch="360"/>
        </w:sectPr>
      </w:pPr>
    </w:p>
    <w:p w14:paraId="7B09C627" w14:textId="77777777" w:rsidR="0065073E" w:rsidRDefault="000A0998">
      <w:pPr>
        <w:pStyle w:val="P68B1DB1-Normal5"/>
        <w:spacing w:before="120" w:after="120" w:line="240" w:lineRule="auto"/>
        <w:jc w:val="both"/>
        <w:rPr>
          <w:rFonts w:cs="Times New Roman"/>
          <w:noProof/>
        </w:rPr>
      </w:pPr>
      <w:r>
        <w:rPr>
          <w:noProof/>
        </w:rPr>
        <w:t xml:space="preserve">Uudistus 2 (C17.R2): </w:t>
      </w:r>
      <w:bookmarkStart w:id="52" w:name="_Hlk60056026"/>
      <w:r>
        <w:rPr>
          <w:noProof/>
        </w:rPr>
        <w:t>Espanjan tiede-, teknologia- ja innovointistrategia 2021–2027</w:t>
      </w:r>
      <w:bookmarkEnd w:id="52"/>
      <w:r>
        <w:rPr>
          <w:noProof/>
        </w:rPr>
        <w:t xml:space="preserve"> </w:t>
      </w:r>
      <w:r>
        <w:rPr>
          <w:b/>
          <w:noProof/>
        </w:rPr>
        <w:t xml:space="preserve"> </w:t>
      </w:r>
      <w:r>
        <w:rPr>
          <w:noProof/>
        </w:rPr>
        <w:t>ja tieteen, teknologian ja innovoinnin tietojärjestelmän kehittynyt kehittäminen</w:t>
      </w:r>
    </w:p>
    <w:p w14:paraId="4103B86F" w14:textId="77777777" w:rsidR="0065073E" w:rsidRDefault="000A0998">
      <w:pPr>
        <w:pStyle w:val="P68B1DB1-Normal4"/>
        <w:spacing w:before="120" w:after="120" w:line="240" w:lineRule="auto"/>
        <w:jc w:val="both"/>
        <w:rPr>
          <w:rFonts w:cs="Times New Roman"/>
          <w:noProof/>
        </w:rPr>
      </w:pPr>
      <w:r>
        <w:rPr>
          <w:noProof/>
        </w:rPr>
        <w:t xml:space="preserve">Toimenpiteeseen sisältyy Espanjan hallituksen hyväksymä Espanjan tiede-, teknologia- ja innovaatiostrategia vuosiksi 2021–2027. Strategiassa esitetään alan yleiset tavoitteet vuosiksi 2021–2027. Tietämyksen siirron tehostamiseksi strategiassa on yhdistetty aiemmin erilliset tiede- ja teknologiastrategiat sekä innovaatiostrategia. Strategia tarjoaa puitteet, jotka ohjaavat sekä kansallisia että alueellisia T &amp; K &amp; I-suunnitelmia. Tätä varten Espanja on hyväksynyt Euroopan aluekehitysrahaston (EAKR) puitteissa Espanjan älykkään erikoistumisen strategiaa koskevan strategian, joka muodostaa rakenteen tuleville alueellisille älykkään erikoistumisen strategioille. </w:t>
      </w:r>
    </w:p>
    <w:p w14:paraId="46C75450" w14:textId="19D52536" w:rsidR="0065073E" w:rsidRDefault="000A0998">
      <w:pPr>
        <w:pStyle w:val="P68B1DB1-Normal4"/>
        <w:spacing w:before="120" w:after="120" w:line="240" w:lineRule="auto"/>
        <w:jc w:val="both"/>
        <w:rPr>
          <w:rFonts w:cs="Times New Roman"/>
          <w:noProof/>
        </w:rPr>
      </w:pPr>
      <w:r>
        <w:rPr>
          <w:noProof/>
        </w:rPr>
        <w:t xml:space="preserve">Strategian kehitti tiede-, teknologia- ja innovaationeuvosto, jonka puheenjohtajana toimii tiede- ja innovaatioministeriö ja jossa oli edustettuina keskeiset ministeriöt ja alueet. Strategiaa on kuultu keskeisten sidosryhmien, kuten yksityisen sektorin, julkisten tutkimusorganisaatioiden ja kansalaisyhteiskunnan, kanssa. Strategian seurantaa ja arviointia varten perustettiin komitea, jossa olivat edustettuina valtio, alueet, taloudelliset ja yhteiskunnalliset toimijat, tieteellinen ja innovatiivinen yhteisö sekä kansalaisyhteiskunta. </w:t>
      </w:r>
    </w:p>
    <w:p w14:paraId="67FA60AB" w14:textId="77777777" w:rsidR="0065073E" w:rsidRDefault="000A0998">
      <w:pPr>
        <w:pStyle w:val="P68B1DB1-Normal4"/>
        <w:spacing w:before="120" w:after="120" w:line="240" w:lineRule="auto"/>
        <w:jc w:val="both"/>
        <w:rPr>
          <w:rFonts w:cs="Times New Roman"/>
          <w:noProof/>
        </w:rPr>
      </w:pPr>
      <w:r>
        <w:rPr>
          <w:noProof/>
        </w:rPr>
        <w:t>Strategiassa on esitettävä vuotuiset seurantakertomukset, väliarviointi (joulukuuhun 2023 mennessä) ja strategian loppuarviointi julkistetaan. Arvioinneissa tarkastellaan myös edistymistä Espanjalle tutkimus- ja kehitysalalla annettujen maakohtaisten suositusten noudattamisessa. Lisäksi tällä toimenpiteellä pyritään erityisesti parantamaan tieteen, teknologian ja innovoinnin tietojärjestelmää sekä parantamaan tietojen keruuta ja analysointia Espanjan tiede-, teknologia- ja innovaatiostrategian seurantaa varten.</w:t>
      </w:r>
    </w:p>
    <w:p w14:paraId="0B5B77A3" w14:textId="77777777" w:rsidR="0065073E" w:rsidRDefault="000A0998">
      <w:pPr>
        <w:pStyle w:val="P68B1DB1-Normal4"/>
        <w:autoSpaceDE w:val="0"/>
        <w:autoSpaceDN w:val="0"/>
        <w:spacing w:before="40" w:after="40"/>
        <w:rPr>
          <w:rFonts w:cs="Times New Roman"/>
          <w:noProof/>
        </w:rPr>
      </w:pPr>
      <w:r>
        <w:rPr>
          <w:noProof/>
        </w:rPr>
        <w:t xml:space="preserve">Toimenpiteen täytäntöönpano on saatettava päätökseen 31 päivään joulukuuta 2023 mennessä. </w:t>
      </w:r>
    </w:p>
    <w:p w14:paraId="4F0950D3" w14:textId="77777777" w:rsidR="0065073E" w:rsidRDefault="000A0998">
      <w:pPr>
        <w:pStyle w:val="P68B1DB1-Normal5"/>
        <w:spacing w:before="120" w:after="120" w:line="240" w:lineRule="auto"/>
        <w:jc w:val="both"/>
        <w:rPr>
          <w:rFonts w:cs="Times New Roman"/>
          <w:noProof/>
        </w:rPr>
      </w:pPr>
      <w:r>
        <w:rPr>
          <w:noProof/>
        </w:rPr>
        <w:t xml:space="preserve">Uudistus 3 (C17.R3): Julkisten tutkimusorganisaatioiden </w:t>
      </w:r>
      <w:bookmarkStart w:id="53" w:name="_Hlk60056040"/>
      <w:r>
        <w:rPr>
          <w:noProof/>
        </w:rPr>
        <w:t xml:space="preserve">uudelleenorganisointi </w:t>
      </w:r>
      <w:bookmarkEnd w:id="53"/>
      <w:r>
        <w:rPr>
          <w:noProof/>
        </w:rPr>
        <w:t>ja niiden rakenteen ja toiminnan järkeistäminen</w:t>
      </w:r>
    </w:p>
    <w:p w14:paraId="336E99BA"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parantaa julkisten tutkimusorganisaatioiden tehokkuutta haasteiden analysoinnin jälkeen järjestämällä uudelleen julkiset tutkimusorganisaatiot ja niiden hallintorakenne. Vuoden 2021 alussa asiantuntijakomitea analysoi tuottajaorganisaatioita ja totesi, että suuremmilla, riippumattomilla ja joustavilla tutkimusvirastoilla on paremmat rakenteet kilpaillakseen. </w:t>
      </w:r>
    </w:p>
    <w:p w14:paraId="350C3DB4" w14:textId="21014EE7" w:rsidR="0065073E" w:rsidRDefault="000A0998">
      <w:pPr>
        <w:pStyle w:val="P68B1DB1-Normal4"/>
        <w:spacing w:before="120" w:after="120" w:line="240" w:lineRule="auto"/>
        <w:jc w:val="both"/>
        <w:rPr>
          <w:rFonts w:cs="Times New Roman"/>
          <w:noProof/>
        </w:rPr>
      </w:pPr>
      <w:r>
        <w:rPr>
          <w:noProof/>
        </w:rPr>
        <w:t>Tämän analyysin perusteella Espanjan on integroitava Espanjan kansalliseen tutkimusneuvostoon (</w:t>
      </w:r>
      <w:r>
        <w:rPr>
          <w:i/>
          <w:noProof/>
        </w:rPr>
        <w:t>Centro Superior de Investigaciones Científicas</w:t>
      </w:r>
      <w:r>
        <w:rPr>
          <w:noProof/>
        </w:rPr>
        <w:t>, CSIC) kolme PRO-organisaatiota: kansallinen maatalous- ja elintarviketutkimusinstituutti (</w:t>
      </w:r>
      <w:r>
        <w:rPr>
          <w:i/>
          <w:noProof/>
        </w:rPr>
        <w:t>Instituto Nacional de Investigación y Tecnología Agraria</w:t>
      </w:r>
      <w:r>
        <w:rPr>
          <w:noProof/>
        </w:rPr>
        <w:t>, INIA), Espanjan merentutkimuslaitos (</w:t>
      </w:r>
      <w:r>
        <w:rPr>
          <w:i/>
          <w:noProof/>
        </w:rPr>
        <w:t>Instituto Español de Oceanografía</w:t>
      </w:r>
      <w:r>
        <w:rPr>
          <w:noProof/>
        </w:rPr>
        <w:t>, IEO) ja Espanjan geologisen ja kaivostoiminnan instituutti (</w:t>
      </w:r>
      <w:r>
        <w:rPr>
          <w:i/>
          <w:noProof/>
        </w:rPr>
        <w:t>Instituto Geológico Minero de España</w:t>
      </w:r>
      <w:r>
        <w:rPr>
          <w:noProof/>
        </w:rPr>
        <w:t xml:space="preserve">, IGME). Uudelleenjärjestelyllä vahvistetaan Espanjan asiantuntijoiden valmiuksia kalastuspolitiikassa, maatalouselintarvikealalla ja ekologisessa siirtymässä. Näillä kolmella PRO:lla on oltava valtion viraston oikeudellinen järjestelmä, joka tarjoaa enemmän joustavuutta ja suoritusperusteisen kehyksen, joka vahvistetaan monivuotisessa hallinnointisopimuksessa. Lisäksi Espanjan on otettava käyttöön tulosbudjetointi. Uudistuksella vahvistetaan tuloksena olevan yhteisön hallintoa, tuloksellisuuden arviointia ja valvontaa. </w:t>
      </w:r>
    </w:p>
    <w:p w14:paraId="31A7E0A8" w14:textId="77777777" w:rsidR="0065073E" w:rsidRDefault="000A0998">
      <w:pPr>
        <w:pStyle w:val="P68B1DB1-Text118"/>
        <w:ind w:left="0"/>
        <w:rPr>
          <w:rFonts w:cs="Times New Roman"/>
          <w:noProof/>
        </w:rPr>
      </w:pPr>
      <w:r>
        <w:rPr>
          <w:noProof/>
        </w:rPr>
        <w:t xml:space="preserve">Toimenpiteen täytäntöönpano on saatettava päätökseen 31 päivään joulukuuta 2022 mennessä. </w:t>
      </w:r>
    </w:p>
    <w:p w14:paraId="106264B3" w14:textId="16AD2061" w:rsidR="0065073E" w:rsidRDefault="000A0998">
      <w:pPr>
        <w:pStyle w:val="P68B1DB1-Normal5"/>
        <w:keepNext/>
        <w:spacing w:before="120" w:after="120" w:line="240" w:lineRule="auto"/>
        <w:jc w:val="both"/>
        <w:rPr>
          <w:rFonts w:cs="Times New Roman"/>
          <w:noProof/>
        </w:rPr>
      </w:pPr>
      <w:r>
        <w:rPr>
          <w:noProof/>
        </w:rPr>
        <w:t>Investointi 1 (C17.I1): Täydentävät tutkimus- ja kehittämissuunnitelmat itsehallintoalueiden kanssa</w:t>
      </w:r>
    </w:p>
    <w:p w14:paraId="29BDEE70" w14:textId="0ABFE5C9" w:rsidR="0065073E" w:rsidRDefault="000A0998">
      <w:pPr>
        <w:pStyle w:val="P68B1DB1-Normal4"/>
        <w:keepNext/>
        <w:spacing w:before="120" w:after="120" w:line="240" w:lineRule="auto"/>
        <w:jc w:val="both"/>
        <w:rPr>
          <w:rFonts w:cs="Times New Roman"/>
          <w:noProof/>
        </w:rPr>
      </w:pPr>
      <w:r>
        <w:rPr>
          <w:noProof/>
        </w:rPr>
        <w:t xml:space="preserve">Tämän toimenpiteen tavoitteena on edistää valtion tason koordinointia alueiden kanssa T &amp; K &amp; I-alalla laatimalla täydentäviä T &amp; K &amp; I-suunnitelmia, joita elpymis- ja palautumistukivälineestä ja alueista osarahoitetaan. Tällä uudella välineellä edistetään myös alueiden välistä yhteistyötä, koska ne määrittävät yhteisiä painopisteitä alueellisten älykkään erikoistumisen strategioidensa (RIS3) puitteissa. </w:t>
      </w:r>
    </w:p>
    <w:p w14:paraId="7670F622" w14:textId="4B3D0054" w:rsidR="0065073E" w:rsidRDefault="000A0998">
      <w:pPr>
        <w:pStyle w:val="P68B1DB1-Normal4"/>
        <w:spacing w:before="120" w:after="120" w:line="240" w:lineRule="auto"/>
        <w:jc w:val="both"/>
        <w:rPr>
          <w:rFonts w:cs="Times New Roman"/>
          <w:noProof/>
        </w:rPr>
      </w:pPr>
      <w:r>
        <w:rPr>
          <w:noProof/>
        </w:rPr>
        <w:t>Espanjan tiede-, teknologia- ja innovaatiostrategian 2021–2027 mukaisesti täydentävillä suunnitelmilla parannetaan tietämyksen tuottamista ja teknologista innovointia, eri hallintotasojen koordinointia ja vauhditetaan alueellista taloudellista muutosta seuraavilla strategisilla aloilla: kvanttiviestintä, energia ja vihreä vety, maatalouselintarvikkeet, biologinen monimuotoisuus, astrofysiika ja energiafysiika, meritieteet, materiaalitiede ja terveyteen sovellettava bioteknologia. Alueellisten synergioiden luomiseksi täydentävissä suunnitelmissa suunnitellaan useiden alueiden osallistumista ohjelmaan ja mahdollisuutta osallistua useisiin ohjelmiin. Näin ollen on mahdollista sisällyttää ja hyödyntää erityisiä alueellisia valmiuksia useissa suunnitelmissa. Suunnitelmien on kestettävä kaksi tai kolme vuotta, ja ne edellyttävät osarahoitussitoumuksia alueilta.</w:t>
      </w:r>
    </w:p>
    <w:p w14:paraId="669F6013" w14:textId="77777777" w:rsidR="0065073E" w:rsidRDefault="000A0998">
      <w:pPr>
        <w:pStyle w:val="P68B1DB1-Normal4"/>
        <w:spacing w:before="120" w:after="120" w:line="240" w:lineRule="auto"/>
        <w:jc w:val="both"/>
        <w:rPr>
          <w:rFonts w:cs="Times New Roman"/>
          <w:noProof/>
        </w:rPr>
      </w:pPr>
      <w:r>
        <w:rPr>
          <w:noProof/>
        </w:rPr>
        <w:t xml:space="preserve">Tämän investoinnin puitteissa toteutettaviin toimiin kuuluu kahdeksan rahoitussopimuksen allekirjoittaminen tiede- ja innovaatioministeriön ja alueiden välillä. </w:t>
      </w:r>
    </w:p>
    <w:p w14:paraId="0B359E22" w14:textId="77777777" w:rsidR="0065073E" w:rsidRDefault="000A0998">
      <w:pPr>
        <w:pStyle w:val="P68B1DB1-Text118"/>
        <w:ind w:left="0"/>
        <w:rPr>
          <w:rFonts w:cs="Times New Roman"/>
          <w:noProof/>
        </w:rPr>
      </w:pPr>
      <w:r>
        <w:rPr>
          <w:noProof/>
        </w:rPr>
        <w:t xml:space="preserve">Investoinnin toteutus saatetaan päätökseen 31. joulukuuta 2025 mennessä. </w:t>
      </w:r>
    </w:p>
    <w:p w14:paraId="2300410A" w14:textId="77777777" w:rsidR="0065073E" w:rsidRDefault="000A0998">
      <w:pPr>
        <w:pStyle w:val="P68B1DB1-Normal5"/>
        <w:spacing w:before="120" w:after="120" w:line="240" w:lineRule="auto"/>
        <w:jc w:val="both"/>
        <w:rPr>
          <w:rFonts w:cs="Times New Roman"/>
          <w:noProof/>
        </w:rPr>
      </w:pPr>
      <w:r>
        <w:rPr>
          <w:noProof/>
        </w:rPr>
        <w:t xml:space="preserve">Investointi 2 (C17.I2): Valtion tiede-, teknologia- ja innovaatiojärjestelmän valmiuksien, infrastruktuurin ja laitteiden vahvistaminen </w:t>
      </w:r>
    </w:p>
    <w:p w14:paraId="5BCBE96F" w14:textId="77777777" w:rsidR="0065073E" w:rsidRDefault="000A0998">
      <w:pPr>
        <w:pStyle w:val="P68B1DB1-Normal4"/>
        <w:spacing w:before="120" w:after="120" w:line="240" w:lineRule="auto"/>
        <w:jc w:val="both"/>
        <w:rPr>
          <w:rFonts w:cs="Times New Roman"/>
          <w:noProof/>
        </w:rPr>
      </w:pPr>
      <w:r>
        <w:rPr>
          <w:noProof/>
        </w:rPr>
        <w:t xml:space="preserve">Investoinnissa keskitytään T &amp; K &amp; I-järjestelmän teknisten tieteellisten laitteiden ja infrastruktuurin toimittamiseen, parantamiseen ja päivittämiseen, jotta voidaan helpottaa huippututkimusta ja parantaa järjestelmän kilpailukykyä. </w:t>
      </w:r>
    </w:p>
    <w:p w14:paraId="38C72822" w14:textId="77777777" w:rsidR="0065073E" w:rsidRDefault="000A0998">
      <w:pPr>
        <w:pStyle w:val="P68B1DB1-Normal4"/>
        <w:spacing w:before="120" w:after="120" w:line="240" w:lineRule="auto"/>
        <w:jc w:val="both"/>
        <w:rPr>
          <w:rFonts w:cs="Times New Roman"/>
          <w:noProof/>
        </w:rPr>
      </w:pPr>
      <w:r>
        <w:rPr>
          <w:noProof/>
        </w:rPr>
        <w:t xml:space="preserve">Tällä investoinnilla tuetaan tieteen, teknologian ja innovoinnin alan infrastruktuuria ja laitteita ehdotuspyyntöjen avulla. Investoinnilla on myös rahoitettava ennallistamista, päivittämistä tai uutta strategista kansallista infrastruktuuria, kuten bioturvallisuustason 3 laitosinfrastruktuuri tarttuvien patogeenien uusiin haasteisiin vastaamiseksi, uuden fytogeneettisen laitoksen rakentaminen, uuden kehittyneen optiikan keskuksen perustaminen ja </w:t>
      </w:r>
      <w:r>
        <w:rPr>
          <w:i/>
          <w:noProof/>
        </w:rPr>
        <w:t>Centro de Investigaciones Energéticas, Medioambientales y Tecnológicas (</w:t>
      </w:r>
      <w:r>
        <w:rPr>
          <w:noProof/>
        </w:rPr>
        <w:t xml:space="preserve"> CIEMAT) infrastruktuurin parantaminen uusiutuvia energialähteitä koskevan tutkimuksen toteuttamiseksi tarvittavalla infrastruktuurilla. Tuettavia erityistoimia ovat Espanjaan sijoittautuneet suuret tieteelliset infrastruktuurit, erityisesti ne, jotka sisältyvät yksilöllisten tieteellisten ja teknisten infrastruktuurien karttaan (ICTS) (Mapa</w:t>
      </w:r>
      <w:r>
        <w:rPr>
          <w:i/>
          <w:noProof/>
        </w:rPr>
        <w:t>de Infraestructuras Científicas y Técnicas Singulares</w:t>
      </w:r>
      <w:r>
        <w:rPr>
          <w:noProof/>
        </w:rPr>
        <w:t xml:space="preserve">). Lisäksi investoinnilla tuetaan eurooppalaisia ja kansainvälisiä infrastruktuureja, kuten CERN:ää ja syvää maanalaista Neutrino -kokeilua. </w:t>
      </w:r>
    </w:p>
    <w:p w14:paraId="4B5B6DE7" w14:textId="77777777" w:rsidR="0065073E" w:rsidRDefault="000A0998">
      <w:pPr>
        <w:pStyle w:val="P68B1DB1-Normal4"/>
        <w:spacing w:before="120" w:after="120" w:line="240" w:lineRule="auto"/>
        <w:jc w:val="both"/>
        <w:rPr>
          <w:rFonts w:cs="Times New Roman"/>
          <w:noProof/>
        </w:rPr>
      </w:pPr>
      <w:r>
        <w:rPr>
          <w:noProof/>
        </w:rPr>
        <w:t xml:space="preserve">Lisäksi investointiin sisältyy useita avustuspyyntöjä, joilla parannetaan Espanjan T &amp; K &amp; I-järjestelmän kansainvälistymiskapasiteettia. Niitä ovat muun muassa seuraavat: eurooppalaista projektinhallintaa koskeva ehdotuspyyntö, Eurooppa -tutkimusta koskeva ehdotuspyyntö 2020, Euroopan huippuosaamista koskeva ehdotuspyyntö 2020, 2022 ja 2023. Investointi koskee myös T &amp; K-toiminnan hallinnoinnin digitalisointia. </w:t>
      </w:r>
    </w:p>
    <w:p w14:paraId="0D9410AF" w14:textId="4E6478F4" w:rsidR="0065073E" w:rsidRDefault="000A0998">
      <w:pPr>
        <w:pStyle w:val="P68B1DB1-Normal4"/>
        <w:spacing w:before="120" w:after="120" w:line="240" w:lineRule="auto"/>
        <w:jc w:val="both"/>
        <w:rPr>
          <w:rFonts w:cs="Times New Roman"/>
          <w:noProof/>
        </w:rPr>
      </w:pPr>
      <w:r>
        <w:rPr>
          <w:noProof/>
        </w:rPr>
        <w:t xml:space="preserve"> Tämän investoinnin mukaiset toimet toteutetaan ehdotuspyyntöjen ja suorien julkisten investointien avulla. </w:t>
      </w:r>
    </w:p>
    <w:p w14:paraId="0450D448" w14:textId="650D5B3C" w:rsidR="0065073E" w:rsidRDefault="000A0998">
      <w:pPr>
        <w:pStyle w:val="P68B1DB1-Normal4"/>
        <w:spacing w:before="120" w:after="120" w:line="240" w:lineRule="auto"/>
        <w:jc w:val="both"/>
        <w:rPr>
          <w:rFonts w:cs="Times New Roman"/>
          <w:noProof/>
        </w:rPr>
      </w:pPr>
      <w:r>
        <w:rPr>
          <w:noProof/>
        </w:rPr>
        <w:t xml:space="preserve">Lisäksi investoinneilla tuetaan tutkimuksen kehittämis- ja innovointihankkeita </w:t>
      </w:r>
      <w:r>
        <w:rPr>
          <w:i/>
          <w:noProof/>
        </w:rPr>
        <w:t>puolijohde- ja mikroelektroniikka-alojen arvoketjussa elpymistä ja talouden muuntamista koskevan strategisen hankkeen (</w:t>
      </w:r>
      <w:r>
        <w:rPr>
          <w:noProof/>
        </w:rPr>
        <w:t xml:space="preserve"> PERTE Chip) puitteissa. Investointeja on tehtävä erityisesti rakentamiseen, pinta-alan kasvattamiseen, olemassa olevan infrastruktuurin ja laitteiden vahvistamiseen puhtaiden tilojen alalla (CSIC:n kansallinen mikroelektroniikkakeskus ja yksilöllinen tieteellinen ja tekninen infrastruktuuri (ICTS) Distributed MICRONANOFABS) sekä toimiin suurteholaskentaan liittyvien puolijohteiden alan valmiuksien vahvistamiseksi (Mare Nostrum 5, Espanjan supertietokoneverkosto (RES) ja kansallinen koulutus- ja tutkimusviestintäverkosto (RedIRIS). sekä Espanjan rahoitusosuus yhteisyritykselle kumppanuutta koskevan puitesopimuksen tekemiseksi suurteholaskentaa koskevan laajamittaisen eurooppalaisen aloitteen kehittämiseksi RISC-V:hen perustuvan ekosysteemin kanssa. </w:t>
      </w:r>
    </w:p>
    <w:p w14:paraId="2BC2CF30" w14:textId="39A6DA18" w:rsidR="0065073E" w:rsidRDefault="000A0998">
      <w:pPr>
        <w:pStyle w:val="P68B1DB1-Text118"/>
        <w:ind w:left="0"/>
        <w:rPr>
          <w:rFonts w:cs="Times New Roman"/>
          <w:noProof/>
        </w:rPr>
      </w:pPr>
      <w:r>
        <w:rPr>
          <w:noProof/>
        </w:rPr>
        <w:t xml:space="preserve">Investoinnin toteutus on saatettava päätökseen 31 päivään </w:t>
      </w:r>
      <w:r>
        <w:rPr>
          <w:noProof/>
          <w:shd w:val="clear" w:color="auto" w:fill="FFFFFF" w:themeFill="background1"/>
        </w:rPr>
        <w:t>elokuuta</w:t>
      </w:r>
      <w:r>
        <w:rPr>
          <w:noProof/>
        </w:rPr>
        <w:t xml:space="preserve"> 2026 mennessä.</w:t>
      </w:r>
      <w:r>
        <w:rPr>
          <w:noProof/>
          <w:shd w:val="clear" w:color="auto" w:fill="E6E6E6"/>
        </w:rPr>
        <w:t xml:space="preserve"> </w:t>
      </w:r>
    </w:p>
    <w:p w14:paraId="6B9333B6" w14:textId="77777777" w:rsidR="0065073E" w:rsidRDefault="000A0998">
      <w:pPr>
        <w:pStyle w:val="P68B1DB1-Normal5"/>
        <w:spacing w:before="120" w:after="120" w:line="240" w:lineRule="auto"/>
        <w:jc w:val="both"/>
        <w:rPr>
          <w:rFonts w:cs="Times New Roman"/>
          <w:noProof/>
        </w:rPr>
      </w:pPr>
      <w:r>
        <w:rPr>
          <w:noProof/>
        </w:rPr>
        <w:t>Investointi 3 (C17.I3): Uudet yksityiset, tieteidenväliset, julkiset T &amp; K &amp; I-hankkeet, konseptitestit ja tuen myöntäminen kansainvälisten kilpailuun perustuvien ehdotuspyyntöjen perusteella. Huipputason tutkimus- ja kehitystyö, joka on suunnattu yhteiskunnallisiin haasteisiin. Esikaupalliset julkiset hankinnat</w:t>
      </w:r>
    </w:p>
    <w:p w14:paraId="0933ADB4" w14:textId="4A3CB5EE" w:rsidR="0065073E" w:rsidRDefault="000A0998">
      <w:pPr>
        <w:pStyle w:val="P68B1DB1-Normal4"/>
        <w:spacing w:before="120" w:after="120" w:line="240" w:lineRule="auto"/>
        <w:jc w:val="both"/>
        <w:rPr>
          <w:rFonts w:cs="Times New Roman"/>
          <w:noProof/>
        </w:rPr>
      </w:pPr>
      <w:r>
        <w:rPr>
          <w:noProof/>
        </w:rPr>
        <w:t xml:space="preserve">Tämän investoinnin toimien tavoitteena on vahvistaa tietämyksen tuottamista, tietämyksen siirtoa ja julkisen ja yksityisen sektorin kumppanuuksia T &amp; K &amp; I-toiminnassa. Tähän investointiin sisältyvien toimien avulla lisätään yksityisen sektorin tutkimus- ja innovointitoimintaa ja vahvistetaan julkisten tutkimusorganisaatioiden ja yksityisen sektorin välistä yhteistyötä. Toimenpiteellä pyritään myös lisäämään T &amp; K &amp; I-toimintaa strategisilla aloilla, kuten vihreässä ja digitaalisessa siirtymässä, sekä lisäämään espanjalaisten tutkimusryhmien kansainvälistymistä. </w:t>
      </w:r>
    </w:p>
    <w:p w14:paraId="1E9B8B1D" w14:textId="0DF6FB71" w:rsidR="0065073E" w:rsidRDefault="000A0998">
      <w:pPr>
        <w:pStyle w:val="P68B1DB1-Normal4"/>
        <w:spacing w:before="120" w:after="120" w:line="240" w:lineRule="auto"/>
        <w:jc w:val="both"/>
        <w:rPr>
          <w:rFonts w:cs="Times New Roman"/>
          <w:noProof/>
        </w:rPr>
      </w:pPr>
      <w:r>
        <w:rPr>
          <w:noProof/>
        </w:rPr>
        <w:t xml:space="preserve">Investointiin sisältyy yhdeksän ehdotuspyyntöä: 1) </w:t>
      </w:r>
      <w:r>
        <w:rPr>
          <w:i/>
          <w:noProof/>
        </w:rPr>
        <w:t>konseptin toimivuuden osoittamista koskevalla ehdotuspyynnöllä rahoitetaan</w:t>
      </w:r>
      <w:r>
        <w:rPr>
          <w:noProof/>
        </w:rPr>
        <w:t xml:space="preserve"> hankkeita, jotka ovat käynnissä kilpailua edeltävän kehityksen alkuvaiheessa, jotta voidaan nopeuttaa tieteellisen tiedon muuntamista tuotteiksi tai palveluiksi, 2) tieteidenvälisiä hankkeita rahoitetaan sellaisten julkisen ja yksityisen sektorin yhteenliittymien hankkeita, jotka parantavat Espanjan T &amp; K &amp; I-kilpailukykyä, 3) vihreään ja digitaaliseen siirtymään liittyviä T &amp; </w:t>
      </w:r>
      <w:r>
        <w:rPr>
          <w:i/>
          <w:noProof/>
        </w:rPr>
        <w:t>K &amp; I -hankkeita koskeva ehdotuspyyntö 4) julkisen ja yksityisen sektorin yhteistyöhankkeita koskeva ehdotuspyyntö sellaisten hankkeiden rahoittamiseksi</w:t>
      </w:r>
      <w:r>
        <w:rPr>
          <w:noProof/>
        </w:rPr>
        <w:t xml:space="preserve">, joilla </w:t>
      </w:r>
      <w:r>
        <w:rPr>
          <w:i/>
          <w:noProof/>
        </w:rPr>
        <w:t>on</w:t>
      </w:r>
      <w:r>
        <w:rPr>
          <w:noProof/>
        </w:rPr>
        <w:t xml:space="preserve"> korkeampi teknologian valmiustaso ja joiden tavoitteena on päästä lähelle markkinoita, 5) ehdotuspyyntö, joka koskee </w:t>
      </w:r>
      <w:r>
        <w:rPr>
          <w:i/>
          <w:noProof/>
        </w:rPr>
        <w:t>kansainvälisiä yhteistyöhankkeita sellaisten espanjalaisten julkisten tutkijoiden hankkeiden rahoittamiseksi</w:t>
      </w:r>
      <w:r>
        <w:rPr>
          <w:noProof/>
        </w:rPr>
        <w:t xml:space="preserve">, jotka ovat osa Horisontti 2020 -ohjelmasta ja Horisontti Eurooppa -kumppanuuksista rahoitettaviksi valittuja hankkeita, 6) tutkimus- ja kehittämistoimintapyyntö yhteiskunnallisiin haasteisiin vastaamiseksi, mukaan lukien turvallinen, tehokas ja puhdas energia tai kyberturvallisuus, 7) ehdotuspyyntö esikaupallisten julkisten hankintojen rahoittamiseksi nimeltä </w:t>
      </w:r>
      <w:r>
        <w:rPr>
          <w:i/>
          <w:noProof/>
        </w:rPr>
        <w:t>Alliance for Innovation, 8</w:t>
      </w:r>
      <w:r>
        <w:rPr>
          <w:noProof/>
        </w:rPr>
        <w:t>) puolijohteiden alan T &amp; K &amp; I-hankkeita koskeva ehdotuspyyntö (”PERTE-siruun yhteydessä olevat tieteen ja innovoinnin missiot”) ja 9) puolijohteiden alan konseptin osoittamista koskeva pyyntö.</w:t>
      </w:r>
    </w:p>
    <w:p w14:paraId="50349E44" w14:textId="4E3B3581" w:rsidR="0065073E" w:rsidRDefault="000A0998">
      <w:pPr>
        <w:pStyle w:val="P68B1DB1-Normal4"/>
        <w:spacing w:before="120" w:after="120" w:line="240" w:lineRule="auto"/>
        <w:jc w:val="both"/>
        <w:rPr>
          <w:rFonts w:cs="Times New Roman"/>
          <w:noProof/>
        </w:rPr>
      </w:pPr>
      <w:r>
        <w:rPr>
          <w:noProof/>
        </w:rPr>
        <w:t xml:space="preserve">Tämän toimenpiteen mukaiset investoinnit on tehtävä vuosina 2020–2026 siten, että ehdotuspyynnöt ja esikaupalliset julkiset hankinnat keskitetään kaudelle 2020–2025 ja osa monimutkaisemmista investoinneista toteutetaan vuoteen 2026 saakka.   </w:t>
      </w:r>
    </w:p>
    <w:p w14:paraId="0DA88287" w14:textId="161C4647" w:rsidR="0065073E" w:rsidRDefault="000A0998">
      <w:pPr>
        <w:pStyle w:val="Text1"/>
        <w:ind w:left="0"/>
        <w:rPr>
          <w:rFonts w:ascii="Times New Roman" w:hAnsi="Times New Roman" w:cs="Times New Roman"/>
          <w:noProof/>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61"/>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62"/>
      </w:r>
      <w:r>
        <w:rPr>
          <w:rFonts w:ascii="Times New Roman" w:hAnsi="Times New Roman"/>
          <w:noProof/>
        </w:rPr>
        <w:t>; III) jätteen kaatopaikkoihin, polttolaitoksiin</w:t>
      </w:r>
      <w:r>
        <w:rPr>
          <w:rStyle w:val="FootnoteReference"/>
          <w:rFonts w:ascii="Times New Roman" w:hAnsi="Times New Roman" w:cs="Times New Roman"/>
          <w:noProof/>
        </w:rPr>
        <w:footnoteReference w:id="163"/>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64"/>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14A43722" w14:textId="77777777" w:rsidR="0065073E" w:rsidRDefault="000A0998">
      <w:pPr>
        <w:pStyle w:val="P68B1DB1-Normal4"/>
        <w:spacing w:before="120" w:after="120" w:line="240" w:lineRule="auto"/>
        <w:jc w:val="both"/>
        <w:rPr>
          <w:rFonts w:cs="Times New Roman"/>
          <w:noProof/>
        </w:rPr>
      </w:pPr>
      <w:r>
        <w:rPr>
          <w:noProof/>
        </w:rPr>
        <w:t>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7AE3CEC4" w14:textId="50808402" w:rsidR="0065073E" w:rsidRDefault="000A0998">
      <w:pPr>
        <w:pStyle w:val="P68B1DB1-Normal4"/>
        <w:autoSpaceDE w:val="0"/>
        <w:autoSpaceDN w:val="0"/>
        <w:spacing w:before="40" w:after="40"/>
        <w:rPr>
          <w:rFonts w:cs="Times New Roman"/>
          <w:noProof/>
        </w:rPr>
      </w:pPr>
      <w:r>
        <w:rPr>
          <w:noProof/>
        </w:rPr>
        <w:t xml:space="preserve">Investoinnin toteutus on saatettava päätökseen </w:t>
      </w:r>
      <w:r>
        <w:rPr>
          <w:noProof/>
          <w:shd w:val="clear" w:color="auto" w:fill="FFFFFF" w:themeFill="background1"/>
        </w:rPr>
        <w:t>31 päivään elokuuta</w:t>
      </w:r>
      <w:r>
        <w:rPr>
          <w:noProof/>
        </w:rPr>
        <w:t xml:space="preserve"> 2026 mennessä. </w:t>
      </w:r>
    </w:p>
    <w:p w14:paraId="108036FB" w14:textId="608E2A3D" w:rsidR="0065073E" w:rsidRDefault="000A0998">
      <w:pPr>
        <w:pStyle w:val="P68B1DB1-Normal5"/>
        <w:keepNext/>
        <w:spacing w:before="120" w:after="120" w:line="240" w:lineRule="auto"/>
        <w:jc w:val="both"/>
        <w:rPr>
          <w:rFonts w:cs="Times New Roman"/>
          <w:noProof/>
        </w:rPr>
      </w:pPr>
      <w:r>
        <w:rPr>
          <w:noProof/>
        </w:rPr>
        <w:t>Investointi 4 (C17.I4): Uusi tieteellinen ura</w:t>
      </w:r>
    </w:p>
    <w:p w14:paraId="21CA05BD" w14:textId="7BA824F6" w:rsidR="0065073E" w:rsidRDefault="000A0998">
      <w:pPr>
        <w:pStyle w:val="P68B1DB1-Normal4"/>
        <w:spacing w:before="120" w:after="120" w:line="240" w:lineRule="auto"/>
        <w:jc w:val="both"/>
        <w:rPr>
          <w:rFonts w:cs="Times New Roman"/>
          <w:noProof/>
        </w:rPr>
      </w:pPr>
      <w:r>
        <w:rPr>
          <w:noProof/>
        </w:rPr>
        <w:t xml:space="preserve">Tämän investoinnin tavoitteena on edistää vakaata tieteellistä uraa. Se liittyy lausekkeeseen C17.R1. Päivitettyyn tiedelakiin sisällytetään Espanjassa uusi tieteellinen ura, joka tarjoaa puitteet koko tutkimushenkilöstölle, myös yliopistojen henkilöstölle. Järjestelmän on taattava avoimuus henkilöstön nimittämisessä, joustavuus, liikkuvuus ja vakaus tutkijanuralla. </w:t>
      </w:r>
    </w:p>
    <w:p w14:paraId="7C621AE3" w14:textId="55C0CAF6" w:rsidR="0065073E" w:rsidRDefault="000A0998">
      <w:pPr>
        <w:pStyle w:val="P68B1DB1-Text118"/>
        <w:ind w:left="0"/>
        <w:rPr>
          <w:rFonts w:cs="Times New Roman"/>
          <w:noProof/>
        </w:rPr>
      </w:pPr>
      <w:r>
        <w:rPr>
          <w:noProof/>
        </w:rPr>
        <w:t xml:space="preserve">Tuki myönnetään avustuksina, jotka myönnetään kilpailuun perustuvien ehdotuspyyntöjen perusteella seuraavissa ohjelmissa: 1) Doctores </w:t>
      </w:r>
      <w:r>
        <w:rPr>
          <w:i/>
          <w:noProof/>
        </w:rPr>
        <w:t>Industriales</w:t>
      </w:r>
      <w:r>
        <w:rPr>
          <w:noProof/>
        </w:rPr>
        <w:t xml:space="preserve"> -apuraha, nelivuotinen ohjelma tohtoriopiskelijoille yrityksessä (50 paikkaa), 2) </w:t>
      </w:r>
      <w:r>
        <w:rPr>
          <w:i/>
          <w:noProof/>
        </w:rPr>
        <w:t>Torres Quevedo</w:t>
      </w:r>
      <w:r>
        <w:rPr>
          <w:noProof/>
        </w:rPr>
        <w:t xml:space="preserve"> -apuraha, kolmivuotinen ohjelma tohtorintutkinnon suorittaneille yrityksille (170 paikkaa), 3) </w:t>
      </w:r>
      <w:r>
        <w:rPr>
          <w:i/>
          <w:noProof/>
        </w:rPr>
        <w:t>Juan de la Cierva -koulutusapuraha, joka on kaksivuotinen tohtorintutkintoa</w:t>
      </w:r>
      <w:r>
        <w:rPr>
          <w:noProof/>
        </w:rPr>
        <w:t xml:space="preserve"> akateemisissa oppilaitoksissa koskeva ohjelma, sisältää liikkuvuusapurahan (1200 paikkaa) ja 4) </w:t>
      </w:r>
      <w:r>
        <w:rPr>
          <w:i/>
          <w:noProof/>
        </w:rPr>
        <w:t>Juan de la Cierva Incorporation</w:t>
      </w:r>
      <w:r>
        <w:rPr>
          <w:noProof/>
        </w:rPr>
        <w:t xml:space="preserve"> -apuraha, joka on kolmivuotinen tohtorintutkintoa akateemisissa oppilaitoksissa koskeva ohjelma, johon sisältyy tutkimusapuraha (650 paikkaa). Tähän toimenpiteeseen sisältyy myös tutkimuksen käynnistyspaketti 750 tutkijalle, joilla on vakaat sopimukset akateemisissa laitoksissa tai julkisissa tutkimusorganisaatioissa, sekä erityinen tutkimuksen käynnistyspaketti 25:lle mikroelektroniikan ja puolijohteiden alalla toimivalle tutkijalle. Tämän investoinnin mukaiset toimet toteutetaan kilpailuun perustuvilla avustuspyynnöillä. </w:t>
      </w:r>
    </w:p>
    <w:p w14:paraId="5AAE6B5A" w14:textId="3F18F111" w:rsidR="0065073E" w:rsidRDefault="000A0998">
      <w:pPr>
        <w:pStyle w:val="P68B1DB1-Text118"/>
        <w:ind w:left="0"/>
        <w:rPr>
          <w:rFonts w:cs="Times New Roman"/>
          <w:noProof/>
        </w:rPr>
      </w:pPr>
      <w:r>
        <w:rPr>
          <w:noProof/>
        </w:rPr>
        <w:t xml:space="preserve">Investoinnin toteutus on saatettava päätökseen </w:t>
      </w:r>
      <w:r>
        <w:rPr>
          <w:noProof/>
          <w:shd w:val="clear" w:color="auto" w:fill="FFFFFF" w:themeFill="background1"/>
        </w:rPr>
        <w:t>31 päivään elokuuta</w:t>
      </w:r>
      <w:r>
        <w:rPr>
          <w:noProof/>
        </w:rPr>
        <w:t xml:space="preserve"> 2026 mennessä.</w:t>
      </w:r>
      <w:r>
        <w:rPr>
          <w:noProof/>
          <w:shd w:val="clear" w:color="auto" w:fill="E6E6E6"/>
        </w:rPr>
        <w:t xml:space="preserve"> </w:t>
      </w:r>
    </w:p>
    <w:p w14:paraId="70594352" w14:textId="77777777" w:rsidR="0065073E" w:rsidRDefault="000A0998">
      <w:pPr>
        <w:pStyle w:val="P68B1DB1-Normal5"/>
        <w:spacing w:before="120" w:after="120" w:line="240" w:lineRule="auto"/>
        <w:jc w:val="both"/>
        <w:rPr>
          <w:rFonts w:cs="Times New Roman"/>
          <w:noProof/>
        </w:rPr>
      </w:pPr>
      <w:r>
        <w:rPr>
          <w:noProof/>
        </w:rPr>
        <w:t>Investointi 5 (C17.I5): Tietämyksen siirto</w:t>
      </w:r>
    </w:p>
    <w:p w14:paraId="2B7882A6" w14:textId="77777777" w:rsidR="0065073E" w:rsidRDefault="000A0998">
      <w:pPr>
        <w:pStyle w:val="P68B1DB1-Normal4"/>
        <w:spacing w:before="120" w:after="120" w:line="240" w:lineRule="auto"/>
        <w:jc w:val="both"/>
        <w:rPr>
          <w:rFonts w:cs="Times New Roman"/>
          <w:noProof/>
        </w:rPr>
      </w:pPr>
      <w:r>
        <w:rPr>
          <w:noProof/>
        </w:rPr>
        <w:t xml:space="preserve">Investoinnin tavoitteena on edistää teknologian siirtoa ja tukea innovatiivisten teknologioiden tutkimustulosten siirtoa. Tämä investointi liittyy uudistukseen C17.R1; päivitetyllä tiedelailla tuetaan tietämyksen siirtoa houkuttelemalla tutkijoiden liikkuvuutta, luomalla joustava oikeudellinen väline teknologisten startup-yritysten yhteisinvestointeihin ja uudistamalla kannustinrakennetta siten, että tietämyksen siirto tunnustetaan asianmukaisesti tutkijalle maksettavassa korvauksessa ja perinteisessä tutkimustoiminnassa. </w:t>
      </w:r>
    </w:p>
    <w:p w14:paraId="4938D679" w14:textId="77777777" w:rsidR="0065073E" w:rsidRDefault="000A0998">
      <w:pPr>
        <w:pStyle w:val="P68B1DB1-Normal4"/>
        <w:spacing w:before="120" w:after="120" w:line="240" w:lineRule="auto"/>
        <w:jc w:val="both"/>
        <w:rPr>
          <w:rFonts w:cs="Times New Roman"/>
          <w:noProof/>
        </w:rPr>
      </w:pPr>
      <w:r>
        <w:rPr>
          <w:noProof/>
        </w:rPr>
        <w:t xml:space="preserve">Näihin toimenpiteisiin sisältyy kuusi erityistoimea tietämyksen siirron tehostamiseksi: 1) ehdotuspyyntö ” </w:t>
      </w:r>
      <w:r>
        <w:rPr>
          <w:i/>
          <w:noProof/>
        </w:rPr>
        <w:t>Cervera</w:t>
      </w:r>
      <w:r>
        <w:rPr>
          <w:noProof/>
        </w:rPr>
        <w:t xml:space="preserve"> -verkostoihin perustuvat innovaatioekosysteemit”, 2) tutkimustulosten siirtotoimistojen valmiuksien ja suuntautumisen parantaminen, 3) </w:t>
      </w:r>
      <w:r>
        <w:rPr>
          <w:i/>
          <w:noProof/>
        </w:rPr>
        <w:t>Cervera</w:t>
      </w:r>
      <w:r>
        <w:rPr>
          <w:noProof/>
        </w:rPr>
        <w:t xml:space="preserve"> -apurahojen myöntäminen teknologiakeskuksille, tutkimuskeskuksille ja pk-yrityksille ja midcap-yrityksille ensisijaisten teknologioiden tutkimusta ja kehittämistä varten, 4) espanjalaisten pk-yritysten tukemista eurooppalaisen huippuosaamismerkin avulla, 5) riskipääomatukea, jolla investoidaan ja investoidaan yrityksiin, joilla on strategisia teknologioita, teknologiansiirtorahaston avulla ja 6) tukea NEOTECille, joka on meneillään oleva T &amp; K-puiteohjelma teknologiayritysten perustamisen ja vakiinnuttamisen tukemiseksi. </w:t>
      </w:r>
    </w:p>
    <w:p w14:paraId="2488B454" w14:textId="77777777" w:rsidR="0065073E" w:rsidRDefault="000A0998">
      <w:pPr>
        <w:pStyle w:val="P68B1DB1-Normal4"/>
        <w:spacing w:before="120" w:after="120" w:line="240" w:lineRule="auto"/>
        <w:jc w:val="both"/>
        <w:rPr>
          <w:rFonts w:cs="Times New Roman"/>
          <w:noProof/>
        </w:rPr>
      </w:pPr>
      <w:r>
        <w:rPr>
          <w:noProof/>
        </w:rPr>
        <w:t xml:space="preserve">Tämän investoinnin mukaiset toimet toteutetaan pääasiassa ehdotuspyyntöjen avulla.  </w:t>
      </w:r>
    </w:p>
    <w:p w14:paraId="2B7AC239" w14:textId="4035D0BE"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65"/>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66"/>
      </w:r>
      <w:r>
        <w:rPr>
          <w:rFonts w:ascii="Times New Roman" w:hAnsi="Times New Roman"/>
          <w:noProof/>
        </w:rPr>
        <w:t>; III) jätteen kaatopaikkoihin, polttolaitoksiin</w:t>
      </w:r>
      <w:r>
        <w:rPr>
          <w:rStyle w:val="FootnoteReference"/>
          <w:rFonts w:ascii="Times New Roman" w:hAnsi="Times New Roman" w:cs="Times New Roman"/>
          <w:noProof/>
        </w:rPr>
        <w:footnoteReference w:id="167"/>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68"/>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1F79D808" w14:textId="77777777" w:rsidR="0065073E" w:rsidRDefault="000A0998">
      <w:pPr>
        <w:pStyle w:val="P68B1DB1-Normal4"/>
        <w:spacing w:before="120" w:after="120" w:line="240" w:lineRule="auto"/>
        <w:jc w:val="both"/>
        <w:rPr>
          <w:rFonts w:cs="Times New Roman"/>
          <w:noProof/>
        </w:rPr>
      </w:pPr>
      <w:r>
        <w:rPr>
          <w:noProof/>
        </w:rPr>
        <w:t>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20615DC9" w14:textId="77777777" w:rsidR="0065073E" w:rsidRDefault="000A0998">
      <w:pPr>
        <w:pStyle w:val="P68B1DB1-Normal4"/>
        <w:spacing w:before="120" w:after="120" w:line="240" w:lineRule="auto"/>
        <w:jc w:val="both"/>
        <w:rPr>
          <w:rFonts w:cs="Times New Roman"/>
          <w:noProof/>
        </w:rPr>
      </w:pPr>
      <w:r>
        <w:rPr>
          <w:noProof/>
        </w:rPr>
        <w:t>Investoinnin toteutus saatetaan päätökseen viimeistään 30. kesäkuuta 2026.</w:t>
      </w:r>
    </w:p>
    <w:p w14:paraId="07E0B2B3" w14:textId="77777777" w:rsidR="0065073E" w:rsidRDefault="000A0998">
      <w:pPr>
        <w:pStyle w:val="P68B1DB1-Normal5"/>
        <w:spacing w:before="120" w:after="120" w:line="240" w:lineRule="auto"/>
        <w:jc w:val="both"/>
        <w:rPr>
          <w:rFonts w:cs="Times New Roman"/>
          <w:noProof/>
        </w:rPr>
      </w:pPr>
      <w:r>
        <w:rPr>
          <w:noProof/>
        </w:rPr>
        <w:t>Investointi 6 (C17.I6): Terveys</w:t>
      </w:r>
    </w:p>
    <w:p w14:paraId="523421E4" w14:textId="7AE74228" w:rsidR="0065073E" w:rsidRDefault="000A0998">
      <w:pPr>
        <w:pStyle w:val="P68B1DB1-Normal4"/>
        <w:spacing w:before="120" w:after="120" w:line="240" w:lineRule="auto"/>
        <w:jc w:val="both"/>
        <w:rPr>
          <w:rFonts w:cs="Times New Roman"/>
          <w:noProof/>
        </w:rPr>
      </w:pPr>
      <w:r>
        <w:rPr>
          <w:noProof/>
        </w:rPr>
        <w:t xml:space="preserve">Tämän investoinnin tavoitteena on edistää tutkimuksen kehittämistä ja innovointia terveydenhuoltoalalla. Toimenpide sisältää seuraavat toimintalinjat: </w:t>
      </w:r>
    </w:p>
    <w:p w14:paraId="35050FC1" w14:textId="77777777" w:rsidR="0065073E" w:rsidRDefault="000A0998">
      <w:pPr>
        <w:pStyle w:val="P68B1DB1-Normal4"/>
        <w:spacing w:before="120" w:after="120" w:line="240" w:lineRule="auto"/>
        <w:ind w:left="720"/>
        <w:jc w:val="both"/>
        <w:rPr>
          <w:rFonts w:cs="Times New Roman"/>
          <w:noProof/>
        </w:rPr>
      </w:pPr>
      <w:r>
        <w:rPr>
          <w:noProof/>
        </w:rPr>
        <w:t xml:space="preserve">1) investoinnit pitkälle kehitettyihin terapioihin, kehitteillä oleviin lääkkeisiin ja yksilöllistettyyn lääketieteeseen, </w:t>
      </w:r>
    </w:p>
    <w:p w14:paraId="1E3A367B" w14:textId="77777777" w:rsidR="0065073E" w:rsidRDefault="000A0998">
      <w:pPr>
        <w:pStyle w:val="P68B1DB1-Normal4"/>
        <w:spacing w:before="120" w:after="120" w:line="240" w:lineRule="auto"/>
        <w:ind w:left="720"/>
        <w:jc w:val="both"/>
        <w:rPr>
          <w:rFonts w:cs="Times New Roman"/>
          <w:noProof/>
        </w:rPr>
      </w:pPr>
      <w:r>
        <w:rPr>
          <w:noProof/>
        </w:rPr>
        <w:t xml:space="preserve">2) toimenpiteet, joilla vahvistetaan kansallisen terveydenhuoltojärjestelmän strategisia valmiuksia ja kansainvälistymistä, </w:t>
      </w:r>
    </w:p>
    <w:p w14:paraId="3A48DE95" w14:textId="4261F0E7" w:rsidR="0065073E" w:rsidRDefault="004873A0">
      <w:pPr>
        <w:pStyle w:val="P68B1DB1-Normal4"/>
        <w:spacing w:before="120" w:after="120" w:line="240" w:lineRule="auto"/>
        <w:ind w:left="720"/>
        <w:jc w:val="both"/>
        <w:rPr>
          <w:rFonts w:cs="Times New Roman"/>
          <w:noProof/>
        </w:rPr>
      </w:pPr>
      <w:r>
        <w:rPr>
          <w:noProof/>
        </w:rPr>
        <w:t xml:space="preserve">3) </w:t>
      </w:r>
      <w:r w:rsidR="000A0998">
        <w:rPr>
          <w:noProof/>
        </w:rPr>
        <w:t xml:space="preserve">Toimet, joilla tuetaan </w:t>
      </w:r>
      <w:r w:rsidR="000A0998">
        <w:rPr>
          <w:i/>
          <w:noProof/>
        </w:rPr>
        <w:t>Instituto de Salud Carlos III</w:t>
      </w:r>
      <w:r w:rsidR="000A0998">
        <w:rPr>
          <w:noProof/>
        </w:rPr>
        <w:t xml:space="preserve"> -instituutin valmiuksia torjua tartuntatauteja ja maailmanlaajuisia uhkia, erityisesti kansallinen mikrobiologiakeskus, kansallinen epidemiologian keskus, ammattilääketieteen kansallinen oppilaitos ja kansallinen terveyskorkeakoulu, </w:t>
      </w:r>
    </w:p>
    <w:p w14:paraId="188FC210" w14:textId="3DD6419C" w:rsidR="0065073E" w:rsidRDefault="000A0998">
      <w:pPr>
        <w:pStyle w:val="P68B1DB1-Normal4"/>
        <w:spacing w:before="120" w:after="120" w:line="240" w:lineRule="auto"/>
        <w:ind w:left="720"/>
        <w:jc w:val="both"/>
        <w:rPr>
          <w:rFonts w:cs="Times New Roman"/>
          <w:noProof/>
        </w:rPr>
      </w:pPr>
      <w:r>
        <w:rPr>
          <w:noProof/>
        </w:rPr>
        <w:t xml:space="preserve">4) osallistuminen ”Euroopan Genome of Europe” -aloitteeseen kuuluvaan useita maita kattavaan hankkeeseen ”The Genome of Europe”, </w:t>
      </w:r>
    </w:p>
    <w:p w14:paraId="5E14A1AC" w14:textId="77777777" w:rsidR="0065073E" w:rsidRDefault="000A0998">
      <w:pPr>
        <w:pStyle w:val="P68B1DB1-Normal4"/>
        <w:spacing w:before="120" w:after="120" w:line="240" w:lineRule="auto"/>
        <w:ind w:left="720"/>
        <w:jc w:val="both"/>
        <w:rPr>
          <w:rFonts w:cs="Times New Roman"/>
          <w:noProof/>
        </w:rPr>
      </w:pPr>
      <w:r>
        <w:rPr>
          <w:noProof/>
        </w:rPr>
        <w:t xml:space="preserve">5) tartuntatautien tutkimukseen, muihin maailmanlaajuisiin terveysuhkiin ja ikääntymiseen liittyvät valmiuksien kehittämistoimenpiteet, </w:t>
      </w:r>
    </w:p>
    <w:p w14:paraId="588B36B9" w14:textId="47F540B0" w:rsidR="0065073E" w:rsidRDefault="000A0998">
      <w:pPr>
        <w:pStyle w:val="P68B1DB1-Normal4"/>
        <w:spacing w:before="120" w:after="120" w:line="240" w:lineRule="auto"/>
        <w:ind w:left="720"/>
        <w:jc w:val="both"/>
        <w:rPr>
          <w:rFonts w:eastAsia="Times New Roman" w:cs="Times New Roman"/>
          <w:noProof/>
        </w:rPr>
      </w:pPr>
      <w:r>
        <w:rPr>
          <w:noProof/>
        </w:rPr>
        <w:t>6) PERTE Vanguard Health -ohjelman mukaiset toimet, joilla I) vahvistaa ja kansainvälistää terveydenhuoltoalan teollisia valmiuksia tukemalla Espanjan osallistumista monikansallisiin T &amp; K &amp; I-hankkeisiin, ii) tukemalla harvinaisten sairauksien diagnosointiin liittyvää tutkimusta ja kehittämistä, iii) T &amp; K &amp; I-toiminnan tukeminen yksilöllisen täsmälääketieteen alalla, iv) proteomiikka- ja metabolomiafoorumin kehittäminen Instituto de Salud Carlos III -instituutissa (ISCIII), v) ISCIII:n ihmisen biomonitorointi-infrastruktuurin päivittäminen, laajentaminen ja parantaminen sekä vi) potilaslähtöisten kliinisten tutkimusyksiköiden kehittäminen ja päivittäminen, ja</w:t>
      </w:r>
    </w:p>
    <w:p w14:paraId="6FBF3EFB" w14:textId="4BC853A3" w:rsidR="0065073E" w:rsidRDefault="000A0998">
      <w:pPr>
        <w:pStyle w:val="P68B1DB1-Normal4"/>
        <w:spacing w:before="120" w:after="120" w:line="240" w:lineRule="auto"/>
        <w:ind w:left="720"/>
        <w:jc w:val="both"/>
        <w:rPr>
          <w:rFonts w:eastAsia="Times New Roman" w:cs="Times New Roman"/>
          <w:noProof/>
        </w:rPr>
      </w:pPr>
      <w:r>
        <w:rPr>
          <w:noProof/>
        </w:rPr>
        <w:t xml:space="preserve">7) terveydenhuoltoalalle myönnettyjen lainojen takaisinmaksettamaton osuus, joka täydentää investointia C17.I10 (lainat terveys- ja avaruusteollisuudelle). </w:t>
      </w:r>
    </w:p>
    <w:p w14:paraId="16E012FB" w14:textId="77777777" w:rsidR="0065073E" w:rsidRDefault="000A0998">
      <w:pPr>
        <w:pStyle w:val="P68B1DB1-Normal4"/>
        <w:spacing w:before="120" w:after="120" w:line="240" w:lineRule="auto"/>
        <w:jc w:val="both"/>
        <w:rPr>
          <w:rFonts w:cs="Times New Roman"/>
          <w:noProof/>
        </w:rPr>
      </w:pPr>
      <w:r>
        <w:rPr>
          <w:noProof/>
        </w:rPr>
        <w:t>Tämän investoinnin puitteissa toteutettavat toimet toteutetaan ehdotuspyyntöjen, julkisten ja yksityisten riskipääomasijoitusten ja suorien julkisten investointien avulla.</w:t>
      </w:r>
    </w:p>
    <w:p w14:paraId="2D44DAF6" w14:textId="5F3D8162" w:rsidR="0065073E" w:rsidRDefault="000A0998">
      <w:pPr>
        <w:pStyle w:val="P68B1DB1-Normal4"/>
        <w:spacing w:before="120" w:after="120" w:line="240" w:lineRule="auto"/>
        <w:jc w:val="both"/>
        <w:rPr>
          <w:rFonts w:cs="Times New Roman"/>
          <w:noProof/>
        </w:rPr>
      </w:pPr>
      <w:r>
        <w:rPr>
          <w:noProof/>
        </w:rPr>
        <w:t xml:space="preserve">Investoinnin toteutus on saatettava päätökseen </w:t>
      </w:r>
      <w:r>
        <w:rPr>
          <w:noProof/>
          <w:shd w:val="clear" w:color="auto" w:fill="FFFFFF" w:themeFill="background1"/>
        </w:rPr>
        <w:t>31 päivään elokuuta</w:t>
      </w:r>
      <w:r>
        <w:rPr>
          <w:noProof/>
        </w:rPr>
        <w:t xml:space="preserve"> 2026 mennessä. </w:t>
      </w:r>
    </w:p>
    <w:p w14:paraId="535CB315"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60"/>
        </w:sectPr>
      </w:pPr>
    </w:p>
    <w:p w14:paraId="4590D68D" w14:textId="77777777" w:rsidR="0065073E" w:rsidRDefault="000A0998">
      <w:pPr>
        <w:pStyle w:val="P68B1DB1-Normal5"/>
        <w:spacing w:before="120" w:after="120" w:line="240" w:lineRule="auto"/>
        <w:jc w:val="both"/>
        <w:rPr>
          <w:rFonts w:cs="Times New Roman"/>
          <w:noProof/>
        </w:rPr>
      </w:pPr>
      <w:r>
        <w:rPr>
          <w:noProof/>
        </w:rPr>
        <w:t>Investointi 7 (C17.I7): Ympäristö, ilmastonmuutos ja energia</w:t>
      </w:r>
    </w:p>
    <w:p w14:paraId="6083A820"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edistää ympäristöä, ilmastonmuutosta ja energia-alaa koskevaa tutkimusta ja innovointia. Toimenpiteellä tuetaan 1) kestävään muoviin kiertotaloudessa liittyvät T &amp; K &amp; I-hankkeet, jotka liittyvät kestävään muoviin kiertotaloudessa, vaihtoehtoisten muovien tuotantoon ja muovijätteen kestävään käsittelyyn, 2) ilmastonmuutosta ja vesivaroihin kohdistuvia vaikutuksia koskeva hanke, 3) energiasiirtymän korkean teknologian komponentteja koskeva hanke, jossa tarkastellaan erityisesti energian varastointia ja </w:t>
      </w:r>
      <w:r>
        <w:rPr>
          <w:i/>
          <w:noProof/>
        </w:rPr>
        <w:t>Consejo Superior de Investigaciones Científicasin (CSIC) teollisten prosessien päästöistä talteen ottavien</w:t>
      </w:r>
      <w:r>
        <w:rPr>
          <w:noProof/>
        </w:rPr>
        <w:t xml:space="preserve"> laitosten kehittämistä. Kun kyseessä ovat EU:n päästökauppajärjestelmään kuuluvat laitokset, niiden on saavutettava ennustetut kasvihuonekaasupäästöt, jotka ovat vähintään asiaankuuluvia vertailuarvoja pienemmät,</w:t>
      </w:r>
      <w:r>
        <w:rPr>
          <w:noProof/>
        </w:rPr>
        <w:footnoteReference w:id="169"/>
      </w:r>
      <w:r>
        <w:rPr>
          <w:noProof/>
        </w:rPr>
        <w:t>ja fossiilisiin polttoaineisiin liittyvät toiminnot, mukaan lukien tuotantoketjun loppupään käyttö, jätetään soveltamisalan ulkopuolelle,</w:t>
      </w:r>
      <w:r>
        <w:rPr>
          <w:noProof/>
        </w:rPr>
        <w:footnoteReference w:id="170"/>
      </w:r>
      <w:r>
        <w:rPr>
          <w:noProof/>
        </w:rPr>
        <w:t xml:space="preserve">4) energiasiirtymää varten toteutettavia strategisia metalleja koskeva tutkimus- ja kehityshanke ja 5) energian varastoinnin tutkimus- ja kehittämiskeskuksen perustaminen Extremaduuraan, jotta voidaan edistää teknologisia ja tieteellisiä vastauksia vihreän energian tuotannon hallintaan erityisesti teollisten vetysovellusten sekä vihreän vedyn tuotannon, varastoinnin ja kuljetuksen osalta. Toimenpiteellä tuetaan myös valmiuksien kehittämistä keskuksessa, jotta voidaan kouluttaa tutkijoita ja tutkijoita energia-alalla ja energian varastointiteollisuudessa. </w:t>
      </w:r>
    </w:p>
    <w:p w14:paraId="35D5C9B7" w14:textId="55997F64" w:rsidR="0065073E" w:rsidRDefault="000A0998">
      <w:pPr>
        <w:pStyle w:val="P68B1DB1-Normal4"/>
        <w:spacing w:before="120" w:after="120" w:line="240" w:lineRule="auto"/>
        <w:jc w:val="both"/>
        <w:rPr>
          <w:rFonts w:cs="Times New Roman"/>
          <w:noProof/>
        </w:rPr>
      </w:pPr>
      <w:r>
        <w:rPr>
          <w:noProof/>
        </w:rPr>
        <w:t>Tähän investointiin liittyvät toimet toteutetaan tarjouskilpailuina.</w:t>
      </w:r>
    </w:p>
    <w:p w14:paraId="65A82F25" w14:textId="6CF40F12" w:rsidR="0065073E" w:rsidRDefault="000A0998">
      <w:pPr>
        <w:pStyle w:val="Text1"/>
        <w:ind w:left="0"/>
        <w:rPr>
          <w:rFonts w:ascii="Times New Roman" w:hAnsi="Times New Roman" w:cs="Times New Roman"/>
          <w:noProof/>
          <w:highlight w:val="yellow"/>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71"/>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72"/>
      </w:r>
      <w:r>
        <w:rPr>
          <w:rFonts w:ascii="Times New Roman" w:hAnsi="Times New Roman"/>
          <w:noProof/>
        </w:rPr>
        <w:t>; III) jätteen kaatopaikkoihin, polttolaitoksiin</w:t>
      </w:r>
      <w:r>
        <w:rPr>
          <w:rStyle w:val="FootnoteReference"/>
          <w:rFonts w:ascii="Times New Roman" w:hAnsi="Times New Roman" w:cs="Times New Roman"/>
          <w:noProof/>
        </w:rPr>
        <w:footnoteReference w:id="173"/>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74"/>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00258B17" w14:textId="77777777" w:rsidR="0065073E" w:rsidRDefault="000A0998">
      <w:pPr>
        <w:pStyle w:val="P68B1DB1-Normal4"/>
        <w:spacing w:before="120" w:after="120" w:line="240" w:lineRule="auto"/>
        <w:jc w:val="both"/>
        <w:rPr>
          <w:rFonts w:cs="Times New Roman"/>
          <w:noProof/>
        </w:rPr>
      </w:pPr>
      <w:r>
        <w:rPr>
          <w:noProof/>
        </w:rPr>
        <w:t>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3B55B35E" w14:textId="77777777" w:rsidR="0065073E" w:rsidRDefault="000A0998">
      <w:pPr>
        <w:pStyle w:val="P68B1DB1-Normal4"/>
        <w:autoSpaceDE w:val="0"/>
        <w:autoSpaceDN w:val="0"/>
        <w:spacing w:before="40" w:after="40"/>
        <w:rPr>
          <w:rFonts w:cs="Times New Roman"/>
          <w:noProof/>
        </w:rPr>
      </w:pPr>
      <w:r>
        <w:rPr>
          <w:noProof/>
        </w:rPr>
        <w:t xml:space="preserve">Investoinnin toteutus saatetaan päätökseen viimeistään 30. kesäkuuta 2026. </w:t>
      </w:r>
    </w:p>
    <w:p w14:paraId="61CEF7F6" w14:textId="1EFAA33F" w:rsidR="0065073E" w:rsidRDefault="000A0998">
      <w:pPr>
        <w:pStyle w:val="P68B1DB1-Normal5"/>
        <w:keepNext/>
        <w:spacing w:before="120" w:after="120" w:line="240" w:lineRule="auto"/>
        <w:jc w:val="both"/>
        <w:rPr>
          <w:rFonts w:cs="Times New Roman"/>
          <w:noProof/>
        </w:rPr>
      </w:pPr>
      <w:r>
        <w:rPr>
          <w:noProof/>
        </w:rPr>
        <w:t xml:space="preserve">Investointi 8 (C17.I8): Kestävää autoteollisuutta koskeva tutkimus, kehitys ja innovointi  </w:t>
      </w:r>
    </w:p>
    <w:p w14:paraId="5C0B8649" w14:textId="77777777" w:rsidR="0065073E" w:rsidRDefault="000A0998">
      <w:pPr>
        <w:pStyle w:val="P68B1DB1-Normal4"/>
        <w:keepNext/>
        <w:spacing w:before="120" w:after="120" w:line="240" w:lineRule="auto"/>
        <w:jc w:val="both"/>
        <w:rPr>
          <w:rFonts w:cs="Times New Roman"/>
          <w:noProof/>
        </w:rPr>
      </w:pPr>
      <w:r>
        <w:rPr>
          <w:noProof/>
        </w:rPr>
        <w:t xml:space="preserve">Tämän toimenpiteen tavoitteena on edistää kestävää autoteollisuutta koskevaa tutkimusta ja innovointia. Toimenpiteellä pyritään erityisesti 1) tuetaan komponenttien ja alustojen kehittämistä yksinomaan sähköajoneuvoja, ladattavia hybridi- ja vetyajoneuvoja varten, 2) edistetään itseohjautuvaa ajamista ja verkotettua liikkuvuutta koskevaa tutkimusta ja kehittämistä kehittämällä uusia laitteisto- ja ohjelmistoajoneuvojen arkkitehtuuria ja 3) mukautetaan komponenttien ja järjestelmien tuotantoalueita yksinomaan sähköajoneuvoja, ladattavia hybridiajoneuvoja ja vetyajoneuvoja varten. Hankkeiden toteuttamisesta vastaavat 3–8 yrityksen yhteenliittymät (vähintään yhden on oltava pk-yritys), joiden pituus on enintään kolme vuotta. </w:t>
      </w:r>
    </w:p>
    <w:p w14:paraId="412B8A44" w14:textId="77777777" w:rsidR="0065073E" w:rsidRDefault="000A0998">
      <w:pPr>
        <w:pStyle w:val="P68B1DB1-Normal4"/>
        <w:spacing w:before="120" w:after="120" w:line="240" w:lineRule="auto"/>
        <w:jc w:val="both"/>
        <w:rPr>
          <w:rFonts w:cs="Times New Roman"/>
          <w:noProof/>
        </w:rPr>
      </w:pPr>
      <w:r>
        <w:rPr>
          <w:noProof/>
        </w:rPr>
        <w:t xml:space="preserve">Tämän investoinnin mukaiset toimet toteutetaan ehdotuspyyntöjen avulla. </w:t>
      </w:r>
    </w:p>
    <w:p w14:paraId="3E64342F"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75"/>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76"/>
      </w:r>
      <w:r>
        <w:rPr>
          <w:rFonts w:ascii="Times New Roman" w:hAnsi="Times New Roman"/>
          <w:noProof/>
        </w:rPr>
        <w:t>; III) jätteen kaatopaikkoihin, polttolaitoksiin</w:t>
      </w:r>
      <w:r>
        <w:rPr>
          <w:rStyle w:val="FootnoteReference"/>
          <w:rFonts w:ascii="Times New Roman" w:hAnsi="Times New Roman" w:cs="Times New Roman"/>
          <w:noProof/>
        </w:rPr>
        <w:footnoteReference w:id="177"/>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78"/>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2532D4FB" w14:textId="77777777" w:rsidR="0065073E" w:rsidRDefault="000A0998">
      <w:pPr>
        <w:pStyle w:val="P68B1DB1-Normal4"/>
        <w:spacing w:before="120" w:after="120" w:line="240" w:lineRule="auto"/>
        <w:jc w:val="both"/>
        <w:rPr>
          <w:rFonts w:cs="Times New Roman"/>
          <w:noProof/>
        </w:rPr>
      </w:pPr>
      <w:r>
        <w:rPr>
          <w:noProof/>
        </w:rPr>
        <w:t>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2A2155DC" w14:textId="77777777" w:rsidR="0065073E" w:rsidRDefault="000A0998">
      <w:pPr>
        <w:pStyle w:val="P68B1DB1-Normal4"/>
        <w:autoSpaceDE w:val="0"/>
        <w:autoSpaceDN w:val="0"/>
        <w:spacing w:before="40" w:after="40"/>
        <w:rPr>
          <w:rFonts w:cs="Times New Roman"/>
          <w:noProof/>
        </w:rPr>
      </w:pPr>
      <w:r>
        <w:rPr>
          <w:noProof/>
        </w:rPr>
        <w:t xml:space="preserve">Investoinnin toteutus on saatettava päätökseen 30 päivään kesäkuuta 2024 mennessä. </w:t>
      </w:r>
    </w:p>
    <w:p w14:paraId="5BE7A6FF" w14:textId="77777777" w:rsidR="0065073E" w:rsidRDefault="000A0998">
      <w:pPr>
        <w:pStyle w:val="P68B1DB1-Normal5"/>
        <w:spacing w:before="120" w:after="120" w:line="240" w:lineRule="auto"/>
        <w:jc w:val="both"/>
        <w:rPr>
          <w:rFonts w:cs="Times New Roman"/>
          <w:noProof/>
        </w:rPr>
      </w:pPr>
      <w:r>
        <w:rPr>
          <w:noProof/>
        </w:rPr>
        <w:t>Investointi 9 (C17.I9): Aerospace</w:t>
      </w:r>
    </w:p>
    <w:p w14:paraId="1B07EE26" w14:textId="01F78A81" w:rsidR="0065073E" w:rsidRDefault="000A0998">
      <w:pPr>
        <w:pStyle w:val="P68B1DB1-Normal4"/>
        <w:spacing w:before="120" w:after="120" w:line="240" w:lineRule="auto"/>
        <w:jc w:val="both"/>
        <w:rPr>
          <w:rFonts w:cs="Times New Roman"/>
          <w:noProof/>
        </w:rPr>
      </w:pPr>
      <w:r>
        <w:rPr>
          <w:noProof/>
        </w:rPr>
        <w:t xml:space="preserve">Tämän toimenpiteen tavoitteena on edistää tutkimusta ja innovointia ilmailu- ja avaruusalalla keskittyen ensisijaisesti tämän investoinnin toimiin, jotka liittyvät vähähiilisiin tai hiilettömiin ilmailu- ja avaruusteknologioihin ja ilmailuun. Toimenpiteellä </w:t>
      </w:r>
      <w:bookmarkStart w:id="54" w:name="_Hlk70075465"/>
      <w:r>
        <w:rPr>
          <w:noProof/>
        </w:rPr>
        <w:t>pyritään parantamaan teollisia valmiuksia, jotka liittyvät tuleviin vähäpäästöisiin ja päästöttömiin ilma-aluksiin, miehittämättömiin ilma-aluksiin, ilma-alukseen nouseviin järjestelmiin, monikäyttöisiin ilma-aluksiin ja kehittyneisiin valmistusjärjestelmiin, joihin sisältyy digitaalisten kaksosten luominen, tehokkuuden edistäminen ja resurssien kulutuksen vähentäminen tai ympäristövaikutusten vähentäminen. Kansallisen avaruusteknologiaohjelman</w:t>
      </w:r>
      <w:bookmarkEnd w:id="54"/>
      <w:r>
        <w:rPr>
          <w:noProof/>
        </w:rPr>
        <w:t xml:space="preserve">puitteissa toimenpiteellä tuetaan myös ilmailu- ja avaruusteollisuutta rahoittamalla tutkimusta, kehitystä ja innovointia, tuotantokapasiteetin päivittämistä, digitalisointia ja teknologiaa sekä alan kestävyyttä edistävien vihreiden teknologioiden kehittämistä ja täytäntöönpanoa. Kiinnostavia aloja ovat muun muassa pääsy avaruuteen, maanhavainnointi, optiset ja turvalliset viestintäjärjestelmät sekä satelliittijärjestelmät. Tämän investoinnin mukaiset toimet toteutetaan ehdotuspyyntöjen ja julkisten hankintojen avulla. </w:t>
      </w:r>
    </w:p>
    <w:p w14:paraId="1A47E194" w14:textId="496E8A72" w:rsidR="0065073E" w:rsidRDefault="000A0998">
      <w:pPr>
        <w:pStyle w:val="P68B1DB1-Normal4"/>
        <w:spacing w:before="120" w:after="120" w:line="240" w:lineRule="auto"/>
        <w:jc w:val="both"/>
        <w:rPr>
          <w:rFonts w:cs="Times New Roman"/>
          <w:noProof/>
        </w:rPr>
      </w:pPr>
      <w:r>
        <w:rPr>
          <w:noProof/>
        </w:rPr>
        <w:t>Lisäksi investoinnin C17.I10 (lainat ilmailu- ja avaruusteollisuudelle) täydennykseksi ilmailu- ja avaruusteollisuudelle myönnettyjen lainojen osa, jota ei makseta takaisin, sisällytetään tähän investointiin.</w:t>
      </w:r>
    </w:p>
    <w:p w14:paraId="36F69F39" w14:textId="3A6D00AD"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on ”ei merkittävää haittaa” -periaatetta koskevien teknisten ohjeiden (2021/C58/01) mukainen, tulevien hankepyyntöjen tai julkisia hankintoja koskevien tarjouskilpailujen toimeksiantoon sisältyvissä tukikelpoisuuskriteereissä on suljettava pois seuraava toimien luettelo: I) fossiilisiin polttoaineisiin liittyvät toimet, mukaan lukien loppupään käyttö</w:t>
      </w:r>
      <w:r>
        <w:rPr>
          <w:rStyle w:val="FootnoteReference"/>
          <w:rFonts w:ascii="Times New Roman" w:hAnsi="Times New Roman" w:cs="Times New Roman"/>
          <w:noProof/>
        </w:rPr>
        <w:footnoteReference w:id="179"/>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80"/>
      </w:r>
      <w:r>
        <w:rPr>
          <w:rFonts w:ascii="Times New Roman" w:hAnsi="Times New Roman"/>
          <w:noProof/>
        </w:rPr>
        <w:t>; III) jätteen kaatopaikkoihin, polttolaitoksiin</w:t>
      </w:r>
      <w:r>
        <w:rPr>
          <w:rStyle w:val="FootnoteReference"/>
          <w:rFonts w:ascii="Times New Roman" w:hAnsi="Times New Roman" w:cs="Times New Roman"/>
          <w:noProof/>
        </w:rPr>
        <w:footnoteReference w:id="181"/>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82"/>
      </w:r>
      <w:r>
        <w:rPr>
          <w:rFonts w:ascii="Times New Roman" w:hAnsi="Times New Roman"/>
          <w:noProof/>
        </w:rPr>
        <w:t>; ja iv) toiminnot, joissa jätteiden pitkän aikavälin loppukäsittely voi aiheuttaa haittaa ympäristölle. . Tehtävänkuvauksessa edellytetään lisäksi, että voidaan valita ainoastaan toimintoja, jotka ovat asiaa koskevan EU:n ja kansallisen ympäristölainsäädännön mukaisia.</w:t>
      </w:r>
    </w:p>
    <w:p w14:paraId="2E47150A" w14:textId="02BFC0D9" w:rsidR="0065073E" w:rsidRDefault="000A0998">
      <w:pPr>
        <w:pStyle w:val="P68B1DB1-Normal4"/>
        <w:spacing w:before="120" w:after="120" w:line="240" w:lineRule="auto"/>
        <w:jc w:val="both"/>
        <w:rPr>
          <w:rFonts w:cs="Times New Roman"/>
          <w:noProof/>
        </w:rPr>
      </w:pPr>
      <w:r>
        <w:rPr>
          <w:noProof/>
        </w:rPr>
        <w:t>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77FEF779" w14:textId="468A384D" w:rsidR="0065073E" w:rsidRDefault="000A0998">
      <w:pPr>
        <w:pStyle w:val="P68B1DB1-Normal4"/>
        <w:autoSpaceDE w:val="0"/>
        <w:autoSpaceDN w:val="0"/>
        <w:spacing w:before="40" w:after="40"/>
        <w:rPr>
          <w:rFonts w:cs="Times New Roman"/>
          <w:noProof/>
        </w:rPr>
      </w:pPr>
      <w:r>
        <w:rPr>
          <w:noProof/>
        </w:rPr>
        <w:t xml:space="preserve">Investoinnin toteutus on saatettava päätökseen </w:t>
      </w:r>
      <w:r>
        <w:rPr>
          <w:noProof/>
          <w:shd w:val="clear" w:color="auto" w:fill="FFFFFF" w:themeFill="background1"/>
        </w:rPr>
        <w:t>31 päivään elokuuta</w:t>
      </w:r>
      <w:r>
        <w:rPr>
          <w:noProof/>
        </w:rPr>
        <w:t xml:space="preserve"> 2026 mennessä. </w:t>
      </w:r>
    </w:p>
    <w:p w14:paraId="0B68CACE" w14:textId="77777777"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Q.2.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4E38FF67" w14:textId="77777777" w:rsidR="0065073E" w:rsidRDefault="000A0998">
      <w:pPr>
        <w:pStyle w:val="P68B1DB1-Normal4"/>
        <w:spacing w:before="120" w:after="120" w:line="240" w:lineRule="auto"/>
        <w:jc w:val="both"/>
        <w:rPr>
          <w:rFonts w:cs="Times New Roman"/>
          <w:noProof/>
        </w:rPr>
        <w:sectPr w:rsidR="0065073E" w:rsidSect="00B511EF">
          <w:headerReference w:type="even" r:id="rId396"/>
          <w:headerReference w:type="default" r:id="rId397"/>
          <w:footerReference w:type="even" r:id="rId398"/>
          <w:footerReference w:type="default" r:id="rId399"/>
          <w:headerReference w:type="first" r:id="rId400"/>
          <w:footerReference w:type="first" r:id="rId401"/>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tbl>
      <w:tblPr>
        <w:tblW w:w="1485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9"/>
        <w:gridCol w:w="818"/>
        <w:gridCol w:w="941"/>
        <w:gridCol w:w="1950"/>
        <w:gridCol w:w="951"/>
        <w:gridCol w:w="815"/>
        <w:gridCol w:w="950"/>
        <w:gridCol w:w="815"/>
        <w:gridCol w:w="545"/>
        <w:gridCol w:w="545"/>
        <w:gridCol w:w="5552"/>
      </w:tblGrid>
      <w:tr w:rsidR="0065073E" w14:paraId="2C5D1B51" w14:textId="77777777">
        <w:trPr>
          <w:trHeight w:val="309"/>
          <w:tblHeader/>
        </w:trPr>
        <w:tc>
          <w:tcPr>
            <w:tcW w:w="993" w:type="dxa"/>
            <w:vMerge w:val="restart"/>
            <w:tcBorders>
              <w:top w:val="single" w:sz="4" w:space="0" w:color="auto"/>
            </w:tcBorders>
            <w:shd w:val="clear" w:color="auto" w:fill="C6D9F1" w:themeFill="text2" w:themeFillTint="33"/>
            <w:noWrap/>
            <w:vAlign w:val="center"/>
          </w:tcPr>
          <w:p w14:paraId="19543CA2" w14:textId="54313E3B" w:rsidR="0065073E" w:rsidRDefault="000A0998">
            <w:pPr>
              <w:pStyle w:val="P68B1DB1-Normal8"/>
              <w:spacing w:after="0" w:line="240" w:lineRule="auto"/>
              <w:jc w:val="center"/>
              <w:rPr>
                <w:rFonts w:cs="Times New Roman"/>
                <w:noProof/>
              </w:rPr>
            </w:pPr>
            <w:r>
              <w:rPr>
                <w:noProof/>
              </w:rPr>
              <w:t>Määrä</w:t>
            </w:r>
          </w:p>
        </w:tc>
        <w:tc>
          <w:tcPr>
            <w:tcW w:w="837" w:type="dxa"/>
            <w:vMerge w:val="restart"/>
            <w:tcBorders>
              <w:top w:val="single" w:sz="4" w:space="0" w:color="auto"/>
            </w:tcBorders>
            <w:shd w:val="clear" w:color="auto" w:fill="C6D9F1" w:themeFill="text2" w:themeFillTint="33"/>
            <w:noWrap/>
            <w:vAlign w:val="center"/>
          </w:tcPr>
          <w:p w14:paraId="4FA6DF0E" w14:textId="475F1FD5" w:rsidR="0065073E" w:rsidRDefault="000A0998">
            <w:pPr>
              <w:pStyle w:val="P68B1DB1-Normal8"/>
              <w:spacing w:after="0" w:line="240" w:lineRule="auto"/>
              <w:jc w:val="center"/>
              <w:rPr>
                <w:rFonts w:cs="Times New Roman"/>
                <w:noProof/>
              </w:rPr>
            </w:pPr>
            <w:r>
              <w:rPr>
                <w:noProof/>
              </w:rPr>
              <w:t>Toimenpide</w:t>
            </w:r>
          </w:p>
        </w:tc>
        <w:tc>
          <w:tcPr>
            <w:tcW w:w="964" w:type="dxa"/>
            <w:vMerge w:val="restart"/>
            <w:tcBorders>
              <w:top w:val="single" w:sz="4" w:space="0" w:color="auto"/>
            </w:tcBorders>
            <w:shd w:val="clear" w:color="auto" w:fill="C6D9F1" w:themeFill="text2" w:themeFillTint="33"/>
            <w:noWrap/>
            <w:vAlign w:val="center"/>
          </w:tcPr>
          <w:p w14:paraId="4FC7EB82" w14:textId="02E2B431"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999" w:type="dxa"/>
            <w:vMerge w:val="restart"/>
            <w:tcBorders>
              <w:top w:val="single" w:sz="4" w:space="0" w:color="auto"/>
            </w:tcBorders>
            <w:shd w:val="clear" w:color="auto" w:fill="C6D9F1" w:themeFill="text2" w:themeFillTint="33"/>
            <w:noWrap/>
            <w:vAlign w:val="center"/>
          </w:tcPr>
          <w:p w14:paraId="43A2C8BF" w14:textId="7068F93C" w:rsidR="0065073E" w:rsidRDefault="000A0998">
            <w:pPr>
              <w:pStyle w:val="P68B1DB1-Normal8"/>
              <w:spacing w:after="0" w:line="240" w:lineRule="auto"/>
              <w:jc w:val="center"/>
              <w:rPr>
                <w:rFonts w:cs="Times New Roman"/>
                <w:noProof/>
              </w:rPr>
            </w:pPr>
            <w:r>
              <w:rPr>
                <w:noProof/>
              </w:rPr>
              <w:t>Nimi</w:t>
            </w:r>
          </w:p>
        </w:tc>
        <w:tc>
          <w:tcPr>
            <w:tcW w:w="974" w:type="dxa"/>
            <w:vMerge w:val="restart"/>
            <w:tcBorders>
              <w:top w:val="single" w:sz="4" w:space="0" w:color="auto"/>
            </w:tcBorders>
            <w:shd w:val="clear" w:color="auto" w:fill="C6D9F1" w:themeFill="text2" w:themeFillTint="33"/>
            <w:noWrap/>
            <w:vAlign w:val="center"/>
          </w:tcPr>
          <w:p w14:paraId="56FC1E27" w14:textId="5621B9A1" w:rsidR="0065073E" w:rsidRDefault="000A0998">
            <w:pPr>
              <w:pStyle w:val="P68B1DB1-Normal8"/>
              <w:spacing w:after="0" w:line="240" w:lineRule="auto"/>
              <w:jc w:val="center"/>
              <w:rPr>
                <w:rFonts w:cs="Times New Roman"/>
                <w:noProof/>
              </w:rPr>
            </w:pPr>
            <w:r>
              <w:rPr>
                <w:noProof/>
              </w:rPr>
              <w:t>Välitavoitteiden laadullinen indikaattori</w:t>
            </w:r>
          </w:p>
        </w:tc>
        <w:tc>
          <w:tcPr>
            <w:tcW w:w="2641" w:type="dxa"/>
            <w:gridSpan w:val="3"/>
            <w:tcBorders>
              <w:top w:val="single" w:sz="4" w:space="0" w:color="auto"/>
            </w:tcBorders>
            <w:shd w:val="clear" w:color="auto" w:fill="C6D9F1" w:themeFill="text2" w:themeFillTint="33"/>
            <w:noWrap/>
            <w:vAlign w:val="center"/>
          </w:tcPr>
          <w:p w14:paraId="38B08711" w14:textId="57CDA850" w:rsidR="0065073E" w:rsidRDefault="000A0998">
            <w:pPr>
              <w:pStyle w:val="P68B1DB1-Normal8"/>
              <w:spacing w:after="0" w:line="240" w:lineRule="auto"/>
              <w:jc w:val="center"/>
              <w:rPr>
                <w:rFonts w:cs="Times New Roman"/>
                <w:noProof/>
              </w:rPr>
            </w:pPr>
            <w:r>
              <w:rPr>
                <w:noProof/>
              </w:rPr>
              <w:t>Määrällinen indikaattori tavoitteelle</w:t>
            </w:r>
          </w:p>
        </w:tc>
        <w:tc>
          <w:tcPr>
            <w:tcW w:w="1114" w:type="dxa"/>
            <w:gridSpan w:val="2"/>
            <w:tcBorders>
              <w:top w:val="single" w:sz="4" w:space="0" w:color="auto"/>
            </w:tcBorders>
            <w:shd w:val="clear" w:color="auto" w:fill="C6D9F1" w:themeFill="text2" w:themeFillTint="33"/>
            <w:vAlign w:val="center"/>
          </w:tcPr>
          <w:p w14:paraId="4ED2EEB3" w14:textId="03DAD0E8" w:rsidR="0065073E" w:rsidRDefault="000A0998">
            <w:pPr>
              <w:pStyle w:val="P68B1DB1-Normal8"/>
              <w:spacing w:after="0" w:line="240" w:lineRule="auto"/>
              <w:jc w:val="center"/>
              <w:rPr>
                <w:rFonts w:cs="Times New Roman"/>
                <w:noProof/>
              </w:rPr>
            </w:pPr>
            <w:r>
              <w:rPr>
                <w:noProof/>
              </w:rPr>
              <w:t>Aika</w:t>
            </w:r>
          </w:p>
        </w:tc>
        <w:tc>
          <w:tcPr>
            <w:tcW w:w="5695" w:type="dxa"/>
            <w:vMerge w:val="restart"/>
            <w:tcBorders>
              <w:top w:val="single" w:sz="4" w:space="0" w:color="auto"/>
            </w:tcBorders>
            <w:shd w:val="clear" w:color="auto" w:fill="C6D9F1" w:themeFill="text2" w:themeFillTint="33"/>
            <w:noWrap/>
            <w:vAlign w:val="center"/>
          </w:tcPr>
          <w:p w14:paraId="4A40A094" w14:textId="64A0D489"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58A3BCC" w14:textId="77777777">
        <w:trPr>
          <w:trHeight w:val="309"/>
          <w:tblHeader/>
        </w:trPr>
        <w:tc>
          <w:tcPr>
            <w:tcW w:w="993" w:type="dxa"/>
            <w:vMerge/>
            <w:noWrap/>
            <w:vAlign w:val="center"/>
          </w:tcPr>
          <w:p w14:paraId="6F5EBF30" w14:textId="78FB1A6A" w:rsidR="0065073E" w:rsidRDefault="0065073E">
            <w:pPr>
              <w:spacing w:after="0" w:line="240" w:lineRule="auto"/>
              <w:jc w:val="center"/>
              <w:rPr>
                <w:rFonts w:ascii="Times New Roman" w:hAnsi="Times New Roman" w:cs="Times New Roman"/>
                <w:b/>
                <w:noProof/>
                <w:sz w:val="18"/>
              </w:rPr>
            </w:pPr>
          </w:p>
        </w:tc>
        <w:tc>
          <w:tcPr>
            <w:tcW w:w="837" w:type="dxa"/>
            <w:vMerge/>
            <w:noWrap/>
            <w:vAlign w:val="center"/>
          </w:tcPr>
          <w:p w14:paraId="20D980C9" w14:textId="57CF50E4" w:rsidR="0065073E" w:rsidRDefault="0065073E">
            <w:pPr>
              <w:spacing w:after="0" w:line="240" w:lineRule="auto"/>
              <w:jc w:val="center"/>
              <w:rPr>
                <w:rFonts w:ascii="Times New Roman" w:hAnsi="Times New Roman" w:cs="Times New Roman"/>
                <w:b/>
                <w:noProof/>
                <w:sz w:val="18"/>
              </w:rPr>
            </w:pPr>
          </w:p>
        </w:tc>
        <w:tc>
          <w:tcPr>
            <w:tcW w:w="964" w:type="dxa"/>
            <w:vMerge/>
            <w:noWrap/>
            <w:vAlign w:val="center"/>
          </w:tcPr>
          <w:p w14:paraId="532E6BAC" w14:textId="2177902C" w:rsidR="0065073E" w:rsidRDefault="0065073E">
            <w:pPr>
              <w:spacing w:after="0" w:line="240" w:lineRule="auto"/>
              <w:jc w:val="center"/>
              <w:rPr>
                <w:rFonts w:ascii="Times New Roman" w:hAnsi="Times New Roman" w:cs="Times New Roman"/>
                <w:b/>
                <w:noProof/>
                <w:sz w:val="18"/>
              </w:rPr>
            </w:pPr>
          </w:p>
        </w:tc>
        <w:tc>
          <w:tcPr>
            <w:tcW w:w="1999" w:type="dxa"/>
            <w:vMerge/>
            <w:noWrap/>
            <w:vAlign w:val="center"/>
          </w:tcPr>
          <w:p w14:paraId="36E5785B" w14:textId="5A9A66DC" w:rsidR="0065073E" w:rsidRDefault="0065073E">
            <w:pPr>
              <w:spacing w:after="0" w:line="240" w:lineRule="auto"/>
              <w:rPr>
                <w:rFonts w:ascii="Times New Roman" w:hAnsi="Times New Roman" w:cs="Times New Roman"/>
                <w:b/>
                <w:noProof/>
                <w:sz w:val="18"/>
              </w:rPr>
            </w:pPr>
          </w:p>
        </w:tc>
        <w:tc>
          <w:tcPr>
            <w:tcW w:w="974" w:type="dxa"/>
            <w:vMerge/>
            <w:noWrap/>
            <w:vAlign w:val="center"/>
          </w:tcPr>
          <w:p w14:paraId="1C4710DB" w14:textId="4DB5E512" w:rsidR="0065073E" w:rsidRDefault="0065073E">
            <w:pPr>
              <w:spacing w:after="0" w:line="240" w:lineRule="auto"/>
              <w:jc w:val="center"/>
              <w:rPr>
                <w:rFonts w:ascii="Times New Roman" w:hAnsi="Times New Roman" w:cs="Times New Roman"/>
                <w:b/>
                <w:noProof/>
                <w:sz w:val="18"/>
              </w:rPr>
            </w:pPr>
          </w:p>
        </w:tc>
        <w:tc>
          <w:tcPr>
            <w:tcW w:w="834" w:type="dxa"/>
            <w:shd w:val="clear" w:color="auto" w:fill="C6D9F1" w:themeFill="text2" w:themeFillTint="33"/>
            <w:noWrap/>
            <w:vAlign w:val="center"/>
          </w:tcPr>
          <w:p w14:paraId="6D5E5435" w14:textId="2523BC26" w:rsidR="0065073E" w:rsidRDefault="000A0998">
            <w:pPr>
              <w:pStyle w:val="P68B1DB1-Normal8"/>
              <w:spacing w:after="0" w:line="240" w:lineRule="auto"/>
              <w:jc w:val="center"/>
              <w:rPr>
                <w:rFonts w:cs="Times New Roman"/>
                <w:noProof/>
              </w:rPr>
            </w:pPr>
            <w:r>
              <w:rPr>
                <w:noProof/>
              </w:rPr>
              <w:t>Yksikkö</w:t>
            </w:r>
          </w:p>
        </w:tc>
        <w:tc>
          <w:tcPr>
            <w:tcW w:w="973" w:type="dxa"/>
            <w:shd w:val="clear" w:color="auto" w:fill="C6D9F1" w:themeFill="text2" w:themeFillTint="33"/>
            <w:vAlign w:val="center"/>
          </w:tcPr>
          <w:p w14:paraId="56D16D5D" w14:textId="4165E6D5" w:rsidR="0065073E" w:rsidRDefault="000A0998">
            <w:pPr>
              <w:pStyle w:val="P68B1DB1-Normal8"/>
              <w:spacing w:after="0" w:line="240" w:lineRule="auto"/>
              <w:jc w:val="center"/>
              <w:rPr>
                <w:rFonts w:eastAsia="Times New Roman" w:cs="Times New Roman"/>
                <w:noProof/>
              </w:rPr>
            </w:pPr>
            <w:r>
              <w:rPr>
                <w:noProof/>
              </w:rPr>
              <w:t xml:space="preserve">Lähtötaso </w:t>
            </w:r>
          </w:p>
        </w:tc>
        <w:tc>
          <w:tcPr>
            <w:tcW w:w="834" w:type="dxa"/>
            <w:shd w:val="clear" w:color="auto" w:fill="C6D9F1" w:themeFill="text2" w:themeFillTint="33"/>
            <w:vAlign w:val="center"/>
          </w:tcPr>
          <w:p w14:paraId="3B5D6938" w14:textId="7E0E8140" w:rsidR="0065073E" w:rsidRDefault="000A0998">
            <w:pPr>
              <w:pStyle w:val="P68B1DB1-Normal8"/>
              <w:spacing w:after="0" w:line="240" w:lineRule="auto"/>
              <w:rPr>
                <w:rFonts w:cs="Times New Roman"/>
                <w:noProof/>
              </w:rPr>
            </w:pPr>
            <w:r>
              <w:rPr>
                <w:noProof/>
              </w:rPr>
              <w:t>Päämäärä</w:t>
            </w:r>
          </w:p>
        </w:tc>
        <w:tc>
          <w:tcPr>
            <w:tcW w:w="557" w:type="dxa"/>
            <w:shd w:val="clear" w:color="auto" w:fill="C6D9F1" w:themeFill="text2" w:themeFillTint="33"/>
            <w:vAlign w:val="center"/>
          </w:tcPr>
          <w:p w14:paraId="099A5A6B" w14:textId="0D8178F4" w:rsidR="0065073E" w:rsidRDefault="000A0998">
            <w:pPr>
              <w:pStyle w:val="P68B1DB1-Normal8"/>
              <w:spacing w:after="0" w:line="240" w:lineRule="auto"/>
              <w:jc w:val="center"/>
              <w:rPr>
                <w:rFonts w:cs="Times New Roman"/>
                <w:noProof/>
              </w:rPr>
            </w:pPr>
            <w:r>
              <w:rPr>
                <w:noProof/>
              </w:rPr>
              <w:t>Q</w:t>
            </w:r>
          </w:p>
        </w:tc>
        <w:tc>
          <w:tcPr>
            <w:tcW w:w="557" w:type="dxa"/>
            <w:shd w:val="clear" w:color="auto" w:fill="C6D9F1" w:themeFill="text2" w:themeFillTint="33"/>
            <w:vAlign w:val="center"/>
          </w:tcPr>
          <w:p w14:paraId="018B82E2" w14:textId="3B09D021" w:rsidR="0065073E" w:rsidRDefault="000A0998">
            <w:pPr>
              <w:pStyle w:val="P68B1DB1-Normal8"/>
              <w:spacing w:after="0" w:line="240" w:lineRule="auto"/>
              <w:jc w:val="center"/>
              <w:rPr>
                <w:rFonts w:cs="Times New Roman"/>
                <w:noProof/>
              </w:rPr>
            </w:pPr>
            <w:r>
              <w:rPr>
                <w:noProof/>
              </w:rPr>
              <w:t>Vuosi</w:t>
            </w:r>
          </w:p>
        </w:tc>
        <w:tc>
          <w:tcPr>
            <w:tcW w:w="5695" w:type="dxa"/>
            <w:vMerge/>
            <w:noWrap/>
            <w:vAlign w:val="center"/>
          </w:tcPr>
          <w:p w14:paraId="6028BA91" w14:textId="6495DF35" w:rsidR="0065073E" w:rsidRDefault="0065073E">
            <w:pPr>
              <w:spacing w:after="0" w:line="240" w:lineRule="auto"/>
              <w:rPr>
                <w:rFonts w:ascii="Times New Roman" w:eastAsia="Times New Roman" w:hAnsi="Times New Roman" w:cs="Times New Roman"/>
                <w:b/>
                <w:noProof/>
                <w:sz w:val="18"/>
              </w:rPr>
            </w:pPr>
          </w:p>
        </w:tc>
      </w:tr>
      <w:tr w:rsidR="0065073E" w14:paraId="1FA893DD" w14:textId="77777777">
        <w:trPr>
          <w:trHeight w:val="309"/>
        </w:trPr>
        <w:tc>
          <w:tcPr>
            <w:tcW w:w="993" w:type="dxa"/>
            <w:shd w:val="clear" w:color="auto" w:fill="C6EFCE"/>
            <w:noWrap/>
          </w:tcPr>
          <w:p w14:paraId="0AEDCC32" w14:textId="77777777" w:rsidR="0065073E" w:rsidRDefault="000A0998">
            <w:pPr>
              <w:pStyle w:val="P68B1DB1-Normal12"/>
              <w:spacing w:after="0" w:line="240" w:lineRule="auto"/>
              <w:jc w:val="center"/>
              <w:rPr>
                <w:rFonts w:eastAsia="Times New Roman" w:cs="Times New Roman"/>
                <w:noProof/>
              </w:rPr>
            </w:pPr>
            <w:r>
              <w:rPr>
                <w:noProof/>
              </w:rPr>
              <w:t>254</w:t>
            </w:r>
          </w:p>
        </w:tc>
        <w:tc>
          <w:tcPr>
            <w:tcW w:w="837" w:type="dxa"/>
            <w:shd w:val="clear" w:color="auto" w:fill="C6EFCE"/>
            <w:noWrap/>
          </w:tcPr>
          <w:p w14:paraId="5FBF3E81" w14:textId="77777777" w:rsidR="0065073E" w:rsidRDefault="000A0998">
            <w:pPr>
              <w:pStyle w:val="P68B1DB1-Normal12"/>
              <w:spacing w:after="0" w:line="240" w:lineRule="auto"/>
              <w:jc w:val="center"/>
              <w:rPr>
                <w:rFonts w:eastAsia="Times New Roman" w:cs="Times New Roman"/>
                <w:noProof/>
              </w:rPr>
            </w:pPr>
            <w:r>
              <w:rPr>
                <w:noProof/>
              </w:rPr>
              <w:t>C17.R1</w:t>
            </w:r>
          </w:p>
        </w:tc>
        <w:tc>
          <w:tcPr>
            <w:tcW w:w="964" w:type="dxa"/>
            <w:shd w:val="clear" w:color="auto" w:fill="C6EFCE"/>
            <w:noWrap/>
          </w:tcPr>
          <w:p w14:paraId="46CDB860" w14:textId="77777777" w:rsidR="0065073E" w:rsidRDefault="000A0998">
            <w:pPr>
              <w:pStyle w:val="P68B1DB1-Normal12"/>
              <w:spacing w:after="0" w:line="240" w:lineRule="auto"/>
              <w:jc w:val="center"/>
              <w:rPr>
                <w:rFonts w:eastAsia="Times New Roman" w:cs="Times New Roman"/>
                <w:noProof/>
              </w:rPr>
            </w:pPr>
            <w:r>
              <w:rPr>
                <w:noProof/>
              </w:rPr>
              <w:t>M</w:t>
            </w:r>
          </w:p>
        </w:tc>
        <w:tc>
          <w:tcPr>
            <w:tcW w:w="1999" w:type="dxa"/>
            <w:shd w:val="clear" w:color="auto" w:fill="C6EFCE"/>
            <w:noWrap/>
          </w:tcPr>
          <w:p w14:paraId="5D2708B9" w14:textId="77777777" w:rsidR="0065073E" w:rsidRDefault="000A0998">
            <w:pPr>
              <w:pStyle w:val="P68B1DB1-Normal12"/>
              <w:spacing w:after="0" w:line="240" w:lineRule="auto"/>
              <w:rPr>
                <w:rFonts w:eastAsia="Times New Roman" w:cs="Times New Roman"/>
                <w:noProof/>
              </w:rPr>
            </w:pPr>
            <w:r>
              <w:rPr>
                <w:noProof/>
              </w:rPr>
              <w:t>Tieteestä, teknologiasta ja innovoinnista 1. kesäkuuta annetun lain 14/2011 muutos tulee voimaan.</w:t>
            </w:r>
          </w:p>
        </w:tc>
        <w:tc>
          <w:tcPr>
            <w:tcW w:w="974" w:type="dxa"/>
            <w:shd w:val="clear" w:color="auto" w:fill="C6EFCE"/>
            <w:noWrap/>
          </w:tcPr>
          <w:p w14:paraId="3D8696D8" w14:textId="77777777" w:rsidR="0065073E" w:rsidRDefault="000A0998">
            <w:pPr>
              <w:pStyle w:val="P68B1DB1-Normal12"/>
              <w:spacing w:after="0" w:line="240" w:lineRule="auto"/>
              <w:jc w:val="center"/>
              <w:rPr>
                <w:rFonts w:eastAsia="Times New Roman" w:cs="Times New Roman"/>
                <w:noProof/>
              </w:rPr>
            </w:pPr>
            <w:r>
              <w:rPr>
                <w:noProof/>
              </w:rPr>
              <w:t xml:space="preserve"> Voimaantuloa koskevan lain säännös</w:t>
            </w:r>
          </w:p>
        </w:tc>
        <w:tc>
          <w:tcPr>
            <w:tcW w:w="834" w:type="dxa"/>
            <w:shd w:val="clear" w:color="auto" w:fill="C6EFCE"/>
            <w:noWrap/>
          </w:tcPr>
          <w:p w14:paraId="6F55BD0C"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2E7611B6"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17BDBD32" w14:textId="6EC248F7" w:rsidR="0065073E" w:rsidRDefault="0065073E">
            <w:pPr>
              <w:spacing w:after="0" w:line="240" w:lineRule="auto"/>
              <w:jc w:val="center"/>
              <w:rPr>
                <w:rFonts w:ascii="Times New Roman" w:hAnsi="Times New Roman" w:cs="Times New Roman"/>
                <w:noProof/>
                <w:sz w:val="18"/>
              </w:rPr>
            </w:pPr>
          </w:p>
        </w:tc>
        <w:tc>
          <w:tcPr>
            <w:tcW w:w="557" w:type="dxa"/>
            <w:shd w:val="clear" w:color="auto" w:fill="C6EFCE"/>
          </w:tcPr>
          <w:p w14:paraId="39A299FC" w14:textId="0C00DA27"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11C93FFC" w14:textId="30FDDC17" w:rsidR="0065073E" w:rsidRDefault="000A0998">
            <w:pPr>
              <w:pStyle w:val="P68B1DB1-Normal12"/>
              <w:spacing w:after="0" w:line="240" w:lineRule="auto"/>
              <w:jc w:val="center"/>
              <w:rPr>
                <w:rFonts w:cs="Times New Roman"/>
                <w:noProof/>
              </w:rPr>
            </w:pPr>
            <w:r>
              <w:rPr>
                <w:noProof/>
              </w:rPr>
              <w:t>2022</w:t>
            </w:r>
          </w:p>
        </w:tc>
        <w:tc>
          <w:tcPr>
            <w:tcW w:w="5695" w:type="dxa"/>
            <w:shd w:val="clear" w:color="auto" w:fill="C6EFCE"/>
            <w:noWrap/>
          </w:tcPr>
          <w:p w14:paraId="4E3D45B8" w14:textId="77777777" w:rsidR="0065073E" w:rsidRDefault="000A0998">
            <w:pPr>
              <w:pStyle w:val="P68B1DB1-Normal12"/>
              <w:spacing w:after="0" w:line="240" w:lineRule="auto"/>
              <w:rPr>
                <w:rFonts w:cs="Times New Roman"/>
                <w:noProof/>
              </w:rPr>
            </w:pPr>
            <w:r>
              <w:rPr>
                <w:noProof/>
              </w:rPr>
              <w:t xml:space="preserve">Tiede-, teknologia- ja innovaatiolain muutos, jolla parannetaan tiede-, tutkimus- ja innovaatiopolitiikan eri tasojen välistä koordinointia, tehostetaan Espanjan tiedeteknologia- ja innovointijärjestelmän hallintoa ja koordinointia, otetaan käyttöön uusi tieteellinen ura ja parannetaan tietämyksen siirtoa. </w:t>
            </w:r>
          </w:p>
        </w:tc>
      </w:tr>
      <w:tr w:rsidR="0065073E" w14:paraId="1FEA383B" w14:textId="77777777">
        <w:trPr>
          <w:trHeight w:val="309"/>
        </w:trPr>
        <w:tc>
          <w:tcPr>
            <w:tcW w:w="993" w:type="dxa"/>
            <w:shd w:val="clear" w:color="auto" w:fill="C6EFCE"/>
            <w:noWrap/>
          </w:tcPr>
          <w:p w14:paraId="213D4DF8" w14:textId="77777777" w:rsidR="0065073E" w:rsidRDefault="000A0998">
            <w:pPr>
              <w:pStyle w:val="P68B1DB1-Normal12"/>
              <w:jc w:val="center"/>
              <w:rPr>
                <w:rFonts w:cs="Times New Roman"/>
                <w:noProof/>
              </w:rPr>
            </w:pPr>
            <w:r>
              <w:rPr>
                <w:noProof/>
              </w:rPr>
              <w:t>255</w:t>
            </w:r>
          </w:p>
        </w:tc>
        <w:tc>
          <w:tcPr>
            <w:tcW w:w="837" w:type="dxa"/>
            <w:shd w:val="clear" w:color="auto" w:fill="C6EFCE"/>
            <w:noWrap/>
          </w:tcPr>
          <w:p w14:paraId="47E4DDEA" w14:textId="77777777" w:rsidR="0065073E" w:rsidRDefault="000A0998">
            <w:pPr>
              <w:pStyle w:val="P68B1DB1-Normal12"/>
              <w:jc w:val="center"/>
              <w:rPr>
                <w:rFonts w:cs="Times New Roman"/>
                <w:noProof/>
              </w:rPr>
            </w:pPr>
            <w:r>
              <w:rPr>
                <w:noProof/>
              </w:rPr>
              <w:t>C17.R2</w:t>
            </w:r>
          </w:p>
        </w:tc>
        <w:tc>
          <w:tcPr>
            <w:tcW w:w="964" w:type="dxa"/>
            <w:shd w:val="clear" w:color="auto" w:fill="C6EFCE"/>
            <w:noWrap/>
          </w:tcPr>
          <w:p w14:paraId="3222240A" w14:textId="77777777" w:rsidR="0065073E" w:rsidRDefault="000A0998">
            <w:pPr>
              <w:pStyle w:val="P68B1DB1-Normal12"/>
              <w:jc w:val="center"/>
              <w:rPr>
                <w:rFonts w:cs="Times New Roman"/>
                <w:noProof/>
              </w:rPr>
            </w:pPr>
            <w:r>
              <w:rPr>
                <w:noProof/>
              </w:rPr>
              <w:t>M</w:t>
            </w:r>
          </w:p>
        </w:tc>
        <w:tc>
          <w:tcPr>
            <w:tcW w:w="1999" w:type="dxa"/>
            <w:shd w:val="clear" w:color="auto" w:fill="C6EFCE"/>
            <w:noWrap/>
          </w:tcPr>
          <w:p w14:paraId="62CD58CA" w14:textId="77777777" w:rsidR="0065073E" w:rsidRDefault="000A0998">
            <w:pPr>
              <w:pStyle w:val="P68B1DB1-Normal12"/>
              <w:rPr>
                <w:rFonts w:cs="Times New Roman"/>
                <w:noProof/>
              </w:rPr>
            </w:pPr>
            <w:r>
              <w:rPr>
                <w:noProof/>
              </w:rPr>
              <w:t>Espanjan tiede-, teknologia- ja innovointistrategian 2021–2027 julkaiseminen</w:t>
            </w:r>
          </w:p>
        </w:tc>
        <w:tc>
          <w:tcPr>
            <w:tcW w:w="974" w:type="dxa"/>
            <w:shd w:val="clear" w:color="auto" w:fill="C6EFCE"/>
            <w:noWrap/>
          </w:tcPr>
          <w:p w14:paraId="7AD43052" w14:textId="77777777" w:rsidR="0065073E" w:rsidRDefault="000A0998">
            <w:pPr>
              <w:pStyle w:val="P68B1DB1-Normal12"/>
              <w:rPr>
                <w:rFonts w:cs="Times New Roman"/>
                <w:noProof/>
              </w:rPr>
            </w:pPr>
            <w:r>
              <w:rPr>
                <w:noProof/>
              </w:rPr>
              <w:t>Espanjan tiede-, teknologia- ja innovointistrategian 2021–2027 julkaiseminen</w:t>
            </w:r>
          </w:p>
        </w:tc>
        <w:tc>
          <w:tcPr>
            <w:tcW w:w="834" w:type="dxa"/>
            <w:shd w:val="clear" w:color="auto" w:fill="C6EFCE"/>
            <w:noWrap/>
          </w:tcPr>
          <w:p w14:paraId="394EAC0E" w14:textId="77777777" w:rsidR="0065073E" w:rsidRDefault="000A0998">
            <w:pPr>
              <w:pStyle w:val="P68B1DB1-Normal12"/>
              <w:rPr>
                <w:rFonts w:cs="Times New Roman"/>
                <w:noProof/>
              </w:rPr>
            </w:pPr>
            <w:r>
              <w:rPr>
                <w:noProof/>
              </w:rPr>
              <w:t xml:space="preserve"> </w:t>
            </w:r>
          </w:p>
        </w:tc>
        <w:tc>
          <w:tcPr>
            <w:tcW w:w="973" w:type="dxa"/>
            <w:shd w:val="clear" w:color="auto" w:fill="C6EFCE"/>
          </w:tcPr>
          <w:p w14:paraId="5C7927EC" w14:textId="77777777" w:rsidR="0065073E" w:rsidRDefault="0065073E">
            <w:pPr>
              <w:rPr>
                <w:rFonts w:ascii="Times New Roman" w:hAnsi="Times New Roman" w:cs="Times New Roman"/>
                <w:noProof/>
                <w:sz w:val="18"/>
              </w:rPr>
            </w:pPr>
          </w:p>
        </w:tc>
        <w:tc>
          <w:tcPr>
            <w:tcW w:w="834" w:type="dxa"/>
            <w:shd w:val="clear" w:color="auto" w:fill="C6EFCE"/>
          </w:tcPr>
          <w:p w14:paraId="30E47931" w14:textId="36E724BD" w:rsidR="0065073E" w:rsidRDefault="0065073E">
            <w:pPr>
              <w:jc w:val="center"/>
              <w:rPr>
                <w:rFonts w:ascii="Times New Roman" w:hAnsi="Times New Roman" w:cs="Times New Roman"/>
                <w:noProof/>
                <w:sz w:val="18"/>
              </w:rPr>
            </w:pPr>
          </w:p>
        </w:tc>
        <w:tc>
          <w:tcPr>
            <w:tcW w:w="557" w:type="dxa"/>
            <w:shd w:val="clear" w:color="auto" w:fill="C6EFCE"/>
          </w:tcPr>
          <w:p w14:paraId="21F37CD3" w14:textId="003FF69C" w:rsidR="0065073E" w:rsidRDefault="000A0998">
            <w:pPr>
              <w:pStyle w:val="P68B1DB1-Normal12"/>
              <w:jc w:val="center"/>
              <w:rPr>
                <w:rFonts w:cs="Times New Roman"/>
                <w:noProof/>
              </w:rPr>
            </w:pPr>
            <w:r>
              <w:rPr>
                <w:noProof/>
              </w:rPr>
              <w:t>Q4</w:t>
            </w:r>
          </w:p>
        </w:tc>
        <w:tc>
          <w:tcPr>
            <w:tcW w:w="557" w:type="dxa"/>
            <w:shd w:val="clear" w:color="auto" w:fill="C6EFCE"/>
          </w:tcPr>
          <w:p w14:paraId="1130D534" w14:textId="6205A7D6" w:rsidR="0065073E" w:rsidRDefault="000A0998">
            <w:pPr>
              <w:pStyle w:val="P68B1DB1-Normal12"/>
              <w:jc w:val="center"/>
              <w:rPr>
                <w:rFonts w:cs="Times New Roman"/>
                <w:noProof/>
              </w:rPr>
            </w:pPr>
            <w:r>
              <w:rPr>
                <w:noProof/>
              </w:rPr>
              <w:t>2020</w:t>
            </w:r>
          </w:p>
        </w:tc>
        <w:tc>
          <w:tcPr>
            <w:tcW w:w="5695" w:type="dxa"/>
            <w:shd w:val="clear" w:color="auto" w:fill="C6EFCE"/>
            <w:noWrap/>
          </w:tcPr>
          <w:p w14:paraId="10CCE7ED" w14:textId="77777777" w:rsidR="0065073E" w:rsidRDefault="000A0998">
            <w:pPr>
              <w:pStyle w:val="P68B1DB1-Normal12"/>
              <w:spacing w:line="240" w:lineRule="auto"/>
              <w:rPr>
                <w:rFonts w:cs="Times New Roman"/>
                <w:noProof/>
              </w:rPr>
            </w:pPr>
            <w:r>
              <w:rPr>
                <w:noProof/>
              </w:rPr>
              <w:t xml:space="preserve">Espanjan tiede-, teknologia- ja innovaatiostrategiassa (EECTI) esitetään yleinen strategia, jota kaikkien julkishallintojen, myös alue- ja paikallistason, on noudatettava tutkimuksen kehittämisen ja innovoinnin alalla. Strategia on Espanjan älykkään erikoistumisen strategia.  Strategiaa varten perustetaan seurantakomitea, johon kuuluu valtion, alueiden, talous- ja yhteiskuntaelämän sidosryhmien sekä tiedeyhteisön edustajia. Strategia perustuu hallinnon eri tasojen koordinoinnin periaatteeseen, ja sen tarkoituksena on varmistaa tutkimuksen ja innovoinnin sukupuolinäkökulma. Sen tavoitteena on vahvistaa julkisen ja yksityisen sektorin yhteistyötä, edistää tietämyksen siirtoa, säilyttää tieteellisiä kykyjä ja kehittää tieteellistä uraa, varmistaa riittävät verokannustimet tutkimuksen, kehityksen ja innovoinnin tukemiseksi yksityisellä sektorilla ja sisällyttää siihen sukupuolinäkökulma. </w:t>
            </w:r>
          </w:p>
        </w:tc>
      </w:tr>
      <w:tr w:rsidR="0065073E" w14:paraId="5CCF5445" w14:textId="77777777">
        <w:trPr>
          <w:trHeight w:val="309"/>
        </w:trPr>
        <w:tc>
          <w:tcPr>
            <w:tcW w:w="993" w:type="dxa"/>
            <w:shd w:val="clear" w:color="auto" w:fill="C6EFCE"/>
            <w:noWrap/>
          </w:tcPr>
          <w:p w14:paraId="777BEDB2" w14:textId="77777777" w:rsidR="0065073E" w:rsidRDefault="000A0998">
            <w:pPr>
              <w:pStyle w:val="P68B1DB1-Normal12"/>
              <w:spacing w:after="0" w:line="240" w:lineRule="auto"/>
              <w:jc w:val="center"/>
              <w:rPr>
                <w:rFonts w:eastAsia="Times New Roman" w:cs="Times New Roman"/>
                <w:noProof/>
              </w:rPr>
            </w:pPr>
            <w:r>
              <w:rPr>
                <w:noProof/>
              </w:rPr>
              <w:t>256</w:t>
            </w:r>
          </w:p>
        </w:tc>
        <w:tc>
          <w:tcPr>
            <w:tcW w:w="837" w:type="dxa"/>
            <w:shd w:val="clear" w:color="auto" w:fill="C6EFCE"/>
            <w:noWrap/>
          </w:tcPr>
          <w:p w14:paraId="685AC3B1" w14:textId="77777777" w:rsidR="0065073E" w:rsidRDefault="000A0998">
            <w:pPr>
              <w:pStyle w:val="P68B1DB1-Normal12"/>
              <w:spacing w:after="0" w:line="240" w:lineRule="auto"/>
              <w:jc w:val="center"/>
              <w:rPr>
                <w:rFonts w:eastAsia="Times New Roman" w:cs="Times New Roman"/>
                <w:noProof/>
              </w:rPr>
            </w:pPr>
            <w:r>
              <w:rPr>
                <w:noProof/>
              </w:rPr>
              <w:t>C17.R2</w:t>
            </w:r>
          </w:p>
        </w:tc>
        <w:tc>
          <w:tcPr>
            <w:tcW w:w="964" w:type="dxa"/>
            <w:shd w:val="clear" w:color="auto" w:fill="C6EFCE"/>
            <w:noWrap/>
          </w:tcPr>
          <w:p w14:paraId="7D124B38" w14:textId="77777777" w:rsidR="0065073E" w:rsidRDefault="000A0998">
            <w:pPr>
              <w:pStyle w:val="P68B1DB1-Normal12"/>
              <w:spacing w:after="0" w:line="240" w:lineRule="auto"/>
              <w:jc w:val="center"/>
              <w:rPr>
                <w:rFonts w:eastAsia="Times New Roman" w:cs="Times New Roman"/>
                <w:noProof/>
              </w:rPr>
            </w:pPr>
            <w:r>
              <w:rPr>
                <w:noProof/>
              </w:rPr>
              <w:t>M</w:t>
            </w:r>
          </w:p>
        </w:tc>
        <w:tc>
          <w:tcPr>
            <w:tcW w:w="1999" w:type="dxa"/>
            <w:shd w:val="clear" w:color="auto" w:fill="C6EFCE"/>
            <w:noWrap/>
          </w:tcPr>
          <w:p w14:paraId="41DC8F17" w14:textId="77777777" w:rsidR="0065073E" w:rsidRDefault="000A0998">
            <w:pPr>
              <w:pStyle w:val="P68B1DB1-Normal12"/>
              <w:spacing w:after="0" w:line="240" w:lineRule="auto"/>
              <w:rPr>
                <w:rFonts w:eastAsia="Times New Roman" w:cs="Times New Roman"/>
                <w:noProof/>
              </w:rPr>
            </w:pPr>
            <w:r>
              <w:rPr>
                <w:noProof/>
              </w:rPr>
              <w:t xml:space="preserve">Espanjan tiede-, teknologia- ja innovaatiostrategian 2021–2027 väliarviointi </w:t>
            </w:r>
          </w:p>
        </w:tc>
        <w:tc>
          <w:tcPr>
            <w:tcW w:w="974" w:type="dxa"/>
            <w:shd w:val="clear" w:color="auto" w:fill="C6EFCE"/>
            <w:noWrap/>
          </w:tcPr>
          <w:p w14:paraId="456A46FD" w14:textId="77777777" w:rsidR="0065073E" w:rsidRDefault="000A0998">
            <w:pPr>
              <w:pStyle w:val="P68B1DB1-Normal12"/>
              <w:spacing w:after="0" w:line="240" w:lineRule="auto"/>
              <w:jc w:val="center"/>
              <w:rPr>
                <w:rFonts w:eastAsia="Times New Roman" w:cs="Times New Roman"/>
                <w:noProof/>
              </w:rPr>
            </w:pPr>
            <w:r>
              <w:rPr>
                <w:noProof/>
              </w:rPr>
              <w:t xml:space="preserve">Sopimus Consejo de </w:t>
            </w:r>
            <w:r>
              <w:rPr>
                <w:i/>
                <w:noProof/>
              </w:rPr>
              <w:t>Política Científica, Tecnológica y de</w:t>
            </w:r>
            <w:r>
              <w:rPr>
                <w:noProof/>
              </w:rPr>
              <w:t xml:space="preserve"> Innovaciónissa ja arvioinnin julkaiseminen tiede- ja innovaatioministeriön verkkosivustolla.  </w:t>
            </w:r>
          </w:p>
        </w:tc>
        <w:tc>
          <w:tcPr>
            <w:tcW w:w="834" w:type="dxa"/>
            <w:shd w:val="clear" w:color="auto" w:fill="C6EFCE"/>
            <w:noWrap/>
          </w:tcPr>
          <w:p w14:paraId="19322564"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3A31862B"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0061496B" w14:textId="4EA8BB98" w:rsidR="0065073E" w:rsidRDefault="0065073E">
            <w:pPr>
              <w:spacing w:after="0" w:line="240" w:lineRule="auto"/>
              <w:jc w:val="center"/>
              <w:rPr>
                <w:rFonts w:ascii="Times New Roman" w:hAnsi="Times New Roman" w:cs="Times New Roman"/>
                <w:noProof/>
                <w:sz w:val="18"/>
              </w:rPr>
            </w:pPr>
          </w:p>
        </w:tc>
        <w:tc>
          <w:tcPr>
            <w:tcW w:w="557" w:type="dxa"/>
            <w:shd w:val="clear" w:color="auto" w:fill="C6EFCE"/>
          </w:tcPr>
          <w:p w14:paraId="6DA9F107" w14:textId="59508092"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0D5454B8" w14:textId="61006493" w:rsidR="0065073E" w:rsidRDefault="000A0998">
            <w:pPr>
              <w:pStyle w:val="P68B1DB1-Normal12"/>
              <w:spacing w:after="0" w:line="240" w:lineRule="auto"/>
              <w:jc w:val="center"/>
              <w:rPr>
                <w:rFonts w:cs="Times New Roman"/>
                <w:noProof/>
              </w:rPr>
            </w:pPr>
            <w:r>
              <w:rPr>
                <w:noProof/>
              </w:rPr>
              <w:t>2023</w:t>
            </w:r>
          </w:p>
        </w:tc>
        <w:tc>
          <w:tcPr>
            <w:tcW w:w="5695" w:type="dxa"/>
            <w:shd w:val="clear" w:color="auto" w:fill="C6EFCE"/>
            <w:noWrap/>
          </w:tcPr>
          <w:p w14:paraId="73F6C422" w14:textId="77777777" w:rsidR="0065073E" w:rsidRDefault="000A0998">
            <w:pPr>
              <w:pStyle w:val="P68B1DB1-Normal12"/>
              <w:spacing w:after="0" w:line="240" w:lineRule="auto"/>
              <w:rPr>
                <w:rFonts w:eastAsia="Times New Roman" w:cs="Times New Roman"/>
                <w:noProof/>
              </w:rPr>
            </w:pPr>
            <w:r>
              <w:rPr>
                <w:noProof/>
              </w:rPr>
              <w:t xml:space="preserve">Espanjan tiede-, teknologia- ja innovaatiostrategian 2021–2027 seurantakomitean suorittama väliarviointi julkaistaan joulukuussa 2023. Arvioinnissa käytettävistä indikaattoreista on sovittu </w:t>
            </w:r>
            <w:r>
              <w:rPr>
                <w:i/>
                <w:noProof/>
              </w:rPr>
              <w:t>Consejo de Política Científica, Tecnológica y de Innovaciónissa (</w:t>
            </w:r>
            <w:r>
              <w:rPr>
                <w:noProof/>
              </w:rPr>
              <w:t xml:space="preserve"> jossa 17 itsehallintoaluetta ovat edustettuina), ja alustava luettelo näistä indikaattoreista ja tiedonhaku on vahvistettu Espanjan tiede-, teknologia- ja innovaatiostrategiassa 2021–2027. Tiede-, teknologia- ja innovointijärjestelmää käytetään tietojen keräämiseen strategian täytäntöönpanon edistymisestä. </w:t>
            </w:r>
          </w:p>
        </w:tc>
      </w:tr>
      <w:tr w:rsidR="0065073E" w14:paraId="068EE29A" w14:textId="77777777">
        <w:trPr>
          <w:trHeight w:val="309"/>
        </w:trPr>
        <w:tc>
          <w:tcPr>
            <w:tcW w:w="993" w:type="dxa"/>
            <w:shd w:val="clear" w:color="auto" w:fill="C6EFCE"/>
            <w:noWrap/>
          </w:tcPr>
          <w:p w14:paraId="18E0C817" w14:textId="77777777" w:rsidR="0065073E" w:rsidRDefault="000A0998">
            <w:pPr>
              <w:pStyle w:val="P68B1DB1-Normal12"/>
              <w:spacing w:after="0" w:line="240" w:lineRule="auto"/>
              <w:jc w:val="center"/>
              <w:rPr>
                <w:rFonts w:eastAsia="Times New Roman" w:cs="Times New Roman"/>
                <w:noProof/>
              </w:rPr>
            </w:pPr>
            <w:r>
              <w:rPr>
                <w:noProof/>
              </w:rPr>
              <w:t>257</w:t>
            </w:r>
          </w:p>
        </w:tc>
        <w:tc>
          <w:tcPr>
            <w:tcW w:w="837" w:type="dxa"/>
            <w:shd w:val="clear" w:color="auto" w:fill="C6EFCE"/>
            <w:noWrap/>
          </w:tcPr>
          <w:p w14:paraId="0268D8DA" w14:textId="77777777" w:rsidR="0065073E" w:rsidRDefault="000A0998">
            <w:pPr>
              <w:pStyle w:val="P68B1DB1-Normal12"/>
              <w:spacing w:after="0" w:line="240" w:lineRule="auto"/>
              <w:jc w:val="center"/>
              <w:rPr>
                <w:rFonts w:eastAsia="Times New Roman" w:cs="Times New Roman"/>
                <w:noProof/>
              </w:rPr>
            </w:pPr>
            <w:r>
              <w:rPr>
                <w:noProof/>
              </w:rPr>
              <w:t>C17.R3</w:t>
            </w:r>
          </w:p>
        </w:tc>
        <w:tc>
          <w:tcPr>
            <w:tcW w:w="964" w:type="dxa"/>
            <w:shd w:val="clear" w:color="auto" w:fill="C6EFCE"/>
            <w:noWrap/>
          </w:tcPr>
          <w:p w14:paraId="0B53C30B" w14:textId="77777777" w:rsidR="0065073E" w:rsidRDefault="000A0998">
            <w:pPr>
              <w:pStyle w:val="P68B1DB1-Normal12"/>
              <w:spacing w:after="0" w:line="240" w:lineRule="auto"/>
              <w:jc w:val="center"/>
              <w:rPr>
                <w:rFonts w:eastAsia="Times New Roman" w:cs="Times New Roman"/>
                <w:noProof/>
              </w:rPr>
            </w:pPr>
            <w:r>
              <w:rPr>
                <w:noProof/>
              </w:rPr>
              <w:t>M</w:t>
            </w:r>
          </w:p>
        </w:tc>
        <w:tc>
          <w:tcPr>
            <w:tcW w:w="1999" w:type="dxa"/>
            <w:shd w:val="clear" w:color="auto" w:fill="C6EFCE"/>
            <w:noWrap/>
          </w:tcPr>
          <w:p w14:paraId="276E380B" w14:textId="77777777" w:rsidR="0065073E" w:rsidRDefault="000A0998">
            <w:pPr>
              <w:pStyle w:val="P68B1DB1-Normal12"/>
              <w:spacing w:after="0" w:line="240" w:lineRule="auto"/>
              <w:rPr>
                <w:rFonts w:eastAsia="Times New Roman" w:cs="Times New Roman"/>
                <w:noProof/>
              </w:rPr>
            </w:pPr>
            <w:r>
              <w:rPr>
                <w:noProof/>
              </w:rPr>
              <w:t xml:space="preserve">Julkisten tutkimusorganisaatioiden uudelleenjärjestelystä annetun kuninkaallisen asetuksen voimaantulo. </w:t>
            </w:r>
          </w:p>
        </w:tc>
        <w:tc>
          <w:tcPr>
            <w:tcW w:w="974" w:type="dxa"/>
            <w:shd w:val="clear" w:color="auto" w:fill="C6EFCE"/>
            <w:noWrap/>
          </w:tcPr>
          <w:p w14:paraId="4A68CD8F" w14:textId="77777777" w:rsidR="0065073E" w:rsidRDefault="000A0998">
            <w:pPr>
              <w:pStyle w:val="P68B1DB1-Normal12"/>
              <w:spacing w:after="0" w:line="240" w:lineRule="auto"/>
              <w:jc w:val="center"/>
              <w:rPr>
                <w:rFonts w:eastAsia="Times New Roman" w:cs="Times New Roman"/>
                <w:noProof/>
              </w:rPr>
            </w:pPr>
            <w:r>
              <w:rPr>
                <w:noProof/>
              </w:rPr>
              <w:t xml:space="preserve"> Kuninkaan asetuksen voimaantuloa koskeva säännös</w:t>
            </w:r>
          </w:p>
        </w:tc>
        <w:tc>
          <w:tcPr>
            <w:tcW w:w="834" w:type="dxa"/>
            <w:shd w:val="clear" w:color="auto" w:fill="C6EFCE"/>
            <w:noWrap/>
          </w:tcPr>
          <w:p w14:paraId="31A2D429"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1A31E73D"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7B110424" w14:textId="6EB46920" w:rsidR="0065073E" w:rsidRDefault="0065073E">
            <w:pPr>
              <w:spacing w:after="0" w:line="240" w:lineRule="auto"/>
              <w:jc w:val="center"/>
              <w:rPr>
                <w:rFonts w:ascii="Times New Roman" w:hAnsi="Times New Roman" w:cs="Times New Roman"/>
                <w:noProof/>
                <w:sz w:val="18"/>
              </w:rPr>
            </w:pPr>
          </w:p>
        </w:tc>
        <w:tc>
          <w:tcPr>
            <w:tcW w:w="557" w:type="dxa"/>
            <w:shd w:val="clear" w:color="auto" w:fill="C6EFCE"/>
          </w:tcPr>
          <w:p w14:paraId="5172323B" w14:textId="615AFFB7" w:rsidR="0065073E" w:rsidRDefault="000A0998">
            <w:pPr>
              <w:pStyle w:val="P68B1DB1-Normal12"/>
              <w:spacing w:after="0" w:line="240" w:lineRule="auto"/>
              <w:jc w:val="center"/>
              <w:rPr>
                <w:rFonts w:cs="Times New Roman"/>
                <w:noProof/>
              </w:rPr>
            </w:pPr>
            <w:r>
              <w:rPr>
                <w:noProof/>
              </w:rPr>
              <w:t>ENSIMMÄINEN VUOSINELJÄNNES</w:t>
            </w:r>
          </w:p>
        </w:tc>
        <w:tc>
          <w:tcPr>
            <w:tcW w:w="557" w:type="dxa"/>
            <w:shd w:val="clear" w:color="auto" w:fill="C6EFCE"/>
          </w:tcPr>
          <w:p w14:paraId="25087A98" w14:textId="36EDB34B" w:rsidR="0065073E" w:rsidRDefault="000A0998">
            <w:pPr>
              <w:pStyle w:val="P68B1DB1-Normal12"/>
              <w:spacing w:after="0" w:line="240" w:lineRule="auto"/>
              <w:jc w:val="center"/>
              <w:rPr>
                <w:rFonts w:cs="Times New Roman"/>
                <w:noProof/>
              </w:rPr>
            </w:pPr>
            <w:r>
              <w:rPr>
                <w:noProof/>
              </w:rPr>
              <w:t>2021</w:t>
            </w:r>
          </w:p>
        </w:tc>
        <w:tc>
          <w:tcPr>
            <w:tcW w:w="5695" w:type="dxa"/>
            <w:shd w:val="clear" w:color="auto" w:fill="C6EFCE"/>
            <w:noWrap/>
          </w:tcPr>
          <w:p w14:paraId="41DAEBA5" w14:textId="49CD5202" w:rsidR="0065073E" w:rsidRDefault="000A0998">
            <w:pPr>
              <w:pStyle w:val="P68B1DB1-Normal12"/>
              <w:spacing w:after="0" w:line="240" w:lineRule="auto"/>
              <w:rPr>
                <w:rFonts w:eastAsia="Times New Roman" w:cs="Times New Roman"/>
                <w:noProof/>
              </w:rPr>
            </w:pPr>
            <w:r>
              <w:rPr>
                <w:noProof/>
              </w:rPr>
              <w:t>Julkisten tutkimusorganisaatioiden uudelleenjärjestelystä annetun kuninkaallisen asetuksen voimaantulo. Tällä pyritään parantamaan niiden kolmen PRO:n hallinnointi- ja tieteellisen neuvonnan valmiuksia, joiden kriittinen massa on pienempi, integroimalla ne laajempaan tuottajaorganisaatioon seuraavasti: I) tuloksena olevan tuottajaorganisaation kilpailuaseman parantaminen, ii) sen tehokkuuden lisääminen ja iii) hallinnollisen joustavuuden lisääminen.</w:t>
            </w:r>
          </w:p>
        </w:tc>
      </w:tr>
      <w:tr w:rsidR="0065073E" w14:paraId="49F7AE4E" w14:textId="77777777">
        <w:trPr>
          <w:trHeight w:val="309"/>
        </w:trPr>
        <w:tc>
          <w:tcPr>
            <w:tcW w:w="993" w:type="dxa"/>
            <w:shd w:val="clear" w:color="auto" w:fill="C6EFCE"/>
            <w:noWrap/>
          </w:tcPr>
          <w:p w14:paraId="3297D043" w14:textId="77777777" w:rsidR="0065073E" w:rsidRDefault="000A0998">
            <w:pPr>
              <w:pStyle w:val="P68B1DB1-Normal12"/>
              <w:spacing w:after="0" w:line="240" w:lineRule="auto"/>
              <w:jc w:val="center"/>
              <w:rPr>
                <w:rFonts w:eastAsia="Times New Roman" w:cs="Times New Roman"/>
                <w:noProof/>
              </w:rPr>
            </w:pPr>
            <w:r>
              <w:rPr>
                <w:noProof/>
              </w:rPr>
              <w:t>258</w:t>
            </w:r>
          </w:p>
        </w:tc>
        <w:tc>
          <w:tcPr>
            <w:tcW w:w="837" w:type="dxa"/>
            <w:shd w:val="clear" w:color="auto" w:fill="C6EFCE"/>
            <w:noWrap/>
          </w:tcPr>
          <w:p w14:paraId="051D7B87" w14:textId="77777777" w:rsidR="0065073E" w:rsidRDefault="000A0998">
            <w:pPr>
              <w:pStyle w:val="P68B1DB1-Normal12"/>
              <w:spacing w:after="0" w:line="240" w:lineRule="auto"/>
              <w:jc w:val="center"/>
              <w:rPr>
                <w:rFonts w:eastAsia="Times New Roman" w:cs="Times New Roman"/>
                <w:noProof/>
              </w:rPr>
            </w:pPr>
            <w:r>
              <w:rPr>
                <w:noProof/>
              </w:rPr>
              <w:t>C17.I1</w:t>
            </w:r>
          </w:p>
        </w:tc>
        <w:tc>
          <w:tcPr>
            <w:tcW w:w="964" w:type="dxa"/>
            <w:shd w:val="clear" w:color="auto" w:fill="C6EFCE"/>
            <w:noWrap/>
          </w:tcPr>
          <w:p w14:paraId="57188DB5"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64014446" w14:textId="77777777" w:rsidR="0065073E" w:rsidRDefault="000A0998">
            <w:pPr>
              <w:pStyle w:val="P68B1DB1-Normal12"/>
              <w:spacing w:after="0" w:line="240" w:lineRule="auto"/>
              <w:rPr>
                <w:rFonts w:eastAsia="Times New Roman" w:cs="Times New Roman"/>
                <w:noProof/>
              </w:rPr>
            </w:pPr>
            <w:r>
              <w:rPr>
                <w:noProof/>
              </w:rPr>
              <w:t xml:space="preserve">Tiede- ja innovaatioministeriön itsehallintoalueiden kanssa allekirjoittamat sopimukset täydentävien T &amp; K-suunnitelmien täytäntöönpanosta. </w:t>
            </w:r>
          </w:p>
        </w:tc>
        <w:tc>
          <w:tcPr>
            <w:tcW w:w="974" w:type="dxa"/>
            <w:shd w:val="clear" w:color="auto" w:fill="C6EFCE"/>
            <w:noWrap/>
          </w:tcPr>
          <w:p w14:paraId="1FA5245F"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1D711C6B"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325FD8D3"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2F2FF6BF" w14:textId="017F2239" w:rsidR="0065073E" w:rsidRDefault="000A0998">
            <w:pPr>
              <w:pStyle w:val="P68B1DB1-Normal12"/>
              <w:spacing w:after="0" w:line="240" w:lineRule="auto"/>
              <w:jc w:val="center"/>
              <w:rPr>
                <w:rFonts w:cs="Times New Roman"/>
                <w:noProof/>
              </w:rPr>
            </w:pPr>
            <w:r>
              <w:rPr>
                <w:noProof/>
              </w:rPr>
              <w:t>4</w:t>
            </w:r>
          </w:p>
        </w:tc>
        <w:tc>
          <w:tcPr>
            <w:tcW w:w="557" w:type="dxa"/>
            <w:shd w:val="clear" w:color="auto" w:fill="C6EFCE"/>
          </w:tcPr>
          <w:p w14:paraId="7821A49C" w14:textId="371802CB"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35111DCE" w14:textId="32113782" w:rsidR="0065073E" w:rsidRDefault="000A0998">
            <w:pPr>
              <w:pStyle w:val="P68B1DB1-Normal12"/>
              <w:spacing w:after="0" w:line="240" w:lineRule="auto"/>
              <w:jc w:val="center"/>
              <w:rPr>
                <w:rFonts w:cs="Times New Roman"/>
                <w:noProof/>
              </w:rPr>
            </w:pPr>
            <w:r>
              <w:rPr>
                <w:noProof/>
              </w:rPr>
              <w:t>2021</w:t>
            </w:r>
          </w:p>
        </w:tc>
        <w:tc>
          <w:tcPr>
            <w:tcW w:w="5695" w:type="dxa"/>
            <w:shd w:val="clear" w:color="auto" w:fill="C6EFCE"/>
            <w:noWrap/>
          </w:tcPr>
          <w:p w14:paraId="4319A5BA" w14:textId="77777777" w:rsidR="0065073E" w:rsidRDefault="000A0998">
            <w:pPr>
              <w:pStyle w:val="P68B1DB1-Normal12"/>
              <w:spacing w:after="0" w:line="240" w:lineRule="auto"/>
              <w:rPr>
                <w:rFonts w:eastAsia="Times New Roman" w:cs="Times New Roman"/>
                <w:noProof/>
              </w:rPr>
            </w:pPr>
            <w:r>
              <w:rPr>
                <w:noProof/>
              </w:rPr>
              <w:t xml:space="preserve">Tiede- ja innovaatioministeriön itsehallintoalueiden kanssa allekirjoittamat neljä sopimusta täydentävien T &amp; K-suunnitelmien täytäntöönpanosta, joiden arvo on vähintään 140000000 euroa. Sopimusten on mahdollistettava strateginen koordinointi ja synergia alueellisten ja kansallisten älykkään erikoistumisen strategioiden välillä. </w:t>
            </w:r>
          </w:p>
        </w:tc>
      </w:tr>
      <w:tr w:rsidR="0065073E" w14:paraId="5E5DAD9C" w14:textId="77777777">
        <w:trPr>
          <w:trHeight w:val="309"/>
        </w:trPr>
        <w:tc>
          <w:tcPr>
            <w:tcW w:w="993" w:type="dxa"/>
            <w:shd w:val="clear" w:color="auto" w:fill="C6EFCE"/>
            <w:noWrap/>
          </w:tcPr>
          <w:p w14:paraId="3DE6C918" w14:textId="77777777" w:rsidR="0065073E" w:rsidRDefault="000A0998">
            <w:pPr>
              <w:pStyle w:val="P68B1DB1-Normal12"/>
              <w:spacing w:after="0" w:line="240" w:lineRule="auto"/>
              <w:jc w:val="center"/>
              <w:rPr>
                <w:rFonts w:eastAsia="Times New Roman" w:cs="Times New Roman"/>
                <w:noProof/>
              </w:rPr>
            </w:pPr>
            <w:r>
              <w:rPr>
                <w:noProof/>
              </w:rPr>
              <w:t>259</w:t>
            </w:r>
          </w:p>
        </w:tc>
        <w:tc>
          <w:tcPr>
            <w:tcW w:w="837" w:type="dxa"/>
            <w:shd w:val="clear" w:color="auto" w:fill="C6EFCE"/>
            <w:noWrap/>
          </w:tcPr>
          <w:p w14:paraId="59BD60A1" w14:textId="77777777" w:rsidR="0065073E" w:rsidRDefault="000A0998">
            <w:pPr>
              <w:pStyle w:val="P68B1DB1-Normal12"/>
              <w:spacing w:after="0" w:line="240" w:lineRule="auto"/>
              <w:jc w:val="center"/>
              <w:rPr>
                <w:rFonts w:eastAsia="Times New Roman" w:cs="Times New Roman"/>
                <w:noProof/>
              </w:rPr>
            </w:pPr>
            <w:r>
              <w:rPr>
                <w:noProof/>
              </w:rPr>
              <w:t>C17.I2</w:t>
            </w:r>
          </w:p>
        </w:tc>
        <w:tc>
          <w:tcPr>
            <w:tcW w:w="964" w:type="dxa"/>
            <w:shd w:val="clear" w:color="auto" w:fill="C6EFCE"/>
            <w:noWrap/>
          </w:tcPr>
          <w:p w14:paraId="5130E232"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5B626C9B" w14:textId="77777777" w:rsidR="0065073E" w:rsidRDefault="000A0998">
            <w:pPr>
              <w:pStyle w:val="P68B1DB1-Normal12"/>
              <w:spacing w:after="0" w:line="240" w:lineRule="auto"/>
              <w:rPr>
                <w:rFonts w:eastAsia="Times New Roman" w:cs="Times New Roman"/>
                <w:noProof/>
              </w:rPr>
            </w:pPr>
            <w:r>
              <w:rPr>
                <w:noProof/>
              </w:rPr>
              <w:t xml:space="preserve">Palkinnot hankkeille, joilla parannetaan kansallisia tieteellisiä infrastruktuureja ja Espanjan tiedeteknologia- ja innovointijärjestelmän valmiuksia, sekä kansainvälisten yhteisöjen kanssa allekirjoitetut kahdenväliset sopimukset ja muut välineet eurooppalaisten ja kansainvälisten infrastruktuurihankkeiden rahoittamiseksi. </w:t>
            </w:r>
          </w:p>
        </w:tc>
        <w:tc>
          <w:tcPr>
            <w:tcW w:w="974" w:type="dxa"/>
            <w:shd w:val="clear" w:color="auto" w:fill="C6EFCE"/>
            <w:noWrap/>
          </w:tcPr>
          <w:p w14:paraId="69ED6B58"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543C0488" w14:textId="77777777" w:rsidR="0065073E" w:rsidRDefault="000A0998">
            <w:pPr>
              <w:pStyle w:val="P68B1DB1-Normal12"/>
              <w:spacing w:after="0" w:line="240" w:lineRule="auto"/>
              <w:jc w:val="center"/>
              <w:rPr>
                <w:rFonts w:eastAsia="Times New Roman" w:cs="Times New Roman"/>
                <w:noProof/>
              </w:rPr>
            </w:pPr>
            <w:r>
              <w:rPr>
                <w:noProof/>
              </w:rPr>
              <w:t>Miljoonaa euroa</w:t>
            </w:r>
          </w:p>
        </w:tc>
        <w:tc>
          <w:tcPr>
            <w:tcW w:w="973" w:type="dxa"/>
            <w:shd w:val="clear" w:color="auto" w:fill="C6EFCE"/>
          </w:tcPr>
          <w:p w14:paraId="1397B7ED"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35F60C9E" w14:textId="51D3B5C0" w:rsidR="0065073E" w:rsidRDefault="000A0998">
            <w:pPr>
              <w:pStyle w:val="P68B1DB1-Normal12"/>
              <w:spacing w:after="0" w:line="240" w:lineRule="auto"/>
              <w:jc w:val="center"/>
              <w:rPr>
                <w:rFonts w:cs="Times New Roman"/>
                <w:noProof/>
              </w:rPr>
            </w:pPr>
            <w:r>
              <w:rPr>
                <w:noProof/>
              </w:rPr>
              <w:t>300,2</w:t>
            </w:r>
          </w:p>
        </w:tc>
        <w:tc>
          <w:tcPr>
            <w:tcW w:w="557" w:type="dxa"/>
            <w:shd w:val="clear" w:color="auto" w:fill="C6EFCE"/>
          </w:tcPr>
          <w:p w14:paraId="474984C4" w14:textId="6D3F719A"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1C6A5AF1" w14:textId="4FEA7517" w:rsidR="0065073E" w:rsidRDefault="000A0998">
            <w:pPr>
              <w:pStyle w:val="P68B1DB1-Normal12"/>
              <w:spacing w:after="0" w:line="240" w:lineRule="auto"/>
              <w:jc w:val="center"/>
              <w:rPr>
                <w:rFonts w:cs="Times New Roman"/>
                <w:noProof/>
              </w:rPr>
            </w:pPr>
            <w:r>
              <w:rPr>
                <w:noProof/>
              </w:rPr>
              <w:t>2022</w:t>
            </w:r>
          </w:p>
        </w:tc>
        <w:tc>
          <w:tcPr>
            <w:tcW w:w="5695" w:type="dxa"/>
            <w:shd w:val="clear" w:color="auto" w:fill="C6EFCE"/>
            <w:noWrap/>
          </w:tcPr>
          <w:p w14:paraId="47493406" w14:textId="77777777" w:rsidR="0065073E" w:rsidRDefault="000A0998">
            <w:pPr>
              <w:pStyle w:val="P68B1DB1-Normal12"/>
              <w:spacing w:after="0" w:line="240" w:lineRule="auto"/>
              <w:rPr>
                <w:rFonts w:cs="Times New Roman"/>
                <w:noProof/>
              </w:rPr>
            </w:pPr>
            <w:r>
              <w:rPr>
                <w:noProof/>
              </w:rPr>
              <w:t>Julkaistaan kansallisessa tukitietokannassa vähintään 255155000 euroa hankkeisiin, joilla parannetaan kansallisia tieteellisiä infrastruktuureja, Espanjan tiedeteknologia- ja innovointijärjestelmän valmiuksia sekä kansainvälisten yhteisöjen ja muiden välineiden kanssa allekirjoitettuja sopimuksia, joilla rahoitetaan hankkeita, joiden arvo on vähintään 45000000 euroa eurooppalaisessa ja kansainvälisessä infrastruktuurissa (CERN, DUNE, HKK, ESS-lund, Harmony ja SKA).</w:t>
            </w:r>
          </w:p>
        </w:tc>
      </w:tr>
      <w:tr w:rsidR="0065073E" w14:paraId="554E50C8" w14:textId="77777777">
        <w:trPr>
          <w:trHeight w:val="309"/>
        </w:trPr>
        <w:tc>
          <w:tcPr>
            <w:tcW w:w="993" w:type="dxa"/>
            <w:shd w:val="clear" w:color="auto" w:fill="C6EFCE"/>
            <w:noWrap/>
          </w:tcPr>
          <w:p w14:paraId="4ADA14EF" w14:textId="77777777" w:rsidR="0065073E" w:rsidRDefault="000A0998">
            <w:pPr>
              <w:pStyle w:val="P68B1DB1-Normal12"/>
              <w:spacing w:after="0" w:line="240" w:lineRule="auto"/>
              <w:jc w:val="center"/>
              <w:rPr>
                <w:rFonts w:eastAsia="Times New Roman" w:cs="Times New Roman"/>
                <w:noProof/>
              </w:rPr>
            </w:pPr>
            <w:r>
              <w:rPr>
                <w:noProof/>
              </w:rPr>
              <w:t>260</w:t>
            </w:r>
          </w:p>
        </w:tc>
        <w:tc>
          <w:tcPr>
            <w:tcW w:w="837" w:type="dxa"/>
            <w:shd w:val="clear" w:color="auto" w:fill="C6EFCE"/>
            <w:noWrap/>
          </w:tcPr>
          <w:p w14:paraId="2B61F7CE" w14:textId="77777777" w:rsidR="0065073E" w:rsidRDefault="000A0998">
            <w:pPr>
              <w:pStyle w:val="P68B1DB1-Normal12"/>
              <w:spacing w:after="0" w:line="240" w:lineRule="auto"/>
              <w:jc w:val="center"/>
              <w:rPr>
                <w:rFonts w:eastAsia="Times New Roman" w:cs="Times New Roman"/>
                <w:noProof/>
              </w:rPr>
            </w:pPr>
            <w:r>
              <w:rPr>
                <w:noProof/>
              </w:rPr>
              <w:t>C17.I2</w:t>
            </w:r>
          </w:p>
        </w:tc>
        <w:tc>
          <w:tcPr>
            <w:tcW w:w="964" w:type="dxa"/>
            <w:shd w:val="clear" w:color="auto" w:fill="C6EFCE"/>
            <w:noWrap/>
          </w:tcPr>
          <w:p w14:paraId="686C71A6"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2350E903" w14:textId="77777777" w:rsidR="0065073E" w:rsidRDefault="000A0998">
            <w:pPr>
              <w:pStyle w:val="P68B1DB1-Normal12"/>
              <w:spacing w:after="0" w:line="240" w:lineRule="auto"/>
              <w:rPr>
                <w:rFonts w:eastAsia="Times New Roman" w:cs="Times New Roman"/>
                <w:noProof/>
              </w:rPr>
            </w:pPr>
            <w:r>
              <w:rPr>
                <w:noProof/>
              </w:rPr>
              <w:t>Kaikkien Espanjan tiede-, teknologia- ja innovointijärjestelmän tieteellisiä infrastruktuureja ja valmiuksia parantavien hankkeiden loppuun saattaminen, mukaan lukien eurooppalaista ja kansainvälistä infrastruktuuria koskevat hankkeet.</w:t>
            </w:r>
          </w:p>
        </w:tc>
        <w:tc>
          <w:tcPr>
            <w:tcW w:w="974" w:type="dxa"/>
            <w:shd w:val="clear" w:color="auto" w:fill="C6EFCE"/>
            <w:noWrap/>
          </w:tcPr>
          <w:p w14:paraId="7207EDA8"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35353081"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15F26F47"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688175D1" w14:textId="46E5AF65" w:rsidR="0065073E" w:rsidRDefault="000A0998">
            <w:pPr>
              <w:pStyle w:val="P68B1DB1-Normal12"/>
              <w:spacing w:after="0" w:line="240" w:lineRule="auto"/>
              <w:jc w:val="center"/>
              <w:rPr>
                <w:rFonts w:cs="Times New Roman"/>
                <w:noProof/>
              </w:rPr>
            </w:pPr>
            <w:r>
              <w:rPr>
                <w:noProof/>
              </w:rPr>
              <w:t>100</w:t>
            </w:r>
          </w:p>
        </w:tc>
        <w:tc>
          <w:tcPr>
            <w:tcW w:w="557" w:type="dxa"/>
            <w:shd w:val="clear" w:color="auto" w:fill="C6EFCE"/>
          </w:tcPr>
          <w:p w14:paraId="13C1BAB3" w14:textId="2ECC23AD" w:rsidR="0065073E" w:rsidRDefault="000A0998">
            <w:pPr>
              <w:pStyle w:val="P68B1DB1-Normal12"/>
              <w:spacing w:after="0" w:line="240" w:lineRule="auto"/>
              <w:jc w:val="center"/>
              <w:rPr>
                <w:rFonts w:cs="Times New Roman"/>
                <w:noProof/>
              </w:rPr>
            </w:pPr>
            <w:r>
              <w:rPr>
                <w:noProof/>
              </w:rPr>
              <w:t>Q3</w:t>
            </w:r>
          </w:p>
        </w:tc>
        <w:tc>
          <w:tcPr>
            <w:tcW w:w="557" w:type="dxa"/>
            <w:shd w:val="clear" w:color="auto" w:fill="C6EFCE"/>
          </w:tcPr>
          <w:p w14:paraId="5F29CAD9" w14:textId="53C98133"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4F283A38" w14:textId="5A20DFA9" w:rsidR="0065073E" w:rsidRDefault="000A0998">
            <w:pPr>
              <w:pStyle w:val="P68B1DB1-Normal12"/>
              <w:spacing w:after="0" w:line="240" w:lineRule="auto"/>
              <w:rPr>
                <w:rFonts w:eastAsia="Times New Roman" w:cs="Times New Roman"/>
                <w:noProof/>
              </w:rPr>
            </w:pPr>
            <w:r>
              <w:rPr>
                <w:noProof/>
              </w:rPr>
              <w:t>100 prosenttia T &amp; I-hankkeista on saatettu päätökseen (vähintään 676000000 euroa) Espanjan tiedeteknologia- ja innovointijärjestelmän tieteellisten infrastruktuurien ja valmiuksien parantamista koskevan tavoitteen mukaisesti uudistamalla tieteellisiä laitteita, nykyaikaistamalla BSL3-laitteistoa, luomalla uusi fytogeeninen infrastruktuuri, varustamalla CIEMAT (Centro de</w:t>
            </w:r>
            <w:r>
              <w:rPr>
                <w:i/>
                <w:noProof/>
              </w:rPr>
              <w:t>Investigaciones Energéticas, Medioambientales y Tecnológicas) uusiutuvan energian tutkimuksen (mukaan lukien vety ja varastointi) edellyttämällä</w:t>
            </w:r>
            <w:r>
              <w:rPr>
                <w:noProof/>
              </w:rPr>
              <w:t>infrastruktuurilla, kehittyneen optikko- ja T &amp; K-infrastruktuurin perustaminen Planes Estratégicos</w:t>
            </w:r>
            <w:r>
              <w:rPr>
                <w:i/>
                <w:noProof/>
              </w:rPr>
              <w:t>de Infrastructuras científicas y Técnicas Singulares -hankkeen, eurooppalaisen ja kansainvälisen infrastruktuurin tukemiseksi</w:t>
            </w:r>
            <w:r>
              <w:rPr>
                <w:noProof/>
              </w:rPr>
              <w:t>(CERN, DUNE, HKK, ESS-lund, Harmony ja SKA) investoinnein, kuten tieteellisten laitteiden hankinta ja uudistaminen, puolijohteiden ja mikronanoteknologian puhtaiden huoneiden rakentaminen sekä suurteholaskennan ja -viestinnän valmiuksien vahvistaminen.</w:t>
            </w:r>
          </w:p>
        </w:tc>
      </w:tr>
      <w:tr w:rsidR="0065073E" w14:paraId="15B94FC3" w14:textId="77777777">
        <w:trPr>
          <w:trHeight w:val="309"/>
        </w:trPr>
        <w:tc>
          <w:tcPr>
            <w:tcW w:w="993" w:type="dxa"/>
            <w:shd w:val="clear" w:color="auto" w:fill="C6EFCE"/>
            <w:noWrap/>
          </w:tcPr>
          <w:p w14:paraId="387DEBB6" w14:textId="77777777" w:rsidR="0065073E" w:rsidRDefault="000A0998">
            <w:pPr>
              <w:pStyle w:val="P68B1DB1-Normal12"/>
              <w:spacing w:after="0" w:line="240" w:lineRule="auto"/>
              <w:jc w:val="center"/>
              <w:rPr>
                <w:rFonts w:eastAsia="Times New Roman" w:cs="Times New Roman"/>
                <w:noProof/>
              </w:rPr>
            </w:pPr>
            <w:r>
              <w:rPr>
                <w:noProof/>
              </w:rPr>
              <w:t>261</w:t>
            </w:r>
          </w:p>
        </w:tc>
        <w:tc>
          <w:tcPr>
            <w:tcW w:w="837" w:type="dxa"/>
            <w:shd w:val="clear" w:color="auto" w:fill="C6EFCE"/>
            <w:noWrap/>
          </w:tcPr>
          <w:p w14:paraId="51C883E7" w14:textId="77777777" w:rsidR="0065073E" w:rsidRDefault="000A0998">
            <w:pPr>
              <w:pStyle w:val="P68B1DB1-Normal12"/>
              <w:spacing w:after="0" w:line="240" w:lineRule="auto"/>
              <w:jc w:val="center"/>
              <w:rPr>
                <w:rFonts w:eastAsia="Times New Roman" w:cs="Times New Roman"/>
                <w:noProof/>
              </w:rPr>
            </w:pPr>
            <w:r>
              <w:rPr>
                <w:noProof/>
              </w:rPr>
              <w:t>C17.I3</w:t>
            </w:r>
          </w:p>
        </w:tc>
        <w:tc>
          <w:tcPr>
            <w:tcW w:w="964" w:type="dxa"/>
            <w:shd w:val="clear" w:color="auto" w:fill="C6EFCE"/>
            <w:noWrap/>
          </w:tcPr>
          <w:p w14:paraId="14790625"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01ED6906" w14:textId="77777777" w:rsidR="0065073E" w:rsidRDefault="000A0998">
            <w:pPr>
              <w:pStyle w:val="P68B1DB1-Normal12"/>
              <w:spacing w:after="0" w:line="240" w:lineRule="auto"/>
              <w:rPr>
                <w:rFonts w:eastAsia="Times New Roman" w:cs="Times New Roman"/>
                <w:noProof/>
              </w:rPr>
            </w:pPr>
            <w:r>
              <w:rPr>
                <w:noProof/>
              </w:rPr>
              <w:t xml:space="preserve">Uusien yksityisten, tieteidenvälisten, julkisten T &amp; K &amp; I-hankkeiden, konseptitestien, kansainvälisten kilpailuun perustuvien ehdotuspyyntöjen sekä sosiaalisiin haasteisiin keskittyvän huipputason T &amp; K-hankkeiden myöntäminen </w:t>
            </w:r>
          </w:p>
        </w:tc>
        <w:tc>
          <w:tcPr>
            <w:tcW w:w="974" w:type="dxa"/>
            <w:shd w:val="clear" w:color="auto" w:fill="C6EFCE"/>
            <w:noWrap/>
          </w:tcPr>
          <w:p w14:paraId="0BE2CBC5" w14:textId="77777777" w:rsidR="0065073E" w:rsidRDefault="0065073E">
            <w:pPr>
              <w:spacing w:after="0" w:line="240" w:lineRule="auto"/>
              <w:jc w:val="center"/>
              <w:rPr>
                <w:rFonts w:ascii="Times New Roman" w:eastAsia="Times New Roman" w:hAnsi="Times New Roman" w:cs="Times New Roman"/>
                <w:noProof/>
                <w:sz w:val="18"/>
              </w:rPr>
            </w:pPr>
          </w:p>
        </w:tc>
        <w:tc>
          <w:tcPr>
            <w:tcW w:w="834" w:type="dxa"/>
            <w:shd w:val="clear" w:color="auto" w:fill="C6EFCE"/>
            <w:noWrap/>
          </w:tcPr>
          <w:p w14:paraId="16B00E14" w14:textId="77777777" w:rsidR="0065073E" w:rsidRDefault="000A0998">
            <w:pPr>
              <w:pStyle w:val="P68B1DB1-Normal12"/>
              <w:spacing w:after="0" w:line="240" w:lineRule="auto"/>
              <w:jc w:val="center"/>
              <w:rPr>
                <w:rFonts w:eastAsia="Times New Roman" w:cs="Times New Roman"/>
                <w:noProof/>
              </w:rPr>
            </w:pPr>
            <w:r>
              <w:rPr>
                <w:noProof/>
              </w:rPr>
              <w:t>Miljoonaa euroa</w:t>
            </w:r>
          </w:p>
        </w:tc>
        <w:tc>
          <w:tcPr>
            <w:tcW w:w="973" w:type="dxa"/>
            <w:shd w:val="clear" w:color="auto" w:fill="C6EFCE"/>
          </w:tcPr>
          <w:p w14:paraId="25D58001"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61A565B7" w14:textId="4FA03F49" w:rsidR="0065073E" w:rsidRDefault="000A0998">
            <w:pPr>
              <w:pStyle w:val="P68B1DB1-Normal12"/>
              <w:spacing w:after="0" w:line="240" w:lineRule="auto"/>
              <w:jc w:val="center"/>
              <w:rPr>
                <w:rFonts w:cs="Times New Roman"/>
                <w:noProof/>
              </w:rPr>
            </w:pPr>
            <w:r>
              <w:rPr>
                <w:noProof/>
              </w:rPr>
              <w:t>897</w:t>
            </w:r>
          </w:p>
        </w:tc>
        <w:tc>
          <w:tcPr>
            <w:tcW w:w="557" w:type="dxa"/>
            <w:shd w:val="clear" w:color="auto" w:fill="C6EFCE"/>
          </w:tcPr>
          <w:p w14:paraId="6598F3AB" w14:textId="08A94AC0"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67381AFA" w14:textId="4C62CC67" w:rsidR="0065073E" w:rsidRDefault="000A0998">
            <w:pPr>
              <w:pStyle w:val="P68B1DB1-Normal12"/>
              <w:spacing w:after="0" w:line="240" w:lineRule="auto"/>
              <w:jc w:val="center"/>
              <w:rPr>
                <w:rFonts w:cs="Times New Roman"/>
                <w:noProof/>
              </w:rPr>
            </w:pPr>
            <w:r>
              <w:rPr>
                <w:noProof/>
              </w:rPr>
              <w:t>2022</w:t>
            </w:r>
          </w:p>
        </w:tc>
        <w:tc>
          <w:tcPr>
            <w:tcW w:w="5695" w:type="dxa"/>
            <w:shd w:val="clear" w:color="auto" w:fill="C6EFCE"/>
            <w:noWrap/>
          </w:tcPr>
          <w:p w14:paraId="283BB5C7" w14:textId="6E45DA6A" w:rsidR="0065073E" w:rsidRDefault="000A0998">
            <w:pPr>
              <w:pStyle w:val="P68B1DB1-Normal12"/>
              <w:spacing w:after="0" w:line="240" w:lineRule="auto"/>
              <w:jc w:val="both"/>
              <w:rPr>
                <w:rFonts w:eastAsia="Times New Roman" w:cs="Times New Roman"/>
                <w:noProof/>
              </w:rPr>
            </w:pPr>
            <w:r>
              <w:rPr>
                <w:noProof/>
              </w:rPr>
              <w:t>Vähintään 897000000 euron suuruisen avustuksen julkaiseminen EUVL:ssä seuraavilla ehdotuspyynnöillä: konseptien toimivuuden osoittamista koskevat hankkeet (80000000 euroa), tieteidenvälisiä hankkeita koskevat ehdotuspyynnöt strategisissa budjettikohdissa (73000000 euroa), vihreään siirtymään ja digitaaliseen siirtymään liittyviä T &amp; K-hankkeita koskevat ehdotuspyynnöt (296000000 euroa), julkisen ja yksityisen sektorin yhteistyöhankkeita koskeva ehdotuspyyntö (140000000 euroa), tutkimus- ja kehittämisehdotuspyyntö yhteiskunnallisiin haasteisiin vastaamiseksi (230000000 euroa) ja kansainvälisiä yhteistyöhankkeita koskeva ehdotuspyyntö (78000000 euroa). Tähän investointiin liittyvien hankkeiden arvioinnissa on varmistettava, että toimenpiteen kuvauksessa esitettyjä ”ei merkittävää haittaa” -periaatetta (2021/C58/01) noudatetaan.</w:t>
            </w:r>
          </w:p>
        </w:tc>
      </w:tr>
      <w:tr w:rsidR="0065073E" w14:paraId="26C43207" w14:textId="77777777">
        <w:trPr>
          <w:trHeight w:val="309"/>
        </w:trPr>
        <w:tc>
          <w:tcPr>
            <w:tcW w:w="993" w:type="dxa"/>
            <w:shd w:val="clear" w:color="auto" w:fill="C6EFCE"/>
            <w:noWrap/>
          </w:tcPr>
          <w:p w14:paraId="0135B5B9" w14:textId="77777777" w:rsidR="0065073E" w:rsidRDefault="000A0998">
            <w:pPr>
              <w:pStyle w:val="P68B1DB1-Normal12"/>
              <w:spacing w:after="0" w:line="240" w:lineRule="auto"/>
              <w:jc w:val="center"/>
              <w:rPr>
                <w:rFonts w:eastAsia="Times New Roman" w:cs="Times New Roman"/>
                <w:noProof/>
              </w:rPr>
            </w:pPr>
            <w:r>
              <w:rPr>
                <w:noProof/>
              </w:rPr>
              <w:t>262</w:t>
            </w:r>
          </w:p>
        </w:tc>
        <w:tc>
          <w:tcPr>
            <w:tcW w:w="837" w:type="dxa"/>
            <w:shd w:val="clear" w:color="auto" w:fill="C6EFCE"/>
            <w:noWrap/>
          </w:tcPr>
          <w:p w14:paraId="0489316F" w14:textId="77777777" w:rsidR="0065073E" w:rsidRDefault="000A0998">
            <w:pPr>
              <w:pStyle w:val="P68B1DB1-Normal12"/>
              <w:spacing w:after="0" w:line="240" w:lineRule="auto"/>
              <w:jc w:val="center"/>
              <w:rPr>
                <w:rFonts w:eastAsia="Times New Roman" w:cs="Times New Roman"/>
                <w:noProof/>
              </w:rPr>
            </w:pPr>
            <w:r>
              <w:rPr>
                <w:noProof/>
              </w:rPr>
              <w:t>C17.I3</w:t>
            </w:r>
          </w:p>
        </w:tc>
        <w:tc>
          <w:tcPr>
            <w:tcW w:w="964" w:type="dxa"/>
            <w:shd w:val="clear" w:color="auto" w:fill="C6EFCE"/>
            <w:noWrap/>
          </w:tcPr>
          <w:p w14:paraId="1E3A1DC9"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3695584F" w14:textId="77777777" w:rsidR="0065073E" w:rsidRDefault="000A0998">
            <w:pPr>
              <w:pStyle w:val="P68B1DB1-Normal12"/>
              <w:spacing w:after="0" w:line="240" w:lineRule="auto"/>
              <w:rPr>
                <w:rFonts w:eastAsia="Times New Roman" w:cs="Times New Roman"/>
                <w:noProof/>
              </w:rPr>
            </w:pPr>
            <w:r>
              <w:rPr>
                <w:noProof/>
              </w:rPr>
              <w:t>Vähintään 35-prosenttisesti vihreään ja digitaaliseen siirtymään liittyvien T &amp; I-hankkeiden hyväksyminen</w:t>
            </w:r>
          </w:p>
        </w:tc>
        <w:tc>
          <w:tcPr>
            <w:tcW w:w="974" w:type="dxa"/>
            <w:shd w:val="clear" w:color="auto" w:fill="C6EFCE"/>
            <w:noWrap/>
          </w:tcPr>
          <w:p w14:paraId="1A69904D"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5ED1A19A"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32857A7F"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743DE6B5" w14:textId="17721044" w:rsidR="0065073E" w:rsidRDefault="000A0998">
            <w:pPr>
              <w:pStyle w:val="P68B1DB1-Normal12"/>
              <w:spacing w:after="0" w:line="240" w:lineRule="auto"/>
              <w:jc w:val="center"/>
              <w:rPr>
                <w:rFonts w:cs="Times New Roman"/>
                <w:noProof/>
              </w:rPr>
            </w:pPr>
            <w:r>
              <w:rPr>
                <w:noProof/>
              </w:rPr>
              <w:t>3 110</w:t>
            </w:r>
          </w:p>
        </w:tc>
        <w:tc>
          <w:tcPr>
            <w:tcW w:w="557" w:type="dxa"/>
            <w:shd w:val="clear" w:color="auto" w:fill="C6EFCE"/>
          </w:tcPr>
          <w:p w14:paraId="5142FFD0" w14:textId="2437301F"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7602444A" w14:textId="43FCF6AF" w:rsidR="0065073E" w:rsidRDefault="000A0998">
            <w:pPr>
              <w:pStyle w:val="P68B1DB1-Normal12"/>
              <w:spacing w:after="0" w:line="240" w:lineRule="auto"/>
              <w:jc w:val="center"/>
              <w:rPr>
                <w:rFonts w:cs="Times New Roman"/>
                <w:noProof/>
              </w:rPr>
            </w:pPr>
            <w:r>
              <w:rPr>
                <w:noProof/>
              </w:rPr>
              <w:t>2024</w:t>
            </w:r>
          </w:p>
        </w:tc>
        <w:tc>
          <w:tcPr>
            <w:tcW w:w="5695" w:type="dxa"/>
            <w:shd w:val="clear" w:color="auto" w:fill="C6EFCE"/>
            <w:noWrap/>
          </w:tcPr>
          <w:p w14:paraId="73DAAA4D" w14:textId="5C50FA90" w:rsidR="0065073E" w:rsidRDefault="000A0998">
            <w:pPr>
              <w:pStyle w:val="P68B1DB1-Normal12"/>
              <w:spacing w:after="0" w:line="240" w:lineRule="auto"/>
              <w:jc w:val="both"/>
              <w:rPr>
                <w:rFonts w:cs="Times New Roman"/>
                <w:noProof/>
              </w:rPr>
            </w:pPr>
            <w:r>
              <w:rPr>
                <w:noProof/>
              </w:rPr>
              <w:t xml:space="preserve">On hyväksytty vähintään 3110 T &amp; I-hanketta, joista vähintään 35 prosenttia liittyy vihreään ja digitaaliseen siirtymään, mukaan lukien 110 PERTE-siruun liittyvää hanketta. Tähän investointiin liittyvien hankkeiden arvioinnissa on varmistettava, että toimenpiteen kuvauksessa esitettyjä ”ei merkittävää haittaa” -periaatetta (2021/C58/01) noudatetaan. </w:t>
            </w:r>
          </w:p>
        </w:tc>
      </w:tr>
      <w:tr w:rsidR="0065073E" w14:paraId="56BAA5EA" w14:textId="77777777">
        <w:trPr>
          <w:trHeight w:val="309"/>
        </w:trPr>
        <w:tc>
          <w:tcPr>
            <w:tcW w:w="993" w:type="dxa"/>
            <w:shd w:val="clear" w:color="auto" w:fill="C6EFCE"/>
            <w:noWrap/>
          </w:tcPr>
          <w:p w14:paraId="4FC0078A" w14:textId="77777777" w:rsidR="0065073E" w:rsidRDefault="000A0998">
            <w:pPr>
              <w:pStyle w:val="P68B1DB1-Normal12"/>
              <w:spacing w:after="0" w:line="240" w:lineRule="auto"/>
              <w:jc w:val="center"/>
              <w:rPr>
                <w:rFonts w:eastAsia="Times New Roman" w:cs="Times New Roman"/>
                <w:noProof/>
              </w:rPr>
            </w:pPr>
            <w:r>
              <w:rPr>
                <w:noProof/>
              </w:rPr>
              <w:t>263</w:t>
            </w:r>
          </w:p>
        </w:tc>
        <w:tc>
          <w:tcPr>
            <w:tcW w:w="837" w:type="dxa"/>
            <w:shd w:val="clear" w:color="auto" w:fill="C6EFCE"/>
            <w:noWrap/>
          </w:tcPr>
          <w:p w14:paraId="14EE2089" w14:textId="77777777" w:rsidR="0065073E" w:rsidRDefault="000A0998">
            <w:pPr>
              <w:pStyle w:val="P68B1DB1-Normal12"/>
              <w:spacing w:after="0" w:line="240" w:lineRule="auto"/>
              <w:jc w:val="center"/>
              <w:rPr>
                <w:rFonts w:eastAsia="Times New Roman" w:cs="Times New Roman"/>
                <w:noProof/>
              </w:rPr>
            </w:pPr>
            <w:r>
              <w:rPr>
                <w:noProof/>
              </w:rPr>
              <w:t>C17.I4</w:t>
            </w:r>
          </w:p>
        </w:tc>
        <w:tc>
          <w:tcPr>
            <w:tcW w:w="964" w:type="dxa"/>
            <w:shd w:val="clear" w:color="auto" w:fill="C6EFCE"/>
            <w:noWrap/>
          </w:tcPr>
          <w:p w14:paraId="0E62F4B9"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05532597" w14:textId="77777777" w:rsidR="0065073E" w:rsidRDefault="000A0998">
            <w:pPr>
              <w:pStyle w:val="P68B1DB1-Normal12"/>
              <w:spacing w:after="0" w:line="240" w:lineRule="auto"/>
              <w:rPr>
                <w:rFonts w:eastAsia="Times New Roman" w:cs="Times New Roman"/>
                <w:noProof/>
              </w:rPr>
            </w:pPr>
            <w:r>
              <w:rPr>
                <w:noProof/>
              </w:rPr>
              <w:t xml:space="preserve">Tieteellisen tutkijan uran tukeminen apurahoilla ja avustuksilla </w:t>
            </w:r>
          </w:p>
        </w:tc>
        <w:tc>
          <w:tcPr>
            <w:tcW w:w="974" w:type="dxa"/>
            <w:shd w:val="clear" w:color="auto" w:fill="C6EFCE"/>
            <w:noWrap/>
          </w:tcPr>
          <w:p w14:paraId="61D5D72A"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63AC40C5"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328A2BD1"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48869387" w14:textId="594FE145" w:rsidR="0065073E" w:rsidRDefault="000A0998">
            <w:pPr>
              <w:pStyle w:val="P68B1DB1-Normal12"/>
              <w:spacing w:after="0" w:line="240" w:lineRule="auto"/>
              <w:jc w:val="center"/>
              <w:rPr>
                <w:rFonts w:cs="Times New Roman"/>
                <w:noProof/>
              </w:rPr>
            </w:pPr>
            <w:r>
              <w:rPr>
                <w:noProof/>
              </w:rPr>
              <w:t>2 070</w:t>
            </w:r>
          </w:p>
        </w:tc>
        <w:tc>
          <w:tcPr>
            <w:tcW w:w="557" w:type="dxa"/>
            <w:shd w:val="clear" w:color="auto" w:fill="C6EFCE"/>
          </w:tcPr>
          <w:p w14:paraId="0A9B41BF" w14:textId="573FE023"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25BDE876" w14:textId="7421ECBE" w:rsidR="0065073E" w:rsidRDefault="000A0998">
            <w:pPr>
              <w:pStyle w:val="P68B1DB1-Normal12"/>
              <w:spacing w:after="0" w:line="240" w:lineRule="auto"/>
              <w:jc w:val="center"/>
              <w:rPr>
                <w:rFonts w:cs="Times New Roman"/>
                <w:noProof/>
              </w:rPr>
            </w:pPr>
            <w:r>
              <w:rPr>
                <w:noProof/>
              </w:rPr>
              <w:t>2024</w:t>
            </w:r>
          </w:p>
        </w:tc>
        <w:tc>
          <w:tcPr>
            <w:tcW w:w="5695" w:type="dxa"/>
            <w:shd w:val="clear" w:color="auto" w:fill="C6EFCE"/>
            <w:noWrap/>
          </w:tcPr>
          <w:p w14:paraId="187EE241" w14:textId="29A9476C" w:rsidR="0065073E" w:rsidRDefault="000A0998">
            <w:pPr>
              <w:pStyle w:val="P68B1DB1-Normal12"/>
              <w:spacing w:after="0" w:line="240" w:lineRule="auto"/>
              <w:rPr>
                <w:rFonts w:cs="Times New Roman"/>
                <w:noProof/>
              </w:rPr>
            </w:pPr>
            <w:r>
              <w:rPr>
                <w:noProof/>
              </w:rPr>
              <w:t xml:space="preserve">Espanjan tieteellisen tutkijan uraa tuetaan vähintään 2070 tutkijalla Juan de la Cierva Incorporation -ohjelman, Juan de la Ciervan koulutusohjelman, teollisuuden tohtorinkoulutusohjelman ja Torres Quevedo-ohjelman kautta. Lisäksi vähintään 775 tutkijaa, jotka ovat saaneet Tenure Trackin kanssa samankaltaisen vakaan sopimuksen mukaisen ”tutkimuksen käynnistyspaketin”, josta 25 tutkijaa on saanut CHIP-tutkimuspaketin. </w:t>
            </w:r>
          </w:p>
        </w:tc>
      </w:tr>
      <w:tr w:rsidR="0065073E" w14:paraId="23DFE650" w14:textId="77777777">
        <w:trPr>
          <w:trHeight w:val="309"/>
        </w:trPr>
        <w:tc>
          <w:tcPr>
            <w:tcW w:w="993" w:type="dxa"/>
            <w:shd w:val="clear" w:color="auto" w:fill="C6EFCE"/>
            <w:noWrap/>
          </w:tcPr>
          <w:p w14:paraId="517BD4BA" w14:textId="77777777" w:rsidR="0065073E" w:rsidRDefault="000A0998">
            <w:pPr>
              <w:pStyle w:val="P68B1DB1-Normal12"/>
              <w:spacing w:after="0" w:line="240" w:lineRule="auto"/>
              <w:jc w:val="center"/>
              <w:rPr>
                <w:rFonts w:eastAsia="Times New Roman" w:cs="Times New Roman"/>
                <w:noProof/>
              </w:rPr>
            </w:pPr>
            <w:r>
              <w:rPr>
                <w:noProof/>
              </w:rPr>
              <w:t>264</w:t>
            </w:r>
          </w:p>
        </w:tc>
        <w:tc>
          <w:tcPr>
            <w:tcW w:w="837" w:type="dxa"/>
            <w:shd w:val="clear" w:color="auto" w:fill="C6EFCE"/>
            <w:noWrap/>
          </w:tcPr>
          <w:p w14:paraId="169CD1CB" w14:textId="77777777" w:rsidR="0065073E" w:rsidRDefault="000A0998">
            <w:pPr>
              <w:pStyle w:val="P68B1DB1-Normal12"/>
              <w:spacing w:after="0" w:line="240" w:lineRule="auto"/>
              <w:jc w:val="center"/>
              <w:rPr>
                <w:rFonts w:eastAsia="Times New Roman" w:cs="Times New Roman"/>
                <w:noProof/>
              </w:rPr>
            </w:pPr>
            <w:r>
              <w:rPr>
                <w:noProof/>
              </w:rPr>
              <w:t>C17.I4</w:t>
            </w:r>
          </w:p>
        </w:tc>
        <w:tc>
          <w:tcPr>
            <w:tcW w:w="964" w:type="dxa"/>
            <w:shd w:val="clear" w:color="auto" w:fill="C6EFCE"/>
            <w:noWrap/>
          </w:tcPr>
          <w:p w14:paraId="192913A4"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57E34B93" w14:textId="77777777" w:rsidR="0065073E" w:rsidRDefault="000A0998">
            <w:pPr>
              <w:pStyle w:val="P68B1DB1-Normal12"/>
              <w:spacing w:after="0" w:line="240" w:lineRule="auto"/>
              <w:rPr>
                <w:rFonts w:eastAsia="Times New Roman" w:cs="Times New Roman"/>
                <w:noProof/>
              </w:rPr>
            </w:pPr>
            <w:r>
              <w:rPr>
                <w:noProof/>
              </w:rPr>
              <w:t xml:space="preserve">Apurahojen ja apurahojen loppuun saattaminen Espanjan tieteellisen tutkijanuran tukemiseksi </w:t>
            </w:r>
          </w:p>
        </w:tc>
        <w:tc>
          <w:tcPr>
            <w:tcW w:w="974" w:type="dxa"/>
            <w:shd w:val="clear" w:color="auto" w:fill="C6EFCE"/>
            <w:noWrap/>
          </w:tcPr>
          <w:p w14:paraId="45D72DCE"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6B0504C9"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4F3DF13E" w14:textId="77777777" w:rsidR="0065073E" w:rsidRDefault="0065073E">
            <w:pPr>
              <w:spacing w:after="0" w:line="240" w:lineRule="auto"/>
              <w:jc w:val="both"/>
              <w:rPr>
                <w:rFonts w:ascii="Times New Roman" w:hAnsi="Times New Roman" w:cs="Times New Roman"/>
                <w:noProof/>
                <w:sz w:val="18"/>
              </w:rPr>
            </w:pPr>
          </w:p>
        </w:tc>
        <w:tc>
          <w:tcPr>
            <w:tcW w:w="834" w:type="dxa"/>
            <w:shd w:val="clear" w:color="auto" w:fill="C6EFCE"/>
          </w:tcPr>
          <w:p w14:paraId="6B8F9956" w14:textId="0CF29B72" w:rsidR="0065073E" w:rsidRDefault="000A0998">
            <w:pPr>
              <w:pStyle w:val="P68B1DB1-Normal12"/>
              <w:spacing w:after="0" w:line="240" w:lineRule="auto"/>
              <w:jc w:val="center"/>
              <w:rPr>
                <w:rFonts w:cs="Times New Roman"/>
                <w:noProof/>
              </w:rPr>
            </w:pPr>
            <w:r>
              <w:rPr>
                <w:noProof/>
              </w:rPr>
              <w:t>2 070</w:t>
            </w:r>
          </w:p>
        </w:tc>
        <w:tc>
          <w:tcPr>
            <w:tcW w:w="557" w:type="dxa"/>
            <w:shd w:val="clear" w:color="auto" w:fill="C6EFCE"/>
          </w:tcPr>
          <w:p w14:paraId="2A94C885" w14:textId="77574F71"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5F928F85" w14:textId="6F11C2C8"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7C820AA9" w14:textId="77777777" w:rsidR="0065073E" w:rsidRDefault="000A0998">
            <w:pPr>
              <w:pStyle w:val="P68B1DB1-Normal12"/>
              <w:spacing w:after="0" w:line="240" w:lineRule="auto"/>
              <w:jc w:val="both"/>
              <w:rPr>
                <w:rFonts w:eastAsia="Times New Roman" w:cs="Times New Roman"/>
                <w:noProof/>
              </w:rPr>
            </w:pPr>
            <w:r>
              <w:rPr>
                <w:noProof/>
              </w:rPr>
              <w:t xml:space="preserve">Espanjan tieteellisen tutkijan uraa vahvistavat vähintään 2070 tutkijaa, jotka ovat suorittaneet Juan de la Cierva Incorporation -ohjelman, Juan de la Ciervan koulutusohjelman, teollisuuden tohtorinkoulutusohjelman ja Torres Quevedo-ohjelman. </w:t>
            </w:r>
          </w:p>
        </w:tc>
      </w:tr>
      <w:tr w:rsidR="0065073E" w14:paraId="66E00197" w14:textId="77777777">
        <w:trPr>
          <w:trHeight w:val="309"/>
        </w:trPr>
        <w:tc>
          <w:tcPr>
            <w:tcW w:w="993" w:type="dxa"/>
            <w:shd w:val="clear" w:color="auto" w:fill="C6EFCE"/>
            <w:noWrap/>
          </w:tcPr>
          <w:p w14:paraId="5F935AB6" w14:textId="77777777" w:rsidR="0065073E" w:rsidRDefault="000A0998">
            <w:pPr>
              <w:pStyle w:val="P68B1DB1-Normal12"/>
              <w:spacing w:after="0" w:line="240" w:lineRule="auto"/>
              <w:jc w:val="center"/>
              <w:rPr>
                <w:rFonts w:eastAsia="Times New Roman" w:cs="Times New Roman"/>
                <w:noProof/>
              </w:rPr>
            </w:pPr>
            <w:r>
              <w:rPr>
                <w:noProof/>
              </w:rPr>
              <w:t>265</w:t>
            </w:r>
          </w:p>
        </w:tc>
        <w:tc>
          <w:tcPr>
            <w:tcW w:w="837" w:type="dxa"/>
            <w:shd w:val="clear" w:color="auto" w:fill="C6EFCE"/>
            <w:noWrap/>
          </w:tcPr>
          <w:p w14:paraId="330BD52E" w14:textId="77777777" w:rsidR="0065073E" w:rsidRDefault="000A0998">
            <w:pPr>
              <w:pStyle w:val="P68B1DB1-Normal12"/>
              <w:spacing w:after="0" w:line="240" w:lineRule="auto"/>
              <w:jc w:val="center"/>
              <w:rPr>
                <w:rFonts w:eastAsia="Times New Roman" w:cs="Times New Roman"/>
                <w:noProof/>
              </w:rPr>
            </w:pPr>
            <w:r>
              <w:rPr>
                <w:noProof/>
              </w:rPr>
              <w:t>C17.I5</w:t>
            </w:r>
          </w:p>
        </w:tc>
        <w:tc>
          <w:tcPr>
            <w:tcW w:w="964" w:type="dxa"/>
            <w:shd w:val="clear" w:color="auto" w:fill="C6EFCE"/>
            <w:noWrap/>
          </w:tcPr>
          <w:p w14:paraId="67FE101D"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18BD108A" w14:textId="77777777" w:rsidR="0065073E" w:rsidRDefault="000A0998">
            <w:pPr>
              <w:pStyle w:val="P68B1DB1-Normal12"/>
              <w:spacing w:after="0" w:line="240" w:lineRule="auto"/>
              <w:rPr>
                <w:rFonts w:eastAsia="Times New Roman" w:cs="Times New Roman"/>
                <w:noProof/>
              </w:rPr>
            </w:pPr>
            <w:r>
              <w:rPr>
                <w:noProof/>
              </w:rPr>
              <w:t xml:space="preserve">Innovatiiviset ja teknologiapohjaiset yritykset ovat saaneet pääomaa INNVIERTE-ohjelmasta vahvistaakseen tutkimustoimintaansa varhaisessa vaiheessa. </w:t>
            </w:r>
          </w:p>
        </w:tc>
        <w:tc>
          <w:tcPr>
            <w:tcW w:w="974" w:type="dxa"/>
            <w:shd w:val="clear" w:color="auto" w:fill="C6EFCE"/>
            <w:noWrap/>
          </w:tcPr>
          <w:p w14:paraId="2830361B"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5C987795"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172177B1"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1505199E" w14:textId="2DC4C9A5" w:rsidR="0065073E" w:rsidRDefault="000A0998">
            <w:pPr>
              <w:pStyle w:val="P68B1DB1-Normal12"/>
              <w:spacing w:after="0" w:line="240" w:lineRule="auto"/>
              <w:jc w:val="center"/>
              <w:rPr>
                <w:rFonts w:cs="Times New Roman"/>
                <w:noProof/>
              </w:rPr>
            </w:pPr>
            <w:r>
              <w:rPr>
                <w:noProof/>
              </w:rPr>
              <w:t>45</w:t>
            </w:r>
          </w:p>
        </w:tc>
        <w:tc>
          <w:tcPr>
            <w:tcW w:w="557" w:type="dxa"/>
            <w:shd w:val="clear" w:color="auto" w:fill="C6EFCE"/>
          </w:tcPr>
          <w:p w14:paraId="2198998B" w14:textId="65DAC6AF"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68A86E05" w14:textId="65CE8165" w:rsidR="0065073E" w:rsidRDefault="000A0998">
            <w:pPr>
              <w:pStyle w:val="P68B1DB1-Normal12"/>
              <w:spacing w:after="0" w:line="240" w:lineRule="auto"/>
              <w:jc w:val="center"/>
              <w:rPr>
                <w:rFonts w:cs="Times New Roman"/>
                <w:noProof/>
              </w:rPr>
            </w:pPr>
            <w:r>
              <w:rPr>
                <w:noProof/>
              </w:rPr>
              <w:t>2023</w:t>
            </w:r>
          </w:p>
        </w:tc>
        <w:tc>
          <w:tcPr>
            <w:tcW w:w="5695" w:type="dxa"/>
            <w:shd w:val="clear" w:color="auto" w:fill="C6EFCE"/>
            <w:noWrap/>
          </w:tcPr>
          <w:p w14:paraId="2FBFA9C0" w14:textId="4C99CB1C" w:rsidR="0065073E" w:rsidRDefault="000A0998">
            <w:pPr>
              <w:pStyle w:val="P68B1DB1-Normal12"/>
              <w:spacing w:after="0" w:line="240" w:lineRule="auto"/>
              <w:jc w:val="both"/>
              <w:rPr>
                <w:rFonts w:eastAsia="Times New Roman" w:cs="Times New Roman"/>
                <w:noProof/>
              </w:rPr>
            </w:pPr>
            <w:r>
              <w:rPr>
                <w:noProof/>
              </w:rPr>
              <w:t xml:space="preserve">Teknologian siirron edistämiseksi ja innovatiivisiin teknologioihin perustuvan innovatiivisen yritysrakenteen luomiseksi vähintään 45 innovatiivista ja teknologiapohjaista yritystä on saanut pääomaa INNVIERTE-ohjelmasta tutkimustoimintansa vahvistamiseksi varhaisessa vaiheessa. Kaikki nämä yritykset ovat saaneet investointeja myös yksityiseltä sektorilta. Tähän investointiin liittyvien hankkeiden arvioinnissa on varmistettava, että toimenpiteen kuvauksessa esitettyjä ”ei merkittävää haittaa” -periaatetta (2021/C58/01) noudatetaan. </w:t>
            </w:r>
          </w:p>
        </w:tc>
      </w:tr>
      <w:tr w:rsidR="0065073E" w14:paraId="3868A5CA" w14:textId="77777777">
        <w:trPr>
          <w:trHeight w:val="309"/>
        </w:trPr>
        <w:tc>
          <w:tcPr>
            <w:tcW w:w="993" w:type="dxa"/>
            <w:shd w:val="clear" w:color="auto" w:fill="C6EFCE"/>
            <w:noWrap/>
          </w:tcPr>
          <w:p w14:paraId="3AA9EBB3" w14:textId="77777777" w:rsidR="0065073E" w:rsidRDefault="000A0998">
            <w:pPr>
              <w:pStyle w:val="P68B1DB1-Normal12"/>
              <w:spacing w:after="0" w:line="240" w:lineRule="auto"/>
              <w:jc w:val="center"/>
              <w:rPr>
                <w:rFonts w:eastAsia="Times New Roman" w:cs="Times New Roman"/>
                <w:noProof/>
              </w:rPr>
            </w:pPr>
            <w:r>
              <w:rPr>
                <w:noProof/>
              </w:rPr>
              <w:t>266</w:t>
            </w:r>
          </w:p>
        </w:tc>
        <w:tc>
          <w:tcPr>
            <w:tcW w:w="837" w:type="dxa"/>
            <w:shd w:val="clear" w:color="auto" w:fill="C6EFCE"/>
            <w:noWrap/>
          </w:tcPr>
          <w:p w14:paraId="23C416CF" w14:textId="77777777" w:rsidR="0065073E" w:rsidRDefault="000A0998">
            <w:pPr>
              <w:pStyle w:val="P68B1DB1-Normal12"/>
              <w:spacing w:after="0" w:line="240" w:lineRule="auto"/>
              <w:jc w:val="center"/>
              <w:rPr>
                <w:rFonts w:eastAsia="Times New Roman" w:cs="Times New Roman"/>
                <w:noProof/>
              </w:rPr>
            </w:pPr>
            <w:r>
              <w:rPr>
                <w:noProof/>
              </w:rPr>
              <w:t>C17.I5</w:t>
            </w:r>
          </w:p>
        </w:tc>
        <w:tc>
          <w:tcPr>
            <w:tcW w:w="964" w:type="dxa"/>
            <w:shd w:val="clear" w:color="auto" w:fill="C6EFCE"/>
            <w:noWrap/>
          </w:tcPr>
          <w:p w14:paraId="34ABC271"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3C4F2837" w14:textId="77777777" w:rsidR="0065073E" w:rsidRDefault="000A0998">
            <w:pPr>
              <w:pStyle w:val="P68B1DB1-Normal12"/>
              <w:spacing w:after="0" w:line="240" w:lineRule="auto"/>
              <w:rPr>
                <w:rFonts w:eastAsia="Times New Roman" w:cs="Times New Roman"/>
                <w:noProof/>
              </w:rPr>
            </w:pPr>
            <w:r>
              <w:rPr>
                <w:noProof/>
              </w:rPr>
              <w:t>Tuki nuorille teknologia-alan yrityksille, jotta ne voivat jatkaa liiketoimintasuunnitelmaansa.</w:t>
            </w:r>
          </w:p>
        </w:tc>
        <w:tc>
          <w:tcPr>
            <w:tcW w:w="974" w:type="dxa"/>
            <w:shd w:val="clear" w:color="auto" w:fill="C6EFCE"/>
            <w:noWrap/>
          </w:tcPr>
          <w:p w14:paraId="43C6A48A"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36A324D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3C75576E"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7C2BD86B" w14:textId="1DAD3CA5" w:rsidR="0065073E" w:rsidRDefault="000A0998">
            <w:pPr>
              <w:pStyle w:val="P68B1DB1-Normal12"/>
              <w:spacing w:after="0" w:line="240" w:lineRule="auto"/>
              <w:jc w:val="center"/>
              <w:rPr>
                <w:rFonts w:cs="Times New Roman"/>
                <w:noProof/>
              </w:rPr>
            </w:pPr>
            <w:r>
              <w:rPr>
                <w:noProof/>
              </w:rPr>
              <w:t>348</w:t>
            </w:r>
          </w:p>
        </w:tc>
        <w:tc>
          <w:tcPr>
            <w:tcW w:w="557" w:type="dxa"/>
            <w:shd w:val="clear" w:color="auto" w:fill="C6EFCE"/>
          </w:tcPr>
          <w:p w14:paraId="2FFFD9F5" w14:textId="74084429"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35565D59" w14:textId="40A3961A" w:rsidR="0065073E" w:rsidRDefault="000A0998">
            <w:pPr>
              <w:pStyle w:val="P68B1DB1-Normal12"/>
              <w:spacing w:after="0" w:line="240" w:lineRule="auto"/>
              <w:jc w:val="center"/>
              <w:rPr>
                <w:rFonts w:cs="Times New Roman"/>
                <w:noProof/>
              </w:rPr>
            </w:pPr>
            <w:r>
              <w:rPr>
                <w:noProof/>
              </w:rPr>
              <w:t>2024</w:t>
            </w:r>
          </w:p>
        </w:tc>
        <w:tc>
          <w:tcPr>
            <w:tcW w:w="5695" w:type="dxa"/>
            <w:shd w:val="clear" w:color="auto" w:fill="C6EFCE"/>
            <w:noWrap/>
          </w:tcPr>
          <w:p w14:paraId="56488D7C" w14:textId="68BB7485" w:rsidR="0065073E" w:rsidRDefault="000A0998">
            <w:pPr>
              <w:pStyle w:val="P68B1DB1-Normal12"/>
              <w:spacing w:after="0" w:line="240" w:lineRule="auto"/>
              <w:jc w:val="both"/>
              <w:rPr>
                <w:rFonts w:eastAsia="Times New Roman" w:cs="Times New Roman"/>
                <w:noProof/>
              </w:rPr>
            </w:pPr>
            <w:r>
              <w:rPr>
                <w:noProof/>
              </w:rPr>
              <w:t>NEOTEC-avustuksia koskevien pyyntöjen avulla edistetään teknologian siirtoa ja autetaan luomaan uusia, innovatiivisiin teknologioihin perustuvia yrityksiä:  Vähintään 348 uuteen teknologiaan perustuvaa yritystä, joille on myönnetty lupa liiketoimintasuunnitelman toteuttamiseen. Näiden yritysten olisi oltava enintään kolmen vuoden ikäisiä, ja niiden olisi oltava yleisessä ryhmäpoikkeusasetuksessa määriteltyjä innovatiivisia yrityksiä. Tähän investointiin liittyvien hankkeiden arvioinnissa on varmistettava, että toimenpiteen kuvauksessa esitettyjä ”ei merkittävää haittaa” -periaatetta (2021/C58/01) noudatetaan.</w:t>
            </w:r>
          </w:p>
        </w:tc>
      </w:tr>
      <w:tr w:rsidR="0065073E" w14:paraId="50F6ED81" w14:textId="77777777">
        <w:trPr>
          <w:trHeight w:val="309"/>
        </w:trPr>
        <w:tc>
          <w:tcPr>
            <w:tcW w:w="993" w:type="dxa"/>
            <w:shd w:val="clear" w:color="auto" w:fill="C6EFCE"/>
            <w:noWrap/>
          </w:tcPr>
          <w:p w14:paraId="6124DB9E" w14:textId="7ADA6A8E" w:rsidR="0065073E" w:rsidRDefault="000A0998">
            <w:pPr>
              <w:pStyle w:val="P68B1DB1-Normal12"/>
              <w:spacing w:after="0" w:line="240" w:lineRule="auto"/>
              <w:jc w:val="center"/>
              <w:rPr>
                <w:rFonts w:cs="Times New Roman"/>
                <w:noProof/>
              </w:rPr>
            </w:pPr>
            <w:r>
              <w:rPr>
                <w:noProof/>
              </w:rPr>
              <w:t>459</w:t>
            </w:r>
          </w:p>
        </w:tc>
        <w:tc>
          <w:tcPr>
            <w:tcW w:w="837" w:type="dxa"/>
            <w:shd w:val="clear" w:color="auto" w:fill="C6EFCE"/>
            <w:noWrap/>
          </w:tcPr>
          <w:p w14:paraId="5E0A2E70" w14:textId="2836B5B6" w:rsidR="0065073E" w:rsidRDefault="000A0998">
            <w:pPr>
              <w:pStyle w:val="P68B1DB1-Normal12"/>
              <w:spacing w:after="0" w:line="240" w:lineRule="auto"/>
              <w:jc w:val="center"/>
              <w:rPr>
                <w:rFonts w:cs="Times New Roman"/>
                <w:noProof/>
              </w:rPr>
            </w:pPr>
            <w:r>
              <w:rPr>
                <w:noProof/>
              </w:rPr>
              <w:t>C17.I5</w:t>
            </w:r>
          </w:p>
        </w:tc>
        <w:tc>
          <w:tcPr>
            <w:tcW w:w="964" w:type="dxa"/>
            <w:shd w:val="clear" w:color="auto" w:fill="C6EFCE"/>
            <w:noWrap/>
          </w:tcPr>
          <w:p w14:paraId="47A46A0F" w14:textId="55E5BECA" w:rsidR="0065073E" w:rsidRDefault="000A0998">
            <w:pPr>
              <w:pStyle w:val="P68B1DB1-Normal12"/>
              <w:spacing w:after="0" w:line="240" w:lineRule="auto"/>
              <w:jc w:val="center"/>
              <w:rPr>
                <w:rFonts w:cs="Times New Roman"/>
                <w:noProof/>
              </w:rPr>
            </w:pPr>
            <w:r>
              <w:rPr>
                <w:noProof/>
              </w:rPr>
              <w:t>T</w:t>
            </w:r>
          </w:p>
        </w:tc>
        <w:tc>
          <w:tcPr>
            <w:tcW w:w="1999" w:type="dxa"/>
            <w:shd w:val="clear" w:color="auto" w:fill="C6EFCE"/>
            <w:noWrap/>
          </w:tcPr>
          <w:p w14:paraId="0985A675" w14:textId="69D523A5" w:rsidR="0065073E" w:rsidRDefault="000A0998">
            <w:pPr>
              <w:pStyle w:val="P68B1DB1-Normal12"/>
              <w:spacing w:after="0" w:line="240" w:lineRule="auto"/>
              <w:rPr>
                <w:rFonts w:cs="Times New Roman"/>
                <w:noProof/>
              </w:rPr>
            </w:pPr>
            <w:r>
              <w:rPr>
                <w:noProof/>
              </w:rPr>
              <w:t>Teknologian siirtoa edistävien hankkeiden loppuun saattaminen ja innovatiivisten teknologioiden tutkimustulosten siirron tukeminen</w:t>
            </w:r>
          </w:p>
        </w:tc>
        <w:tc>
          <w:tcPr>
            <w:tcW w:w="974" w:type="dxa"/>
            <w:shd w:val="clear" w:color="auto" w:fill="C6EFCE"/>
            <w:noWrap/>
          </w:tcPr>
          <w:p w14:paraId="674F8448" w14:textId="30C57019" w:rsidR="0065073E" w:rsidRDefault="000A0998">
            <w:pPr>
              <w:pStyle w:val="P68B1DB1-Normal12"/>
              <w:spacing w:after="0" w:line="240" w:lineRule="auto"/>
              <w:jc w:val="center"/>
              <w:rPr>
                <w:rFonts w:cs="Times New Roman"/>
                <w:noProof/>
              </w:rPr>
            </w:pPr>
            <w:r>
              <w:rPr>
                <w:noProof/>
              </w:rPr>
              <w:t>—</w:t>
            </w:r>
          </w:p>
        </w:tc>
        <w:tc>
          <w:tcPr>
            <w:tcW w:w="834" w:type="dxa"/>
            <w:shd w:val="clear" w:color="auto" w:fill="C6EFCE"/>
            <w:noWrap/>
          </w:tcPr>
          <w:p w14:paraId="7092BDAE" w14:textId="216A2BED" w:rsidR="0065073E" w:rsidRDefault="000A0998">
            <w:pPr>
              <w:pStyle w:val="P68B1DB1-Normal12"/>
              <w:spacing w:after="0" w:line="240" w:lineRule="auto"/>
              <w:jc w:val="center"/>
              <w:rPr>
                <w:rFonts w:cs="Times New Roman"/>
                <w:noProof/>
              </w:rPr>
            </w:pPr>
            <w:r>
              <w:rPr>
                <w:noProof/>
              </w:rPr>
              <w:t>Miljoonaa euroa</w:t>
            </w:r>
          </w:p>
        </w:tc>
        <w:tc>
          <w:tcPr>
            <w:tcW w:w="973" w:type="dxa"/>
            <w:shd w:val="clear" w:color="auto" w:fill="C6EFCE"/>
          </w:tcPr>
          <w:p w14:paraId="4883C242"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01C0362C" w14:textId="1155E9B3" w:rsidR="0065073E" w:rsidRDefault="000A0998">
            <w:pPr>
              <w:pStyle w:val="P68B1DB1-Normal12"/>
              <w:spacing w:after="0" w:line="240" w:lineRule="auto"/>
              <w:jc w:val="center"/>
              <w:rPr>
                <w:rFonts w:cs="Times New Roman"/>
                <w:noProof/>
              </w:rPr>
            </w:pPr>
            <w:r>
              <w:rPr>
                <w:noProof/>
              </w:rPr>
              <w:t>118.8</w:t>
            </w:r>
          </w:p>
        </w:tc>
        <w:tc>
          <w:tcPr>
            <w:tcW w:w="557" w:type="dxa"/>
            <w:shd w:val="clear" w:color="auto" w:fill="C6EFCE"/>
          </w:tcPr>
          <w:p w14:paraId="45EAE171" w14:textId="59BFF67C" w:rsidR="0065073E" w:rsidRDefault="000A0998">
            <w:pPr>
              <w:pStyle w:val="P68B1DB1-Normal12"/>
              <w:spacing w:after="0" w:line="240" w:lineRule="auto"/>
              <w:jc w:val="center"/>
              <w:rPr>
                <w:rFonts w:cs="Times New Roman"/>
                <w:noProof/>
              </w:rPr>
            </w:pPr>
            <w:r>
              <w:rPr>
                <w:noProof/>
              </w:rPr>
              <w:t>Q3</w:t>
            </w:r>
          </w:p>
        </w:tc>
        <w:tc>
          <w:tcPr>
            <w:tcW w:w="557" w:type="dxa"/>
            <w:shd w:val="clear" w:color="auto" w:fill="C6EFCE"/>
          </w:tcPr>
          <w:p w14:paraId="5ED79361" w14:textId="345FC9BE"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59CB4308" w14:textId="77777777" w:rsidR="0065073E" w:rsidRDefault="000A0998">
            <w:pPr>
              <w:pStyle w:val="P68B1DB1-Normal12"/>
              <w:spacing w:after="0" w:line="240" w:lineRule="auto"/>
              <w:rPr>
                <w:rFonts w:eastAsia="Times New Roman" w:cs="Times New Roman"/>
                <w:noProof/>
              </w:rPr>
            </w:pPr>
            <w:r>
              <w:rPr>
                <w:noProof/>
              </w:rPr>
              <w:t>Seuraavien hankkeiden loppuun saattaminen: yhteensä 118800000 euroa.</w:t>
            </w:r>
          </w:p>
          <w:p w14:paraId="65D76EE8" w14:textId="38F5443A" w:rsidR="0065073E" w:rsidRDefault="000A0998">
            <w:pPr>
              <w:pStyle w:val="P68B1DB1-Normal12"/>
              <w:spacing w:after="0" w:line="240" w:lineRule="auto"/>
              <w:rPr>
                <w:rFonts w:eastAsia="Times New Roman" w:cs="Times New Roman"/>
                <w:noProof/>
              </w:rPr>
            </w:pPr>
            <w:r>
              <w:rPr>
                <w:noProof/>
              </w:rPr>
              <w:t>Tuettavien hankkeiden on sisällettävä seuraavat:</w:t>
            </w:r>
          </w:p>
          <w:p w14:paraId="14C6B4CB" w14:textId="77777777" w:rsidR="0065073E" w:rsidRDefault="000A0998">
            <w:pPr>
              <w:pStyle w:val="P68B1DB1-Normal12"/>
              <w:spacing w:after="0" w:line="240" w:lineRule="auto"/>
              <w:rPr>
                <w:rFonts w:eastAsia="Times New Roman" w:cs="Times New Roman"/>
                <w:noProof/>
              </w:rPr>
            </w:pPr>
            <w:r>
              <w:rPr>
                <w:noProof/>
              </w:rPr>
              <w:t>Cervera-osaamisverkostoihin perustuvia innovaatioekosysteemejä koskeva ehdotuspyyntö</w:t>
            </w:r>
          </w:p>
          <w:p w14:paraId="2612828D" w14:textId="34472DE7" w:rsidR="0065073E" w:rsidRDefault="000A0998">
            <w:pPr>
              <w:pStyle w:val="P68B1DB1-Normal12"/>
              <w:spacing w:after="0" w:line="240" w:lineRule="auto"/>
              <w:rPr>
                <w:rFonts w:eastAsia="Times New Roman" w:cs="Times New Roman"/>
                <w:noProof/>
              </w:rPr>
            </w:pPr>
            <w:r>
              <w:rPr>
                <w:noProof/>
              </w:rPr>
              <w:t>Tutkimustulosten siirtotoimistojen valmiuksien ja suuntautumisen parantaminen</w:t>
            </w:r>
          </w:p>
          <w:p w14:paraId="2F27148B" w14:textId="29B8BFAD" w:rsidR="0065073E" w:rsidRDefault="000A0998">
            <w:pPr>
              <w:pStyle w:val="P68B1DB1-Normal12"/>
              <w:spacing w:after="0" w:line="240" w:lineRule="auto"/>
              <w:rPr>
                <w:rFonts w:eastAsia="Times New Roman" w:cs="Times New Roman"/>
                <w:noProof/>
              </w:rPr>
            </w:pPr>
            <w:r>
              <w:rPr>
                <w:noProof/>
              </w:rPr>
              <w:t>Cervera-apurahat teknologiakeskuksille, tutkimuskeskuksille, pk-yrityksille ja midcap-yrityksille ensisijaisten teknologioiden tutkimusta ja kehittämistä varten</w:t>
            </w:r>
          </w:p>
          <w:p w14:paraId="0F3DCD3A" w14:textId="094BF09E" w:rsidR="0065073E" w:rsidRDefault="000A0998">
            <w:pPr>
              <w:pStyle w:val="P68B1DB1-Normal12"/>
              <w:spacing w:after="0" w:line="240" w:lineRule="auto"/>
              <w:jc w:val="both"/>
              <w:rPr>
                <w:rFonts w:cs="Times New Roman"/>
                <w:noProof/>
              </w:rPr>
            </w:pPr>
            <w:r>
              <w:rPr>
                <w:noProof/>
              </w:rPr>
              <w:t>Kiinnostuksenilmaisupyyntö espanjalaisille pk-yrityksille eurooppalaisen huippuosaamismerkin avulla</w:t>
            </w:r>
          </w:p>
        </w:tc>
      </w:tr>
      <w:tr w:rsidR="0065073E" w14:paraId="28CC9AE4" w14:textId="77777777">
        <w:trPr>
          <w:trHeight w:val="309"/>
        </w:trPr>
        <w:tc>
          <w:tcPr>
            <w:tcW w:w="993" w:type="dxa"/>
            <w:shd w:val="clear" w:color="auto" w:fill="C6EFCE"/>
            <w:noWrap/>
          </w:tcPr>
          <w:p w14:paraId="21AD04C3" w14:textId="77777777" w:rsidR="0065073E" w:rsidRDefault="000A0998">
            <w:pPr>
              <w:pStyle w:val="P68B1DB1-Normal12"/>
              <w:spacing w:after="0" w:line="240" w:lineRule="auto"/>
              <w:jc w:val="center"/>
              <w:rPr>
                <w:rFonts w:eastAsia="Times New Roman" w:cs="Times New Roman"/>
                <w:noProof/>
              </w:rPr>
            </w:pPr>
            <w:r>
              <w:rPr>
                <w:noProof/>
              </w:rPr>
              <w:t>267</w:t>
            </w:r>
          </w:p>
        </w:tc>
        <w:tc>
          <w:tcPr>
            <w:tcW w:w="837" w:type="dxa"/>
            <w:shd w:val="clear" w:color="auto" w:fill="C6EFCE"/>
            <w:noWrap/>
          </w:tcPr>
          <w:p w14:paraId="059C602B" w14:textId="77777777" w:rsidR="0065073E" w:rsidRDefault="000A0998">
            <w:pPr>
              <w:pStyle w:val="P68B1DB1-Normal12"/>
              <w:spacing w:after="0" w:line="240" w:lineRule="auto"/>
              <w:jc w:val="center"/>
              <w:rPr>
                <w:rFonts w:eastAsia="Times New Roman" w:cs="Times New Roman"/>
                <w:noProof/>
              </w:rPr>
            </w:pPr>
            <w:r>
              <w:rPr>
                <w:noProof/>
              </w:rPr>
              <w:t>C17.I6</w:t>
            </w:r>
          </w:p>
        </w:tc>
        <w:tc>
          <w:tcPr>
            <w:tcW w:w="964" w:type="dxa"/>
            <w:shd w:val="clear" w:color="auto" w:fill="C6EFCE"/>
            <w:noWrap/>
          </w:tcPr>
          <w:p w14:paraId="5B22155B"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459A25B1" w14:textId="77777777" w:rsidR="0065073E" w:rsidRDefault="000A0998">
            <w:pPr>
              <w:pStyle w:val="P68B1DB1-Normal12"/>
              <w:spacing w:after="0" w:line="240" w:lineRule="auto"/>
              <w:rPr>
                <w:rFonts w:eastAsia="Times New Roman" w:cs="Times New Roman"/>
                <w:noProof/>
              </w:rPr>
            </w:pPr>
            <w:r>
              <w:rPr>
                <w:noProof/>
              </w:rPr>
              <w:t>Tuki hankkeille, joilla vahvistetaan kansallisen terveydenhuoltojärjestelmän strategisia valmiuksia ja kansainvälistymistä, hankkeet, jotka liittyvät täsmälliseen yksilölliseen lääketieteen strategiaan ja joilla edistetään julkisen ja yksityisen sektorin investointivälinettä pitkälle kehitetyissä terapioissa.</w:t>
            </w:r>
          </w:p>
        </w:tc>
        <w:tc>
          <w:tcPr>
            <w:tcW w:w="974" w:type="dxa"/>
            <w:shd w:val="clear" w:color="auto" w:fill="C6EFCE"/>
            <w:noWrap/>
          </w:tcPr>
          <w:p w14:paraId="45A4C4C7"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5D1DD916" w14:textId="77777777" w:rsidR="0065073E" w:rsidRDefault="000A0998">
            <w:pPr>
              <w:pStyle w:val="P68B1DB1-Normal12"/>
              <w:spacing w:after="0" w:line="240" w:lineRule="auto"/>
              <w:jc w:val="center"/>
              <w:rPr>
                <w:rFonts w:eastAsia="Times New Roman" w:cs="Times New Roman"/>
                <w:noProof/>
              </w:rPr>
            </w:pPr>
            <w:r>
              <w:rPr>
                <w:noProof/>
              </w:rPr>
              <w:t>Miljoonaa euroa</w:t>
            </w:r>
          </w:p>
        </w:tc>
        <w:tc>
          <w:tcPr>
            <w:tcW w:w="973" w:type="dxa"/>
            <w:shd w:val="clear" w:color="auto" w:fill="C6EFCE"/>
          </w:tcPr>
          <w:p w14:paraId="46CB8396"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65511315" w14:textId="7F0B684E" w:rsidR="0065073E" w:rsidRDefault="000A0998">
            <w:pPr>
              <w:pStyle w:val="P68B1DB1-Normal12"/>
              <w:spacing w:after="0" w:line="240" w:lineRule="auto"/>
              <w:jc w:val="center"/>
              <w:rPr>
                <w:rFonts w:cs="Times New Roman"/>
                <w:noProof/>
              </w:rPr>
            </w:pPr>
            <w:r>
              <w:rPr>
                <w:noProof/>
              </w:rPr>
              <w:t>436.2</w:t>
            </w:r>
          </w:p>
        </w:tc>
        <w:tc>
          <w:tcPr>
            <w:tcW w:w="557" w:type="dxa"/>
            <w:shd w:val="clear" w:color="auto" w:fill="C6EFCE"/>
          </w:tcPr>
          <w:p w14:paraId="4B134831" w14:textId="5F1FE2EA" w:rsidR="0065073E" w:rsidRDefault="000A0998">
            <w:pPr>
              <w:pStyle w:val="P68B1DB1-Normal12"/>
              <w:spacing w:after="0" w:line="240" w:lineRule="auto"/>
              <w:jc w:val="center"/>
              <w:rPr>
                <w:rFonts w:cs="Times New Roman"/>
                <w:noProof/>
              </w:rPr>
            </w:pPr>
            <w:r>
              <w:rPr>
                <w:noProof/>
              </w:rPr>
              <w:t>ENSIMMÄINEN VUOSINELJÄNNES</w:t>
            </w:r>
          </w:p>
        </w:tc>
        <w:tc>
          <w:tcPr>
            <w:tcW w:w="557" w:type="dxa"/>
            <w:shd w:val="clear" w:color="auto" w:fill="C6EFCE"/>
          </w:tcPr>
          <w:p w14:paraId="5316A6CE" w14:textId="5D094771" w:rsidR="0065073E" w:rsidRDefault="000A0998">
            <w:pPr>
              <w:pStyle w:val="P68B1DB1-Normal12"/>
              <w:spacing w:after="0" w:line="240" w:lineRule="auto"/>
              <w:jc w:val="center"/>
              <w:rPr>
                <w:rFonts w:cs="Times New Roman"/>
                <w:noProof/>
              </w:rPr>
            </w:pPr>
            <w:r>
              <w:rPr>
                <w:noProof/>
              </w:rPr>
              <w:t>2024</w:t>
            </w:r>
          </w:p>
        </w:tc>
        <w:tc>
          <w:tcPr>
            <w:tcW w:w="5695" w:type="dxa"/>
            <w:shd w:val="clear" w:color="auto" w:fill="C6EFCE"/>
            <w:noWrap/>
          </w:tcPr>
          <w:p w14:paraId="662CDB46" w14:textId="64C5C285" w:rsidR="0065073E" w:rsidRDefault="000A0998">
            <w:pPr>
              <w:spacing w:after="0" w:line="240" w:lineRule="auto"/>
              <w:rPr>
                <w:rFonts w:ascii="Times New Roman" w:hAnsi="Times New Roman" w:cs="Times New Roman"/>
                <w:noProof/>
                <w:sz w:val="18"/>
              </w:rPr>
            </w:pPr>
            <w:r>
              <w:rPr>
                <w:rFonts w:ascii="Times New Roman" w:hAnsi="Times New Roman"/>
                <w:noProof/>
                <w:sz w:val="18"/>
              </w:rPr>
              <w:t>Vähintään 436185000 euron julkaiseminen EUVL:ssä:</w:t>
            </w:r>
            <w:r>
              <w:rPr>
                <w:noProof/>
              </w:rPr>
              <w:t xml:space="preserve"> </w:t>
            </w:r>
            <w:r>
              <w:rPr>
                <w:noProof/>
              </w:rPr>
              <w:br/>
            </w:r>
            <w:r>
              <w:rPr>
                <w:rFonts w:ascii="Times New Roman" w:hAnsi="Times New Roman"/>
                <w:noProof/>
                <w:sz w:val="18"/>
              </w:rPr>
              <w:t xml:space="preserve">* 174000000 euroa hankkeisiin, joilla vahvistetaan kansallisen terveydenhuoltojärjestelmän strategisia valmiuksia ja kansainvälistymistä, mukaan lukien  </w:t>
            </w:r>
            <w:r>
              <w:rPr>
                <w:noProof/>
              </w:rPr>
              <w:t xml:space="preserve"> </w:t>
            </w:r>
            <w:r>
              <w:rPr>
                <w:noProof/>
              </w:rPr>
              <w:br/>
            </w:r>
            <w:r>
              <w:rPr>
                <w:rFonts w:ascii="Times New Roman" w:hAnsi="Times New Roman"/>
                <w:noProof/>
                <w:sz w:val="18"/>
              </w:rPr>
              <w:t xml:space="preserve">— 80000000 euroa terveyttä koskevaan strategiseen toimeen </w:t>
            </w:r>
            <w:r>
              <w:rPr>
                <w:noProof/>
              </w:rPr>
              <w:t xml:space="preserve"> </w:t>
            </w:r>
            <w:r>
              <w:rPr>
                <w:noProof/>
              </w:rPr>
              <w:br/>
              <w:t xml:space="preserve"> </w:t>
            </w:r>
            <w:r>
              <w:rPr>
                <w:rFonts w:ascii="Times New Roman" w:hAnsi="Times New Roman"/>
                <w:noProof/>
                <w:sz w:val="18"/>
              </w:rPr>
              <w:t xml:space="preserve">— 75000000 euron avustukset kansalliseen terveydenhuoltojärjestelmään liittyvien tutkimuskeskusten tieteellisten valmiuksien lisäämiseksi sekä tieteellisten ja teknisten laitteiden rahoittamiseen liittyvät avustukset, mukaan lukien vanhentuneiden tieteellis-teknisten laitteiden uusiminen, </w:t>
            </w:r>
            <w:r>
              <w:rPr>
                <w:noProof/>
              </w:rPr>
              <w:t xml:space="preserve"> </w:t>
            </w:r>
            <w:r>
              <w:rPr>
                <w:noProof/>
              </w:rPr>
              <w:br/>
              <w:t xml:space="preserve"> </w:t>
            </w:r>
            <w:r>
              <w:rPr>
                <w:rFonts w:ascii="Times New Roman" w:hAnsi="Times New Roman"/>
                <w:noProof/>
                <w:sz w:val="18"/>
              </w:rPr>
              <w:t>— 6000000 euroa avustuksiin huippuosaamismerkkiä Instituto de Salud Carlos III varten;</w:t>
            </w:r>
            <w:r>
              <w:rPr>
                <w:noProof/>
              </w:rPr>
              <w:t xml:space="preserve"> </w:t>
            </w:r>
            <w:r>
              <w:rPr>
                <w:noProof/>
              </w:rPr>
              <w:br/>
            </w:r>
            <w:r>
              <w:rPr>
                <w:rFonts w:ascii="Times New Roman" w:hAnsi="Times New Roman"/>
                <w:noProof/>
                <w:sz w:val="18"/>
              </w:rPr>
              <w:t>— 13000000 euron avustukset julkisen ja yksityisen sektorin kumppanuuksiin GMP/LPG-ympäristön sisällyttämiseksi SNS-tutkimusryhmiin eli avustukset kansallisen terveydenhuoltojärjestelmän kansainvälistymiseen</w:t>
            </w:r>
            <w:r>
              <w:rPr>
                <w:noProof/>
              </w:rPr>
              <w:t xml:space="preserve"> </w:t>
            </w:r>
            <w:r>
              <w:rPr>
                <w:noProof/>
              </w:rPr>
              <w:br/>
              <w:t xml:space="preserve"> </w:t>
            </w:r>
            <w:r>
              <w:rPr>
                <w:rFonts w:ascii="Times New Roman" w:hAnsi="Times New Roman"/>
                <w:noProof/>
                <w:sz w:val="18"/>
              </w:rPr>
              <w:t>* 140500000 euroa henkilökohtaisen lääketieteen strategiaan liittyviin hankkeisiin, mukaan lukien seuraavat:</w:t>
            </w:r>
            <w:r>
              <w:rPr>
                <w:noProof/>
              </w:rPr>
              <w:t xml:space="preserve"> </w:t>
            </w:r>
            <w:r>
              <w:rPr>
                <w:noProof/>
              </w:rPr>
              <w:br/>
            </w:r>
            <w:r>
              <w:rPr>
                <w:rFonts w:ascii="Times New Roman" w:hAnsi="Times New Roman"/>
                <w:noProof/>
                <w:sz w:val="18"/>
              </w:rPr>
              <w:t>— 29500000 euron yleinen ehdotuspyyntö yksilöllisestä lääketieteestä</w:t>
            </w:r>
            <w:r>
              <w:rPr>
                <w:noProof/>
              </w:rPr>
              <w:t xml:space="preserve"> </w:t>
            </w:r>
            <w:r>
              <w:rPr>
                <w:noProof/>
              </w:rPr>
              <w:br/>
              <w:t xml:space="preserve"> </w:t>
            </w:r>
            <w:r>
              <w:rPr>
                <w:rFonts w:ascii="Times New Roman" w:hAnsi="Times New Roman"/>
                <w:noProof/>
                <w:sz w:val="18"/>
              </w:rPr>
              <w:t>— 91500000 euron ehdotuspyyntö yksilöllistettyä lääketiedettä koskevia erityisohjelmia varten</w:t>
            </w:r>
            <w:r>
              <w:rPr>
                <w:noProof/>
              </w:rPr>
              <w:t xml:space="preserve"> </w:t>
            </w:r>
            <w:r>
              <w:rPr>
                <w:noProof/>
              </w:rPr>
              <w:br/>
              <w:t xml:space="preserve"> </w:t>
            </w:r>
            <w:r>
              <w:rPr>
                <w:rFonts w:ascii="Times New Roman" w:hAnsi="Times New Roman"/>
                <w:noProof/>
                <w:sz w:val="18"/>
              </w:rPr>
              <w:t>— 15000000 euron ehdotuspyyntö yksilöllisiä ja pitkälle kehitettyjä terapioita koskevaan suunnitelmaan</w:t>
            </w:r>
            <w:r>
              <w:rPr>
                <w:noProof/>
              </w:rPr>
              <w:t xml:space="preserve"> </w:t>
            </w:r>
            <w:r>
              <w:rPr>
                <w:noProof/>
              </w:rPr>
              <w:br/>
              <w:t xml:space="preserve"> </w:t>
            </w:r>
            <w:r>
              <w:rPr>
                <w:rFonts w:ascii="Times New Roman" w:hAnsi="Times New Roman"/>
                <w:noProof/>
                <w:sz w:val="18"/>
              </w:rPr>
              <w:t>— 4500000 euron ehdotuspyyntö henkilökohtaisen lääketieteen kansainvälistymistä varten Espanjassa</w:t>
            </w:r>
            <w:r>
              <w:rPr>
                <w:noProof/>
              </w:rPr>
              <w:t xml:space="preserve"> </w:t>
            </w:r>
            <w:r>
              <w:rPr>
                <w:noProof/>
              </w:rPr>
              <w:br/>
              <w:t xml:space="preserve"> </w:t>
            </w:r>
            <w:r>
              <w:rPr>
                <w:rFonts w:ascii="Times New Roman" w:hAnsi="Times New Roman"/>
                <w:noProof/>
                <w:sz w:val="18"/>
              </w:rPr>
              <w:t>Terveydenhuoltojärjestelmän kansainvälistymistä koskevilla toimenpiteillä tuetaan Espanjan asemaa Euroopan terveydenhuoltoalalla kannustamalla Espanjaa osallistumaan EU:n HEALTH-ohjelmaan ja Horisontti Eurooppa -puiteohjelmaan. Sen avulla voidaan rahoittaa tutkimus- ja innovointiklustereita, jotka ovat osa Horisontti Eurooppa -ohjelmasta ja Horisontti 2020 -kumppanuuksista rahoitettaviksi valittuja yhteisiä rajatylittäviä ohjelmasuunnitteluhankkeita, kuten ERA-Net-yhteisrahoitus, eurooppalaiset yhteiset ohjelma-aloitteet tai kansainväliset yhteiset ohjelma-aloitteet, Euroopan unionin toiminnasta tehdyn sopimuksen (SEUT) 187 ja 185 artiklan nojalla perustetut aloitteet ja Horisontti Eurooppa -puiteohjelmassa perustetut kumppanuudet.</w:t>
            </w:r>
            <w:r>
              <w:rPr>
                <w:noProof/>
              </w:rPr>
              <w:t xml:space="preserve"> </w:t>
            </w:r>
            <w:r>
              <w:rPr>
                <w:noProof/>
              </w:rPr>
              <w:br/>
            </w:r>
            <w:r>
              <w:rPr>
                <w:rFonts w:ascii="Times New Roman" w:hAnsi="Times New Roman"/>
                <w:noProof/>
                <w:sz w:val="18"/>
              </w:rPr>
              <w:t>*Ja vähintään yksi 36685000 euron rahoitusosuus pitkälle kehitettyjä terapioita koskevaan julkisen ja yksityisen sektorin investointivälineeseen.</w:t>
            </w:r>
          </w:p>
          <w:p w14:paraId="61E4FD0C" w14:textId="77777777" w:rsidR="0065073E" w:rsidRDefault="000A0998">
            <w:pPr>
              <w:pStyle w:val="P68B1DB1-Normal12"/>
              <w:spacing w:after="0" w:line="240" w:lineRule="auto"/>
              <w:rPr>
                <w:rFonts w:eastAsia="Times New Roman" w:cs="Times New Roman"/>
                <w:noProof/>
              </w:rPr>
            </w:pPr>
            <w:r>
              <w:rPr>
                <w:noProof/>
              </w:rPr>
              <w:t>* 85000000 euroa PERTE-ohjelman toimiin vanguard Healthin hyväksi: I.) Terveysministeriön sekä tiede- ja innovointiministeriön yhteisiä missioita harvinaisten sairauksien alalla ii) pyydetään terveysministeriötä ja tiede- ja innovaatioministeriötä toteuttamaan yhteisiä operaatioita täsmälääketieteen täytäntöönpanossa. iii) Kehotetaan investointeja potilaslähtöisten kliinisten tutkimusyksiköiden koulutukseen, infrastruktuurin parantamiseen, suunnitteluun ja laitteisiin.</w:t>
            </w:r>
            <w:r>
              <w:rPr>
                <w:noProof/>
                <w:shd w:val="clear" w:color="auto" w:fill="E6E6E6"/>
              </w:rPr>
              <w:t xml:space="preserve"> </w:t>
            </w:r>
          </w:p>
        </w:tc>
      </w:tr>
      <w:tr w:rsidR="0065073E" w14:paraId="6A9143EA" w14:textId="77777777">
        <w:trPr>
          <w:trHeight w:val="309"/>
        </w:trPr>
        <w:tc>
          <w:tcPr>
            <w:tcW w:w="993" w:type="dxa"/>
            <w:shd w:val="clear" w:color="auto" w:fill="C6EFCE"/>
            <w:noWrap/>
          </w:tcPr>
          <w:p w14:paraId="4C5ED506" w14:textId="77777777" w:rsidR="0065073E" w:rsidRDefault="000A0998">
            <w:pPr>
              <w:pStyle w:val="P68B1DB1-Normal12"/>
              <w:spacing w:after="0" w:line="240" w:lineRule="auto"/>
              <w:jc w:val="center"/>
              <w:rPr>
                <w:rFonts w:eastAsia="Times New Roman" w:cs="Times New Roman"/>
                <w:noProof/>
              </w:rPr>
            </w:pPr>
            <w:r>
              <w:rPr>
                <w:noProof/>
              </w:rPr>
              <w:t>268</w:t>
            </w:r>
          </w:p>
        </w:tc>
        <w:tc>
          <w:tcPr>
            <w:tcW w:w="837" w:type="dxa"/>
            <w:shd w:val="clear" w:color="auto" w:fill="C6EFCE"/>
            <w:noWrap/>
          </w:tcPr>
          <w:p w14:paraId="6D1F29DC" w14:textId="77777777" w:rsidR="0065073E" w:rsidRDefault="000A0998">
            <w:pPr>
              <w:pStyle w:val="P68B1DB1-Normal12"/>
              <w:spacing w:after="0" w:line="240" w:lineRule="auto"/>
              <w:jc w:val="center"/>
              <w:rPr>
                <w:rFonts w:eastAsia="Times New Roman" w:cs="Times New Roman"/>
                <w:noProof/>
              </w:rPr>
            </w:pPr>
            <w:r>
              <w:rPr>
                <w:noProof/>
              </w:rPr>
              <w:t>C17.I6</w:t>
            </w:r>
          </w:p>
        </w:tc>
        <w:tc>
          <w:tcPr>
            <w:tcW w:w="964" w:type="dxa"/>
            <w:shd w:val="clear" w:color="auto" w:fill="C6EFCE"/>
            <w:noWrap/>
          </w:tcPr>
          <w:p w14:paraId="5F95BF3A"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0ED5F9E7" w14:textId="77777777" w:rsidR="0065073E" w:rsidRDefault="000A0998">
            <w:pPr>
              <w:pStyle w:val="P68B1DB1-Normal12"/>
              <w:spacing w:after="0" w:line="240" w:lineRule="auto"/>
              <w:rPr>
                <w:rFonts w:eastAsia="Times New Roman" w:cs="Times New Roman"/>
                <w:noProof/>
              </w:rPr>
            </w:pPr>
            <w:r>
              <w:rPr>
                <w:noProof/>
              </w:rPr>
              <w:t xml:space="preserve">Kaikkien terveydenhuoltoalan tutkimuksen kehittämisen ja innovoinnin vahvistamista koskevien hankkeiden loppuun saattaminen. </w:t>
            </w:r>
          </w:p>
        </w:tc>
        <w:tc>
          <w:tcPr>
            <w:tcW w:w="974" w:type="dxa"/>
            <w:shd w:val="clear" w:color="auto" w:fill="C6EFCE"/>
            <w:noWrap/>
          </w:tcPr>
          <w:p w14:paraId="41E0C0A0"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34" w:type="dxa"/>
            <w:shd w:val="clear" w:color="auto" w:fill="C6EFCE"/>
            <w:noWrap/>
          </w:tcPr>
          <w:p w14:paraId="664A8C5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0515E4BE"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3B6F4AD7" w14:textId="29C5D2B2" w:rsidR="0065073E" w:rsidRDefault="000A0998">
            <w:pPr>
              <w:pStyle w:val="P68B1DB1-Normal12"/>
              <w:spacing w:after="0" w:line="240" w:lineRule="auto"/>
              <w:jc w:val="center"/>
              <w:rPr>
                <w:rFonts w:cs="Times New Roman"/>
                <w:noProof/>
              </w:rPr>
            </w:pPr>
            <w:r>
              <w:rPr>
                <w:noProof/>
              </w:rPr>
              <w:t>100</w:t>
            </w:r>
          </w:p>
        </w:tc>
        <w:tc>
          <w:tcPr>
            <w:tcW w:w="557" w:type="dxa"/>
            <w:shd w:val="clear" w:color="auto" w:fill="C6EFCE"/>
          </w:tcPr>
          <w:p w14:paraId="60466CD6" w14:textId="3A0A6271"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0F1A0D18" w14:textId="14C1893B"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45396BF5"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Kaikkien hankkeiden loppuun saattaminen, yhteensä 527126000 euroa.</w:t>
            </w:r>
            <w:r>
              <w:rPr>
                <w:noProof/>
              </w:rPr>
              <w:t xml:space="preserve"> </w:t>
            </w:r>
            <w:r>
              <w:rPr>
                <w:noProof/>
              </w:rPr>
              <w:br/>
            </w:r>
            <w:r>
              <w:rPr>
                <w:rFonts w:ascii="Times New Roman" w:hAnsi="Times New Roman"/>
                <w:noProof/>
                <w:sz w:val="18"/>
              </w:rPr>
              <w:t>Hankkeet, joihin on myönnetty rahoitusta, mukaan lukien seuraavat ehdotuspyynnöt:</w:t>
            </w:r>
            <w:r>
              <w:rPr>
                <w:noProof/>
              </w:rPr>
              <w:t xml:space="preserve"> </w:t>
            </w:r>
            <w:r>
              <w:rPr>
                <w:noProof/>
              </w:rPr>
              <w:br/>
            </w:r>
            <w:r>
              <w:rPr>
                <w:rFonts w:ascii="Times New Roman" w:hAnsi="Times New Roman"/>
                <w:noProof/>
                <w:sz w:val="18"/>
              </w:rPr>
              <w:t xml:space="preserve">* Kansallisen terveydenhuoltojärjestelmän strategisten valmiuksien vahvistaminen ja kansainvälistyminen: </w:t>
            </w:r>
            <w:r>
              <w:rPr>
                <w:noProof/>
              </w:rPr>
              <w:t xml:space="preserve"> </w:t>
            </w:r>
            <w:r>
              <w:rPr>
                <w:noProof/>
              </w:rPr>
              <w:br/>
            </w:r>
            <w:r>
              <w:rPr>
                <w:rFonts w:ascii="Times New Roman" w:hAnsi="Times New Roman"/>
                <w:noProof/>
                <w:sz w:val="18"/>
              </w:rPr>
              <w:t xml:space="preserve"> — Terveyttä koskeva strateginen toimi </w:t>
            </w:r>
            <w:r>
              <w:rPr>
                <w:noProof/>
              </w:rPr>
              <w:t xml:space="preserve"> </w:t>
            </w:r>
            <w:r>
              <w:rPr>
                <w:noProof/>
              </w:rPr>
              <w:br/>
              <w:t xml:space="preserve"> </w:t>
            </w:r>
            <w:r>
              <w:rPr>
                <w:rFonts w:ascii="Times New Roman" w:hAnsi="Times New Roman"/>
                <w:noProof/>
                <w:sz w:val="18"/>
              </w:rPr>
              <w:t xml:space="preserve"> hankkeet, joilla lisätään kansalliseen terveydenhuoltojärjestelmään liittyvien tutkimuskeskusten tieteellisiä valmiuksia, </w:t>
            </w:r>
            <w:r>
              <w:rPr>
                <w:noProof/>
              </w:rPr>
              <w:t xml:space="preserve"> </w:t>
            </w:r>
            <w:r>
              <w:rPr>
                <w:noProof/>
              </w:rPr>
              <w:br/>
              <w:t xml:space="preserve"> </w:t>
            </w:r>
            <w:r>
              <w:rPr>
                <w:rFonts w:ascii="Times New Roman" w:hAnsi="Times New Roman"/>
                <w:noProof/>
                <w:sz w:val="18"/>
              </w:rPr>
              <w:t xml:space="preserve"> ehdotukset, jotka liittyvät tieteellisen ja teknisen laitteiston rahoittamiseen, mukaan lukien vanhentuneiden tieteellis-teknisten laitteiden uusiminen, </w:t>
            </w:r>
            <w:r>
              <w:rPr>
                <w:noProof/>
              </w:rPr>
              <w:t xml:space="preserve"> </w:t>
            </w:r>
            <w:r>
              <w:rPr>
                <w:noProof/>
              </w:rPr>
              <w:br/>
              <w:t xml:space="preserve"> </w:t>
            </w:r>
            <w:r>
              <w:rPr>
                <w:rFonts w:ascii="Times New Roman" w:hAnsi="Times New Roman"/>
                <w:noProof/>
                <w:sz w:val="18"/>
              </w:rPr>
              <w:t xml:space="preserve"> huippuosaamismerkkiä Instituto de Salud Carlos III koskevat hankkeet; ja </w:t>
            </w:r>
            <w:r>
              <w:rPr>
                <w:noProof/>
              </w:rPr>
              <w:t xml:space="preserve"> </w:t>
            </w:r>
            <w:r>
              <w:rPr>
                <w:noProof/>
              </w:rPr>
              <w:br/>
              <w:t xml:space="preserve"> </w:t>
            </w:r>
            <w:r>
              <w:rPr>
                <w:rFonts w:ascii="Times New Roman" w:hAnsi="Times New Roman"/>
                <w:noProof/>
                <w:sz w:val="18"/>
              </w:rPr>
              <w:t xml:space="preserve"> julkisen ja yksityisen sektorin kumppanuudet GMP/LPG-ympäristön sisällyttämiseksi SNS-tutkimusryhmiin.</w:t>
            </w:r>
            <w:r>
              <w:rPr>
                <w:noProof/>
              </w:rPr>
              <w:t xml:space="preserve"> </w:t>
            </w:r>
            <w:r>
              <w:rPr>
                <w:noProof/>
              </w:rPr>
              <w:br/>
            </w:r>
            <w:r>
              <w:rPr>
                <w:rFonts w:ascii="Times New Roman" w:hAnsi="Times New Roman"/>
                <w:noProof/>
                <w:sz w:val="18"/>
              </w:rPr>
              <w:t>* Yksilöllistettyä lääketiedettä koskevan strategian osalta:</w:t>
            </w:r>
            <w:r>
              <w:rPr>
                <w:noProof/>
              </w:rPr>
              <w:t xml:space="preserve"> </w:t>
            </w:r>
            <w:r>
              <w:rPr>
                <w:noProof/>
              </w:rPr>
              <w:br/>
            </w:r>
            <w:r>
              <w:rPr>
                <w:rFonts w:ascii="Times New Roman" w:hAnsi="Times New Roman"/>
                <w:noProof/>
                <w:sz w:val="18"/>
              </w:rPr>
              <w:t xml:space="preserve"> yksilöllistettyä lääketiedettä koskevan yleisen ehdotuspyynnön hankkeet</w:t>
            </w:r>
            <w:r>
              <w:rPr>
                <w:noProof/>
              </w:rPr>
              <w:t xml:space="preserve"> </w:t>
            </w:r>
            <w:r>
              <w:rPr>
                <w:noProof/>
              </w:rPr>
              <w:br/>
              <w:t xml:space="preserve"> </w:t>
            </w:r>
            <w:r>
              <w:rPr>
                <w:rFonts w:ascii="Times New Roman" w:hAnsi="Times New Roman"/>
                <w:noProof/>
                <w:sz w:val="18"/>
              </w:rPr>
              <w:t xml:space="preserve"> yksilöllisiä ja pitkälle kehitettyjä terapioita koskevan suunnitelman ehdotuspyynnön hankkeet</w:t>
            </w:r>
            <w:r>
              <w:rPr>
                <w:noProof/>
              </w:rPr>
              <w:t xml:space="preserve"> </w:t>
            </w:r>
            <w:r>
              <w:rPr>
                <w:noProof/>
              </w:rPr>
              <w:br/>
              <w:t xml:space="preserve"> </w:t>
            </w:r>
            <w:r>
              <w:rPr>
                <w:rFonts w:ascii="Times New Roman" w:hAnsi="Times New Roman"/>
                <w:noProof/>
                <w:sz w:val="18"/>
              </w:rPr>
              <w:t xml:space="preserve"> yksilöllistettyä lääketiedettä koskevan Espanjan kansainvälistymistä koskevan ehdotuspyynnön hankkeet</w:t>
            </w:r>
            <w:r>
              <w:rPr>
                <w:noProof/>
              </w:rPr>
              <w:t xml:space="preserve"> </w:t>
            </w:r>
            <w:r>
              <w:rPr>
                <w:noProof/>
              </w:rPr>
              <w:br/>
              <w:t xml:space="preserve"> </w:t>
            </w:r>
            <w:r>
              <w:rPr>
                <w:rFonts w:ascii="Times New Roman" w:hAnsi="Times New Roman"/>
                <w:noProof/>
                <w:sz w:val="18"/>
              </w:rPr>
              <w:t>* Vähintään 2 pääomankorotus (vaiheet II ja III) pitkälle kehitetyssä terapiassa käytettävien lääkkeiden kliinisten tutkimusten suorittamiseksi</w:t>
            </w:r>
          </w:p>
          <w:p w14:paraId="46EF6F65" w14:textId="77777777" w:rsidR="0065073E" w:rsidRDefault="0065073E">
            <w:pPr>
              <w:spacing w:after="0" w:line="240" w:lineRule="auto"/>
              <w:rPr>
                <w:rFonts w:ascii="Times New Roman" w:hAnsi="Times New Roman" w:cs="Times New Roman"/>
                <w:noProof/>
                <w:sz w:val="18"/>
              </w:rPr>
            </w:pPr>
          </w:p>
        </w:tc>
      </w:tr>
      <w:tr w:rsidR="0065073E" w14:paraId="7DE39A3A" w14:textId="77777777">
        <w:trPr>
          <w:trHeight w:val="309"/>
        </w:trPr>
        <w:tc>
          <w:tcPr>
            <w:tcW w:w="993" w:type="dxa"/>
            <w:shd w:val="clear" w:color="auto" w:fill="C6EFCE"/>
            <w:noWrap/>
          </w:tcPr>
          <w:p w14:paraId="3CCF428E" w14:textId="0B61B297" w:rsidR="0065073E" w:rsidRDefault="000A0998">
            <w:pPr>
              <w:pStyle w:val="P68B1DB1-Normal12"/>
              <w:spacing w:after="0" w:line="240" w:lineRule="auto"/>
              <w:jc w:val="center"/>
              <w:rPr>
                <w:rFonts w:cs="Times New Roman"/>
                <w:noProof/>
              </w:rPr>
            </w:pPr>
            <w:r>
              <w:rPr>
                <w:noProof/>
              </w:rPr>
              <w:t>460</w:t>
            </w:r>
          </w:p>
        </w:tc>
        <w:tc>
          <w:tcPr>
            <w:tcW w:w="837" w:type="dxa"/>
            <w:shd w:val="clear" w:color="auto" w:fill="C6EFCE"/>
            <w:noWrap/>
          </w:tcPr>
          <w:p w14:paraId="76390B63" w14:textId="3E0CF364" w:rsidR="0065073E" w:rsidRDefault="000A0998">
            <w:pPr>
              <w:pStyle w:val="P68B1DB1-Normal12"/>
              <w:spacing w:after="0" w:line="240" w:lineRule="auto"/>
              <w:jc w:val="center"/>
              <w:rPr>
                <w:rFonts w:cs="Times New Roman"/>
                <w:noProof/>
              </w:rPr>
            </w:pPr>
            <w:r>
              <w:rPr>
                <w:noProof/>
              </w:rPr>
              <w:t>C17.I6</w:t>
            </w:r>
          </w:p>
        </w:tc>
        <w:tc>
          <w:tcPr>
            <w:tcW w:w="964" w:type="dxa"/>
            <w:shd w:val="clear" w:color="auto" w:fill="C6EFCE"/>
            <w:noWrap/>
          </w:tcPr>
          <w:p w14:paraId="0576D1F3" w14:textId="11E2276F" w:rsidR="0065073E" w:rsidRDefault="000A0998">
            <w:pPr>
              <w:pStyle w:val="P68B1DB1-Normal12"/>
              <w:spacing w:after="0" w:line="240" w:lineRule="auto"/>
              <w:jc w:val="center"/>
              <w:rPr>
                <w:rFonts w:cs="Times New Roman"/>
                <w:noProof/>
              </w:rPr>
            </w:pPr>
            <w:r>
              <w:rPr>
                <w:noProof/>
              </w:rPr>
              <w:t>T</w:t>
            </w:r>
          </w:p>
        </w:tc>
        <w:tc>
          <w:tcPr>
            <w:tcW w:w="1999" w:type="dxa"/>
            <w:shd w:val="clear" w:color="auto" w:fill="C6EFCE"/>
            <w:noWrap/>
          </w:tcPr>
          <w:p w14:paraId="3A6109DB" w14:textId="2C0F9A94" w:rsidR="0065073E" w:rsidRDefault="000A0998">
            <w:pPr>
              <w:pStyle w:val="P68B1DB1-Normal12"/>
              <w:spacing w:after="0" w:line="240" w:lineRule="auto"/>
              <w:rPr>
                <w:rFonts w:cs="Times New Roman"/>
                <w:noProof/>
              </w:rPr>
            </w:pPr>
            <w:r>
              <w:rPr>
                <w:noProof/>
              </w:rPr>
              <w:t xml:space="preserve">Varojen maksaminen PERTE Health -ohjelman t &amp; k-hankkeisiin  </w:t>
            </w:r>
          </w:p>
        </w:tc>
        <w:tc>
          <w:tcPr>
            <w:tcW w:w="974" w:type="dxa"/>
            <w:shd w:val="clear" w:color="auto" w:fill="C6EFCE"/>
            <w:noWrap/>
          </w:tcPr>
          <w:p w14:paraId="37C3E156" w14:textId="6DA9DDA7" w:rsidR="0065073E" w:rsidRDefault="000A0998">
            <w:pPr>
              <w:pStyle w:val="P68B1DB1-Normal12"/>
              <w:spacing w:after="0" w:line="240" w:lineRule="auto"/>
              <w:jc w:val="center"/>
              <w:rPr>
                <w:rFonts w:cs="Times New Roman"/>
                <w:noProof/>
              </w:rPr>
            </w:pPr>
            <w:r>
              <w:rPr>
                <w:noProof/>
              </w:rPr>
              <w:t>—</w:t>
            </w:r>
          </w:p>
        </w:tc>
        <w:tc>
          <w:tcPr>
            <w:tcW w:w="834" w:type="dxa"/>
            <w:shd w:val="clear" w:color="auto" w:fill="C6EFCE"/>
            <w:noWrap/>
          </w:tcPr>
          <w:p w14:paraId="70A884B8" w14:textId="28A95139" w:rsidR="0065073E" w:rsidRDefault="000A0998">
            <w:pPr>
              <w:pStyle w:val="P68B1DB1-Normal12"/>
              <w:spacing w:after="0" w:line="240" w:lineRule="auto"/>
              <w:jc w:val="center"/>
              <w:rPr>
                <w:rFonts w:cs="Times New Roman"/>
                <w:noProof/>
              </w:rPr>
            </w:pPr>
            <w:r>
              <w:rPr>
                <w:noProof/>
              </w:rPr>
              <w:t>Miljoonaa euroa</w:t>
            </w:r>
          </w:p>
        </w:tc>
        <w:tc>
          <w:tcPr>
            <w:tcW w:w="973" w:type="dxa"/>
            <w:shd w:val="clear" w:color="auto" w:fill="C6EFCE"/>
          </w:tcPr>
          <w:p w14:paraId="0BF876F1"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55F7A4D6" w14:textId="029DAD6F" w:rsidR="0065073E" w:rsidRDefault="000A0998">
            <w:pPr>
              <w:pStyle w:val="P68B1DB1-Normal12"/>
              <w:spacing w:after="0" w:line="240" w:lineRule="auto"/>
              <w:jc w:val="center"/>
              <w:rPr>
                <w:rFonts w:cs="Times New Roman"/>
                <w:noProof/>
              </w:rPr>
            </w:pPr>
            <w:r>
              <w:rPr>
                <w:noProof/>
              </w:rPr>
              <w:t>243</w:t>
            </w:r>
          </w:p>
        </w:tc>
        <w:tc>
          <w:tcPr>
            <w:tcW w:w="557" w:type="dxa"/>
            <w:shd w:val="clear" w:color="auto" w:fill="C6EFCE"/>
          </w:tcPr>
          <w:p w14:paraId="187B82CE" w14:textId="761337DD" w:rsidR="0065073E" w:rsidRDefault="000A0998">
            <w:pPr>
              <w:pStyle w:val="P68B1DB1-Normal12"/>
              <w:spacing w:after="0" w:line="240" w:lineRule="auto"/>
              <w:jc w:val="center"/>
              <w:rPr>
                <w:rFonts w:cs="Times New Roman"/>
                <w:noProof/>
              </w:rPr>
            </w:pPr>
            <w:r>
              <w:rPr>
                <w:noProof/>
              </w:rPr>
              <w:t>Q3</w:t>
            </w:r>
          </w:p>
        </w:tc>
        <w:tc>
          <w:tcPr>
            <w:tcW w:w="557" w:type="dxa"/>
            <w:shd w:val="clear" w:color="auto" w:fill="C6EFCE"/>
          </w:tcPr>
          <w:p w14:paraId="5555E33D" w14:textId="5A53107F"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3FACC89B" w14:textId="77777777" w:rsidR="0065073E" w:rsidRDefault="000A0998">
            <w:pPr>
              <w:pStyle w:val="P68B1DB1-Normal12"/>
              <w:spacing w:after="0" w:line="240" w:lineRule="auto"/>
              <w:rPr>
                <w:rFonts w:eastAsia="Times New Roman" w:cs="Times New Roman"/>
                <w:noProof/>
              </w:rPr>
            </w:pPr>
            <w:r>
              <w:rPr>
                <w:noProof/>
              </w:rPr>
              <w:t xml:space="preserve">PERTE Health -ohjelmasta on maksettu 243000000 euroa seuraaviin T &amp; K-hankkeisiin: </w:t>
            </w:r>
          </w:p>
          <w:p w14:paraId="6298AE6F" w14:textId="77777777" w:rsidR="0065073E" w:rsidRDefault="000A0998">
            <w:pPr>
              <w:pStyle w:val="P68B1DB1-Normal12"/>
              <w:spacing w:after="0" w:line="240" w:lineRule="auto"/>
              <w:rPr>
                <w:rFonts w:eastAsia="Times New Roman" w:cs="Times New Roman"/>
                <w:noProof/>
              </w:rPr>
            </w:pPr>
            <w:r>
              <w:rPr>
                <w:noProof/>
              </w:rPr>
              <w:t xml:space="preserve">— terveysalan teollisten valmiuksien vahvistamiseen ja kansainvälistymiseen tähtäävät hankkeet, </w:t>
            </w:r>
          </w:p>
          <w:p w14:paraId="1668C725" w14:textId="77777777" w:rsidR="0065073E" w:rsidRDefault="000A0998">
            <w:pPr>
              <w:pStyle w:val="P68B1DB1-Normal12"/>
              <w:spacing w:after="0" w:line="240" w:lineRule="auto"/>
              <w:rPr>
                <w:rFonts w:eastAsia="Times New Roman" w:cs="Times New Roman"/>
                <w:noProof/>
              </w:rPr>
            </w:pPr>
            <w:r>
              <w:rPr>
                <w:noProof/>
              </w:rPr>
              <w:t xml:space="preserve">— harvinaisia sairauksia, mukaan lukien ALS ja neuromuskulaariset sairaudet, koskeva yhteinen hanke, </w:t>
            </w:r>
          </w:p>
          <w:p w14:paraId="4CACA2B8" w14:textId="77777777" w:rsidR="0065073E" w:rsidRDefault="000A0998">
            <w:pPr>
              <w:pStyle w:val="P68B1DB1-Normal12"/>
              <w:spacing w:after="0" w:line="240" w:lineRule="auto"/>
              <w:rPr>
                <w:rFonts w:eastAsia="Times New Roman" w:cs="Times New Roman"/>
                <w:noProof/>
              </w:rPr>
            </w:pPr>
            <w:r>
              <w:rPr>
                <w:noProof/>
              </w:rPr>
              <w:t xml:space="preserve">— täsmälääketieteen yhteistä operaatiota koskevat hankkeet, </w:t>
            </w:r>
          </w:p>
          <w:p w14:paraId="15EB433D" w14:textId="77777777" w:rsidR="0065073E" w:rsidRDefault="000A0998">
            <w:pPr>
              <w:pStyle w:val="P68B1DB1-Normal12"/>
              <w:spacing w:after="0" w:line="240" w:lineRule="auto"/>
              <w:rPr>
                <w:rFonts w:eastAsia="Times New Roman" w:cs="Times New Roman"/>
                <w:noProof/>
              </w:rPr>
            </w:pPr>
            <w:r>
              <w:rPr>
                <w:noProof/>
              </w:rPr>
              <w:t xml:space="preserve">— proteomiikka- ja metabolomiafoorumin perustaminen Instituto de Salud Carlos III:een (ISCIII), </w:t>
            </w:r>
          </w:p>
          <w:p w14:paraId="7D7F3F31" w14:textId="77777777" w:rsidR="0065073E" w:rsidRDefault="000A0998">
            <w:pPr>
              <w:pStyle w:val="P68B1DB1-Normal12"/>
              <w:spacing w:after="0" w:line="240" w:lineRule="auto"/>
              <w:rPr>
                <w:rFonts w:eastAsia="Times New Roman" w:cs="Times New Roman"/>
                <w:noProof/>
              </w:rPr>
            </w:pPr>
            <w:r>
              <w:rPr>
                <w:noProof/>
              </w:rPr>
              <w:t>— hankkeet ISCIII:n ihmisen biomonitorointi-infrastruktuurin päivittämiseksi; ja</w:t>
            </w:r>
          </w:p>
          <w:p w14:paraId="5AFB8329" w14:textId="15A8384F" w:rsidR="0065073E" w:rsidRDefault="000A0998">
            <w:pPr>
              <w:pStyle w:val="P68B1DB1-Normal12"/>
              <w:spacing w:after="0" w:line="240" w:lineRule="auto"/>
              <w:rPr>
                <w:rFonts w:cs="Times New Roman"/>
                <w:noProof/>
              </w:rPr>
            </w:pPr>
            <w:r>
              <w:rPr>
                <w:noProof/>
              </w:rPr>
              <w:t>— potilassuuntautuneiden kliinisten tutkimusyksiköiden parannushankkeet niiden infrastruktuurin, suunnittelun tai laitteistojen parantamiseksi niiden tutkimusvalmiuksien parantamiseksi, kliinistä tutkimusta koskeva koulutus tai kehitetyt kliinisen tutkimuksen valvontatoimistot.</w:t>
            </w:r>
          </w:p>
        </w:tc>
      </w:tr>
      <w:tr w:rsidR="0065073E" w14:paraId="4F8BD98F" w14:textId="77777777">
        <w:trPr>
          <w:trHeight w:val="309"/>
        </w:trPr>
        <w:tc>
          <w:tcPr>
            <w:tcW w:w="993" w:type="dxa"/>
            <w:shd w:val="clear" w:color="auto" w:fill="C6EFCE"/>
            <w:noWrap/>
          </w:tcPr>
          <w:p w14:paraId="61E75A1F" w14:textId="77777777" w:rsidR="0065073E" w:rsidRDefault="000A0998">
            <w:pPr>
              <w:pStyle w:val="P68B1DB1-Normal12"/>
              <w:spacing w:after="0" w:line="240" w:lineRule="auto"/>
              <w:jc w:val="center"/>
              <w:rPr>
                <w:rFonts w:eastAsia="Times New Roman" w:cs="Times New Roman"/>
                <w:noProof/>
              </w:rPr>
            </w:pPr>
            <w:r>
              <w:rPr>
                <w:noProof/>
              </w:rPr>
              <w:t>269</w:t>
            </w:r>
          </w:p>
        </w:tc>
        <w:tc>
          <w:tcPr>
            <w:tcW w:w="837" w:type="dxa"/>
            <w:shd w:val="clear" w:color="auto" w:fill="C6EFCE"/>
            <w:noWrap/>
          </w:tcPr>
          <w:p w14:paraId="0379499B" w14:textId="77777777" w:rsidR="0065073E" w:rsidRDefault="000A0998">
            <w:pPr>
              <w:pStyle w:val="P68B1DB1-Normal12"/>
              <w:spacing w:after="0" w:line="240" w:lineRule="auto"/>
              <w:jc w:val="center"/>
              <w:rPr>
                <w:rFonts w:eastAsia="Times New Roman" w:cs="Times New Roman"/>
                <w:noProof/>
              </w:rPr>
            </w:pPr>
            <w:r>
              <w:rPr>
                <w:noProof/>
              </w:rPr>
              <w:t>C17.I7</w:t>
            </w:r>
          </w:p>
        </w:tc>
        <w:tc>
          <w:tcPr>
            <w:tcW w:w="964" w:type="dxa"/>
            <w:shd w:val="clear" w:color="auto" w:fill="C6EFCE"/>
            <w:noWrap/>
          </w:tcPr>
          <w:p w14:paraId="5F0979D3" w14:textId="77777777" w:rsidR="0065073E" w:rsidRDefault="000A0998">
            <w:pPr>
              <w:pStyle w:val="P68B1DB1-Normal12"/>
              <w:spacing w:after="0" w:line="240" w:lineRule="auto"/>
              <w:jc w:val="center"/>
              <w:rPr>
                <w:rFonts w:eastAsia="Times New Roman" w:cs="Times New Roman"/>
                <w:noProof/>
              </w:rPr>
            </w:pPr>
            <w:r>
              <w:rPr>
                <w:noProof/>
              </w:rPr>
              <w:t>M</w:t>
            </w:r>
          </w:p>
        </w:tc>
        <w:tc>
          <w:tcPr>
            <w:tcW w:w="1999" w:type="dxa"/>
            <w:shd w:val="clear" w:color="auto" w:fill="C6EFCE"/>
            <w:noWrap/>
          </w:tcPr>
          <w:p w14:paraId="09938E8A" w14:textId="77777777" w:rsidR="0065073E" w:rsidRDefault="000A0998">
            <w:pPr>
              <w:pStyle w:val="P68B1DB1-Normal12"/>
              <w:spacing w:after="0" w:line="240" w:lineRule="auto"/>
              <w:rPr>
                <w:rFonts w:eastAsia="Times New Roman" w:cs="Times New Roman"/>
                <w:noProof/>
              </w:rPr>
            </w:pPr>
            <w:r>
              <w:rPr>
                <w:noProof/>
              </w:rPr>
              <w:t xml:space="preserve">Energian varastoinnin tutkimus- ja kehittämiskeskus </w:t>
            </w:r>
          </w:p>
        </w:tc>
        <w:tc>
          <w:tcPr>
            <w:tcW w:w="974" w:type="dxa"/>
            <w:shd w:val="clear" w:color="auto" w:fill="C6EFCE"/>
            <w:noWrap/>
          </w:tcPr>
          <w:p w14:paraId="7CCFF369" w14:textId="77777777" w:rsidR="0065073E" w:rsidRDefault="000A0998">
            <w:pPr>
              <w:pStyle w:val="P68B1DB1-Normal12"/>
              <w:spacing w:after="0" w:line="240" w:lineRule="auto"/>
              <w:jc w:val="center"/>
              <w:rPr>
                <w:rFonts w:eastAsia="Times New Roman" w:cs="Times New Roman"/>
                <w:noProof/>
              </w:rPr>
            </w:pPr>
            <w:r>
              <w:rPr>
                <w:noProof/>
              </w:rPr>
              <w:t>Rakennetut ja varusteet</w:t>
            </w:r>
          </w:p>
        </w:tc>
        <w:tc>
          <w:tcPr>
            <w:tcW w:w="834" w:type="dxa"/>
            <w:shd w:val="clear" w:color="auto" w:fill="C6EFCE"/>
            <w:noWrap/>
          </w:tcPr>
          <w:p w14:paraId="50B9F496"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73" w:type="dxa"/>
            <w:shd w:val="clear" w:color="auto" w:fill="C6EFCE"/>
          </w:tcPr>
          <w:p w14:paraId="06C75B4D"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55DFB964" w14:textId="69AC01A1" w:rsidR="0065073E" w:rsidRDefault="0065073E">
            <w:pPr>
              <w:spacing w:after="0" w:line="240" w:lineRule="auto"/>
              <w:jc w:val="center"/>
              <w:rPr>
                <w:rFonts w:ascii="Times New Roman" w:hAnsi="Times New Roman" w:cs="Times New Roman"/>
                <w:noProof/>
                <w:sz w:val="18"/>
              </w:rPr>
            </w:pPr>
          </w:p>
        </w:tc>
        <w:tc>
          <w:tcPr>
            <w:tcW w:w="557" w:type="dxa"/>
            <w:shd w:val="clear" w:color="auto" w:fill="C6EFCE"/>
          </w:tcPr>
          <w:p w14:paraId="08EEE167" w14:textId="13D7B8F8"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6BCAE143" w14:textId="28E2E7BE"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6A177C83" w14:textId="77777777" w:rsidR="0065073E" w:rsidRDefault="000A0998">
            <w:pPr>
              <w:pStyle w:val="P68B1DB1-Normal12"/>
              <w:spacing w:after="0" w:line="240" w:lineRule="auto"/>
              <w:rPr>
                <w:rFonts w:cs="Times New Roman"/>
                <w:noProof/>
              </w:rPr>
            </w:pPr>
            <w:r>
              <w:rPr>
                <w:noProof/>
              </w:rPr>
              <w:t xml:space="preserve">Extremaduran alueelle rakennetaan ja varustetaan energian varastoinnin tutkimus- ja kehittämiskeskus, jonka tarkoituksena on edistää teknologisia ja tieteellisiä vastauksia vihreän energian tuotannon hallintaan erityisesti teollisten vetysovellusten sekä vihreän vedyn tuotannon, varastoinnin ja kuljetuksen osalta. Keskukseen on kuuluttava koedemonstraatiolaitoksia energian varastointiratkaisujen testaamista ja validointia varten. Se on varustettava tarvittavilla tieteellisillä ja teknisillä välineillä. </w:t>
            </w:r>
          </w:p>
          <w:p w14:paraId="22109D16" w14:textId="77777777" w:rsidR="0065073E" w:rsidRDefault="0065073E">
            <w:pPr>
              <w:spacing w:after="0" w:line="240" w:lineRule="auto"/>
              <w:rPr>
                <w:rFonts w:ascii="Times New Roman" w:hAnsi="Times New Roman" w:cs="Times New Roman"/>
                <w:noProof/>
                <w:sz w:val="18"/>
              </w:rPr>
            </w:pPr>
          </w:p>
          <w:p w14:paraId="72671341" w14:textId="77777777" w:rsidR="0065073E" w:rsidRDefault="000A0998">
            <w:pPr>
              <w:pStyle w:val="P68B1DB1-Normal12"/>
              <w:spacing w:after="0" w:line="240" w:lineRule="auto"/>
              <w:rPr>
                <w:rFonts w:cs="Times New Roman"/>
                <w:noProof/>
              </w:rPr>
            </w:pPr>
            <w:r>
              <w:rPr>
                <w:noProof/>
              </w:rPr>
              <w:t>Consejo Superior de Investigaciones Científicasin on täytynyt toteuttaa seuraavat investoinnit:</w:t>
            </w:r>
          </w:p>
          <w:p w14:paraId="775AA2A4" w14:textId="77777777" w:rsidR="0065073E" w:rsidRDefault="000A0998">
            <w:pPr>
              <w:spacing w:after="0" w:line="240" w:lineRule="auto"/>
              <w:rPr>
                <w:rFonts w:ascii="Times New Roman" w:hAnsi="Times New Roman" w:cs="Times New Roman"/>
                <w:noProof/>
                <w:sz w:val="18"/>
              </w:rPr>
            </w:pPr>
            <w:r>
              <w:rPr>
                <w:rFonts w:ascii="Times New Roman" w:hAnsi="Times New Roman"/>
                <w:noProof/>
                <w:sz w:val="18"/>
              </w:rPr>
              <w:t>— Kestävään muoviin kiertotaloudessa liittyvät T &amp; K &amp; I-hankkeet, tuotanto</w:t>
            </w:r>
            <w:r>
              <w:rPr>
                <w:noProof/>
              </w:rPr>
              <w:t xml:space="preserve"> </w:t>
            </w:r>
            <w:r>
              <w:rPr>
                <w:noProof/>
              </w:rPr>
              <w:br/>
            </w:r>
            <w:r>
              <w:rPr>
                <w:rFonts w:ascii="Times New Roman" w:hAnsi="Times New Roman"/>
                <w:noProof/>
                <w:sz w:val="18"/>
              </w:rPr>
              <w:t xml:space="preserve">  vaihtoehtoisista muoveista ja muovijätteen kestävästä käsittelystä </w:t>
            </w:r>
          </w:p>
          <w:p w14:paraId="6B1E5B7F" w14:textId="77777777" w:rsidR="0065073E" w:rsidRDefault="000A0998">
            <w:pPr>
              <w:pStyle w:val="P68B1DB1-Normal12"/>
              <w:spacing w:after="0" w:line="240" w:lineRule="auto"/>
              <w:rPr>
                <w:rFonts w:cs="Times New Roman"/>
                <w:noProof/>
              </w:rPr>
            </w:pPr>
            <w:r>
              <w:rPr>
                <w:noProof/>
              </w:rPr>
              <w:t xml:space="preserve">— ilmastonmuutosta ja vesivaroihin kohdistuvia vaikutuksia koskeva hanke </w:t>
            </w:r>
          </w:p>
          <w:p w14:paraId="06A902F6" w14:textId="5E17601F" w:rsidR="0065073E" w:rsidRDefault="000A0998">
            <w:pPr>
              <w:pStyle w:val="P68B1DB1-Normal12"/>
              <w:spacing w:after="0" w:line="240" w:lineRule="auto"/>
              <w:rPr>
                <w:rFonts w:cs="Times New Roman"/>
                <w:noProof/>
              </w:rPr>
            </w:pPr>
            <w:r>
              <w:rPr>
                <w:noProof/>
              </w:rPr>
              <w:t>— energiakäänteen korkean teknologian komponentteja koskeva hanke, jossa tarkastellaan erityisesti energian varastointia ja prototyyppien kehittämistä hiilidioksidin talteenottoon energiaintensiivisten teollisuudenalojen teollisuuden prosessipäästöistä.</w:t>
            </w:r>
          </w:p>
          <w:p w14:paraId="1CE35988" w14:textId="77777777" w:rsidR="0065073E" w:rsidRDefault="000A0998">
            <w:pPr>
              <w:pStyle w:val="P68B1DB1-Normal12"/>
              <w:spacing w:after="0" w:line="240" w:lineRule="auto"/>
              <w:rPr>
                <w:rFonts w:cs="Times New Roman"/>
                <w:noProof/>
              </w:rPr>
            </w:pPr>
            <w:r>
              <w:rPr>
                <w:noProof/>
              </w:rPr>
              <w:t>— strategisia metalleja energiasiirtymän kannalta koskeva tutkimushanke</w:t>
            </w:r>
          </w:p>
          <w:p w14:paraId="58EE78CB" w14:textId="77777777" w:rsidR="0065073E" w:rsidRDefault="0065073E">
            <w:pPr>
              <w:spacing w:after="0" w:line="240" w:lineRule="auto"/>
              <w:rPr>
                <w:rFonts w:ascii="Times New Roman" w:hAnsi="Times New Roman" w:cs="Times New Roman"/>
                <w:noProof/>
                <w:sz w:val="18"/>
              </w:rPr>
            </w:pPr>
          </w:p>
          <w:p w14:paraId="4F9CDB09" w14:textId="2CFBF02D" w:rsidR="0065073E" w:rsidRDefault="000A0998">
            <w:pPr>
              <w:pStyle w:val="P68B1DB1-Normal12"/>
              <w:spacing w:after="0" w:line="240" w:lineRule="auto"/>
              <w:rPr>
                <w:rFonts w:eastAsia="Times New Roman" w:cs="Times New Roman"/>
                <w:noProof/>
              </w:rPr>
            </w:pPr>
            <w:r>
              <w:rPr>
                <w:noProof/>
              </w:rPr>
              <w:t xml:space="preserve">Tähän investointiin liittyvien hankkeiden arvioinnissa on varmistettava, että toimenpiteen kuvauksessa esitettyjä ”ei merkittävää haittaa” -periaatetta (2021/C58/01) noudatetaan. </w:t>
            </w:r>
          </w:p>
        </w:tc>
      </w:tr>
      <w:tr w:rsidR="0065073E" w14:paraId="22A99613" w14:textId="77777777">
        <w:trPr>
          <w:trHeight w:val="309"/>
        </w:trPr>
        <w:tc>
          <w:tcPr>
            <w:tcW w:w="993" w:type="dxa"/>
            <w:shd w:val="clear" w:color="auto" w:fill="C6EFCE"/>
            <w:noWrap/>
          </w:tcPr>
          <w:p w14:paraId="4326355D" w14:textId="77777777" w:rsidR="0065073E" w:rsidRDefault="000A0998">
            <w:pPr>
              <w:pStyle w:val="P68B1DB1-Normal12"/>
              <w:spacing w:after="0" w:line="240" w:lineRule="auto"/>
              <w:jc w:val="center"/>
              <w:rPr>
                <w:rFonts w:eastAsia="Times New Roman" w:cs="Times New Roman"/>
                <w:noProof/>
              </w:rPr>
            </w:pPr>
            <w:r>
              <w:rPr>
                <w:noProof/>
              </w:rPr>
              <w:t>270</w:t>
            </w:r>
          </w:p>
        </w:tc>
        <w:tc>
          <w:tcPr>
            <w:tcW w:w="837" w:type="dxa"/>
            <w:shd w:val="clear" w:color="auto" w:fill="C6EFCE"/>
            <w:noWrap/>
          </w:tcPr>
          <w:p w14:paraId="2BDA18A3" w14:textId="77777777" w:rsidR="0065073E" w:rsidRDefault="000A0998">
            <w:pPr>
              <w:pStyle w:val="P68B1DB1-Normal12"/>
              <w:spacing w:after="0" w:line="240" w:lineRule="auto"/>
              <w:jc w:val="center"/>
              <w:rPr>
                <w:rFonts w:eastAsia="Times New Roman" w:cs="Times New Roman"/>
                <w:noProof/>
              </w:rPr>
            </w:pPr>
            <w:r>
              <w:rPr>
                <w:noProof/>
              </w:rPr>
              <w:t>C17.I8</w:t>
            </w:r>
          </w:p>
        </w:tc>
        <w:tc>
          <w:tcPr>
            <w:tcW w:w="964" w:type="dxa"/>
            <w:shd w:val="clear" w:color="auto" w:fill="C6EFCE"/>
            <w:noWrap/>
          </w:tcPr>
          <w:p w14:paraId="68EFF59C"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58AE5E0D" w14:textId="77777777" w:rsidR="0065073E" w:rsidRDefault="000A0998">
            <w:pPr>
              <w:pStyle w:val="P68B1DB1-Normal12"/>
              <w:spacing w:after="0" w:line="240" w:lineRule="auto"/>
              <w:rPr>
                <w:rFonts w:eastAsia="Times New Roman" w:cs="Times New Roman"/>
                <w:noProof/>
              </w:rPr>
            </w:pPr>
            <w:r>
              <w:rPr>
                <w:noProof/>
              </w:rPr>
              <w:t xml:space="preserve">Kestävän autoteollisuuden T &amp; K &amp; I-hankkeiden tukeminen </w:t>
            </w:r>
          </w:p>
        </w:tc>
        <w:tc>
          <w:tcPr>
            <w:tcW w:w="974" w:type="dxa"/>
            <w:shd w:val="clear" w:color="auto" w:fill="C6EFCE"/>
            <w:noWrap/>
          </w:tcPr>
          <w:p w14:paraId="345B06A5"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231AAD54"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3101FCE9"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3B5047B7" w14:textId="34861055" w:rsidR="0065073E" w:rsidRDefault="000A0998">
            <w:pPr>
              <w:pStyle w:val="P68B1DB1-Normal12"/>
              <w:spacing w:after="0" w:line="240" w:lineRule="auto"/>
              <w:jc w:val="center"/>
              <w:rPr>
                <w:rFonts w:cs="Times New Roman"/>
                <w:noProof/>
              </w:rPr>
            </w:pPr>
            <w:r>
              <w:rPr>
                <w:noProof/>
              </w:rPr>
              <w:t>35</w:t>
            </w:r>
          </w:p>
        </w:tc>
        <w:tc>
          <w:tcPr>
            <w:tcW w:w="557" w:type="dxa"/>
            <w:shd w:val="clear" w:color="auto" w:fill="C6EFCE"/>
          </w:tcPr>
          <w:p w14:paraId="61C962B4" w14:textId="70EFD1CB" w:rsidR="0065073E" w:rsidRDefault="000A0998">
            <w:pPr>
              <w:pStyle w:val="P68B1DB1-Normal12"/>
              <w:spacing w:after="0" w:line="240" w:lineRule="auto"/>
              <w:jc w:val="center"/>
              <w:rPr>
                <w:rFonts w:cs="Times New Roman"/>
                <w:noProof/>
              </w:rPr>
            </w:pPr>
            <w:r>
              <w:rPr>
                <w:noProof/>
              </w:rPr>
              <w:t>TOINEN VUOSINELJÄNNES</w:t>
            </w:r>
          </w:p>
        </w:tc>
        <w:tc>
          <w:tcPr>
            <w:tcW w:w="557" w:type="dxa"/>
            <w:shd w:val="clear" w:color="auto" w:fill="C6EFCE"/>
          </w:tcPr>
          <w:p w14:paraId="55FD75BF" w14:textId="3E51702F" w:rsidR="0065073E" w:rsidRDefault="000A0998">
            <w:pPr>
              <w:pStyle w:val="P68B1DB1-Normal12"/>
              <w:spacing w:after="0" w:line="240" w:lineRule="auto"/>
              <w:jc w:val="center"/>
              <w:rPr>
                <w:rFonts w:cs="Times New Roman"/>
                <w:noProof/>
              </w:rPr>
            </w:pPr>
            <w:r>
              <w:rPr>
                <w:noProof/>
              </w:rPr>
              <w:t>2022</w:t>
            </w:r>
          </w:p>
        </w:tc>
        <w:tc>
          <w:tcPr>
            <w:tcW w:w="5695" w:type="dxa"/>
            <w:shd w:val="clear" w:color="auto" w:fill="C6EFCE"/>
            <w:noWrap/>
          </w:tcPr>
          <w:p w14:paraId="4C52E1B4"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Vähintään 35 yritykselle on myönnetty kestävää autoteollisuutta koskevia T &amp; K &amp; I-hankkeita lisätäkseen yritysten teknologista kapasiteettia aloilla, jotka liittyvät hyvin vähäpäästöisten ja erittäin kierrätettävyyden ja erittäin kierrätettävyyden omaavien energian varastointijärjestelmien kehittämiseen, vedyn tehokkaaseen liikkuvuuteen, autonomiseen ajamiseen ja verkotettuun liikkuvuuteen tai tuotantoympäristöjen mukauttamiseen turvallisiin ja luotettaviin järjestelmiin älykkäässä valmistusympäristössä. Hankkeissa on varmistettava ”ei merkittävää haittaa” -periaatteen (2021/C58/01) teknisten ohjeiden (2021/C58/01), valitsemattomien ja rahoittamattomien toimien sekä asiaa koskevan EU:n ja kansallisen ympäristölainsäädännön noudattaminen. Hankkeet koskevat:</w:t>
            </w:r>
            <w:r>
              <w:rPr>
                <w:noProof/>
              </w:rPr>
              <w:t xml:space="preserve"> </w:t>
            </w:r>
            <w:r>
              <w:rPr>
                <w:noProof/>
              </w:rPr>
              <w:br/>
            </w:r>
            <w:r>
              <w:rPr>
                <w:rFonts w:ascii="Times New Roman" w:hAnsi="Times New Roman"/>
                <w:noProof/>
                <w:sz w:val="18"/>
              </w:rPr>
              <w:t>— komponenttien ja alustojen kehittäminen sähköajoneuvoja, ladattavia hybridiajoneuvoja ja vetyajoneuvoja varten</w:t>
            </w:r>
            <w:r>
              <w:rPr>
                <w:noProof/>
              </w:rPr>
              <w:t xml:space="preserve"> </w:t>
            </w:r>
            <w:r>
              <w:rPr>
                <w:noProof/>
              </w:rPr>
              <w:br/>
              <w:t xml:space="preserve"> </w:t>
            </w:r>
            <w:r>
              <w:rPr>
                <w:rFonts w:ascii="Times New Roman" w:hAnsi="Times New Roman"/>
                <w:noProof/>
                <w:sz w:val="18"/>
              </w:rPr>
              <w:t xml:space="preserve">autonominen ajaminen ja verkotettu liikkuvuus, uuden laitteisto- ja ohjelmistoarkkitehtuurin kehittäminen </w:t>
            </w:r>
            <w:r>
              <w:rPr>
                <w:noProof/>
              </w:rPr>
              <w:t xml:space="preserve"> </w:t>
            </w:r>
            <w:r>
              <w:rPr>
                <w:noProof/>
              </w:rPr>
              <w:br/>
              <w:t xml:space="preserve"> </w:t>
            </w:r>
            <w:r>
              <w:rPr>
                <w:rFonts w:ascii="Times New Roman" w:hAnsi="Times New Roman"/>
                <w:noProof/>
                <w:sz w:val="18"/>
              </w:rPr>
              <w:t>— sähköajoneuvojen, ladattavien hybridiajoneuvojen ja vetyajoneuvojen komponenttien ja järjestelmien tuotantoalueiden mukauttaminen.</w:t>
            </w:r>
            <w:r>
              <w:rPr>
                <w:noProof/>
              </w:rPr>
              <w:t xml:space="preserve"> </w:t>
            </w:r>
            <w:r>
              <w:rPr>
                <w:noProof/>
              </w:rPr>
              <w:br/>
            </w:r>
            <w:r>
              <w:rPr>
                <w:rFonts w:ascii="Times New Roman" w:hAnsi="Times New Roman"/>
                <w:noProof/>
                <w:sz w:val="18"/>
              </w:rPr>
              <w:t>Hankkeiden toteuttajina on oltava 3–8 yritystä (vähintään yhden yrityksen on oltava pk-yritys). Hankkeet on toteutettava enintään kolmen vuoden pituisten yritysten yhteenliittymien kautta, ja niiden budjetti on vähintään 5000000 euroa.</w:t>
            </w:r>
          </w:p>
        </w:tc>
      </w:tr>
      <w:tr w:rsidR="0065073E" w14:paraId="7E794B6F" w14:textId="77777777">
        <w:trPr>
          <w:trHeight w:val="309"/>
        </w:trPr>
        <w:tc>
          <w:tcPr>
            <w:tcW w:w="993" w:type="dxa"/>
            <w:shd w:val="clear" w:color="auto" w:fill="C6EFCE"/>
            <w:noWrap/>
          </w:tcPr>
          <w:p w14:paraId="44CD1635" w14:textId="370ADEC1" w:rsidR="0065073E" w:rsidRDefault="000A0998">
            <w:pPr>
              <w:pStyle w:val="P68B1DB1-Normal12"/>
              <w:spacing w:after="0" w:line="240" w:lineRule="auto"/>
              <w:jc w:val="center"/>
              <w:rPr>
                <w:rFonts w:cs="Times New Roman"/>
                <w:noProof/>
              </w:rPr>
            </w:pPr>
            <w:r>
              <w:rPr>
                <w:noProof/>
              </w:rPr>
              <w:t>461</w:t>
            </w:r>
          </w:p>
        </w:tc>
        <w:tc>
          <w:tcPr>
            <w:tcW w:w="837" w:type="dxa"/>
            <w:shd w:val="clear" w:color="auto" w:fill="C6EFCE"/>
            <w:noWrap/>
          </w:tcPr>
          <w:p w14:paraId="0AD9C0DB" w14:textId="371062F6" w:rsidR="0065073E" w:rsidRDefault="000A0998">
            <w:pPr>
              <w:pStyle w:val="P68B1DB1-Normal12"/>
              <w:spacing w:after="0" w:line="240" w:lineRule="auto"/>
              <w:jc w:val="center"/>
              <w:rPr>
                <w:rFonts w:cs="Times New Roman"/>
                <w:noProof/>
              </w:rPr>
            </w:pPr>
            <w:r>
              <w:rPr>
                <w:noProof/>
              </w:rPr>
              <w:t>C17.I9</w:t>
            </w:r>
          </w:p>
        </w:tc>
        <w:tc>
          <w:tcPr>
            <w:tcW w:w="964" w:type="dxa"/>
            <w:shd w:val="clear" w:color="auto" w:fill="C6EFCE"/>
            <w:noWrap/>
          </w:tcPr>
          <w:p w14:paraId="5EC83D9D" w14:textId="0AB150D6" w:rsidR="0065073E" w:rsidRDefault="000A0998">
            <w:pPr>
              <w:pStyle w:val="P68B1DB1-Normal12"/>
              <w:spacing w:after="0" w:line="240" w:lineRule="auto"/>
              <w:jc w:val="center"/>
              <w:rPr>
                <w:rFonts w:cs="Times New Roman"/>
                <w:noProof/>
              </w:rPr>
            </w:pPr>
            <w:r>
              <w:rPr>
                <w:noProof/>
              </w:rPr>
              <w:t>M</w:t>
            </w:r>
          </w:p>
        </w:tc>
        <w:tc>
          <w:tcPr>
            <w:tcW w:w="1999" w:type="dxa"/>
            <w:shd w:val="clear" w:color="auto" w:fill="C6EFCE"/>
            <w:noWrap/>
          </w:tcPr>
          <w:p w14:paraId="42F0A8BF" w14:textId="4F76D092" w:rsidR="0065073E" w:rsidRDefault="000A0998">
            <w:pPr>
              <w:pStyle w:val="P68B1DB1-Normal12"/>
              <w:spacing w:after="0" w:line="240" w:lineRule="auto"/>
              <w:rPr>
                <w:rFonts w:cs="Times New Roman"/>
                <w:noProof/>
              </w:rPr>
            </w:pPr>
            <w:r>
              <w:rPr>
                <w:noProof/>
              </w:rPr>
              <w:t xml:space="preserve">Ilmailu- ja avaruusalan T &amp; K &amp; I-pyyntöjen palkintojen julkaiseminen. </w:t>
            </w:r>
          </w:p>
        </w:tc>
        <w:tc>
          <w:tcPr>
            <w:tcW w:w="974" w:type="dxa"/>
            <w:shd w:val="clear" w:color="auto" w:fill="C6EFCE"/>
            <w:noWrap/>
          </w:tcPr>
          <w:p w14:paraId="258672C4" w14:textId="1C2C5F09" w:rsidR="0065073E" w:rsidRDefault="000A0998">
            <w:pPr>
              <w:pStyle w:val="P68B1DB1-Normal12"/>
              <w:spacing w:after="0" w:line="240" w:lineRule="auto"/>
              <w:jc w:val="center"/>
              <w:rPr>
                <w:rFonts w:cs="Times New Roman"/>
                <w:noProof/>
              </w:rPr>
            </w:pPr>
            <w:r>
              <w:rPr>
                <w:noProof/>
              </w:rPr>
              <w:t>Julkaiseminen EUVL:ssä</w:t>
            </w:r>
          </w:p>
        </w:tc>
        <w:tc>
          <w:tcPr>
            <w:tcW w:w="834" w:type="dxa"/>
            <w:shd w:val="clear" w:color="auto" w:fill="C6EFCE"/>
            <w:noWrap/>
          </w:tcPr>
          <w:p w14:paraId="31ED98B4" w14:textId="77777777" w:rsidR="0065073E" w:rsidRDefault="0065073E">
            <w:pPr>
              <w:spacing w:after="0" w:line="240" w:lineRule="auto"/>
              <w:jc w:val="center"/>
              <w:rPr>
                <w:rFonts w:ascii="Times New Roman" w:hAnsi="Times New Roman" w:cs="Times New Roman"/>
                <w:noProof/>
                <w:sz w:val="18"/>
              </w:rPr>
            </w:pPr>
          </w:p>
        </w:tc>
        <w:tc>
          <w:tcPr>
            <w:tcW w:w="973" w:type="dxa"/>
            <w:shd w:val="clear" w:color="auto" w:fill="C6EFCE"/>
          </w:tcPr>
          <w:p w14:paraId="03080085"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65089A99" w14:textId="77777777" w:rsidR="0065073E" w:rsidRDefault="0065073E">
            <w:pPr>
              <w:spacing w:after="0" w:line="240" w:lineRule="auto"/>
              <w:jc w:val="center"/>
              <w:rPr>
                <w:rFonts w:ascii="Times New Roman" w:hAnsi="Times New Roman" w:cs="Times New Roman"/>
                <w:noProof/>
                <w:sz w:val="18"/>
              </w:rPr>
            </w:pPr>
          </w:p>
        </w:tc>
        <w:tc>
          <w:tcPr>
            <w:tcW w:w="557" w:type="dxa"/>
            <w:shd w:val="clear" w:color="auto" w:fill="C6EFCE"/>
          </w:tcPr>
          <w:p w14:paraId="161FC6D7" w14:textId="6D46A89E"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5C1BD5C2" w14:textId="4ABFB91F" w:rsidR="0065073E" w:rsidRDefault="000A0998">
            <w:pPr>
              <w:pStyle w:val="P68B1DB1-Normal12"/>
              <w:spacing w:after="0" w:line="240" w:lineRule="auto"/>
              <w:jc w:val="center"/>
              <w:rPr>
                <w:rFonts w:cs="Times New Roman"/>
                <w:noProof/>
              </w:rPr>
            </w:pPr>
            <w:r>
              <w:rPr>
                <w:noProof/>
              </w:rPr>
              <w:t>2024</w:t>
            </w:r>
          </w:p>
        </w:tc>
        <w:tc>
          <w:tcPr>
            <w:tcW w:w="5695" w:type="dxa"/>
            <w:shd w:val="clear" w:color="auto" w:fill="C6EFCE"/>
            <w:noWrap/>
          </w:tcPr>
          <w:p w14:paraId="32E46166" w14:textId="03DCF3FE" w:rsidR="0065073E" w:rsidRDefault="000A0998">
            <w:pPr>
              <w:pStyle w:val="P68B1DB1-Normal12"/>
              <w:spacing w:after="0" w:line="240" w:lineRule="auto"/>
              <w:rPr>
                <w:rFonts w:cs="Times New Roman"/>
                <w:noProof/>
              </w:rPr>
            </w:pPr>
            <w:r>
              <w:rPr>
                <w:noProof/>
              </w:rPr>
              <w:t>Euroopan unionin virallisessa lehdessä julkaistaan 70000000 euron myöntäminen avaruusteknologiasuunnitelman puitteissa toteutettaville ilmailu- ja avaruusalan t &amp; k &amp; I-hankkeille. Tähän investointiin liittyvien hankkeiden arvioinnissa on varmistettava, että toimenpiteen kuvauksessa esitettyjä ”ei merkittävää haittaa” -periaatetta (2021/C58/01) noudatetaan.</w:t>
            </w:r>
          </w:p>
        </w:tc>
      </w:tr>
      <w:tr w:rsidR="0065073E" w14:paraId="4C91D304" w14:textId="77777777">
        <w:trPr>
          <w:trHeight w:val="309"/>
        </w:trPr>
        <w:tc>
          <w:tcPr>
            <w:tcW w:w="993" w:type="dxa"/>
            <w:shd w:val="clear" w:color="auto" w:fill="C6EFCE"/>
            <w:noWrap/>
          </w:tcPr>
          <w:p w14:paraId="5EEF2F04" w14:textId="77777777" w:rsidR="0065073E" w:rsidRDefault="000A0998">
            <w:pPr>
              <w:pStyle w:val="P68B1DB1-Normal12"/>
              <w:spacing w:after="0" w:line="240" w:lineRule="auto"/>
              <w:jc w:val="center"/>
              <w:rPr>
                <w:rFonts w:eastAsia="Times New Roman" w:cs="Times New Roman"/>
                <w:noProof/>
              </w:rPr>
            </w:pPr>
            <w:r>
              <w:rPr>
                <w:noProof/>
              </w:rPr>
              <w:t>271</w:t>
            </w:r>
          </w:p>
        </w:tc>
        <w:tc>
          <w:tcPr>
            <w:tcW w:w="837" w:type="dxa"/>
            <w:shd w:val="clear" w:color="auto" w:fill="C6EFCE"/>
            <w:noWrap/>
          </w:tcPr>
          <w:p w14:paraId="18EB9DAC" w14:textId="77777777" w:rsidR="0065073E" w:rsidRDefault="000A0998">
            <w:pPr>
              <w:pStyle w:val="P68B1DB1-Normal12"/>
              <w:spacing w:after="0" w:line="240" w:lineRule="auto"/>
              <w:jc w:val="center"/>
              <w:rPr>
                <w:rFonts w:eastAsia="Times New Roman" w:cs="Times New Roman"/>
                <w:noProof/>
              </w:rPr>
            </w:pPr>
            <w:r>
              <w:rPr>
                <w:noProof/>
              </w:rPr>
              <w:t>C17.I9</w:t>
            </w:r>
          </w:p>
        </w:tc>
        <w:tc>
          <w:tcPr>
            <w:tcW w:w="964" w:type="dxa"/>
            <w:shd w:val="clear" w:color="auto" w:fill="C6EFCE"/>
            <w:noWrap/>
          </w:tcPr>
          <w:p w14:paraId="220C9492"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57AC6AA5" w14:textId="77777777" w:rsidR="0065073E" w:rsidRDefault="000A0998">
            <w:pPr>
              <w:pStyle w:val="P68B1DB1-Normal12"/>
              <w:spacing w:after="0" w:line="240" w:lineRule="auto"/>
              <w:rPr>
                <w:rFonts w:eastAsia="Times New Roman" w:cs="Times New Roman"/>
                <w:noProof/>
              </w:rPr>
            </w:pPr>
            <w:r>
              <w:rPr>
                <w:noProof/>
              </w:rPr>
              <w:t xml:space="preserve">Tuki ilmailu- ja avaruusalan T &amp; K &amp; Innovaatiohankkeille, joissa keskitytään vähäpäästöisiin ja päästöttömiin toimiin  </w:t>
            </w:r>
          </w:p>
        </w:tc>
        <w:tc>
          <w:tcPr>
            <w:tcW w:w="974" w:type="dxa"/>
            <w:shd w:val="clear" w:color="auto" w:fill="C6EFCE"/>
            <w:noWrap/>
          </w:tcPr>
          <w:p w14:paraId="0C843255"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468B9A0E"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7D27FAE7"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4F61836B" w14:textId="08600B21" w:rsidR="0065073E" w:rsidRDefault="000A0998">
            <w:pPr>
              <w:pStyle w:val="P68B1DB1-Normal12"/>
              <w:spacing w:after="0" w:line="240" w:lineRule="auto"/>
              <w:jc w:val="center"/>
              <w:rPr>
                <w:rFonts w:cs="Times New Roman"/>
                <w:noProof/>
              </w:rPr>
            </w:pPr>
            <w:r>
              <w:rPr>
                <w:noProof/>
              </w:rPr>
              <w:t>65</w:t>
            </w:r>
          </w:p>
        </w:tc>
        <w:tc>
          <w:tcPr>
            <w:tcW w:w="557" w:type="dxa"/>
            <w:shd w:val="clear" w:color="auto" w:fill="C6EFCE"/>
          </w:tcPr>
          <w:p w14:paraId="04249646" w14:textId="703C2B99" w:rsidR="0065073E" w:rsidRDefault="000A0998">
            <w:pPr>
              <w:pStyle w:val="P68B1DB1-Normal12"/>
              <w:spacing w:after="0" w:line="240" w:lineRule="auto"/>
              <w:jc w:val="center"/>
              <w:rPr>
                <w:rFonts w:cs="Times New Roman"/>
                <w:noProof/>
              </w:rPr>
            </w:pPr>
            <w:r>
              <w:rPr>
                <w:noProof/>
              </w:rPr>
              <w:t>Q4</w:t>
            </w:r>
          </w:p>
        </w:tc>
        <w:tc>
          <w:tcPr>
            <w:tcW w:w="557" w:type="dxa"/>
            <w:shd w:val="clear" w:color="auto" w:fill="C6EFCE"/>
          </w:tcPr>
          <w:p w14:paraId="62B80835" w14:textId="02A36987" w:rsidR="0065073E" w:rsidRDefault="000A0998">
            <w:pPr>
              <w:pStyle w:val="P68B1DB1-Normal12"/>
              <w:spacing w:after="0" w:line="240" w:lineRule="auto"/>
              <w:jc w:val="center"/>
              <w:rPr>
                <w:rFonts w:cs="Times New Roman"/>
                <w:noProof/>
              </w:rPr>
            </w:pPr>
            <w:r>
              <w:rPr>
                <w:noProof/>
              </w:rPr>
              <w:t>2023</w:t>
            </w:r>
          </w:p>
        </w:tc>
        <w:tc>
          <w:tcPr>
            <w:tcW w:w="5695" w:type="dxa"/>
            <w:shd w:val="clear" w:color="auto" w:fill="C6EFCE"/>
            <w:noWrap/>
          </w:tcPr>
          <w:p w14:paraId="037C2486" w14:textId="3C2608BA" w:rsidR="0065073E" w:rsidRDefault="000A0998">
            <w:pPr>
              <w:pStyle w:val="P68B1DB1-Normal12"/>
              <w:spacing w:after="0" w:line="240" w:lineRule="auto"/>
              <w:rPr>
                <w:rFonts w:eastAsia="Times New Roman" w:cs="Times New Roman"/>
                <w:noProof/>
              </w:rPr>
            </w:pPr>
            <w:r>
              <w:rPr>
                <w:noProof/>
              </w:rPr>
              <w:t xml:space="preserve">Vähintään 65 yritykselle on myönnetty ilmailu- ja avaruusalan T &amp; K &amp; I-hankkeita, joissa keskitytään vähäpäästöisiin ja päästöttömiin toimiin, mukaan lukien ilmailu- ja avaruusteknologiaan ja ilmailuun liittyvät investoinnit, </w:t>
            </w:r>
            <w:r>
              <w:rPr>
                <w:i/>
                <w:noProof/>
              </w:rPr>
              <w:t>Aeronáutica</w:t>
            </w:r>
            <w:r>
              <w:rPr>
                <w:noProof/>
              </w:rPr>
              <w:t xml:space="preserve"> -suunnitelman tuella. Hankkeiden toteuttajina on oltava 3–6 yritystä (vähintään yhden yrityksen on oltava pk-yritys) koostuvat yritysten yhteenliittymät, joiden pituus on enintään kolme vuotta. Tähän investointiin liittyvien hankkeiden arvioinnissa on varmistettava, että toimenpiteen kuvauksessa esitettyjä ”ei merkittävää haittaa” -periaatetta (2021/C58/01) noudatetaan.</w:t>
            </w:r>
          </w:p>
        </w:tc>
      </w:tr>
      <w:tr w:rsidR="0065073E" w14:paraId="3331D4F9" w14:textId="77777777">
        <w:trPr>
          <w:trHeight w:val="309"/>
        </w:trPr>
        <w:tc>
          <w:tcPr>
            <w:tcW w:w="993" w:type="dxa"/>
            <w:shd w:val="clear" w:color="auto" w:fill="C6EFCE"/>
            <w:noWrap/>
          </w:tcPr>
          <w:p w14:paraId="11590BFC" w14:textId="77777777" w:rsidR="0065073E" w:rsidRDefault="000A0998">
            <w:pPr>
              <w:pStyle w:val="P68B1DB1-Normal12"/>
              <w:spacing w:after="0" w:line="240" w:lineRule="auto"/>
              <w:jc w:val="center"/>
              <w:rPr>
                <w:rFonts w:eastAsia="Times New Roman" w:cs="Times New Roman"/>
                <w:noProof/>
              </w:rPr>
            </w:pPr>
            <w:r>
              <w:rPr>
                <w:noProof/>
              </w:rPr>
              <w:t>272</w:t>
            </w:r>
          </w:p>
        </w:tc>
        <w:tc>
          <w:tcPr>
            <w:tcW w:w="837" w:type="dxa"/>
            <w:shd w:val="clear" w:color="auto" w:fill="C6EFCE"/>
            <w:noWrap/>
          </w:tcPr>
          <w:p w14:paraId="202D799F" w14:textId="77777777" w:rsidR="0065073E" w:rsidRDefault="000A0998">
            <w:pPr>
              <w:pStyle w:val="P68B1DB1-Normal12"/>
              <w:spacing w:after="0" w:line="240" w:lineRule="auto"/>
              <w:jc w:val="center"/>
              <w:rPr>
                <w:rFonts w:eastAsia="Times New Roman" w:cs="Times New Roman"/>
                <w:noProof/>
              </w:rPr>
            </w:pPr>
            <w:r>
              <w:rPr>
                <w:noProof/>
              </w:rPr>
              <w:t>C17.I9</w:t>
            </w:r>
          </w:p>
        </w:tc>
        <w:tc>
          <w:tcPr>
            <w:tcW w:w="964" w:type="dxa"/>
            <w:shd w:val="clear" w:color="auto" w:fill="C6EFCE"/>
            <w:noWrap/>
          </w:tcPr>
          <w:p w14:paraId="0B9F8FA6" w14:textId="77777777" w:rsidR="0065073E" w:rsidRDefault="000A0998">
            <w:pPr>
              <w:pStyle w:val="P68B1DB1-Normal12"/>
              <w:spacing w:after="0" w:line="240" w:lineRule="auto"/>
              <w:jc w:val="center"/>
              <w:rPr>
                <w:rFonts w:eastAsia="Times New Roman" w:cs="Times New Roman"/>
                <w:noProof/>
              </w:rPr>
            </w:pPr>
            <w:r>
              <w:rPr>
                <w:noProof/>
              </w:rPr>
              <w:t>T</w:t>
            </w:r>
          </w:p>
        </w:tc>
        <w:tc>
          <w:tcPr>
            <w:tcW w:w="1999" w:type="dxa"/>
            <w:shd w:val="clear" w:color="auto" w:fill="C6EFCE"/>
            <w:noWrap/>
          </w:tcPr>
          <w:p w14:paraId="03568057" w14:textId="77777777" w:rsidR="0065073E" w:rsidRDefault="000A0998">
            <w:pPr>
              <w:pStyle w:val="P68B1DB1-Normal12"/>
              <w:spacing w:after="0" w:line="240" w:lineRule="auto"/>
              <w:rPr>
                <w:rFonts w:cs="Times New Roman"/>
                <w:noProof/>
              </w:rPr>
            </w:pPr>
            <w:r>
              <w:rPr>
                <w:noProof/>
              </w:rPr>
              <w:t xml:space="preserve">Ilmailu- ja avaruusalan T &amp; K &amp; Innovaatiohankkeiden loppuun saattaminen keskittyen vähäpäästöiseen ja päästöttömään </w:t>
            </w:r>
          </w:p>
        </w:tc>
        <w:tc>
          <w:tcPr>
            <w:tcW w:w="974" w:type="dxa"/>
            <w:shd w:val="clear" w:color="auto" w:fill="C6EFCE"/>
            <w:noWrap/>
          </w:tcPr>
          <w:p w14:paraId="28864374" w14:textId="77777777" w:rsidR="0065073E" w:rsidRDefault="000A0998">
            <w:pPr>
              <w:pStyle w:val="P68B1DB1-Normal12"/>
              <w:spacing w:after="0" w:line="240" w:lineRule="auto"/>
              <w:jc w:val="center"/>
              <w:rPr>
                <w:rFonts w:eastAsia="Times New Roman" w:cs="Times New Roman"/>
                <w:noProof/>
              </w:rPr>
            </w:pPr>
            <w:r>
              <w:rPr>
                <w:noProof/>
              </w:rPr>
              <w:t>—</w:t>
            </w:r>
          </w:p>
        </w:tc>
        <w:tc>
          <w:tcPr>
            <w:tcW w:w="834" w:type="dxa"/>
            <w:shd w:val="clear" w:color="auto" w:fill="C6EFCE"/>
            <w:noWrap/>
          </w:tcPr>
          <w:p w14:paraId="41D6754F"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3" w:type="dxa"/>
            <w:shd w:val="clear" w:color="auto" w:fill="C6EFCE"/>
          </w:tcPr>
          <w:p w14:paraId="7A188D08"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4E5254D1" w14:textId="1DEAB3CF" w:rsidR="0065073E" w:rsidRDefault="000A0998">
            <w:pPr>
              <w:pStyle w:val="P68B1DB1-Normal12"/>
              <w:spacing w:after="0" w:line="240" w:lineRule="auto"/>
              <w:jc w:val="center"/>
              <w:rPr>
                <w:rFonts w:cs="Times New Roman"/>
                <w:noProof/>
              </w:rPr>
            </w:pPr>
            <w:r>
              <w:rPr>
                <w:noProof/>
              </w:rPr>
              <w:t>81</w:t>
            </w:r>
          </w:p>
        </w:tc>
        <w:tc>
          <w:tcPr>
            <w:tcW w:w="557" w:type="dxa"/>
            <w:shd w:val="clear" w:color="auto" w:fill="C6EFCE"/>
          </w:tcPr>
          <w:p w14:paraId="5BA7434F" w14:textId="4F06AE1C" w:rsidR="0065073E" w:rsidRDefault="000A0998">
            <w:pPr>
              <w:pStyle w:val="P68B1DB1-Normal12"/>
              <w:spacing w:after="0" w:line="240" w:lineRule="auto"/>
              <w:jc w:val="center"/>
              <w:rPr>
                <w:rFonts w:cs="Times New Roman"/>
                <w:noProof/>
              </w:rPr>
            </w:pPr>
            <w:r>
              <w:rPr>
                <w:noProof/>
              </w:rPr>
              <w:t>Q3</w:t>
            </w:r>
          </w:p>
        </w:tc>
        <w:tc>
          <w:tcPr>
            <w:tcW w:w="557" w:type="dxa"/>
            <w:shd w:val="clear" w:color="auto" w:fill="C6EFCE"/>
          </w:tcPr>
          <w:p w14:paraId="1B7F1029" w14:textId="69430FB6" w:rsidR="0065073E" w:rsidRDefault="000A0998">
            <w:pPr>
              <w:pStyle w:val="P68B1DB1-Normal12"/>
              <w:spacing w:after="0" w:line="240" w:lineRule="auto"/>
              <w:jc w:val="center"/>
              <w:rPr>
                <w:rFonts w:cs="Times New Roman"/>
                <w:noProof/>
              </w:rPr>
            </w:pPr>
            <w:r>
              <w:rPr>
                <w:noProof/>
              </w:rPr>
              <w:t>2026</w:t>
            </w:r>
          </w:p>
        </w:tc>
        <w:tc>
          <w:tcPr>
            <w:tcW w:w="5695" w:type="dxa"/>
            <w:shd w:val="clear" w:color="auto" w:fill="C6EFCE"/>
            <w:noWrap/>
          </w:tcPr>
          <w:p w14:paraId="30908457" w14:textId="40DCAE57" w:rsidR="0065073E" w:rsidRDefault="000A0998">
            <w:pPr>
              <w:pStyle w:val="P68B1DB1-Normal12"/>
              <w:spacing w:after="0" w:line="240" w:lineRule="auto"/>
              <w:rPr>
                <w:rFonts w:eastAsia="Times New Roman" w:cs="Times New Roman"/>
                <w:noProof/>
              </w:rPr>
            </w:pPr>
            <w:r>
              <w:rPr>
                <w:noProof/>
              </w:rPr>
              <w:t xml:space="preserve">Vähintään 81 yritystä on saattanut päätökseen ilmailu- ja avaruusalan T &amp; K &amp; I-hankkeensa, joissa keskitytään vähäpäästöisiin ja päästöttömiin toimiin, mukaan lukien ilmailu- ja avaruusteknologiaan ja ilmailuun liittyvät investoinnit, </w:t>
            </w:r>
            <w:r>
              <w:rPr>
                <w:i/>
                <w:noProof/>
              </w:rPr>
              <w:t>Aeronáutica</w:t>
            </w:r>
            <w:r>
              <w:rPr>
                <w:noProof/>
              </w:rPr>
              <w:t xml:space="preserve"> -suunnitelman tuella ja esikaupallisten julkisten hankintojen toteuttamiseksi maanhavainnointisatelliittien alan teknologian ja innovoinnin kehittämiseksi. Tähän investointiin liittyvien hankkeiden arvioinnissa on varmistettava, että toimenpiteen kuvauksessa esitettyjä ”ei merkittävää haittaa” -periaatetta (2021/C58/01) noudatetaan.</w:t>
            </w:r>
          </w:p>
        </w:tc>
      </w:tr>
      <w:tr w:rsidR="0065073E" w14:paraId="4BB88DF9" w14:textId="77777777">
        <w:trPr>
          <w:trHeight w:val="309"/>
        </w:trPr>
        <w:tc>
          <w:tcPr>
            <w:tcW w:w="993" w:type="dxa"/>
            <w:shd w:val="clear" w:color="auto" w:fill="C6EFCE"/>
            <w:noWrap/>
          </w:tcPr>
          <w:p w14:paraId="48198A8D" w14:textId="16E612B0" w:rsidR="0065073E" w:rsidRDefault="000A0998">
            <w:pPr>
              <w:pStyle w:val="P68B1DB1-Normal12"/>
              <w:spacing w:after="0" w:line="240" w:lineRule="auto"/>
              <w:jc w:val="center"/>
              <w:rPr>
                <w:rFonts w:cs="Times New Roman"/>
                <w:noProof/>
              </w:rPr>
            </w:pPr>
            <w:r>
              <w:rPr>
                <w:noProof/>
              </w:rPr>
              <w:t>462</w:t>
            </w:r>
          </w:p>
        </w:tc>
        <w:tc>
          <w:tcPr>
            <w:tcW w:w="837" w:type="dxa"/>
            <w:shd w:val="clear" w:color="auto" w:fill="C6EFCE"/>
            <w:noWrap/>
          </w:tcPr>
          <w:p w14:paraId="16E5289A" w14:textId="77777777" w:rsidR="0065073E" w:rsidRDefault="000A0998">
            <w:pPr>
              <w:pStyle w:val="P68B1DB1-Normal12"/>
              <w:spacing w:after="0" w:line="240" w:lineRule="auto"/>
              <w:jc w:val="center"/>
              <w:rPr>
                <w:rFonts w:cs="Times New Roman"/>
                <w:noProof/>
              </w:rPr>
            </w:pPr>
            <w:r>
              <w:rPr>
                <w:noProof/>
              </w:rPr>
              <w:t>C17.I9</w:t>
            </w:r>
          </w:p>
        </w:tc>
        <w:tc>
          <w:tcPr>
            <w:tcW w:w="964" w:type="dxa"/>
            <w:shd w:val="clear" w:color="auto" w:fill="C6EFCE"/>
            <w:noWrap/>
          </w:tcPr>
          <w:p w14:paraId="70536C91" w14:textId="77777777" w:rsidR="0065073E" w:rsidRDefault="000A0998">
            <w:pPr>
              <w:pStyle w:val="P68B1DB1-Normal12"/>
              <w:spacing w:after="0" w:line="240" w:lineRule="auto"/>
              <w:jc w:val="center"/>
              <w:rPr>
                <w:rFonts w:cs="Times New Roman"/>
                <w:noProof/>
              </w:rPr>
            </w:pPr>
            <w:r>
              <w:rPr>
                <w:noProof/>
              </w:rPr>
              <w:t>T</w:t>
            </w:r>
          </w:p>
        </w:tc>
        <w:tc>
          <w:tcPr>
            <w:tcW w:w="1999" w:type="dxa"/>
            <w:shd w:val="clear" w:color="auto" w:fill="C6EFCE"/>
            <w:noWrap/>
          </w:tcPr>
          <w:p w14:paraId="4B78E199" w14:textId="77777777" w:rsidR="0065073E" w:rsidRDefault="000A0998">
            <w:pPr>
              <w:pStyle w:val="P68B1DB1-Normal12"/>
              <w:spacing w:after="0" w:line="240" w:lineRule="auto"/>
              <w:rPr>
                <w:rFonts w:cs="Times New Roman"/>
                <w:noProof/>
              </w:rPr>
            </w:pPr>
            <w:r>
              <w:rPr>
                <w:noProof/>
              </w:rPr>
              <w:t>Varojen maksaminen ilmailu- ja avaruusalan PERTE-ohjelman hankkeisiin.</w:t>
            </w:r>
          </w:p>
        </w:tc>
        <w:tc>
          <w:tcPr>
            <w:tcW w:w="974" w:type="dxa"/>
            <w:shd w:val="clear" w:color="auto" w:fill="C6EFCE"/>
            <w:noWrap/>
          </w:tcPr>
          <w:p w14:paraId="77738C36" w14:textId="77777777" w:rsidR="0065073E" w:rsidRDefault="000A0998">
            <w:pPr>
              <w:pStyle w:val="P68B1DB1-Normal12"/>
              <w:spacing w:after="0" w:line="240" w:lineRule="auto"/>
              <w:jc w:val="center"/>
              <w:rPr>
                <w:rFonts w:cs="Times New Roman"/>
                <w:noProof/>
              </w:rPr>
            </w:pPr>
            <w:r>
              <w:rPr>
                <w:noProof/>
              </w:rPr>
              <w:t>—</w:t>
            </w:r>
          </w:p>
        </w:tc>
        <w:tc>
          <w:tcPr>
            <w:tcW w:w="834" w:type="dxa"/>
            <w:shd w:val="clear" w:color="auto" w:fill="C6EFCE"/>
            <w:noWrap/>
          </w:tcPr>
          <w:p w14:paraId="26D6E775" w14:textId="77777777" w:rsidR="0065073E" w:rsidRDefault="000A0998">
            <w:pPr>
              <w:pStyle w:val="P68B1DB1-Normal12"/>
              <w:spacing w:after="0" w:line="240" w:lineRule="auto"/>
              <w:jc w:val="center"/>
              <w:rPr>
                <w:rFonts w:cs="Times New Roman"/>
                <w:noProof/>
              </w:rPr>
            </w:pPr>
            <w:r>
              <w:rPr>
                <w:noProof/>
              </w:rPr>
              <w:t>Miljoonaa euroa</w:t>
            </w:r>
          </w:p>
        </w:tc>
        <w:tc>
          <w:tcPr>
            <w:tcW w:w="973" w:type="dxa"/>
            <w:shd w:val="clear" w:color="auto" w:fill="C6EFCE"/>
          </w:tcPr>
          <w:p w14:paraId="17EB82ED" w14:textId="77777777" w:rsidR="0065073E" w:rsidRDefault="0065073E">
            <w:pPr>
              <w:spacing w:after="0" w:line="240" w:lineRule="auto"/>
              <w:rPr>
                <w:rFonts w:ascii="Times New Roman" w:hAnsi="Times New Roman" w:cs="Times New Roman"/>
                <w:noProof/>
                <w:sz w:val="18"/>
              </w:rPr>
            </w:pPr>
          </w:p>
        </w:tc>
        <w:tc>
          <w:tcPr>
            <w:tcW w:w="834" w:type="dxa"/>
            <w:shd w:val="clear" w:color="auto" w:fill="C6EFCE"/>
          </w:tcPr>
          <w:p w14:paraId="53D0F647" w14:textId="4568353C" w:rsidR="0065073E" w:rsidRDefault="000A0998">
            <w:pPr>
              <w:pStyle w:val="P68B1DB1-Normal12"/>
              <w:spacing w:after="0" w:line="240" w:lineRule="auto"/>
              <w:jc w:val="center"/>
              <w:rPr>
                <w:rFonts w:cs="Times New Roman"/>
                <w:noProof/>
              </w:rPr>
            </w:pPr>
            <w:r>
              <w:rPr>
                <w:noProof/>
              </w:rPr>
              <w:t>90</w:t>
            </w:r>
          </w:p>
        </w:tc>
        <w:tc>
          <w:tcPr>
            <w:tcW w:w="557" w:type="dxa"/>
            <w:shd w:val="clear" w:color="auto" w:fill="C6EFCE"/>
          </w:tcPr>
          <w:p w14:paraId="4F60E5C8" w14:textId="09105D1E" w:rsidR="0065073E" w:rsidRDefault="000A0998">
            <w:pPr>
              <w:pStyle w:val="P68B1DB1-Normal12"/>
              <w:spacing w:after="0" w:line="240" w:lineRule="auto"/>
              <w:jc w:val="center"/>
              <w:rPr>
                <w:rFonts w:eastAsia="Times New Roman" w:cs="Times New Roman"/>
                <w:noProof/>
              </w:rPr>
            </w:pPr>
            <w:r>
              <w:rPr>
                <w:noProof/>
              </w:rPr>
              <w:t>Q3</w:t>
            </w:r>
          </w:p>
        </w:tc>
        <w:tc>
          <w:tcPr>
            <w:tcW w:w="557" w:type="dxa"/>
            <w:shd w:val="clear" w:color="auto" w:fill="C6EFCE"/>
          </w:tcPr>
          <w:p w14:paraId="7B76BA95" w14:textId="326D268E" w:rsidR="0065073E" w:rsidRDefault="000A0998">
            <w:pPr>
              <w:pStyle w:val="P68B1DB1-Normal12"/>
              <w:spacing w:after="0" w:line="240" w:lineRule="auto"/>
              <w:jc w:val="center"/>
              <w:rPr>
                <w:rFonts w:eastAsia="Times New Roman" w:cs="Times New Roman"/>
                <w:noProof/>
              </w:rPr>
            </w:pPr>
            <w:r>
              <w:rPr>
                <w:noProof/>
              </w:rPr>
              <w:t>2026</w:t>
            </w:r>
          </w:p>
        </w:tc>
        <w:tc>
          <w:tcPr>
            <w:tcW w:w="5695" w:type="dxa"/>
            <w:shd w:val="clear" w:color="auto" w:fill="C6EFCE"/>
            <w:noWrap/>
          </w:tcPr>
          <w:p w14:paraId="1B815578" w14:textId="3E1966CD" w:rsidR="0065073E" w:rsidRDefault="000A0998">
            <w:pPr>
              <w:pStyle w:val="P68B1DB1-Normal12"/>
              <w:spacing w:after="0" w:line="240" w:lineRule="auto"/>
              <w:rPr>
                <w:rFonts w:eastAsia="Times New Roman" w:cs="Times New Roman"/>
                <w:noProof/>
              </w:rPr>
            </w:pPr>
            <w:r>
              <w:rPr>
                <w:noProof/>
              </w:rPr>
              <w:t>Avaruusteknologiaohjelmasta maksetaan vähintään 90000000 euroa avustuksina ja lainoina, joita ei tarvitse maksaa takaisin, T &amp; K &amp; Innovaatiohankkeisiin. Tähän investointiin liittyvien hankkeiden arvioinnissa on varmistettava, että toimenpiteen kuvauksessa esitettyjä ”ei merkittävää haittaa” -periaatetta (2021/C58/01) noudatetaan.</w:t>
            </w:r>
          </w:p>
        </w:tc>
      </w:tr>
    </w:tbl>
    <w:p w14:paraId="022B57D6" w14:textId="77777777" w:rsidR="0065073E" w:rsidRDefault="0065073E">
      <w:pPr>
        <w:rPr>
          <w:rFonts w:ascii="Times New Roman" w:hAnsi="Times New Roman" w:cs="Times New Roman"/>
          <w:noProof/>
        </w:rPr>
        <w:sectPr w:rsidR="0065073E" w:rsidSect="00B511EF">
          <w:headerReference w:type="even" r:id="rId402"/>
          <w:headerReference w:type="default" r:id="rId403"/>
          <w:footerReference w:type="even" r:id="rId404"/>
          <w:footerReference w:type="default" r:id="rId405"/>
          <w:headerReference w:type="first" r:id="rId406"/>
          <w:footerReference w:type="first" r:id="rId407"/>
          <w:pgSz w:w="16839" w:h="11907" w:orient="landscape"/>
          <w:pgMar w:top="1134" w:right="1134" w:bottom="1134" w:left="1134" w:header="567" w:footer="567" w:gutter="0"/>
          <w:cols w:space="720"/>
          <w:docGrid w:linePitch="360"/>
        </w:sectPr>
      </w:pPr>
    </w:p>
    <w:p w14:paraId="3BD35647" w14:textId="77777777" w:rsidR="0065073E" w:rsidRDefault="000A0998">
      <w:pPr>
        <w:ind w:firstLine="720"/>
        <w:rPr>
          <w:rFonts w:ascii="Times New Roman" w:eastAsia="Times New Roman" w:hAnsi="Times New Roman" w:cs="Times New Roman"/>
          <w:noProof/>
          <w:sz w:val="24"/>
        </w:rPr>
      </w:pPr>
      <w:r>
        <w:rPr>
          <w:rFonts w:ascii="Times New Roman" w:hAnsi="Times New Roman"/>
          <w:b/>
          <w:noProof/>
          <w:sz w:val="24"/>
          <w:u w:val="single"/>
        </w:rPr>
        <w:t>Q.3</w:t>
      </w:r>
      <w:r>
        <w:rPr>
          <w:noProof/>
        </w:rPr>
        <w:t xml:space="preserve"> </w:t>
      </w:r>
      <w:r>
        <w:rPr>
          <w:rFonts w:ascii="Times New Roman" w:hAnsi="Times New Roman"/>
          <w:b/>
          <w:noProof/>
          <w:sz w:val="24"/>
          <w:u w:val="single"/>
        </w:rPr>
        <w:t>Lainatukeen liittyvien investointien kuvaus</w:t>
      </w:r>
      <w:r>
        <w:rPr>
          <w:rFonts w:ascii="Times New Roman" w:hAnsi="Times New Roman"/>
          <w:b/>
          <w:noProof/>
          <w:sz w:val="24"/>
        </w:rPr>
        <w:t xml:space="preserve"> </w:t>
      </w:r>
      <w:r>
        <w:rPr>
          <w:rFonts w:ascii="Times New Roman" w:hAnsi="Times New Roman"/>
          <w:noProof/>
          <w:sz w:val="24"/>
        </w:rPr>
        <w:t xml:space="preserve"> </w:t>
      </w:r>
    </w:p>
    <w:p w14:paraId="35A1B411" w14:textId="16BD840E" w:rsidR="0065073E" w:rsidRDefault="000A0998">
      <w:pPr>
        <w:pStyle w:val="P68B1DB1-Normal5"/>
        <w:spacing w:before="120" w:after="120" w:line="240" w:lineRule="auto"/>
        <w:jc w:val="both"/>
        <w:rPr>
          <w:rFonts w:eastAsia="Times New Roman" w:cs="Times New Roman"/>
          <w:noProof/>
        </w:rPr>
      </w:pPr>
      <w:r>
        <w:rPr>
          <w:noProof/>
        </w:rPr>
        <w:t>Investointi 10 (C17.I10) – Lainatuki terveys- ja avaruusalan PERTE-ohjelmasta</w:t>
      </w:r>
    </w:p>
    <w:p w14:paraId="1785B497" w14:textId="77777777" w:rsidR="0065073E" w:rsidRDefault="000A0998">
      <w:pPr>
        <w:pStyle w:val="P68B1DB1-Normal4"/>
        <w:spacing w:after="0" w:line="240" w:lineRule="auto"/>
        <w:jc w:val="both"/>
        <w:rPr>
          <w:rFonts w:eastAsia="Times New Roman" w:cs="Times New Roman"/>
          <w:noProof/>
        </w:rPr>
      </w:pPr>
      <w:r>
        <w:rPr>
          <w:noProof/>
        </w:rPr>
        <w:t>Investointi koskee elpymis- ja palautumistukivälineestä myönnettävän lainatuen käyttöä yksityisten investointien edistämiseen terveys- ja avaruusalalla PERTE Health- ja PERTE Aerospace-puitteiden puitteissa.</w:t>
      </w:r>
    </w:p>
    <w:p w14:paraId="7F6DB21C" w14:textId="77777777" w:rsidR="0065073E" w:rsidRDefault="0065073E">
      <w:pPr>
        <w:spacing w:after="0" w:line="240" w:lineRule="auto"/>
        <w:jc w:val="both"/>
        <w:rPr>
          <w:rFonts w:ascii="Times New Roman" w:eastAsia="Times New Roman" w:hAnsi="Times New Roman" w:cs="Times New Roman"/>
          <w:noProof/>
          <w:sz w:val="24"/>
        </w:rPr>
      </w:pPr>
    </w:p>
    <w:p w14:paraId="2E56D149" w14:textId="3F173DF2" w:rsidR="0065073E" w:rsidRDefault="000A0998">
      <w:pPr>
        <w:pStyle w:val="P68B1DB1-Normal4"/>
        <w:spacing w:after="0" w:line="240" w:lineRule="auto"/>
        <w:jc w:val="both"/>
        <w:rPr>
          <w:rFonts w:eastAsia="Times New Roman" w:cs="Times New Roman"/>
          <w:noProof/>
        </w:rPr>
      </w:pPr>
      <w:r>
        <w:rPr>
          <w:noProof/>
        </w:rPr>
        <w:t>PERTE for Health -ohjelman tavoitteena on vahvistaa terveysalan tieteellisiä, teknologisia ja innovointivalmiuksia. Toimenpiteellä tuetaan investointeja erityisesti seuraavin keinoin: 1) lainat terveydenhuoltoalan yrityksille T &amp; K &amp; I-toiminnan, teollisuuden laajentamisen, valmistusprosessien nykyaikaistamisen ja päivittämisen sekä kestävien prosessien kehittämisen ja täytäntöönpanon tukemiseksi; 2) INNVIERTEn investoinnit teknologisiin ja innovatiivisiin espanjalaisiin terveydenhuoltoalan yrityksiin; ja 3) lainat kansallisen terveydenhuoltojärjestelmän tutkimuskeskuksille niiden tutkimus- ja kehittämisvalmiuksien laajentamiseksi.</w:t>
      </w:r>
    </w:p>
    <w:p w14:paraId="53A7B3C3" w14:textId="77777777" w:rsidR="0065073E" w:rsidRDefault="0065073E">
      <w:pPr>
        <w:spacing w:after="0" w:line="240" w:lineRule="auto"/>
        <w:jc w:val="both"/>
        <w:rPr>
          <w:rFonts w:ascii="Times New Roman" w:eastAsia="Times New Roman" w:hAnsi="Times New Roman" w:cs="Times New Roman"/>
          <w:noProof/>
          <w:sz w:val="24"/>
        </w:rPr>
      </w:pPr>
    </w:p>
    <w:p w14:paraId="63A81C4D" w14:textId="77777777" w:rsidR="0065073E" w:rsidRDefault="000A0998">
      <w:pPr>
        <w:pStyle w:val="P68B1DB1-Normal4"/>
        <w:spacing w:after="0" w:line="240" w:lineRule="auto"/>
        <w:jc w:val="both"/>
        <w:rPr>
          <w:rFonts w:eastAsia="Times New Roman" w:cs="Times New Roman"/>
          <w:noProof/>
        </w:rPr>
      </w:pPr>
      <w:r>
        <w:rPr>
          <w:noProof/>
        </w:rPr>
        <w:t xml:space="preserve">Aerospace-ohjelmassa toimenpiteen tavoitteena on vahvistaa ilmailu- ja avaruusalan tieteellisiä, teknologisia ja innovointivalmiuksia. Toimenpiteellä tuetaan ilmailu- ja avaruusalan yrityksille myönnettävillä lainoilla tehtäviä investointeja T &amp; K &amp; I-toimintaan, teollisuuden laajentamiseen, valmistusprosessien nykyaikaistamiseen ja päivittämiseen, digitalisointiin ja teknologian parantamiseen sekä kestävien prosessien kehittämiseen ja täytäntöönpanoon. </w:t>
      </w:r>
    </w:p>
    <w:p w14:paraId="4352955B" w14:textId="77777777" w:rsidR="0065073E" w:rsidRDefault="0065073E">
      <w:pPr>
        <w:spacing w:after="0" w:line="240" w:lineRule="auto"/>
        <w:jc w:val="both"/>
        <w:rPr>
          <w:rFonts w:ascii="Times New Roman" w:eastAsia="Times New Roman" w:hAnsi="Times New Roman" w:cs="Times New Roman"/>
          <w:noProof/>
          <w:sz w:val="24"/>
        </w:rPr>
      </w:pPr>
    </w:p>
    <w:p w14:paraId="5238A6AA" w14:textId="33555794" w:rsidR="0065073E" w:rsidRDefault="000A0998">
      <w:pPr>
        <w:pStyle w:val="P68B1DB1-Normal4"/>
        <w:spacing w:after="0" w:line="240" w:lineRule="auto"/>
        <w:jc w:val="both"/>
        <w:rPr>
          <w:rFonts w:eastAsia="Times New Roman" w:cs="Times New Roman"/>
          <w:noProof/>
        </w:rPr>
      </w:pPr>
      <w:bookmarkStart w:id="55" w:name="_Hlk145665981"/>
      <w:r>
        <w:rPr>
          <w:noProof/>
        </w:rPr>
        <w:t xml:space="preserve">Rahoitustoimiin liittyvät takaisin saadut varat on käytettävä elpymis- ja palautumistukivälineen lainan takaisinmaksuun. </w:t>
      </w:r>
    </w:p>
    <w:bookmarkEnd w:id="55"/>
    <w:p w14:paraId="625EA318" w14:textId="77777777" w:rsidR="0065073E" w:rsidRDefault="0065073E">
      <w:pPr>
        <w:spacing w:after="0" w:line="240" w:lineRule="auto"/>
        <w:jc w:val="both"/>
        <w:rPr>
          <w:rFonts w:ascii="Times New Roman" w:eastAsia="Times New Roman" w:hAnsi="Times New Roman" w:cs="Times New Roman"/>
          <w:noProof/>
          <w:sz w:val="24"/>
        </w:rPr>
      </w:pPr>
    </w:p>
    <w:p w14:paraId="63A3B9AA" w14:textId="77777777" w:rsidR="0065073E" w:rsidRDefault="000A0998">
      <w:pPr>
        <w:pStyle w:val="P68B1DB1-Normal4"/>
        <w:spacing w:after="0" w:line="240" w:lineRule="auto"/>
        <w:jc w:val="both"/>
        <w:rPr>
          <w:rFonts w:eastAsia="Times New Roman" w:cs="Times New Roman"/>
          <w:noProof/>
        </w:rPr>
      </w:pPr>
      <w:r>
        <w:rPr>
          <w:noProof/>
        </w:rPr>
        <w:t>Sen varmistamiseksi, että toimenpide on ”ei merkittävää haittaa” -periaatteen mukainen elpymis- ja palautumistukivälineen ”ei merkittävää haittaa” -periaatteen mukainen, sellaisena kuin se on vahvistettu ”ei merkittävää haittaa” -periaatteen mukaisesti, joka vahvistetaan ”ei merkittävää haittaa” -periaatteen mukaisesti, joka on vahvistettu ”ei merkittävää haittaa” -periaatteen mukaisesti, joka on vahvistettu ”ei merkittävää haittaa” -periaatteen mukaisesti, joka on vahvistettu ”ei merkittävää haittaa” -periaatteen mukaisesti, täytäntöönpanevan yhteisön ja avustuksen saajayhteisön välisissä oikeudellisissa sopimuksissa ja rahoitusvälineen myöhemmissä sijoitusperiaatteissa on </w:t>
      </w:r>
    </w:p>
    <w:p w14:paraId="5ECB9EFD" w14:textId="63425485" w:rsidR="0065073E" w:rsidRDefault="000A0998">
      <w:pPr>
        <w:pStyle w:val="ListParagraph"/>
        <w:numPr>
          <w:ilvl w:val="0"/>
          <w:numId w:val="338"/>
        </w:numPr>
        <w:spacing w:before="120" w:after="120" w:line="240" w:lineRule="auto"/>
        <w:jc w:val="both"/>
        <w:rPr>
          <w:rFonts w:ascii="Times New Roman" w:eastAsia="Times New Roman" w:hAnsi="Times New Roman" w:cs="Times New Roman"/>
          <w:noProof/>
          <w:sz w:val="24"/>
        </w:rPr>
      </w:pPr>
      <w:r>
        <w:rPr>
          <w:noProof/>
        </w:rPr>
        <w:t>Lainojen</w:t>
      </w:r>
      <w:r>
        <w:rPr>
          <w:rFonts w:ascii="Times New Roman" w:hAnsi="Times New Roman"/>
          <w:noProof/>
          <w:sz w:val="24"/>
        </w:rPr>
        <w:t>ja takausten osalta: sulkea seuraava luettelo toiminnoista ja omaisuuseristä tukikelpoisuuden ulkopuolelle: I) fossiilisiin polttoaineisiin liittyvät toiminnot ja omaisuuserät, mukaan lukien loppupään käyttö</w:t>
      </w:r>
      <w:r>
        <w:rPr>
          <w:rStyle w:val="FootnoteReference"/>
          <w:rFonts w:ascii="Times New Roman" w:hAnsi="Times New Roman" w:cs="Times New Roman"/>
          <w:noProof/>
          <w:sz w:val="24"/>
        </w:rPr>
        <w:footnoteReference w:id="183"/>
      </w:r>
      <w:r>
        <w:rPr>
          <w:rStyle w:val="normaltextrun"/>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84"/>
      </w:r>
      <w:r>
        <w:rPr>
          <w:rStyle w:val="normaltextrun"/>
          <w:rFonts w:ascii="Times New Roman" w:hAnsi="Times New Roman"/>
          <w:noProof/>
          <w:sz w:val="24"/>
        </w:rPr>
        <w:t>; III) jätteen kaatopaikkoihin, polttolaitoksiin ja mekaanisiin biologisiin käsittelylaitoksiin liittyvä toiminta</w:t>
      </w:r>
      <w:r>
        <w:rPr>
          <w:rStyle w:val="FootnoteReference"/>
          <w:rFonts w:ascii="Times New Roman" w:hAnsi="Times New Roman"/>
          <w:noProof/>
          <w:sz w:val="24"/>
        </w:rPr>
        <w:footnoteReference w:id="185"/>
      </w:r>
      <w:r>
        <w:rPr>
          <w:noProof/>
        </w:rPr>
        <w:fldChar w:fldCharType="begin"/>
      </w:r>
      <w:r>
        <w:rPr>
          <w:noProof/>
        </w:rPr>
        <w:fldChar w:fldCharType="separate"/>
      </w:r>
      <w:r>
        <w:rPr>
          <w:rStyle w:val="normaltextrun"/>
          <w:rFonts w:ascii="Times New Roman" w:hAnsi="Times New Roman"/>
          <w:b/>
          <w:noProof/>
          <w:sz w:val="24"/>
          <w:vertAlign w:val="superscript"/>
        </w:rPr>
        <w:t>]</w:t>
      </w:r>
      <w:r>
        <w:rPr>
          <w:rStyle w:val="FootnoteReference"/>
          <w:rFonts w:ascii="Times New Roman" w:hAnsi="Times New Roman" w:cs="Times New Roman"/>
          <w:noProof/>
          <w:sz w:val="24"/>
        </w:rPr>
        <w:footnoteReference w:id="186"/>
      </w:r>
      <w:r>
        <w:rPr>
          <w:rStyle w:val="FootnoteReference"/>
          <w:rFonts w:ascii="Times New Roman" w:hAnsi="Times New Roman" w:cs="Times New Roman"/>
          <w:noProof/>
          <w:sz w:val="24"/>
        </w:rPr>
        <w:fldChar w:fldCharType="end"/>
      </w:r>
      <w:r>
        <w:rPr>
          <w:rStyle w:val="normaltextrun"/>
          <w:rFonts w:ascii="Times New Roman" w:hAnsi="Times New Roman"/>
          <w:noProof/>
          <w:sz w:val="24"/>
        </w:rPr>
        <w:t xml:space="preserve"> ja omaisuus</w:t>
      </w:r>
      <w:r>
        <w:rPr>
          <w:rStyle w:val="FootnoteReference"/>
          <w:rFonts w:ascii="Times New Roman" w:hAnsi="Times New Roman" w:cs="Times New Roman"/>
          <w:noProof/>
          <w:sz w:val="24"/>
        </w:rPr>
        <w:footnoteReference w:id="187"/>
      </w:r>
      <w:r>
        <w:rPr>
          <w:noProof/>
        </w:rPr>
        <w:t>.</w:t>
      </w:r>
      <w:r>
        <w:rPr>
          <w:rStyle w:val="eop"/>
          <w:rFonts w:ascii="Times New Roman" w:hAnsi="Times New Roman"/>
          <w:noProof/>
          <w:sz w:val="24"/>
        </w:rPr>
        <w:t xml:space="preserve"> Seuraavien tähän investointiin kuuluvien T &amp; K &amp; I-toimien katsotaan olevan ”ei merkittävää haittaa” -periaatetta koskevien teknisten ohjeiden (2021/C58/01) mukaisia: I) tähän investointiin kuuluvat T &amp; K &amp; I-toimet, jotka johtavat teknologisesti neutraaleihin tuloksiin niiden soveltamisen tasolla; II) tämän investoinnin mukaiset T &amp; K &amp; I-toimet, joilla tuetaan vaihtoehtoja, joiden ympäristövaikutukset ovat vähäiset ja joita varten niitä on; tai iii) tämän investoinnin puitteissa toteutettavat T &amp; K &amp; I-toimet, joissa keskitytään ensisijaisesti sellaisten vaihtoehtojen kehittämiseen, joilla on mahdollisimman vähän ympäristövaikutuksia alalla, sellaisille toiminnoille, joille ei ole teknisesti ja taloudellisesti toteuttamiskelpoista vähävaikutteista vaihtoehtoa.</w:t>
      </w:r>
    </w:p>
    <w:p w14:paraId="449F25C7" w14:textId="780E6382" w:rsidR="0065073E" w:rsidRDefault="000A0998">
      <w:pPr>
        <w:pStyle w:val="ListParagraph"/>
        <w:numPr>
          <w:ilvl w:val="0"/>
          <w:numId w:val="338"/>
        </w:numPr>
        <w:spacing w:before="120" w:after="120" w:line="240" w:lineRule="auto"/>
        <w:jc w:val="both"/>
        <w:rPr>
          <w:rFonts w:ascii="Times New Roman" w:eastAsia="Times New Roman" w:hAnsi="Times New Roman" w:cs="Times New Roman"/>
          <w:noProof/>
          <w:sz w:val="24"/>
        </w:rPr>
      </w:pPr>
      <w:r>
        <w:rPr>
          <w:noProof/>
        </w:rPr>
        <w:t>Riskipääomainstrumenttien</w:t>
      </w:r>
      <w:r>
        <w:rPr>
          <w:rFonts w:ascii="Times New Roman" w:hAnsi="Times New Roman"/>
          <w:noProof/>
          <w:sz w:val="24"/>
        </w:rPr>
        <w:t>osalta: vaatia yrityksiä hyväksymään vihreää siirtymää koskevat suunnitelmat direktiivin 2013/34/EU (sellaisena kuin se on muutettuna direktiivillä (EU) 2022/2464) 19 a artiklan 2 kohdan a alakohdan iii alakohdan määritelmän mukaisesti, jos yli 50 prosenttia niiden edellisen tilikauden suorista tuloista on peräisin seuraavasta toimintojen ja varojen luettelosta: I) fossiilisiin polttoaineisiin liittyvät toiminnot ja omaisuuserät, mukaan lukien loppupään käyttö;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88"/>
      </w:r>
      <w:r>
        <w:rPr>
          <w:rStyle w:val="normaltextrun"/>
          <w:rFonts w:ascii="Times New Roman" w:hAnsi="Times New Roman"/>
          <w:noProof/>
          <w:sz w:val="24"/>
        </w:rPr>
        <w:t>; III) jätteen kaatopaikkoihin, jätteenpolttolaitoksiin</w:t>
      </w:r>
      <w:hyperlink r:id="rId408" w:anchor="_ftn3" w:tgtFrame="_blank" w:history="1">
        <w:r>
          <w:rPr>
            <w:rStyle w:val="normaltextrun"/>
            <w:rFonts w:ascii="Times New Roman" w:hAnsi="Times New Roman"/>
            <w:b/>
            <w:noProof/>
            <w:sz w:val="24"/>
            <w:vertAlign w:val="superscript"/>
          </w:rPr>
          <w:t>]</w:t>
        </w:r>
      </w:hyperlink>
      <w:r>
        <w:rPr>
          <w:rStyle w:val="normaltextrun"/>
          <w:rFonts w:ascii="Times New Roman" w:hAnsi="Times New Roman"/>
          <w:noProof/>
          <w:sz w:val="24"/>
        </w:rPr>
        <w:t xml:space="preserve"> </w:t>
      </w:r>
      <w:r>
        <w:rPr>
          <w:rStyle w:val="FootnoteReference"/>
          <w:rFonts w:ascii="Times New Roman" w:hAnsi="Times New Roman" w:cs="Times New Roman"/>
          <w:noProof/>
          <w:sz w:val="24"/>
        </w:rPr>
        <w:footnoteReference w:id="189"/>
      </w:r>
      <w:r>
        <w:rPr>
          <w:rStyle w:val="normaltextrun"/>
          <w:rFonts w:ascii="Times New Roman" w:hAnsi="Times New Roman"/>
          <w:noProof/>
          <w:sz w:val="24"/>
        </w:rPr>
        <w:t>ja mekaanisiin biologisiin käsittelylaitoksiin liittyvä toiminta ja omaisuus</w:t>
      </w:r>
      <w:r>
        <w:rPr>
          <w:rStyle w:val="FootnoteReference"/>
          <w:rFonts w:ascii="Times New Roman" w:hAnsi="Times New Roman" w:cs="Times New Roman"/>
          <w:noProof/>
          <w:sz w:val="24"/>
        </w:rPr>
        <w:footnoteReference w:id="190"/>
      </w:r>
      <w:r>
        <w:rPr>
          <w:noProof/>
        </w:rPr>
        <w:t>.</w:t>
      </w:r>
    </w:p>
    <w:p w14:paraId="28792347" w14:textId="77777777" w:rsidR="0065073E" w:rsidRDefault="000A0998">
      <w:pPr>
        <w:pStyle w:val="P68B1DB1-ListParagraph6"/>
        <w:numPr>
          <w:ilvl w:val="0"/>
          <w:numId w:val="338"/>
        </w:numPr>
        <w:spacing w:before="120" w:after="120" w:line="240" w:lineRule="auto"/>
        <w:jc w:val="both"/>
        <w:rPr>
          <w:rFonts w:eastAsia="Times New Roman" w:cs="Times New Roman"/>
          <w:noProof/>
        </w:rPr>
      </w:pPr>
      <w:r>
        <w:rPr>
          <w:noProof/>
        </w:rPr>
        <w:t>Hankkeen toteuttavan tahon on vaadittava, että tuensaaja noudattaa asiaankuuluvaa EU:n ja kansallista ympäristölainsäädäntöä.</w:t>
      </w:r>
    </w:p>
    <w:p w14:paraId="68C50DE4" w14:textId="36854A44" w:rsidR="0065073E" w:rsidRDefault="000A0998">
      <w:pPr>
        <w:pStyle w:val="P68B1DB1-Normal4"/>
        <w:spacing w:before="120" w:after="120" w:line="240" w:lineRule="auto"/>
        <w:jc w:val="both"/>
        <w:rPr>
          <w:rFonts w:eastAsia="Times New Roman" w:cs="Times New Roman"/>
          <w:noProof/>
        </w:rPr>
      </w:pPr>
      <w:r>
        <w:rPr>
          <w:noProof/>
        </w:rPr>
        <w:t>Toimenpiteen täytäntöönpano on saatettava päätökseen 31 päivään elokuuta 2026 mennessä.</w:t>
      </w:r>
    </w:p>
    <w:p w14:paraId="248959D3" w14:textId="41CF7129" w:rsidR="0065073E" w:rsidRDefault="000A0998">
      <w:pPr>
        <w:ind w:left="720"/>
        <w:rPr>
          <w:rFonts w:ascii="Times New Roman" w:eastAsia="Times New Roman" w:hAnsi="Times New Roman" w:cs="Times New Roman"/>
          <w:noProof/>
          <w:sz w:val="24"/>
        </w:rPr>
      </w:pPr>
      <w:r>
        <w:rPr>
          <w:rFonts w:ascii="Times New Roman" w:hAnsi="Times New Roman"/>
          <w:b/>
          <w:noProof/>
          <w:sz w:val="24"/>
          <w:u w:val="single"/>
        </w:rPr>
        <w:t>KYSYMYS 4</w:t>
      </w:r>
      <w:r>
        <w:rPr>
          <w:noProof/>
        </w:rPr>
        <w:t xml:space="preserve"> </w:t>
      </w:r>
      <w:r>
        <w:rPr>
          <w:rFonts w:ascii="Times New Roman" w:hAnsi="Times New Roman"/>
          <w:b/>
          <w:noProof/>
          <w:sz w:val="24"/>
          <w:u w:val="single"/>
        </w:rPr>
        <w:t>Lainatuen seurannan ja täytäntöönpanon välitavoitteet, tavoitteet, indikaattorit ja aikataulu</w:t>
      </w:r>
      <w:r>
        <w:rPr>
          <w:rFonts w:ascii="Times New Roman" w:hAnsi="Times New Roman"/>
          <w:b/>
          <w:noProof/>
          <w:sz w:val="24"/>
        </w:rPr>
        <w:t xml:space="preserve"> </w:t>
      </w:r>
      <w:r>
        <w:rPr>
          <w:rFonts w:ascii="Times New Roman" w:hAnsi="Times New Roman"/>
          <w:noProof/>
          <w:sz w:val="24"/>
        </w:rPr>
        <w:t xml:space="preserve"> </w:t>
      </w:r>
    </w:p>
    <w:p w14:paraId="7D98F7ED" w14:textId="27FDC719" w:rsidR="0065073E" w:rsidRDefault="000A0998">
      <w:pPr>
        <w:pStyle w:val="P68B1DB1-Normal17"/>
        <w:rPr>
          <w:rFonts w:cs="Times New Roman"/>
          <w:noProof/>
        </w:rPr>
      </w:pPr>
      <w:r>
        <w:rPr>
          <w:noProof/>
        </w:rPr>
        <w:t>Ks. taulukko jäljempänä. Kaikkien indikaattoreiden perustason päivämäärä on toimen aloitus, ellei toimen kuvauksessa toisin ilmoiteta. Taulukossa esitetyt määrät eivät sisällä arvonlisäveroa.</w:t>
      </w:r>
    </w:p>
    <w:p w14:paraId="6AB2C1B6" w14:textId="77777777" w:rsidR="0065073E" w:rsidRDefault="0065073E">
      <w:pPr>
        <w:spacing w:before="120" w:after="120" w:line="240" w:lineRule="auto"/>
        <w:rPr>
          <w:rFonts w:ascii="Times New Roman" w:hAnsi="Times New Roman" w:cs="Times New Roman"/>
          <w:noProof/>
        </w:rPr>
        <w:sectPr w:rsidR="0065073E" w:rsidSect="00B511EF">
          <w:headerReference w:type="even" r:id="rId409"/>
          <w:headerReference w:type="default" r:id="rId410"/>
          <w:footerReference w:type="even" r:id="rId411"/>
          <w:footerReference w:type="default" r:id="rId412"/>
          <w:headerReference w:type="first" r:id="rId413"/>
          <w:footerReference w:type="first" r:id="rId414"/>
          <w:pgSz w:w="11907" w:h="16839"/>
          <w:pgMar w:top="1134" w:right="1134" w:bottom="1134" w:left="1134" w:header="567" w:footer="567"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137"/>
        <w:gridCol w:w="1056"/>
        <w:gridCol w:w="2266"/>
        <w:gridCol w:w="1446"/>
        <w:gridCol w:w="956"/>
        <w:gridCol w:w="987"/>
        <w:gridCol w:w="1006"/>
        <w:gridCol w:w="486"/>
        <w:gridCol w:w="681"/>
        <w:gridCol w:w="3851"/>
      </w:tblGrid>
      <w:tr w:rsidR="0065073E" w14:paraId="756B1323" w14:textId="77777777">
        <w:trPr>
          <w:trHeight w:val="309"/>
          <w:tblHeader/>
        </w:trPr>
        <w:tc>
          <w:tcPr>
            <w:tcW w:w="857" w:type="dxa"/>
            <w:tcBorders>
              <w:bottom w:val="nil"/>
            </w:tcBorders>
            <w:shd w:val="clear" w:color="auto" w:fill="C6D9F1" w:themeFill="text2" w:themeFillTint="33"/>
          </w:tcPr>
          <w:p w14:paraId="66BE53CF" w14:textId="77777777" w:rsidR="0065073E" w:rsidRDefault="000A0998">
            <w:pPr>
              <w:pStyle w:val="P68B1DB1-Normal8"/>
              <w:spacing w:after="0" w:line="240" w:lineRule="auto"/>
              <w:jc w:val="center"/>
              <w:rPr>
                <w:rFonts w:cs="Times New Roman"/>
                <w:noProof/>
              </w:rPr>
            </w:pPr>
            <w:r>
              <w:rPr>
                <w:noProof/>
              </w:rPr>
              <w:t>Määrä</w:t>
            </w:r>
          </w:p>
        </w:tc>
        <w:tc>
          <w:tcPr>
            <w:tcW w:w="886" w:type="dxa"/>
            <w:tcBorders>
              <w:bottom w:val="nil"/>
            </w:tcBorders>
            <w:shd w:val="clear" w:color="auto" w:fill="C6D9F1" w:themeFill="text2" w:themeFillTint="33"/>
          </w:tcPr>
          <w:p w14:paraId="2EA20D3C" w14:textId="77777777" w:rsidR="0065073E" w:rsidRDefault="000A0998">
            <w:pPr>
              <w:pStyle w:val="P68B1DB1-Normal8"/>
              <w:spacing w:after="0" w:line="240" w:lineRule="auto"/>
              <w:jc w:val="center"/>
              <w:rPr>
                <w:rFonts w:cs="Times New Roman"/>
                <w:noProof/>
              </w:rPr>
            </w:pPr>
            <w:r>
              <w:rPr>
                <w:noProof/>
              </w:rPr>
              <w:t>Toimenpide</w:t>
            </w:r>
          </w:p>
        </w:tc>
        <w:tc>
          <w:tcPr>
            <w:tcW w:w="966" w:type="dxa"/>
            <w:tcBorders>
              <w:bottom w:val="nil"/>
            </w:tcBorders>
            <w:shd w:val="clear" w:color="auto" w:fill="C6D9F1" w:themeFill="text2" w:themeFillTint="33"/>
          </w:tcPr>
          <w:p w14:paraId="19E272E4"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227" w:type="dxa"/>
            <w:tcBorders>
              <w:bottom w:val="nil"/>
            </w:tcBorders>
            <w:shd w:val="clear" w:color="auto" w:fill="C6D9F1" w:themeFill="text2" w:themeFillTint="33"/>
          </w:tcPr>
          <w:p w14:paraId="1F5E623B" w14:textId="77777777" w:rsidR="0065073E" w:rsidRDefault="000A0998">
            <w:pPr>
              <w:pStyle w:val="P68B1DB1-Normal8"/>
              <w:spacing w:after="0" w:line="240" w:lineRule="auto"/>
              <w:jc w:val="center"/>
              <w:rPr>
                <w:rFonts w:cs="Times New Roman"/>
                <w:noProof/>
              </w:rPr>
            </w:pPr>
            <w:r>
              <w:rPr>
                <w:noProof/>
              </w:rPr>
              <w:t>Nimi</w:t>
            </w:r>
          </w:p>
        </w:tc>
        <w:tc>
          <w:tcPr>
            <w:tcW w:w="1226" w:type="dxa"/>
            <w:tcBorders>
              <w:bottom w:val="nil"/>
            </w:tcBorders>
            <w:shd w:val="clear" w:color="auto" w:fill="C6D9F1" w:themeFill="text2" w:themeFillTint="33"/>
          </w:tcPr>
          <w:p w14:paraId="02EB3D44"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173" w:type="dxa"/>
            <w:gridSpan w:val="3"/>
            <w:shd w:val="clear" w:color="auto" w:fill="C6D9F1" w:themeFill="text2" w:themeFillTint="33"/>
          </w:tcPr>
          <w:p w14:paraId="159A064A"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226" w:type="dxa"/>
            <w:gridSpan w:val="2"/>
            <w:shd w:val="clear" w:color="auto" w:fill="C6D9F1" w:themeFill="text2" w:themeFillTint="33"/>
          </w:tcPr>
          <w:p w14:paraId="50EFFB48" w14:textId="77777777" w:rsidR="0065073E" w:rsidRDefault="000A0998">
            <w:pPr>
              <w:pStyle w:val="P68B1DB1-Normal8"/>
              <w:spacing w:after="0" w:line="240" w:lineRule="auto"/>
              <w:jc w:val="center"/>
              <w:rPr>
                <w:rFonts w:cs="Times New Roman"/>
                <w:noProof/>
              </w:rPr>
            </w:pPr>
            <w:r>
              <w:rPr>
                <w:noProof/>
              </w:rPr>
              <w:t>Aika</w:t>
            </w:r>
          </w:p>
        </w:tc>
        <w:tc>
          <w:tcPr>
            <w:tcW w:w="5114" w:type="dxa"/>
            <w:tcBorders>
              <w:bottom w:val="nil"/>
            </w:tcBorders>
            <w:shd w:val="clear" w:color="auto" w:fill="C6D9F1" w:themeFill="text2" w:themeFillTint="33"/>
          </w:tcPr>
          <w:p w14:paraId="2187E50E"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F872CCE" w14:textId="77777777">
        <w:trPr>
          <w:trHeight w:val="309"/>
          <w:tblHeader/>
        </w:trPr>
        <w:tc>
          <w:tcPr>
            <w:tcW w:w="857" w:type="dxa"/>
            <w:tcBorders>
              <w:top w:val="nil"/>
            </w:tcBorders>
            <w:shd w:val="clear" w:color="auto" w:fill="C6D9F1" w:themeFill="text2" w:themeFillTint="33"/>
          </w:tcPr>
          <w:p w14:paraId="27CA29BE" w14:textId="77777777" w:rsidR="0065073E" w:rsidRDefault="0065073E">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65073E" w:rsidRDefault="0065073E">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65073E" w:rsidRDefault="0065073E">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65073E" w:rsidRDefault="0065073E">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65073E" w:rsidRDefault="0065073E">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65073E" w:rsidRDefault="000A0998">
            <w:pPr>
              <w:pStyle w:val="P68B1DB1-Normal8"/>
              <w:spacing w:after="0" w:line="240" w:lineRule="auto"/>
              <w:jc w:val="center"/>
              <w:rPr>
                <w:rFonts w:cs="Times New Roman"/>
                <w:noProof/>
              </w:rPr>
            </w:pPr>
            <w:r>
              <w:rPr>
                <w:noProof/>
              </w:rPr>
              <w:t>Yksikkö</w:t>
            </w:r>
          </w:p>
        </w:tc>
        <w:tc>
          <w:tcPr>
            <w:tcW w:w="964" w:type="dxa"/>
            <w:shd w:val="clear" w:color="auto" w:fill="C6D9F1" w:themeFill="text2" w:themeFillTint="33"/>
          </w:tcPr>
          <w:p w14:paraId="5A6579E2" w14:textId="5AA718F5" w:rsidR="0065073E" w:rsidRDefault="000A0998">
            <w:pPr>
              <w:pStyle w:val="P68B1DB1-Normal8"/>
              <w:spacing w:after="0" w:line="240" w:lineRule="auto"/>
              <w:jc w:val="center"/>
              <w:rPr>
                <w:rFonts w:cs="Times New Roman"/>
                <w:noProof/>
              </w:rPr>
            </w:pPr>
            <w:r>
              <w:rPr>
                <w:noProof/>
              </w:rPr>
              <w:t>Lähtötaso</w:t>
            </w:r>
          </w:p>
        </w:tc>
        <w:tc>
          <w:tcPr>
            <w:tcW w:w="641" w:type="dxa"/>
            <w:shd w:val="clear" w:color="auto" w:fill="C6D9F1" w:themeFill="text2" w:themeFillTint="33"/>
          </w:tcPr>
          <w:p w14:paraId="0201C213" w14:textId="77777777" w:rsidR="0065073E" w:rsidRDefault="000A0998">
            <w:pPr>
              <w:pStyle w:val="P68B1DB1-Normal8"/>
              <w:spacing w:after="0" w:line="240" w:lineRule="auto"/>
              <w:jc w:val="center"/>
              <w:rPr>
                <w:rFonts w:cs="Times New Roman"/>
                <w:noProof/>
              </w:rPr>
            </w:pPr>
            <w:r>
              <w:rPr>
                <w:noProof/>
              </w:rPr>
              <w:t>Päämäärä</w:t>
            </w:r>
          </w:p>
        </w:tc>
        <w:tc>
          <w:tcPr>
            <w:tcW w:w="526" w:type="dxa"/>
            <w:shd w:val="clear" w:color="auto" w:fill="C6D9F1" w:themeFill="text2" w:themeFillTint="33"/>
          </w:tcPr>
          <w:p w14:paraId="187F06C1" w14:textId="77777777" w:rsidR="0065073E" w:rsidRDefault="000A0998">
            <w:pPr>
              <w:pStyle w:val="P68B1DB1-Normal8"/>
              <w:spacing w:after="0" w:line="240" w:lineRule="auto"/>
              <w:jc w:val="center"/>
              <w:rPr>
                <w:rFonts w:cs="Times New Roman"/>
                <w:noProof/>
              </w:rPr>
            </w:pPr>
            <w:r>
              <w:rPr>
                <w:noProof/>
              </w:rPr>
              <w:t>Q</w:t>
            </w:r>
          </w:p>
        </w:tc>
        <w:tc>
          <w:tcPr>
            <w:tcW w:w="700" w:type="dxa"/>
            <w:shd w:val="clear" w:color="auto" w:fill="C6D9F1" w:themeFill="text2" w:themeFillTint="33"/>
          </w:tcPr>
          <w:p w14:paraId="5C32E844" w14:textId="77777777" w:rsidR="0065073E" w:rsidRDefault="000A0998">
            <w:pPr>
              <w:pStyle w:val="P68B1DB1-Normal8"/>
              <w:spacing w:after="0" w:line="240" w:lineRule="auto"/>
              <w:jc w:val="center"/>
              <w:rPr>
                <w:rFonts w:cs="Times New Roman"/>
                <w:noProof/>
              </w:rPr>
            </w:pPr>
            <w:r>
              <w:rPr>
                <w:noProof/>
              </w:rPr>
              <w:t>Vuosi</w:t>
            </w:r>
          </w:p>
        </w:tc>
        <w:tc>
          <w:tcPr>
            <w:tcW w:w="5114" w:type="dxa"/>
            <w:tcBorders>
              <w:top w:val="nil"/>
            </w:tcBorders>
            <w:shd w:val="clear" w:color="auto" w:fill="C6D9F1" w:themeFill="text2" w:themeFillTint="33"/>
          </w:tcPr>
          <w:p w14:paraId="2805547E" w14:textId="77777777" w:rsidR="0065073E" w:rsidRDefault="0065073E">
            <w:pPr>
              <w:spacing w:after="0" w:line="240" w:lineRule="auto"/>
              <w:rPr>
                <w:rFonts w:ascii="Times New Roman" w:hAnsi="Times New Roman" w:cs="Times New Roman"/>
                <w:b/>
                <w:noProof/>
                <w:sz w:val="18"/>
              </w:rPr>
            </w:pPr>
          </w:p>
        </w:tc>
      </w:tr>
      <w:tr w:rsidR="0065073E" w14:paraId="40CAD2F4" w14:textId="77777777">
        <w:trPr>
          <w:trHeight w:val="309"/>
        </w:trPr>
        <w:tc>
          <w:tcPr>
            <w:tcW w:w="857" w:type="dxa"/>
            <w:shd w:val="clear" w:color="auto" w:fill="C6EFCE"/>
          </w:tcPr>
          <w:p w14:paraId="2FCEBC2B" w14:textId="24EC0CB9" w:rsidR="0065073E" w:rsidRDefault="000A0998">
            <w:pPr>
              <w:pStyle w:val="P68B1DB1-Normal12"/>
              <w:spacing w:after="0" w:line="240" w:lineRule="auto"/>
              <w:jc w:val="center"/>
              <w:rPr>
                <w:rFonts w:cs="Times New Roman"/>
                <w:noProof/>
              </w:rPr>
            </w:pPr>
            <w:r>
              <w:rPr>
                <w:noProof/>
              </w:rPr>
              <w:t>L67</w:t>
            </w:r>
          </w:p>
        </w:tc>
        <w:tc>
          <w:tcPr>
            <w:tcW w:w="886" w:type="dxa"/>
            <w:shd w:val="clear" w:color="auto" w:fill="C6EFCE"/>
          </w:tcPr>
          <w:p w14:paraId="291595AA" w14:textId="77777777" w:rsidR="0065073E" w:rsidRDefault="000A0998">
            <w:pPr>
              <w:pStyle w:val="P68B1DB1-Normal12"/>
              <w:spacing w:after="0" w:line="240" w:lineRule="auto"/>
              <w:jc w:val="center"/>
              <w:rPr>
                <w:rFonts w:cs="Times New Roman"/>
                <w:noProof/>
              </w:rPr>
            </w:pPr>
            <w:r>
              <w:rPr>
                <w:noProof/>
              </w:rPr>
              <w:t>C17.I10</w:t>
            </w:r>
          </w:p>
        </w:tc>
        <w:tc>
          <w:tcPr>
            <w:tcW w:w="966" w:type="dxa"/>
            <w:shd w:val="clear" w:color="auto" w:fill="C6EFCE"/>
          </w:tcPr>
          <w:p w14:paraId="3C1B5EA5" w14:textId="77777777" w:rsidR="0065073E" w:rsidRDefault="000A0998">
            <w:pPr>
              <w:pStyle w:val="P68B1DB1-Normal12"/>
              <w:spacing w:after="0" w:line="240" w:lineRule="auto"/>
              <w:jc w:val="center"/>
              <w:rPr>
                <w:rFonts w:cs="Times New Roman"/>
                <w:noProof/>
              </w:rPr>
            </w:pPr>
            <w:r>
              <w:rPr>
                <w:noProof/>
              </w:rPr>
              <w:t>T</w:t>
            </w:r>
          </w:p>
        </w:tc>
        <w:tc>
          <w:tcPr>
            <w:tcW w:w="2227" w:type="dxa"/>
            <w:shd w:val="clear" w:color="auto" w:fill="C6EFCE"/>
          </w:tcPr>
          <w:p w14:paraId="010AA927" w14:textId="77777777" w:rsidR="0065073E" w:rsidRDefault="000A0998">
            <w:pPr>
              <w:pStyle w:val="P68B1DB1-Normal12"/>
              <w:spacing w:after="0" w:line="240" w:lineRule="auto"/>
              <w:rPr>
                <w:rFonts w:cs="Times New Roman"/>
                <w:noProof/>
              </w:rPr>
            </w:pPr>
            <w:r>
              <w:rPr>
                <w:noProof/>
              </w:rPr>
              <w:t>Investoinnit terveydenhuoltoalan pääomatukeen</w:t>
            </w:r>
          </w:p>
        </w:tc>
        <w:tc>
          <w:tcPr>
            <w:tcW w:w="1226" w:type="dxa"/>
            <w:shd w:val="clear" w:color="auto" w:fill="C6EFCE"/>
          </w:tcPr>
          <w:p w14:paraId="1107DC0B" w14:textId="77777777" w:rsidR="0065073E" w:rsidRDefault="0065073E">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65073E" w:rsidRDefault="000A0998">
            <w:pPr>
              <w:pStyle w:val="P68B1DB1-Normal12"/>
              <w:spacing w:after="0" w:line="240" w:lineRule="auto"/>
              <w:jc w:val="center"/>
              <w:rPr>
                <w:rFonts w:cs="Times New Roman"/>
                <w:noProof/>
              </w:rPr>
            </w:pPr>
            <w:r>
              <w:rPr>
                <w:noProof/>
              </w:rPr>
              <w:t>Miljoonaa euroa</w:t>
            </w:r>
          </w:p>
          <w:p w14:paraId="60319AFE" w14:textId="77777777" w:rsidR="0065073E" w:rsidRDefault="0065073E">
            <w:pPr>
              <w:spacing w:after="0" w:line="240" w:lineRule="auto"/>
              <w:jc w:val="center"/>
              <w:rPr>
                <w:rFonts w:ascii="Times New Roman" w:hAnsi="Times New Roman" w:cs="Times New Roman"/>
                <w:noProof/>
                <w:sz w:val="18"/>
              </w:rPr>
            </w:pPr>
          </w:p>
        </w:tc>
        <w:tc>
          <w:tcPr>
            <w:tcW w:w="964" w:type="dxa"/>
            <w:shd w:val="clear" w:color="auto" w:fill="C6EFCE"/>
          </w:tcPr>
          <w:p w14:paraId="6A13EB3F" w14:textId="77777777" w:rsidR="0065073E" w:rsidRDefault="000A0998">
            <w:pPr>
              <w:pStyle w:val="P68B1DB1-Normal12"/>
              <w:spacing w:after="0" w:line="240" w:lineRule="auto"/>
              <w:jc w:val="right"/>
              <w:rPr>
                <w:rFonts w:cs="Times New Roman"/>
                <w:noProof/>
              </w:rPr>
            </w:pPr>
            <w:r>
              <w:rPr>
                <w:noProof/>
              </w:rPr>
              <w:t>0</w:t>
            </w:r>
          </w:p>
        </w:tc>
        <w:tc>
          <w:tcPr>
            <w:tcW w:w="641" w:type="dxa"/>
            <w:shd w:val="clear" w:color="auto" w:fill="C6EFCE"/>
          </w:tcPr>
          <w:p w14:paraId="1934BC16" w14:textId="77777777" w:rsidR="0065073E" w:rsidRDefault="000A0998">
            <w:pPr>
              <w:pStyle w:val="P68B1DB1-Normal12"/>
              <w:spacing w:after="0" w:line="240" w:lineRule="auto"/>
              <w:jc w:val="right"/>
              <w:rPr>
                <w:rFonts w:eastAsia="Times New Roman" w:cs="Times New Roman"/>
                <w:noProof/>
              </w:rPr>
            </w:pPr>
            <w:r>
              <w:rPr>
                <w:noProof/>
              </w:rPr>
              <w:t>27</w:t>
            </w:r>
          </w:p>
        </w:tc>
        <w:tc>
          <w:tcPr>
            <w:tcW w:w="526" w:type="dxa"/>
            <w:shd w:val="clear" w:color="auto" w:fill="C6EFCE"/>
          </w:tcPr>
          <w:p w14:paraId="1720568F" w14:textId="61FE3413" w:rsidR="0065073E" w:rsidRDefault="000A0998">
            <w:pPr>
              <w:pStyle w:val="P68B1DB1-Normal12"/>
              <w:spacing w:after="0" w:line="240" w:lineRule="auto"/>
              <w:jc w:val="center"/>
              <w:rPr>
                <w:rFonts w:cs="Times New Roman"/>
                <w:noProof/>
              </w:rPr>
            </w:pPr>
            <w:r>
              <w:rPr>
                <w:noProof/>
              </w:rPr>
              <w:t xml:space="preserve">Q3 </w:t>
            </w:r>
          </w:p>
        </w:tc>
        <w:tc>
          <w:tcPr>
            <w:tcW w:w="700" w:type="dxa"/>
            <w:shd w:val="clear" w:color="auto" w:fill="C6EFCE"/>
          </w:tcPr>
          <w:p w14:paraId="4EA57920" w14:textId="77777777" w:rsidR="0065073E" w:rsidRDefault="000A0998">
            <w:pPr>
              <w:pStyle w:val="P68B1DB1-Normal12"/>
              <w:spacing w:after="0" w:line="240" w:lineRule="auto"/>
              <w:jc w:val="center"/>
              <w:rPr>
                <w:rFonts w:cs="Times New Roman"/>
                <w:noProof/>
              </w:rPr>
            </w:pPr>
            <w:r>
              <w:rPr>
                <w:noProof/>
              </w:rPr>
              <w:t>2026</w:t>
            </w:r>
          </w:p>
        </w:tc>
        <w:tc>
          <w:tcPr>
            <w:tcW w:w="5114" w:type="dxa"/>
            <w:shd w:val="clear" w:color="auto" w:fill="C6EFCE"/>
          </w:tcPr>
          <w:p w14:paraId="3D249DE9" w14:textId="4E34FAF3" w:rsidR="0065073E" w:rsidRDefault="000A0998">
            <w:pPr>
              <w:pStyle w:val="P68B1DB1-Normal12"/>
              <w:spacing w:after="0" w:line="240" w:lineRule="auto"/>
              <w:rPr>
                <w:rFonts w:eastAsia="Times New Roman" w:cs="Times New Roman"/>
                <w:noProof/>
              </w:rPr>
            </w:pPr>
            <w:r>
              <w:rPr>
                <w:noProof/>
              </w:rPr>
              <w:t>Innvierten 27000000 euron maksu terveydenhuoltoalan innovatiivisille ja teknologisille yrityksille oman pääoman ehtoisina tai oman pääoman luonteisina toimijoina. Tähän investointiin liittyvien hankkeiden arvioinnissa on varmistettava, että toimenpiteen kuvauksessa esitettyjä ”ei merkittävää haittaa” -periaatetta (2021/C58/01) noudatetaan.</w:t>
            </w:r>
          </w:p>
        </w:tc>
      </w:tr>
      <w:tr w:rsidR="0065073E" w14:paraId="1F35E81E" w14:textId="77777777">
        <w:trPr>
          <w:trHeight w:val="309"/>
        </w:trPr>
        <w:tc>
          <w:tcPr>
            <w:tcW w:w="857" w:type="dxa"/>
            <w:shd w:val="clear" w:color="auto" w:fill="C6EFCE"/>
          </w:tcPr>
          <w:p w14:paraId="400BB647" w14:textId="559EBCA0" w:rsidR="0065073E" w:rsidRDefault="000A0998">
            <w:pPr>
              <w:pStyle w:val="P68B1DB1-Normal12"/>
              <w:spacing w:after="0" w:line="240" w:lineRule="auto"/>
              <w:jc w:val="center"/>
              <w:rPr>
                <w:rFonts w:cs="Times New Roman"/>
                <w:noProof/>
              </w:rPr>
            </w:pPr>
            <w:r>
              <w:rPr>
                <w:noProof/>
              </w:rPr>
              <w:t>L68</w:t>
            </w:r>
          </w:p>
        </w:tc>
        <w:tc>
          <w:tcPr>
            <w:tcW w:w="886" w:type="dxa"/>
            <w:shd w:val="clear" w:color="auto" w:fill="C6EFCE"/>
          </w:tcPr>
          <w:p w14:paraId="1C5CA141" w14:textId="77777777" w:rsidR="0065073E" w:rsidRDefault="000A0998">
            <w:pPr>
              <w:pStyle w:val="P68B1DB1-Normal12"/>
              <w:spacing w:after="0" w:line="240" w:lineRule="auto"/>
              <w:jc w:val="center"/>
              <w:rPr>
                <w:rFonts w:cs="Times New Roman"/>
                <w:noProof/>
              </w:rPr>
            </w:pPr>
            <w:r>
              <w:rPr>
                <w:noProof/>
              </w:rPr>
              <w:t>C17.I10</w:t>
            </w:r>
          </w:p>
        </w:tc>
        <w:tc>
          <w:tcPr>
            <w:tcW w:w="966" w:type="dxa"/>
            <w:shd w:val="clear" w:color="auto" w:fill="C6EFCE"/>
          </w:tcPr>
          <w:p w14:paraId="28A2FDD3" w14:textId="77777777" w:rsidR="0065073E" w:rsidRDefault="000A0998">
            <w:pPr>
              <w:pStyle w:val="P68B1DB1-Normal12"/>
              <w:spacing w:after="0" w:line="240" w:lineRule="auto"/>
              <w:jc w:val="center"/>
              <w:rPr>
                <w:rFonts w:eastAsia="Times New Roman" w:cs="Times New Roman"/>
                <w:noProof/>
              </w:rPr>
            </w:pPr>
            <w:r>
              <w:rPr>
                <w:noProof/>
              </w:rPr>
              <w:t>T</w:t>
            </w:r>
          </w:p>
        </w:tc>
        <w:tc>
          <w:tcPr>
            <w:tcW w:w="2227" w:type="dxa"/>
            <w:shd w:val="clear" w:color="auto" w:fill="C6EFCE"/>
          </w:tcPr>
          <w:p w14:paraId="0FF05EDF" w14:textId="327EDD1C" w:rsidR="0065073E" w:rsidRDefault="000A0998">
            <w:pPr>
              <w:pStyle w:val="P68B1DB1-Normal12"/>
              <w:spacing w:after="0" w:line="240" w:lineRule="auto"/>
              <w:rPr>
                <w:rFonts w:cs="Times New Roman"/>
                <w:noProof/>
              </w:rPr>
            </w:pPr>
            <w:r>
              <w:rPr>
                <w:noProof/>
              </w:rPr>
              <w:t>Varojen sitominen lainoina terveys- ja avaruusalan sekä ilmailu- ja avaruusalan tukemiseen</w:t>
            </w:r>
          </w:p>
        </w:tc>
        <w:tc>
          <w:tcPr>
            <w:tcW w:w="1226" w:type="dxa"/>
            <w:shd w:val="clear" w:color="auto" w:fill="C6EFCE"/>
          </w:tcPr>
          <w:p w14:paraId="137454FA" w14:textId="77777777" w:rsidR="0065073E" w:rsidRDefault="0065073E">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65073E" w:rsidRDefault="000A0998">
            <w:pPr>
              <w:pStyle w:val="P68B1DB1-Normal12"/>
              <w:spacing w:after="0" w:line="240" w:lineRule="auto"/>
              <w:jc w:val="center"/>
              <w:rPr>
                <w:rFonts w:cs="Times New Roman"/>
                <w:noProof/>
              </w:rPr>
            </w:pPr>
            <w:r>
              <w:rPr>
                <w:noProof/>
              </w:rPr>
              <w:t>Miljoonaa euroa</w:t>
            </w:r>
          </w:p>
        </w:tc>
        <w:tc>
          <w:tcPr>
            <w:tcW w:w="964" w:type="dxa"/>
            <w:shd w:val="clear" w:color="auto" w:fill="C6EFCE"/>
          </w:tcPr>
          <w:p w14:paraId="41749BF7" w14:textId="77777777" w:rsidR="0065073E" w:rsidRDefault="000A0998">
            <w:pPr>
              <w:pStyle w:val="P68B1DB1-Normal12"/>
              <w:spacing w:after="0" w:line="240" w:lineRule="auto"/>
              <w:jc w:val="right"/>
              <w:rPr>
                <w:rFonts w:cs="Times New Roman"/>
                <w:noProof/>
              </w:rPr>
            </w:pPr>
            <w:r>
              <w:rPr>
                <w:noProof/>
              </w:rPr>
              <w:t>0</w:t>
            </w:r>
          </w:p>
        </w:tc>
        <w:tc>
          <w:tcPr>
            <w:tcW w:w="641" w:type="dxa"/>
            <w:shd w:val="clear" w:color="auto" w:fill="C6EFCE"/>
          </w:tcPr>
          <w:p w14:paraId="319026BA" w14:textId="7020A308" w:rsidR="0065073E" w:rsidRDefault="000A0998">
            <w:pPr>
              <w:pStyle w:val="P68B1DB1-Normal12"/>
              <w:spacing w:after="0" w:line="240" w:lineRule="auto"/>
              <w:jc w:val="right"/>
              <w:rPr>
                <w:rFonts w:cs="Times New Roman"/>
                <w:noProof/>
              </w:rPr>
            </w:pPr>
            <w:r>
              <w:rPr>
                <w:noProof/>
              </w:rPr>
              <w:t>181.6</w:t>
            </w:r>
          </w:p>
        </w:tc>
        <w:tc>
          <w:tcPr>
            <w:tcW w:w="526" w:type="dxa"/>
            <w:shd w:val="clear" w:color="auto" w:fill="C6EFCE"/>
          </w:tcPr>
          <w:p w14:paraId="022A78CD" w14:textId="77777777" w:rsidR="0065073E" w:rsidRDefault="000A0998">
            <w:pPr>
              <w:pStyle w:val="P68B1DB1-Normal12"/>
              <w:spacing w:after="0" w:line="240" w:lineRule="auto"/>
              <w:jc w:val="center"/>
              <w:rPr>
                <w:rFonts w:cs="Times New Roman"/>
                <w:noProof/>
              </w:rPr>
            </w:pPr>
            <w:r>
              <w:rPr>
                <w:noProof/>
              </w:rPr>
              <w:t>Q4</w:t>
            </w:r>
          </w:p>
        </w:tc>
        <w:tc>
          <w:tcPr>
            <w:tcW w:w="700" w:type="dxa"/>
            <w:shd w:val="clear" w:color="auto" w:fill="C6EFCE"/>
          </w:tcPr>
          <w:p w14:paraId="32691209" w14:textId="77777777" w:rsidR="0065073E" w:rsidRDefault="000A0998">
            <w:pPr>
              <w:pStyle w:val="P68B1DB1-Normal12"/>
              <w:spacing w:after="0" w:line="240" w:lineRule="auto"/>
              <w:jc w:val="center"/>
              <w:rPr>
                <w:rFonts w:cs="Times New Roman"/>
                <w:noProof/>
              </w:rPr>
            </w:pPr>
            <w:r>
              <w:rPr>
                <w:noProof/>
              </w:rPr>
              <w:t>2024</w:t>
            </w:r>
          </w:p>
        </w:tc>
        <w:tc>
          <w:tcPr>
            <w:tcW w:w="5114" w:type="dxa"/>
            <w:shd w:val="clear" w:color="auto" w:fill="C6EFCE"/>
          </w:tcPr>
          <w:p w14:paraId="03E5BAA4" w14:textId="2BC9BC85" w:rsidR="0065073E" w:rsidRDefault="000A0998">
            <w:pPr>
              <w:pStyle w:val="P68B1DB1-Normal12"/>
              <w:spacing w:after="0" w:line="240" w:lineRule="auto"/>
              <w:rPr>
                <w:rFonts w:cs="Times New Roman"/>
                <w:noProof/>
              </w:rPr>
            </w:pPr>
            <w:r>
              <w:rPr>
                <w:noProof/>
              </w:rPr>
              <w:t>CDTI:n sitoumus 181600000 euron lainoista T &amp; K &amp; I-investointeihin, teollisuuden laajentamiseen, valmistusprosessien nykyaikaistamiseen ja vihreän teknologian käyttöönottoon terveydenhuollossa ja ilmailu- ja avaruusalalla.</w:t>
            </w:r>
          </w:p>
        </w:tc>
      </w:tr>
      <w:tr w:rsidR="0065073E" w14:paraId="7D44448D" w14:textId="77777777">
        <w:trPr>
          <w:trHeight w:val="309"/>
        </w:trPr>
        <w:tc>
          <w:tcPr>
            <w:tcW w:w="857" w:type="dxa"/>
            <w:shd w:val="clear" w:color="auto" w:fill="C6EFCE"/>
          </w:tcPr>
          <w:p w14:paraId="721685C3" w14:textId="1D1E5160" w:rsidR="0065073E" w:rsidRDefault="000A0998">
            <w:pPr>
              <w:pStyle w:val="P68B1DB1-Normal12"/>
              <w:spacing w:after="0" w:line="240" w:lineRule="auto"/>
              <w:jc w:val="center"/>
              <w:rPr>
                <w:rFonts w:cs="Times New Roman"/>
                <w:noProof/>
              </w:rPr>
            </w:pPr>
            <w:r>
              <w:rPr>
                <w:noProof/>
              </w:rPr>
              <w:t>L69</w:t>
            </w:r>
          </w:p>
        </w:tc>
        <w:tc>
          <w:tcPr>
            <w:tcW w:w="886" w:type="dxa"/>
            <w:shd w:val="clear" w:color="auto" w:fill="C6EFCE"/>
          </w:tcPr>
          <w:p w14:paraId="651672E3" w14:textId="77777777" w:rsidR="0065073E" w:rsidRDefault="000A0998">
            <w:pPr>
              <w:pStyle w:val="P68B1DB1-Normal12"/>
              <w:spacing w:after="0" w:line="240" w:lineRule="auto"/>
              <w:jc w:val="center"/>
              <w:rPr>
                <w:rFonts w:cs="Times New Roman"/>
                <w:noProof/>
              </w:rPr>
            </w:pPr>
            <w:r>
              <w:rPr>
                <w:noProof/>
              </w:rPr>
              <w:t>C17.I10</w:t>
            </w:r>
          </w:p>
        </w:tc>
        <w:tc>
          <w:tcPr>
            <w:tcW w:w="966" w:type="dxa"/>
            <w:shd w:val="clear" w:color="auto" w:fill="C6EFCE"/>
          </w:tcPr>
          <w:p w14:paraId="294261C8" w14:textId="77777777" w:rsidR="0065073E" w:rsidRDefault="000A0998">
            <w:pPr>
              <w:pStyle w:val="P68B1DB1-Normal12"/>
              <w:spacing w:after="0" w:line="240" w:lineRule="auto"/>
              <w:jc w:val="center"/>
              <w:rPr>
                <w:rFonts w:cs="Times New Roman"/>
                <w:noProof/>
              </w:rPr>
            </w:pPr>
            <w:r>
              <w:rPr>
                <w:noProof/>
              </w:rPr>
              <w:t>T</w:t>
            </w:r>
          </w:p>
        </w:tc>
        <w:tc>
          <w:tcPr>
            <w:tcW w:w="2227" w:type="dxa"/>
            <w:shd w:val="clear" w:color="auto" w:fill="C6EFCE"/>
          </w:tcPr>
          <w:p w14:paraId="72ADFE09" w14:textId="77777777" w:rsidR="0065073E" w:rsidRDefault="000A0998">
            <w:pPr>
              <w:pStyle w:val="P68B1DB1-Normal12"/>
              <w:spacing w:after="0" w:line="240" w:lineRule="auto"/>
              <w:rPr>
                <w:rFonts w:cs="Times New Roman"/>
                <w:noProof/>
              </w:rPr>
            </w:pPr>
            <w:r>
              <w:rPr>
                <w:noProof/>
              </w:rPr>
              <w:t>Varojen maksaminen lainoina terveydenhuollon sekä ilmailu- ja avaruusalan tukemiseksi</w:t>
            </w:r>
          </w:p>
        </w:tc>
        <w:tc>
          <w:tcPr>
            <w:tcW w:w="1226" w:type="dxa"/>
            <w:shd w:val="clear" w:color="auto" w:fill="C6EFCE"/>
          </w:tcPr>
          <w:p w14:paraId="17F78AF2" w14:textId="77777777" w:rsidR="0065073E" w:rsidRDefault="0065073E">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65073E" w:rsidRDefault="000A0998">
            <w:pPr>
              <w:pStyle w:val="P68B1DB1-Normal12"/>
              <w:spacing w:after="0" w:line="240" w:lineRule="auto"/>
              <w:jc w:val="center"/>
              <w:rPr>
                <w:rFonts w:cs="Times New Roman"/>
                <w:noProof/>
              </w:rPr>
            </w:pPr>
            <w:r>
              <w:rPr>
                <w:noProof/>
              </w:rPr>
              <w:t>Miljoonaa euroa</w:t>
            </w:r>
          </w:p>
        </w:tc>
        <w:tc>
          <w:tcPr>
            <w:tcW w:w="964" w:type="dxa"/>
            <w:shd w:val="clear" w:color="auto" w:fill="C6EFCE"/>
          </w:tcPr>
          <w:p w14:paraId="48E9A1B5" w14:textId="77777777" w:rsidR="0065073E" w:rsidRDefault="000A0998">
            <w:pPr>
              <w:pStyle w:val="P68B1DB1-Normal12"/>
              <w:spacing w:after="0" w:line="240" w:lineRule="auto"/>
              <w:jc w:val="right"/>
              <w:rPr>
                <w:rFonts w:cs="Times New Roman"/>
                <w:noProof/>
              </w:rPr>
            </w:pPr>
            <w:r>
              <w:rPr>
                <w:noProof/>
              </w:rPr>
              <w:t>0</w:t>
            </w:r>
          </w:p>
        </w:tc>
        <w:tc>
          <w:tcPr>
            <w:tcW w:w="641" w:type="dxa"/>
            <w:shd w:val="clear" w:color="auto" w:fill="C6EFCE"/>
          </w:tcPr>
          <w:p w14:paraId="45ED734C" w14:textId="7E85DADE" w:rsidR="0065073E" w:rsidRDefault="000A0998">
            <w:pPr>
              <w:pStyle w:val="P68B1DB1-Normal12"/>
              <w:spacing w:after="0" w:line="240" w:lineRule="auto"/>
              <w:jc w:val="right"/>
              <w:rPr>
                <w:rFonts w:cs="Times New Roman"/>
                <w:noProof/>
              </w:rPr>
            </w:pPr>
            <w:r>
              <w:rPr>
                <w:noProof/>
              </w:rPr>
              <w:t>461.7</w:t>
            </w:r>
          </w:p>
        </w:tc>
        <w:tc>
          <w:tcPr>
            <w:tcW w:w="526" w:type="dxa"/>
            <w:shd w:val="clear" w:color="auto" w:fill="C6EFCE"/>
          </w:tcPr>
          <w:p w14:paraId="416CFC95" w14:textId="702A6278" w:rsidR="0065073E" w:rsidRDefault="000A0998">
            <w:pPr>
              <w:pStyle w:val="P68B1DB1-Normal12"/>
              <w:spacing w:after="0" w:line="240" w:lineRule="auto"/>
              <w:jc w:val="center"/>
              <w:rPr>
                <w:rFonts w:cs="Times New Roman"/>
                <w:noProof/>
              </w:rPr>
            </w:pPr>
            <w:r>
              <w:rPr>
                <w:noProof/>
              </w:rPr>
              <w:t>Q3</w:t>
            </w:r>
          </w:p>
        </w:tc>
        <w:tc>
          <w:tcPr>
            <w:tcW w:w="700" w:type="dxa"/>
            <w:shd w:val="clear" w:color="auto" w:fill="C6EFCE"/>
          </w:tcPr>
          <w:p w14:paraId="0D22AF08" w14:textId="77777777" w:rsidR="0065073E" w:rsidRDefault="000A0998">
            <w:pPr>
              <w:pStyle w:val="P68B1DB1-Normal12"/>
              <w:spacing w:after="0" w:line="240" w:lineRule="auto"/>
              <w:jc w:val="center"/>
              <w:rPr>
                <w:rFonts w:cs="Times New Roman"/>
                <w:noProof/>
              </w:rPr>
            </w:pPr>
            <w:r>
              <w:rPr>
                <w:noProof/>
              </w:rPr>
              <w:t>2026</w:t>
            </w:r>
          </w:p>
        </w:tc>
        <w:tc>
          <w:tcPr>
            <w:tcW w:w="5114" w:type="dxa"/>
            <w:shd w:val="clear" w:color="auto" w:fill="C6EFCE"/>
          </w:tcPr>
          <w:p w14:paraId="06A183A7" w14:textId="5AE6F075" w:rsidR="0065073E" w:rsidRDefault="000A0998">
            <w:pPr>
              <w:pStyle w:val="P68B1DB1-Normal12"/>
              <w:spacing w:after="0" w:line="240" w:lineRule="auto"/>
              <w:rPr>
                <w:rFonts w:cs="Times New Roman"/>
                <w:noProof/>
              </w:rPr>
            </w:pPr>
            <w:r>
              <w:rPr>
                <w:noProof/>
              </w:rPr>
              <w:t>CDTI maksaa 461700000 euroa lainoina T &amp; K &amp; I-investointeihin, teollisuuden laajentamiseen, valmistusprosessien nykyaikaistamiseen ja vihreän teknologian käyttöönottoon terveys- ja ilmailualalla.</w:t>
            </w:r>
          </w:p>
        </w:tc>
      </w:tr>
      <w:tr w:rsidR="0065073E" w14:paraId="3E768C38" w14:textId="77777777">
        <w:trPr>
          <w:trHeight w:val="309"/>
        </w:trPr>
        <w:tc>
          <w:tcPr>
            <w:tcW w:w="857" w:type="dxa"/>
            <w:shd w:val="clear" w:color="auto" w:fill="C6EFCE"/>
          </w:tcPr>
          <w:p w14:paraId="3F06DFD7" w14:textId="3E8A1D3E" w:rsidR="0065073E" w:rsidRDefault="000A0998">
            <w:pPr>
              <w:pStyle w:val="P68B1DB1-Normal12"/>
              <w:spacing w:after="0" w:line="240" w:lineRule="auto"/>
              <w:jc w:val="center"/>
              <w:rPr>
                <w:rFonts w:cs="Times New Roman"/>
                <w:noProof/>
              </w:rPr>
            </w:pPr>
            <w:r>
              <w:rPr>
                <w:noProof/>
              </w:rPr>
              <w:t>L70</w:t>
            </w:r>
          </w:p>
        </w:tc>
        <w:tc>
          <w:tcPr>
            <w:tcW w:w="886" w:type="dxa"/>
            <w:shd w:val="clear" w:color="auto" w:fill="C6EFCE"/>
          </w:tcPr>
          <w:p w14:paraId="05C61672" w14:textId="77777777" w:rsidR="0065073E" w:rsidRDefault="000A0998">
            <w:pPr>
              <w:pStyle w:val="P68B1DB1-Normal12"/>
              <w:spacing w:after="0" w:line="240" w:lineRule="auto"/>
              <w:jc w:val="center"/>
              <w:rPr>
                <w:rFonts w:cs="Times New Roman"/>
                <w:noProof/>
              </w:rPr>
            </w:pPr>
            <w:r>
              <w:rPr>
                <w:noProof/>
              </w:rPr>
              <w:t>C17.I10</w:t>
            </w:r>
          </w:p>
        </w:tc>
        <w:tc>
          <w:tcPr>
            <w:tcW w:w="966" w:type="dxa"/>
            <w:shd w:val="clear" w:color="auto" w:fill="C6EFCE"/>
          </w:tcPr>
          <w:p w14:paraId="1B57D700" w14:textId="77777777" w:rsidR="0065073E" w:rsidRDefault="000A0998">
            <w:pPr>
              <w:pStyle w:val="P68B1DB1-Normal12"/>
              <w:spacing w:after="0" w:line="240" w:lineRule="auto"/>
              <w:jc w:val="center"/>
              <w:rPr>
                <w:rFonts w:cs="Times New Roman"/>
                <w:noProof/>
              </w:rPr>
            </w:pPr>
            <w:r>
              <w:rPr>
                <w:noProof/>
              </w:rPr>
              <w:t>T</w:t>
            </w:r>
          </w:p>
        </w:tc>
        <w:tc>
          <w:tcPr>
            <w:tcW w:w="2227" w:type="dxa"/>
            <w:shd w:val="clear" w:color="auto" w:fill="C6EFCE"/>
          </w:tcPr>
          <w:p w14:paraId="13DFEEB3" w14:textId="77777777" w:rsidR="0065073E" w:rsidRDefault="000A0998">
            <w:pPr>
              <w:pStyle w:val="P68B1DB1-Normal12"/>
              <w:spacing w:after="0" w:line="240" w:lineRule="auto"/>
              <w:rPr>
                <w:rFonts w:cs="Times New Roman"/>
                <w:noProof/>
              </w:rPr>
            </w:pPr>
            <w:r>
              <w:rPr>
                <w:noProof/>
              </w:rPr>
              <w:t>Kansallisen terveydenhuoltojärjestelmän T &amp; K-valmiuksien parantaminen.</w:t>
            </w:r>
          </w:p>
        </w:tc>
        <w:tc>
          <w:tcPr>
            <w:tcW w:w="1226" w:type="dxa"/>
            <w:shd w:val="clear" w:color="auto" w:fill="C6EFCE"/>
          </w:tcPr>
          <w:p w14:paraId="10D4F863" w14:textId="77777777" w:rsidR="0065073E" w:rsidRDefault="0065073E">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4" w:type="dxa"/>
            <w:shd w:val="clear" w:color="auto" w:fill="C6EFCE"/>
          </w:tcPr>
          <w:p w14:paraId="03984B2D" w14:textId="77777777" w:rsidR="0065073E" w:rsidRDefault="000A0998">
            <w:pPr>
              <w:pStyle w:val="P68B1DB1-Normal12"/>
              <w:spacing w:after="0" w:line="240" w:lineRule="auto"/>
              <w:jc w:val="right"/>
              <w:rPr>
                <w:rFonts w:cs="Times New Roman"/>
                <w:noProof/>
              </w:rPr>
            </w:pPr>
            <w:r>
              <w:rPr>
                <w:noProof/>
              </w:rPr>
              <w:t>0</w:t>
            </w:r>
          </w:p>
        </w:tc>
        <w:tc>
          <w:tcPr>
            <w:tcW w:w="641" w:type="dxa"/>
            <w:shd w:val="clear" w:color="auto" w:fill="C6EFCE"/>
          </w:tcPr>
          <w:p w14:paraId="0488B6F9" w14:textId="77777777" w:rsidR="0065073E" w:rsidRDefault="000A0998">
            <w:pPr>
              <w:pStyle w:val="P68B1DB1-Normal12"/>
              <w:spacing w:after="0" w:line="240" w:lineRule="auto"/>
              <w:jc w:val="right"/>
              <w:rPr>
                <w:rFonts w:eastAsia="Times New Roman" w:cs="Times New Roman"/>
                <w:noProof/>
              </w:rPr>
            </w:pPr>
            <w:r>
              <w:rPr>
                <w:noProof/>
              </w:rPr>
              <w:t>4</w:t>
            </w:r>
          </w:p>
        </w:tc>
        <w:tc>
          <w:tcPr>
            <w:tcW w:w="526" w:type="dxa"/>
            <w:shd w:val="clear" w:color="auto" w:fill="C6EFCE"/>
          </w:tcPr>
          <w:p w14:paraId="0BE015B9" w14:textId="25107E1F" w:rsidR="0065073E" w:rsidRDefault="000A0998">
            <w:pPr>
              <w:pStyle w:val="P68B1DB1-Normal12"/>
              <w:spacing w:after="0" w:line="240" w:lineRule="auto"/>
              <w:jc w:val="center"/>
              <w:rPr>
                <w:rFonts w:cs="Times New Roman"/>
                <w:noProof/>
              </w:rPr>
            </w:pPr>
            <w:r>
              <w:rPr>
                <w:noProof/>
              </w:rPr>
              <w:t>Q3</w:t>
            </w:r>
          </w:p>
        </w:tc>
        <w:tc>
          <w:tcPr>
            <w:tcW w:w="700" w:type="dxa"/>
            <w:shd w:val="clear" w:color="auto" w:fill="C6EFCE"/>
          </w:tcPr>
          <w:p w14:paraId="2EAE1494" w14:textId="77777777" w:rsidR="0065073E" w:rsidRDefault="000A0998">
            <w:pPr>
              <w:pStyle w:val="P68B1DB1-Normal12"/>
              <w:spacing w:after="0" w:line="240" w:lineRule="auto"/>
              <w:jc w:val="center"/>
              <w:rPr>
                <w:rFonts w:cs="Times New Roman"/>
                <w:noProof/>
              </w:rPr>
            </w:pPr>
            <w:r>
              <w:rPr>
                <w:noProof/>
              </w:rPr>
              <w:t>2026</w:t>
            </w:r>
          </w:p>
        </w:tc>
        <w:tc>
          <w:tcPr>
            <w:tcW w:w="5114" w:type="dxa"/>
            <w:shd w:val="clear" w:color="auto" w:fill="C6EFCE"/>
          </w:tcPr>
          <w:p w14:paraId="67583859" w14:textId="77777777" w:rsidR="0065073E" w:rsidRDefault="000A0998">
            <w:pPr>
              <w:pStyle w:val="P68B1DB1-Normal12"/>
              <w:spacing w:after="0" w:line="240" w:lineRule="auto"/>
              <w:rPr>
                <w:rFonts w:cs="Times New Roman"/>
                <w:noProof/>
              </w:rPr>
            </w:pPr>
            <w:r>
              <w:rPr>
                <w:noProof/>
              </w:rPr>
              <w:t>Investointihankkeiden loppuun saattaminen vähintään neljän kansallisen terveydenhuoltojärjestelmän tutkimuskeskuksen tutkimus- ja teknologisten kehittämisvalmiuksien parantamiseksi.</w:t>
            </w:r>
          </w:p>
        </w:tc>
      </w:tr>
    </w:tbl>
    <w:p w14:paraId="64EE0AAC" w14:textId="77777777" w:rsidR="0065073E" w:rsidRDefault="0065073E">
      <w:pPr>
        <w:spacing w:before="120" w:after="120" w:line="240" w:lineRule="auto"/>
        <w:rPr>
          <w:rFonts w:ascii="Times New Roman" w:hAnsi="Times New Roman" w:cs="Times New Roman"/>
          <w:noProof/>
        </w:rPr>
        <w:sectPr w:rsidR="0065073E" w:rsidSect="00B511EF">
          <w:headerReference w:type="even" r:id="rId415"/>
          <w:headerReference w:type="default" r:id="rId416"/>
          <w:footerReference w:type="even" r:id="rId417"/>
          <w:footerReference w:type="default" r:id="rId418"/>
          <w:headerReference w:type="first" r:id="rId419"/>
          <w:footerReference w:type="first" r:id="rId420"/>
          <w:pgSz w:w="16839" w:h="11907" w:orient="landscape"/>
          <w:pgMar w:top="1134" w:right="1134" w:bottom="1134" w:left="1134" w:header="567" w:footer="567" w:gutter="0"/>
          <w:cols w:space="720"/>
          <w:docGrid w:linePitch="360"/>
        </w:sectPr>
      </w:pPr>
    </w:p>
    <w:p w14:paraId="1B1C4985" w14:textId="77777777" w:rsidR="0065073E" w:rsidRDefault="000A0998">
      <w:pPr>
        <w:pStyle w:val="P68B1DB1-Heading12"/>
        <w:rPr>
          <w:rFonts w:cs="Times New Roman"/>
          <w:noProof/>
        </w:rPr>
      </w:pPr>
      <w:r>
        <w:rPr>
          <w:noProof/>
        </w:rPr>
        <w:t>R. OSA 18: Kansallisen terveydenhuoltojärjestelmän valmiuksien kunnostaminen ja laajentaminen</w:t>
      </w:r>
    </w:p>
    <w:p w14:paraId="273D2F69" w14:textId="77777777" w:rsidR="0065073E" w:rsidRDefault="000A0998">
      <w:pPr>
        <w:pStyle w:val="P68B1DB1-Normal4"/>
        <w:spacing w:before="120" w:after="120" w:line="240" w:lineRule="auto"/>
        <w:jc w:val="both"/>
        <w:rPr>
          <w:rFonts w:cs="Times New Roman"/>
          <w:noProof/>
        </w:rPr>
      </w:pPr>
      <w:r>
        <w:rPr>
          <w:noProof/>
        </w:rPr>
        <w:t>Terveyskriisi on osoittanut Espanjan kansallisen terveydenhuoltojärjestelmän vahvuuden, mutta se on myös paljastanut vaikeudet, joita sillä on edessään tilanteissa, jotka edellyttävät ennakointia, nopeaa reagointia ja koordinointia, sekä tarpeen korjata nykyiset väestörakenteeseen, yhteiskuntaan, teknologiaan tai talouteen liittyvät rakenteelliset ongelmat. Espanjan elpymis- ja palautumissuunnitelman tällä osa-alueella on vastattava seuraaviin haasteisiin: I) haavoittuvuus maailmanlaajuiselle terveyskriisille, ii) väestön ikääntymisestä johtuva terveydenhuoltojärjestelmän muutos, iii) sukupuolten tasa-arvo ja iv) järjestelmän pitkän aikavälin kestävyys ja häiriönsietokyky.</w:t>
      </w:r>
    </w:p>
    <w:p w14:paraId="71509C8B" w14:textId="77777777" w:rsidR="0065073E" w:rsidRDefault="000A0998">
      <w:pPr>
        <w:pStyle w:val="P68B1DB1-Normal4"/>
        <w:spacing w:before="120" w:after="120" w:line="240" w:lineRule="auto"/>
        <w:jc w:val="both"/>
        <w:rPr>
          <w:rFonts w:cs="Times New Roman"/>
          <w:noProof/>
        </w:rPr>
      </w:pPr>
      <w:r>
        <w:rPr>
          <w:noProof/>
        </w:rPr>
        <w:t xml:space="preserve">Tämän osa-alueen tavoitteet ovat seuraavat: </w:t>
      </w:r>
    </w:p>
    <w:p w14:paraId="3C9272B0"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Valmistellaan terveydenhuoltojärjestelmää mahdollisten maailmanlaajuisten terveysuhkien, kuten nykyisen covid-19-pandemian, ehkäisemiseksi ja niihin puuttumiseksi lisäämällä kansanterveysvalmiuksia ja epidemiologisia seurantajärjestelmiä.</w:t>
      </w:r>
    </w:p>
    <w:p w14:paraId="59469CE2"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Tarjota nopeinta, laadukasta ja turvallista terveydenhuoltopalvelua potilaiden resursseista, asuinpaikasta, sukupuolesta, alkuperästä tai iästä riippumatta.</w:t>
      </w:r>
    </w:p>
    <w:p w14:paraId="04FD66DE"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 xml:space="preserve">Pitää ihmiset terveydenhuoltojärjestelmän ytimessä, parantaa heidän osallistumistaan ja suunnitella terveydenhuolto uudelleen ihmisten ja yhteisöjen tarpeita vastaavaksi. </w:t>
      </w:r>
    </w:p>
    <w:p w14:paraId="0860012F"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Varmistetaan tietojärjestelmät, jotka mittaavat paitsi toimintaa myös lopullisia terveystuloksia.</w:t>
      </w:r>
    </w:p>
    <w:p w14:paraId="661A13D5"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Edistetään terveyttä ja hyvinvointia aktiivisesti ja ehkäistään sairauksia ja riippuvuutta koko elämän ajan.</w:t>
      </w:r>
    </w:p>
    <w:p w14:paraId="1177AF38"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Houkutella ja pitää palveluksessaan parhaat ammattilaiset, jotka tarjoavat heille yksilöllisiä ja kollektiivisia kehitysmahdollisuuksia.</w:t>
      </w:r>
    </w:p>
    <w:p w14:paraId="3789ACD8"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Siirrytään kohti digitalisoitua kansallista terveydenhuoltojärjestelmää, joka tuottaa tietoa ja tietämystä ja edistää terveysalan tutkimusta ja innovointia työpaikkojen, kasvun, tuottavuuden ja innovoinnin edistäjänä.</w:t>
      </w:r>
    </w:p>
    <w:p w14:paraId="37B8A878"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Varmistetaan riittävä ja kestävä rahoitus nykyaikaisen ja kehittyneen yhteiskunnan uusiin terveyshaasteisiin vastaamiseksi ja varainkäytön tehokkuuden varmistamiseksi.</w:t>
      </w:r>
    </w:p>
    <w:p w14:paraId="4223E0CE" w14:textId="77777777" w:rsidR="0065073E" w:rsidRDefault="000A0998">
      <w:pPr>
        <w:pStyle w:val="P68B1DB1-Normal4"/>
        <w:numPr>
          <w:ilvl w:val="0"/>
          <w:numId w:val="66"/>
        </w:numPr>
        <w:spacing w:before="120" w:after="120" w:line="240" w:lineRule="auto"/>
        <w:ind w:left="993" w:hanging="284"/>
        <w:jc w:val="both"/>
        <w:rPr>
          <w:rFonts w:cs="Times New Roman"/>
          <w:noProof/>
        </w:rPr>
      </w:pPr>
      <w:r>
        <w:rPr>
          <w:noProof/>
        </w:rPr>
        <w:t>Vahvistetaan ja kehitetään koordinointia ja monitasoista hallintoa kansallisen terveydenhuoltojärjestelmän hallinnoinnissa ja lisätään alueellista yhteenkuuluvuutta. Edistämään aktiivisesti strategioita sukupuolten tasa-arvon saavuttamiseksi terveydenhuoltojärjestelmässä.</w:t>
      </w:r>
    </w:p>
    <w:p w14:paraId="7574172C" w14:textId="77777777" w:rsidR="0065073E" w:rsidRDefault="000A0998">
      <w:pPr>
        <w:pStyle w:val="P68B1DB1-Normal4"/>
        <w:spacing w:before="120" w:after="120" w:line="240" w:lineRule="auto"/>
        <w:jc w:val="both"/>
        <w:rPr>
          <w:rFonts w:cs="Times New Roman"/>
          <w:noProof/>
        </w:rPr>
      </w:pPr>
      <w:r>
        <w:rPr>
          <w:noProof/>
        </w:rPr>
        <w:t>Tällä Espanjan elpymis- ja palautumissuunnitelman osa-alueella tuetaan sellaisten maakohtaisten suositusten noudattamista, jotka koskevat pandemian tehokasta torjuntaa ja terveydenhuoltojärjestelmän valmiuksien ja palautumiskyvyn vahvistamista terveydenhuollon työntekijöiden sekä keskeisten lääkinnällisten tuotteiden ja infrastruktuurin osalta (maakohtainen suositus 1 2020) ja työllisyyden tukemista toimenpiteillä, joilla säilytetään työpaikat, tehokkaat työhönottokannustimet ja osaamisen kehittäminen (maakohtainen suositus 2 2020).</w:t>
      </w:r>
    </w:p>
    <w:p w14:paraId="01A9F91C"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70C6600A" w14:textId="77777777" w:rsidR="0065073E" w:rsidRDefault="000A0998">
      <w:pPr>
        <w:keepNext/>
        <w:spacing w:before="120" w:after="120" w:line="240" w:lineRule="auto"/>
        <w:jc w:val="both"/>
        <w:rPr>
          <w:rFonts w:ascii="Times New Roman" w:hAnsi="Times New Roman" w:cs="Times New Roman"/>
          <w:b/>
          <w:i/>
          <w:noProof/>
          <w:sz w:val="24"/>
        </w:rPr>
      </w:pPr>
      <w:r>
        <w:rPr>
          <w:rFonts w:ascii="Times New Roman" w:hAnsi="Times New Roman"/>
          <w:b/>
          <w:noProof/>
          <w:sz w:val="24"/>
          <w:u w:val="single"/>
        </w:rPr>
        <w:t xml:space="preserve">R.1 </w:t>
      </w:r>
      <w:r>
        <w:rPr>
          <w:noProof/>
        </w:rPr>
        <w:t xml:space="preserve"> </w:t>
      </w:r>
      <w:r>
        <w:rPr>
          <w:rFonts w:ascii="Times New Roman" w:hAnsi="Times New Roman"/>
          <w:b/>
          <w:noProof/>
          <w:sz w:val="24"/>
          <w:u w:val="single"/>
        </w:rPr>
        <w:t>Kuvaus uudistuksista ja investoinneista, joita rahoitetaan rahoitustuella, jota ei makseta takaisin</w:t>
      </w:r>
    </w:p>
    <w:p w14:paraId="055F5AAC" w14:textId="77777777" w:rsidR="0065073E" w:rsidRDefault="000A0998">
      <w:pPr>
        <w:pStyle w:val="P68B1DB1-Normal5"/>
        <w:keepNext/>
        <w:spacing w:before="120" w:after="120" w:line="240" w:lineRule="auto"/>
        <w:jc w:val="both"/>
        <w:rPr>
          <w:rFonts w:cs="Times New Roman"/>
          <w:noProof/>
        </w:rPr>
      </w:pPr>
      <w:r>
        <w:rPr>
          <w:noProof/>
        </w:rPr>
        <w:t>Uudistus 1 (C18.R1) – Perus- ja yhteisöterveydenhuollon vahvistaminen</w:t>
      </w:r>
    </w:p>
    <w:p w14:paraId="36261AE1" w14:textId="77777777" w:rsidR="0065073E" w:rsidRDefault="000A0998">
      <w:pPr>
        <w:pStyle w:val="P68B1DB1-Normal4"/>
        <w:keepNext/>
        <w:spacing w:before="120" w:after="120" w:line="240" w:lineRule="auto"/>
        <w:jc w:val="both"/>
        <w:rPr>
          <w:rFonts w:cs="Times New Roman"/>
          <w:noProof/>
        </w:rPr>
      </w:pPr>
      <w:r>
        <w:rPr>
          <w:noProof/>
        </w:rPr>
        <w:t>Perusterveydenhuollon vahvistaminen on yksi Espanjan merkittävimmistä terveyshaasteista tulevina vuosina. Uudistuksen tavoitteena on tarjota parempia ratkaisuja uusiin terveysongelmiin, parantaa yksilöllisiä hoitokokemusta kaikille, ehkäistä sairauksia ja lisätä perusterveydenhuollon roolia.</w:t>
      </w:r>
    </w:p>
    <w:p w14:paraId="6EE1EB86" w14:textId="77777777" w:rsidR="0065073E" w:rsidRDefault="000A0998">
      <w:pPr>
        <w:pStyle w:val="P68B1DB1-Normal4"/>
        <w:spacing w:before="120" w:after="120" w:line="240" w:lineRule="auto"/>
        <w:jc w:val="both"/>
        <w:rPr>
          <w:rFonts w:cs="Times New Roman"/>
          <w:noProof/>
        </w:rPr>
      </w:pPr>
      <w:r>
        <w:rPr>
          <w:noProof/>
        </w:rPr>
        <w:t xml:space="preserve">Uudistuksessa valmistellaan ja pannaan täytäntöön keskushallinnon ja itsehallintoalueiden vuonna 2019 hyväksymä toimintasuunnitelma perusterveydenhuollon ja yhteisöhoidon vahvistamista koskevien strategisten puitteiden kehittämiseksi. Toimintasuunnitelma rakentuu sellaisten toimintalinjojen ympärille, joissa hankkeiden alueellinen toteuttaminen on määriteltävä. Tähän sisältyy kliinisten hallintaprosessien parantaminen, diagnostisten laitteiden laajentaminen ja uudistaminen terveyskeskuksissa, tietotekniikan kehittäminen, ammattilaisten koulutus sekä terveyskeskusten ja terveys- ja pelastuspalvelujen infrastruktuurien parantaminen.  Toimintasuunnitelman hyväksyy alueidenvälinen neuvosto. Sen täytäntöönpanoa ei rahoiteta elpymis- ja palautumissuunnitelmasta. </w:t>
      </w:r>
    </w:p>
    <w:p w14:paraId="6C155FF3"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0B0ED941" w14:textId="77777777" w:rsidR="0065073E" w:rsidRDefault="000A0998">
      <w:pPr>
        <w:pStyle w:val="P68B1DB1-Normal5"/>
        <w:spacing w:before="120" w:after="120" w:line="240" w:lineRule="auto"/>
        <w:jc w:val="both"/>
        <w:rPr>
          <w:rFonts w:cs="Times New Roman"/>
          <w:noProof/>
        </w:rPr>
      </w:pPr>
      <w:r>
        <w:rPr>
          <w:noProof/>
        </w:rPr>
        <w:t>Uudistus 2 (C18.R2) – Julkisen terveydenhuoltojärjestelmän uudistaminen</w:t>
      </w:r>
    </w:p>
    <w:p w14:paraId="53B13C59" w14:textId="77777777" w:rsidR="0065073E" w:rsidRDefault="000A0998">
      <w:pPr>
        <w:pStyle w:val="P68B1DB1-Normal4"/>
        <w:spacing w:before="120" w:after="120" w:line="240" w:lineRule="auto"/>
        <w:jc w:val="both"/>
        <w:rPr>
          <w:rFonts w:cs="Times New Roman"/>
          <w:noProof/>
        </w:rPr>
      </w:pPr>
      <w:r>
        <w:rPr>
          <w:noProof/>
        </w:rPr>
        <w:t>Uudistuksen tavoitteena on luoda yleiset ja yhdennetyt puitteet kansanterveyden tarjoamiselle. Se koostuu kunnianhimoisemman, integroidumman ja paremmin niveltyneen julkisen terveydenhuoltojärjestelmän kehittämisestä seuraavien toimien avulla:</w:t>
      </w:r>
    </w:p>
    <w:p w14:paraId="516502D7" w14:textId="77777777" w:rsidR="0065073E" w:rsidRDefault="000A0998">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Kansanterveysstrategia, jolla luodaan yleinen ja yhdennetty kehys, joka otetaan huomioon kaikissa kansanterveyspolitiikoissa ja jonka kesto on viisi vuotta ja johon sisältyy joka toinen vuosi väliarvioinnit, joissa analysoidaan täytäntöönpanon astetta.</w:t>
      </w:r>
      <w:r>
        <w:rPr>
          <w:rFonts w:ascii="Times New Roman" w:hAnsi="Times New Roman"/>
          <w:noProof/>
          <w:sz w:val="18"/>
        </w:rPr>
        <w:t xml:space="preserve"> </w:t>
      </w:r>
      <w:r>
        <w:rPr>
          <w:rFonts w:ascii="Times New Roman" w:hAnsi="Times New Roman"/>
          <w:noProof/>
          <w:sz w:val="24"/>
        </w:rPr>
        <w:t>Strategia hyväksytään kansallisen terveydenhuoltojärjestelmän alueidenvälisen neuvoston suostumuksella.</w:t>
      </w:r>
    </w:p>
    <w:p w14:paraId="2B2ACA26" w14:textId="77777777" w:rsidR="0065073E" w:rsidRDefault="000A0998">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Kansanterveyden seurantaverkosto ja uusi kansanterveyden valtion keskus, jotka perustetaan lailla tai hallituksen asetuksella.</w:t>
      </w:r>
    </w:p>
    <w:p w14:paraId="2399D7B1"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5FF46A81" w14:textId="77777777" w:rsidR="0065073E" w:rsidRDefault="000A0998">
      <w:pPr>
        <w:pStyle w:val="P68B1DB1-Normal5"/>
        <w:spacing w:before="120" w:after="120" w:line="240" w:lineRule="auto"/>
        <w:jc w:val="both"/>
        <w:rPr>
          <w:rFonts w:cs="Times New Roman"/>
          <w:noProof/>
        </w:rPr>
      </w:pPr>
      <w:r>
        <w:rPr>
          <w:noProof/>
        </w:rPr>
        <w:t>Uudistus 3 (C18. R3) – Koheellisuuden, oikeudenmukaisuuden ja yleismaailmallisuuden vahvistaminen</w:t>
      </w:r>
    </w:p>
    <w:p w14:paraId="3EA6C276" w14:textId="77777777" w:rsidR="0065073E" w:rsidRDefault="000A0998">
      <w:pPr>
        <w:pStyle w:val="P68B1DB1-Normal4"/>
        <w:spacing w:before="120" w:after="120" w:line="240" w:lineRule="auto"/>
        <w:jc w:val="both"/>
        <w:rPr>
          <w:rFonts w:cs="Times New Roman"/>
          <w:noProof/>
        </w:rPr>
      </w:pPr>
      <w:r>
        <w:rPr>
          <w:noProof/>
        </w:rPr>
        <w:t>Uudistuksen tavoitteena on vahvistaa edelleen yleisen terveydenhuollon saatavuutta Espanjassa, tasa-arvoa terveydenhuollon saatavuudessa ja terveydenhuollon koheesiota maan eri alueiden välillä. Uudistus koostuu kolmesta pilarista:</w:t>
      </w:r>
    </w:p>
    <w:p w14:paraId="1E7EFC6A" w14:textId="77777777" w:rsidR="0065073E" w:rsidRDefault="000A0998">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Laki kansallisen terveydenhuoltojärjestelmän tasapuolisuudesta, yleismaailmallisuudesta ja yhteenkuuluvuudesta. Lain tavoitteet ovat seuraavat: I) varmistetaan terveydenhuollon saatavuus kaikille, ii) otetaan potilaiden edustajat mukaan Espanjan kansallisen terveydenhuoltojärjestelmän hallintoelimiin, iii) rajoitetaan uusien omavastuumaksujen käyttöä, iv) muutetaan sosiaali- ja terveysetuuksien määritelmää kansallisen terveydenhuoltojärjestelmän palveluvalikoimassa, v) varmistetaan koordinointi terveys- ja sosiaaliviranomaisten välillä, vi) otetaan käyttöön vaikutustenarviointi kaikista alan sääntelymuutoksista ja vii) uudistetaan lääkkeiden käyttöä kansallisessa terveydenhuoltojärjestelmässä. Tähän lakiin liitetään perusteellinen vaikutustenarviointi, jossa tarkastellaan myös sen vaikutuksia julkisen talouden pitkän aikavälin kestävyyteen, ja se on julkistettava.</w:t>
      </w:r>
    </w:p>
    <w:p w14:paraId="08A6364B" w14:textId="77777777" w:rsidR="0065073E" w:rsidRDefault="000A0998">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Erittäin monimutkaisen hoidon suuntaaminen uudelleen terveydenhuoltojärjestelmässä lujittamalla ja kehittämällä yhteyspisteiden verkostoa ja järjestelemällä uudelleen erittäin monimutkaista muuta kuin CSUR-hoitoa. </w:t>
      </w:r>
    </w:p>
    <w:p w14:paraId="6B7D8F2B" w14:textId="77777777" w:rsidR="0065073E" w:rsidRDefault="000A0998">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Julkisten terveyspalvelujen yhteisen valikoiman lisääminen. Uudistuksella laajennetaan ja parannetaan yhteisen palveluvalikoiman palveluja hammashoidon, genomilääketieteen, ortopedisen ja proteesihoidon sekä ennaltaehkäisevän hoidon kanssa.</w:t>
      </w:r>
    </w:p>
    <w:p w14:paraId="4AEA601A"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1C75AC79" w14:textId="77777777" w:rsidR="0065073E" w:rsidRDefault="000A0998">
      <w:pPr>
        <w:pStyle w:val="P68B1DB1-Normal5"/>
        <w:spacing w:before="120" w:after="120" w:line="240" w:lineRule="auto"/>
        <w:jc w:val="both"/>
        <w:rPr>
          <w:rFonts w:cs="Times New Roman"/>
          <w:noProof/>
        </w:rPr>
      </w:pPr>
      <w:r>
        <w:rPr>
          <w:noProof/>
        </w:rPr>
        <w:t>Uudistus 4 (C18. R4) – Ammatillisen osaamisen vahvistaminen ja määräaikaisten työsuhteiden vähentäminen</w:t>
      </w:r>
    </w:p>
    <w:p w14:paraId="69666E6E" w14:textId="77777777" w:rsidR="0065073E" w:rsidRDefault="000A0998">
      <w:pPr>
        <w:pStyle w:val="P68B1DB1-Normal4"/>
        <w:spacing w:before="120" w:after="120" w:line="240" w:lineRule="auto"/>
        <w:jc w:val="both"/>
        <w:rPr>
          <w:rFonts w:cs="Times New Roman"/>
          <w:noProof/>
        </w:rPr>
      </w:pPr>
      <w:r>
        <w:rPr>
          <w:noProof/>
        </w:rPr>
        <w:t xml:space="preserve">Uudistuksen tarkoituksena on puuttua sairaanhoitajien ja lääkäreiden puutteeseen, vähentää määräaikaisten työsopimusten käyttöä, parantaa työoloja sekä parantaa koulutusta ja ammatillista kehitystä. </w:t>
      </w:r>
    </w:p>
    <w:p w14:paraId="19A74EF3" w14:textId="77777777" w:rsidR="0065073E" w:rsidRDefault="000A0998">
      <w:pPr>
        <w:pStyle w:val="P68B1DB1-Normal4"/>
        <w:spacing w:before="120" w:after="120" w:line="240" w:lineRule="auto"/>
        <w:jc w:val="both"/>
        <w:rPr>
          <w:rFonts w:cs="Times New Roman"/>
          <w:noProof/>
        </w:rPr>
      </w:pPr>
      <w:r>
        <w:rPr>
          <w:noProof/>
        </w:rPr>
        <w:t>Uudistus kattaa kaksi alaa:</w:t>
      </w:r>
    </w:p>
    <w:p w14:paraId="5AEB2DA0" w14:textId="18D87F40" w:rsidR="0065073E" w:rsidRDefault="000A0998">
      <w:pPr>
        <w:pStyle w:val="P68B1DB1-Normal4"/>
        <w:numPr>
          <w:ilvl w:val="0"/>
          <w:numId w:val="130"/>
        </w:numPr>
        <w:spacing w:before="120" w:after="160" w:line="259" w:lineRule="auto"/>
        <w:ind w:left="1134" w:hanging="425"/>
        <w:jc w:val="both"/>
        <w:rPr>
          <w:noProof/>
        </w:rPr>
      </w:pPr>
      <w:r>
        <w:rPr>
          <w:noProof/>
        </w:rPr>
        <w:t>Terveydenhuollon työntekijöitä koskevan lain muuttaminen Espanjassa (terveyspalvelujen lakisääteisen henkilöstön puitesääntö) määräaikaisten työsuhteiden vähentämiseksi.  Lakia muutettaessa laaditaan kertomuksia sen taloudellisista vaikutuksista ja erityisesti julkisen talouden kestävyydestä annetun lain pitkän aikavälin vaikutuksista. Muutosta täydennetään muilla oikeudellisesti sitovilla säännöillä ja liitännäistoimenpiteillä, joilla</w:t>
      </w:r>
    </w:p>
    <w:p w14:paraId="25ABDE0A" w14:textId="5EA1AB79" w:rsidR="0065073E" w:rsidRDefault="000A0998">
      <w:pPr>
        <w:pStyle w:val="P68B1DB1-Normal4"/>
        <w:numPr>
          <w:ilvl w:val="8"/>
          <w:numId w:val="130"/>
        </w:numPr>
        <w:spacing w:before="120" w:after="160" w:line="259" w:lineRule="auto"/>
        <w:jc w:val="both"/>
        <w:rPr>
          <w:noProof/>
        </w:rPr>
      </w:pPr>
      <w:r>
        <w:rPr>
          <w:noProof/>
        </w:rPr>
        <w:t xml:space="preserve">Varmistetaan ammattilaisten lähettäminen tietyille maantieteellisille alueille, joita kannustintoimenpiteet eivät palvele riittävästi. </w:t>
      </w:r>
    </w:p>
    <w:p w14:paraId="428C83B7" w14:textId="600D2F0B" w:rsidR="0065073E" w:rsidRDefault="000A0998">
      <w:pPr>
        <w:pStyle w:val="P68B1DB1-Normal4"/>
        <w:numPr>
          <w:ilvl w:val="8"/>
          <w:numId w:val="130"/>
        </w:numPr>
        <w:spacing w:before="120" w:after="160" w:line="259" w:lineRule="auto"/>
        <w:jc w:val="both"/>
        <w:rPr>
          <w:noProof/>
        </w:rPr>
      </w:pPr>
      <w:r>
        <w:rPr>
          <w:noProof/>
        </w:rPr>
        <w:t xml:space="preserve">Parannetaan ympäristöä ja työoloja toimenpiteillä, joilla edistetään ammatillista kehitystä ja pidetään osaajia Espanjan järjestelmässä parantamalla taloudellisia olosuhteita ja avaamalla mahdollisuuksia terveydenhuoltoon, opetukseen ja tutkimukseen. </w:t>
      </w:r>
    </w:p>
    <w:p w14:paraId="23A5C93E" w14:textId="5E610F2E" w:rsidR="0065073E" w:rsidRDefault="000A0998">
      <w:pPr>
        <w:pStyle w:val="P68B1DB1-Normal4"/>
        <w:numPr>
          <w:ilvl w:val="0"/>
          <w:numId w:val="130"/>
        </w:numPr>
        <w:spacing w:before="120" w:after="160" w:line="259" w:lineRule="auto"/>
        <w:ind w:left="1134" w:hanging="425"/>
        <w:contextualSpacing/>
        <w:jc w:val="both"/>
        <w:rPr>
          <w:rFonts w:cs="Times New Roman"/>
          <w:noProof/>
        </w:rPr>
      </w:pPr>
      <w:r>
        <w:rPr>
          <w:noProof/>
        </w:rPr>
        <w:t>Terveydenhuoltoalan koulutusjärjestelmän parantamista koskevan kuninkaallisen asetuksen voimaantulo. Kuninkaallisessa asetuksessa säädetään monialaisesta koulutuksesta terveystieteiden erikoistumisessa, erityiskoulutusaloilla sekä terveystieteiden erikoispätevyyksien validointi- ja tunnustamismenettelystä.</w:t>
      </w:r>
    </w:p>
    <w:p w14:paraId="2A26071F" w14:textId="77777777" w:rsidR="0065073E" w:rsidRDefault="0065073E">
      <w:pPr>
        <w:spacing w:before="120" w:after="160" w:line="259" w:lineRule="auto"/>
        <w:ind w:left="1134"/>
        <w:contextualSpacing/>
        <w:jc w:val="both"/>
        <w:rPr>
          <w:rFonts w:ascii="Times New Roman" w:hAnsi="Times New Roman" w:cs="Times New Roman"/>
          <w:noProof/>
        </w:rPr>
      </w:pPr>
    </w:p>
    <w:p w14:paraId="0FEC0190" w14:textId="77777777" w:rsidR="0065073E" w:rsidRDefault="000A0998">
      <w:pPr>
        <w:pStyle w:val="P68B1DB1-Normal4"/>
        <w:spacing w:before="120" w:after="120" w:line="240" w:lineRule="auto"/>
        <w:jc w:val="both"/>
        <w:rPr>
          <w:rFonts w:cs="Times New Roman"/>
          <w:noProof/>
        </w:rPr>
      </w:pPr>
      <w:r>
        <w:rPr>
          <w:noProof/>
        </w:rPr>
        <w:t xml:space="preserve">Uudistus liittyy osa-alueen 11 uudistukseen 1 (C11.R1). </w:t>
      </w:r>
    </w:p>
    <w:p w14:paraId="6C04A7DC"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09A885C2" w14:textId="77777777" w:rsidR="0065073E" w:rsidRDefault="000A0998">
      <w:pPr>
        <w:pStyle w:val="P68B1DB1-Normal5"/>
        <w:spacing w:before="120" w:after="120" w:line="240" w:lineRule="auto"/>
        <w:jc w:val="both"/>
        <w:rPr>
          <w:rFonts w:cs="Times New Roman"/>
          <w:noProof/>
        </w:rPr>
      </w:pPr>
      <w:r>
        <w:rPr>
          <w:noProof/>
        </w:rPr>
        <w:t>Uudistus 5 (C18.R5) – Lääkkeitä koskevan sääntelyn uudistaminen ja lääkkeiden saatavuuden parantaminen</w:t>
      </w:r>
    </w:p>
    <w:p w14:paraId="21200712" w14:textId="77777777" w:rsidR="0065073E" w:rsidRDefault="000A0998">
      <w:pPr>
        <w:pStyle w:val="P68B1DB1-Normal4"/>
        <w:spacing w:before="120" w:after="120" w:line="240" w:lineRule="auto"/>
        <w:jc w:val="both"/>
        <w:rPr>
          <w:rFonts w:cs="Times New Roman"/>
          <w:noProof/>
        </w:rPr>
      </w:pPr>
      <w:r>
        <w:rPr>
          <w:noProof/>
        </w:rPr>
        <w:t xml:space="preserve">Uudistuksen päätavoitteena on saattaa ajan tasalle lääkkeitä ja lääkinnällisiä laitteita koskeva Espanjan sääntelykehys muuttamalla lääkkeiden ja lääkinnällisten laitteiden takuista ja järkiperäisestä käytöstä annettua lakia (kuninkaallinen asetus 1/2015, annettu 24 päivänä heinäkuuta 2015), joka on Espanjan lainsäädäntö, jolla vahvistetaan asiaa koskeva sääntelykehys.  Järjestelmää on erityisesti mukautettava, jotta se pystyy selviytymään uudesta disruptiivisesta tieteellisestä kehityksestä, syventämään toimenpiteitä, joilla järkeistetään lääkemenoja, kannustetaan lääkkeiden järkevään käyttöön ja tehdään muutoksia pandemian aikana saatujen kokemusten perusteella. Lakia laadittaessa laaditaan kertomuksia sen taloudellisista vaikutuksista ja erityisesti julkisen talouden kestävyydestä annetun lain pitkän aikavälin vaikutuksista. </w:t>
      </w:r>
    </w:p>
    <w:p w14:paraId="64BBFBBA" w14:textId="04C32DBA"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2023 mennessä.</w:t>
      </w:r>
    </w:p>
    <w:p w14:paraId="1AB505A2" w14:textId="77777777" w:rsidR="0065073E" w:rsidRDefault="000A0998">
      <w:pPr>
        <w:pStyle w:val="P68B1DB1-Normal5"/>
        <w:keepNext/>
        <w:spacing w:before="120" w:after="120" w:line="240" w:lineRule="auto"/>
        <w:jc w:val="both"/>
        <w:rPr>
          <w:rFonts w:cs="Times New Roman"/>
          <w:noProof/>
        </w:rPr>
      </w:pPr>
      <w:r>
        <w:rPr>
          <w:noProof/>
        </w:rPr>
        <w:t>Investointi 1 (C18.I1) – Kansallisen terveydenhuoltojärjestelmän huipputeknologian laitteita koskeva investointiohjelma</w:t>
      </w:r>
    </w:p>
    <w:p w14:paraId="2DA5E361" w14:textId="77777777" w:rsidR="0065073E" w:rsidRDefault="000A0998">
      <w:pPr>
        <w:pStyle w:val="P68B1DB1-Normal4"/>
        <w:keepNext/>
        <w:spacing w:before="120" w:after="120" w:line="240" w:lineRule="auto"/>
        <w:jc w:val="both"/>
        <w:rPr>
          <w:rFonts w:cs="Times New Roman"/>
          <w:noProof/>
        </w:rPr>
      </w:pPr>
      <w:r>
        <w:rPr>
          <w:noProof/>
        </w:rPr>
        <w:t>Espanjassa laitteiden vanheneminen on Euroopan keskiarvoa nopeampaa ja laitteiden keskimääräinen tiheys asukasta kohti on alhaisempi, mutta joitakin poikkeuksia lukuun ottamatta, kuten MRI-skannereita. Myös laitteiden maantieteellinen jakautuminen on epätasapainossa. Tämän investoinnin tavoitteena on uudistaa olemassa olevia laitteita ja tarjota Espanjalle lisää korkean teknologian lääkinnällisiä laitteita.</w:t>
      </w:r>
    </w:p>
    <w:p w14:paraId="5010DDAC" w14:textId="77777777" w:rsidR="0065073E" w:rsidRDefault="000A0998">
      <w:pPr>
        <w:pStyle w:val="P68B1DB1-Normal4"/>
        <w:spacing w:before="120" w:after="120" w:line="240" w:lineRule="auto"/>
        <w:jc w:val="both"/>
        <w:rPr>
          <w:rFonts w:cs="Times New Roman"/>
          <w:noProof/>
        </w:rPr>
      </w:pPr>
      <w:r>
        <w:rPr>
          <w:noProof/>
        </w:rPr>
        <w:t>Investointi kattaa:</w:t>
      </w:r>
    </w:p>
    <w:p w14:paraId="3214FCBB" w14:textId="77777777" w:rsidR="0065073E" w:rsidRDefault="000A0998">
      <w:pPr>
        <w:spacing w:before="120" w:after="120" w:line="240" w:lineRule="auto"/>
        <w:ind w:left="709"/>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Laitteiden uusiminen vanhenemisen vuoksi.</w:t>
      </w:r>
    </w:p>
    <w:p w14:paraId="6A306554" w14:textId="77777777" w:rsidR="0065073E" w:rsidRDefault="000A0998">
      <w:pPr>
        <w:spacing w:before="120" w:after="120" w:line="240" w:lineRule="auto"/>
        <w:ind w:left="1418" w:hanging="709"/>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Laitekannan laajentaminen, jotta voidaan tasapainottaa alueiden välisiä eroja ja saavuttaa asteittain Euroopan unionin keskiarvo miljoonia asukkaita kohden, keskittyen erityisesti Espanjan alueisiin, joiden asukaskohtainen tarjonta on kansalliseen keskiarvoon verrattuna riittämätöntä.</w:t>
      </w:r>
    </w:p>
    <w:p w14:paraId="5DAC27B9" w14:textId="618C19F0" w:rsidR="0065073E" w:rsidRDefault="000A0998">
      <w:pPr>
        <w:pStyle w:val="P68B1DB1-Normal4"/>
        <w:spacing w:before="120" w:after="120" w:line="240" w:lineRule="auto"/>
        <w:jc w:val="both"/>
        <w:rPr>
          <w:rFonts w:cs="Times New Roman"/>
          <w:noProof/>
        </w:rPr>
      </w:pPr>
      <w:r>
        <w:rPr>
          <w:noProof/>
        </w:rPr>
        <w:t>Suunnitelmaan on sisällyttävä seuraavantyyppiset laitteet: lineaariset kiihdyttimet, tietokoneavusteinen tomografia (CAT), mukaan lukien suunnittelukiihdyttimet; magneettiresonanssi, positronien säteilytomografia (PET), positronietetomografia ja CAT (PET-CAT), gammakammio, digitaaliset brakviterapialaitteet, verisuonten angiografia, neurorradiologinen angiografia ja hemodynaamiset huoneet.</w:t>
      </w:r>
    </w:p>
    <w:p w14:paraId="307CC6BD" w14:textId="77777777" w:rsidR="0065073E" w:rsidRDefault="000A0998">
      <w:pPr>
        <w:pStyle w:val="P68B1DB1-Normal4"/>
        <w:spacing w:before="120" w:after="120" w:line="240" w:lineRule="auto"/>
        <w:jc w:val="both"/>
        <w:rPr>
          <w:rFonts w:cs="Times New Roman"/>
          <w:noProof/>
        </w:rPr>
      </w:pPr>
      <w:r>
        <w:rPr>
          <w:noProof/>
        </w:rPr>
        <w:t>Investoinnin toteutus on saatettava päätökseen 31 päivään joulukuuta 2023 mennessä.</w:t>
      </w:r>
    </w:p>
    <w:p w14:paraId="3DE11508" w14:textId="77777777" w:rsidR="0065073E" w:rsidRDefault="000A0998">
      <w:pPr>
        <w:pStyle w:val="P68B1DB1-Normal5"/>
        <w:spacing w:before="120" w:after="120" w:line="240" w:lineRule="auto"/>
        <w:jc w:val="both"/>
        <w:rPr>
          <w:rFonts w:cs="Times New Roman"/>
          <w:noProof/>
        </w:rPr>
      </w:pPr>
      <w:r>
        <w:rPr>
          <w:noProof/>
        </w:rPr>
        <w:t>Investointi 2 (C18.I2) – Toimet ennaltaehkäisyn ja terveyden edistämisen tehostamiseksi</w:t>
      </w:r>
    </w:p>
    <w:p w14:paraId="7EF09B9C" w14:textId="77777777" w:rsidR="0065073E" w:rsidRDefault="000A0998">
      <w:pPr>
        <w:pStyle w:val="P68B1DB1-Normal4"/>
        <w:spacing w:before="120" w:after="120" w:line="240" w:lineRule="auto"/>
        <w:jc w:val="both"/>
        <w:rPr>
          <w:rFonts w:cs="Times New Roman"/>
          <w:noProof/>
        </w:rPr>
      </w:pPr>
      <w:r>
        <w:rPr>
          <w:noProof/>
        </w:rPr>
        <w:t>Tällä investoinnilla pyritään vahvistamaan ennaltaehkäisevää hoitoa. Siinä keskitytään erityisesti terveellisten elämäntapojen ja ympäristöjen edistämiseen. Sen on katettava muun muassa seuraavat alat: tupakoinnin torjunta, alkoholinkäytön ehkäiseminen, mielenterveyden edistäminen, terveellisten elinympäristöjen ja elintapojen edistäminen, mikrobilääkeresistenssiä koskeva suunnitelma ja syövän ehkäisy, mukaan lukien eurooppalaisten syöväntorjuntasääntöjen levittäminen.</w:t>
      </w:r>
    </w:p>
    <w:p w14:paraId="6F8EA95A" w14:textId="77777777" w:rsidR="0065073E" w:rsidRDefault="000A0998">
      <w:pPr>
        <w:pStyle w:val="P68B1DB1-Normal4"/>
        <w:spacing w:before="120" w:after="120" w:line="240" w:lineRule="auto"/>
        <w:jc w:val="both"/>
        <w:rPr>
          <w:rFonts w:cs="Times New Roman"/>
          <w:noProof/>
        </w:rPr>
      </w:pPr>
      <w:r>
        <w:rPr>
          <w:noProof/>
        </w:rPr>
        <w:t>Investoinnin toteutus on saatettava päätökseen 31 päivään joulukuuta 2023 mennessä.</w:t>
      </w:r>
    </w:p>
    <w:p w14:paraId="4F03E14C" w14:textId="77777777" w:rsidR="0065073E" w:rsidRDefault="000A0998">
      <w:pPr>
        <w:pStyle w:val="P68B1DB1-Normal5"/>
        <w:spacing w:before="120" w:after="120" w:line="240" w:lineRule="auto"/>
        <w:jc w:val="both"/>
        <w:rPr>
          <w:rFonts w:cs="Times New Roman"/>
          <w:noProof/>
        </w:rPr>
      </w:pPr>
      <w:r>
        <w:rPr>
          <w:noProof/>
        </w:rPr>
        <w:t>Investointi 3 (C18.I3) – Lisätään valmiuksia reagoida terveyskriiseihin</w:t>
      </w:r>
    </w:p>
    <w:p w14:paraId="62E70756" w14:textId="77777777" w:rsidR="0065073E" w:rsidRDefault="000A0998">
      <w:pPr>
        <w:pStyle w:val="P68B1DB1-Normal4"/>
        <w:spacing w:before="120" w:after="120" w:line="240" w:lineRule="auto"/>
        <w:jc w:val="both"/>
        <w:rPr>
          <w:rFonts w:cs="Times New Roman"/>
          <w:noProof/>
        </w:rPr>
      </w:pPr>
      <w:r>
        <w:rPr>
          <w:noProof/>
        </w:rPr>
        <w:t>Pandemia on korostanut tarvetta vahvistaa seuranta-, varhaishavainta- ja reagointivalmiuksia kriittisissä tilanteissa sekä tarvetta vahvistaa laboratorioiden ja terveydenhuollon laitosten valmiuksia. Investointi koostuu joukosta toimia, joilla pyritään lisäämään valmiuksia vastata tuleviin terveyskriiseihin:</w:t>
      </w:r>
    </w:p>
    <w:p w14:paraId="54114934" w14:textId="77777777" w:rsidR="0065073E" w:rsidRDefault="000A0998">
      <w:pPr>
        <w:pStyle w:val="P68B1DB1-Normal4"/>
        <w:spacing w:before="120" w:after="120" w:line="240" w:lineRule="auto"/>
        <w:ind w:left="720"/>
        <w:jc w:val="both"/>
        <w:rPr>
          <w:rFonts w:cs="Times New Roman"/>
          <w:noProof/>
        </w:rPr>
      </w:pPr>
      <w:r>
        <w:rPr>
          <w:noProof/>
        </w:rPr>
        <w:t>1. Uuden kansanterveyskeskuksen laitteet;</w:t>
      </w:r>
    </w:p>
    <w:p w14:paraId="36323D5D" w14:textId="77777777" w:rsidR="0065073E" w:rsidRDefault="000A0998">
      <w:pPr>
        <w:pStyle w:val="P68B1DB1-Normal4"/>
        <w:spacing w:before="120" w:after="120" w:line="240" w:lineRule="auto"/>
        <w:ind w:left="720"/>
        <w:jc w:val="both"/>
        <w:rPr>
          <w:rFonts w:cs="Times New Roman"/>
          <w:noProof/>
        </w:rPr>
      </w:pPr>
      <w:r>
        <w:rPr>
          <w:noProof/>
        </w:rPr>
        <w:t>2. Kansanterveyden seurannan tietojärjestelmä, jolla laajennetaan, parannetaan ja integroidaan Espanjassa tartuntatauteja ja ei-tarttuvia tauteja koskevia tietojärjestelmiä;</w:t>
      </w:r>
    </w:p>
    <w:p w14:paraId="4068DAB9" w14:textId="77777777" w:rsidR="0065073E" w:rsidRDefault="000A0998">
      <w:pPr>
        <w:pStyle w:val="P68B1DB1-Normal4"/>
        <w:spacing w:before="120" w:after="120" w:line="240" w:lineRule="auto"/>
        <w:ind w:left="720"/>
        <w:jc w:val="both"/>
        <w:rPr>
          <w:rFonts w:cs="Times New Roman"/>
          <w:noProof/>
        </w:rPr>
      </w:pPr>
      <w:r>
        <w:rPr>
          <w:noProof/>
        </w:rPr>
        <w:t>3. Melillan yliopistollisen sairaalan loppuun saattaminen ja kansallisen Dosmetriakeskuksen uuden rakennuksen rakentaminen;</w:t>
      </w:r>
    </w:p>
    <w:p w14:paraId="119BBF0E" w14:textId="56CBE7F9" w:rsidR="0065073E" w:rsidRDefault="000A0998">
      <w:pPr>
        <w:pStyle w:val="P68B1DB1-Normal4"/>
        <w:spacing w:before="120" w:after="120" w:line="240" w:lineRule="auto"/>
        <w:ind w:left="720"/>
        <w:jc w:val="both"/>
        <w:rPr>
          <w:rFonts w:cs="Times New Roman"/>
          <w:noProof/>
        </w:rPr>
      </w:pPr>
      <w:r>
        <w:rPr>
          <w:noProof/>
        </w:rPr>
        <w:t>4. Henkilökohtaisten suojavarusteiden testauslaboratorion kapasiteetin lisääminen kansallisessa työterveys- ja työturvallisuuslaitoksessa;</w:t>
      </w:r>
    </w:p>
    <w:p w14:paraId="1EFD3961" w14:textId="4EBDF077" w:rsidR="0065073E" w:rsidRDefault="000A0998">
      <w:pPr>
        <w:pStyle w:val="P68B1DB1-Normal4"/>
        <w:spacing w:before="120" w:after="120" w:line="240" w:lineRule="auto"/>
        <w:ind w:left="720"/>
        <w:jc w:val="both"/>
        <w:rPr>
          <w:rFonts w:cs="Times New Roman"/>
          <w:noProof/>
        </w:rPr>
      </w:pPr>
      <w:r>
        <w:rPr>
          <w:noProof/>
        </w:rPr>
        <w:t>5. Kansallisen elintarvikekeskuksen vahvistaminen;</w:t>
      </w:r>
    </w:p>
    <w:p w14:paraId="738F080A" w14:textId="77777777" w:rsidR="0065073E" w:rsidRDefault="000A0998">
      <w:pPr>
        <w:pStyle w:val="P68B1DB1-Normal4"/>
        <w:spacing w:before="120" w:after="120" w:line="240" w:lineRule="auto"/>
        <w:ind w:left="720"/>
        <w:jc w:val="both"/>
        <w:rPr>
          <w:rFonts w:cs="Times New Roman"/>
          <w:noProof/>
        </w:rPr>
      </w:pPr>
      <w:r>
        <w:rPr>
          <w:noProof/>
        </w:rPr>
        <w:t>6. Tekniset investoinnit lääkevirastoon ja kansalliseen elinsiirtojärjestöön;</w:t>
      </w:r>
    </w:p>
    <w:p w14:paraId="5134649D" w14:textId="77777777" w:rsidR="0065073E" w:rsidRDefault="000A0998">
      <w:pPr>
        <w:pStyle w:val="P68B1DB1-Normal4"/>
        <w:spacing w:before="120" w:after="120" w:line="240" w:lineRule="auto"/>
        <w:ind w:left="720"/>
        <w:jc w:val="both"/>
        <w:rPr>
          <w:rFonts w:cs="Times New Roman"/>
          <w:noProof/>
        </w:rPr>
      </w:pPr>
      <w:r>
        <w:rPr>
          <w:noProof/>
        </w:rPr>
        <w:t>7. Kansallisen terveydenhuoltojärjestelmän suorituskyvyn arviointi pandemian aikana.</w:t>
      </w:r>
    </w:p>
    <w:p w14:paraId="69794899" w14:textId="236625D9" w:rsidR="0065073E" w:rsidRDefault="000A0998">
      <w:pPr>
        <w:pStyle w:val="P68B1DB1-Normal4"/>
        <w:spacing w:before="120" w:after="120" w:line="240" w:lineRule="auto"/>
        <w:jc w:val="both"/>
        <w:rPr>
          <w:rFonts w:cs="Times New Roman"/>
          <w:noProof/>
        </w:rPr>
      </w:pPr>
      <w:r>
        <w:rPr>
          <w:noProof/>
        </w:rPr>
        <w:t xml:space="preserve">Investoinnin toteutus saatetaan päätökseen 31. joulukuuta 2025 mennessä. </w:t>
      </w:r>
    </w:p>
    <w:p w14:paraId="6CE2FA0F" w14:textId="77777777" w:rsidR="0065073E" w:rsidRDefault="000A0998">
      <w:pPr>
        <w:keepNext/>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Investointi 4 (C18.I4) – Terveydenhuollon ammattilaisten koulutus ja resurssit tietämyksen jakamiseksi ja</w:t>
      </w:r>
      <w:r>
        <w:rPr>
          <w:noProof/>
        </w:rPr>
        <w:t xml:space="preserve"> </w:t>
      </w:r>
      <w:r>
        <w:rPr>
          <w:rFonts w:ascii="Times New Roman" w:hAnsi="Times New Roman"/>
          <w:noProof/>
          <w:sz w:val="24"/>
          <w:u w:val="single"/>
        </w:rPr>
        <w:t>harvinaisia sairauksia sairastavien potilaiden hoidon parantaminen</w:t>
      </w:r>
    </w:p>
    <w:p w14:paraId="5AA0018A" w14:textId="77777777" w:rsidR="0065073E" w:rsidRDefault="000A0998">
      <w:pPr>
        <w:pStyle w:val="P68B1DB1-Normal4"/>
        <w:keepNext/>
        <w:tabs>
          <w:tab w:val="left" w:pos="1560"/>
        </w:tabs>
        <w:spacing w:before="120" w:after="120" w:line="240" w:lineRule="auto"/>
        <w:jc w:val="both"/>
        <w:rPr>
          <w:rFonts w:cs="Times New Roman"/>
          <w:noProof/>
        </w:rPr>
      </w:pPr>
      <w:r>
        <w:rPr>
          <w:noProof/>
        </w:rPr>
        <w:t xml:space="preserve">Tällä investoinnilla pyritään vahvistamaan terveydenhuollon ammattilaisten taitoja ja osaamista keskittyen erityisesti koulutukseen, joka liittyy Espanjan elpymis- ja palautumissuunnitelman tämän komponentin uudistuksiin ja investointeihin. Sillä pyritään myös edistämään välineitä, joiden avulla terveydenhuollon ammattilaiset voivat jakaa tietoa terveydenhuollon koordinoinnin ja laadun parantamiseksi, myös tämän osa-alueen kattamilla painopistealoilla. Lisäksi sillä pyritään parantamaan harvinaisia sairauksia sairastavien potilaiden hoitoa. </w:t>
      </w:r>
    </w:p>
    <w:p w14:paraId="47680125" w14:textId="20C6B3CD" w:rsidR="0065073E" w:rsidRDefault="000A0998">
      <w:pPr>
        <w:pStyle w:val="P68B1DB1-Normal4"/>
        <w:keepNext/>
        <w:tabs>
          <w:tab w:val="left" w:pos="1560"/>
        </w:tabs>
        <w:spacing w:before="120" w:after="120" w:line="240" w:lineRule="auto"/>
        <w:jc w:val="both"/>
        <w:rPr>
          <w:rFonts w:cs="Times New Roman"/>
          <w:noProof/>
        </w:rPr>
      </w:pPr>
      <w:r>
        <w:rPr>
          <w:noProof/>
        </w:rPr>
        <w:t>Investointi kattaa viisi alaa:</w:t>
      </w:r>
    </w:p>
    <w:p w14:paraId="7C00C580" w14:textId="77777777" w:rsidR="0065073E" w:rsidRDefault="000A0998">
      <w:pPr>
        <w:pStyle w:val="P68B1DB1-Normal4"/>
        <w:numPr>
          <w:ilvl w:val="0"/>
          <w:numId w:val="131"/>
        </w:numPr>
        <w:spacing w:before="120" w:after="160" w:line="259" w:lineRule="auto"/>
        <w:contextualSpacing/>
        <w:jc w:val="both"/>
        <w:rPr>
          <w:rFonts w:cs="Times New Roman"/>
          <w:noProof/>
        </w:rPr>
      </w:pPr>
      <w:r>
        <w:rPr>
          <w:noProof/>
        </w:rPr>
        <w:t>Jatkokoulutus seuraavilla aloilla: terveysteknologian ja tietojärjestelmien käyttö, kansanterveyden ja epidemiologian seuranta, potilas- ja ammattiturvallisuus, diagnoosi- ja hoitoresurssien järkevä käyttö, syövän varhainen havaitseminen, mielenterveys, ympäristöterveys, riskitekijöiden ehkäiseminen, sukupuoleen perustuvan väkivallan varhainen havaitseminen, lasten hyväksikäytön, bioetiikan, elinkaaren loppuhoidon varhainen havaitseminen, kliininen viestintä, näyttöön perustuva lääketiede, ryhmätyö, tutkimusmenetelmät, terveyskeskuksista vastaavien johtamistaitojen kehittäminen, terveydenhuollon erityiskoulutuksen ohjaajien koulutus ja jatkokoulutuksen arvioijien koulutus.</w:t>
      </w:r>
    </w:p>
    <w:p w14:paraId="44A5B044" w14:textId="77777777" w:rsidR="0065073E" w:rsidRDefault="000A0998">
      <w:pPr>
        <w:pStyle w:val="P68B1DB1-Normal4"/>
        <w:numPr>
          <w:ilvl w:val="0"/>
          <w:numId w:val="131"/>
        </w:numPr>
        <w:spacing w:before="120" w:after="160" w:line="259" w:lineRule="auto"/>
        <w:contextualSpacing/>
        <w:jc w:val="both"/>
        <w:rPr>
          <w:rFonts w:cs="Times New Roman"/>
          <w:noProof/>
        </w:rPr>
      </w:pPr>
      <w:r>
        <w:rPr>
          <w:noProof/>
        </w:rPr>
        <w:t>Kansallisen terveydenhuoltojärjestelmän ammattilaisten hankkimien sääntelemättömien taitojen arviointi- ja hyväksymisjärjestelmän perustaminen</w:t>
      </w:r>
    </w:p>
    <w:p w14:paraId="69259F98" w14:textId="01EC7B45" w:rsidR="0065073E" w:rsidRDefault="000A0998">
      <w:pPr>
        <w:pStyle w:val="P68B1DB1-Normal4"/>
        <w:numPr>
          <w:ilvl w:val="0"/>
          <w:numId w:val="131"/>
        </w:numPr>
        <w:spacing w:before="120" w:after="160" w:line="259" w:lineRule="auto"/>
        <w:contextualSpacing/>
        <w:jc w:val="both"/>
        <w:rPr>
          <w:rFonts w:cs="Times New Roman"/>
          <w:noProof/>
        </w:rPr>
      </w:pPr>
      <w:r>
        <w:rPr>
          <w:noProof/>
        </w:rPr>
        <w:t xml:space="preserve">Yhteistyövälineet erittäin monimutkaisissa olosuhteissa. </w:t>
      </w:r>
    </w:p>
    <w:p w14:paraId="3A263ED7" w14:textId="3C2D1E89" w:rsidR="0065073E" w:rsidRDefault="000A0998">
      <w:pPr>
        <w:pStyle w:val="P68B1DB1-Normal4"/>
        <w:numPr>
          <w:ilvl w:val="0"/>
          <w:numId w:val="131"/>
        </w:numPr>
        <w:spacing w:before="120" w:after="160" w:line="259" w:lineRule="auto"/>
        <w:contextualSpacing/>
        <w:jc w:val="both"/>
        <w:rPr>
          <w:rFonts w:cs="Times New Roman"/>
          <w:noProof/>
        </w:rPr>
      </w:pPr>
      <w:r>
        <w:rPr>
          <w:noProof/>
        </w:rPr>
        <w:t xml:space="preserve">Tietokonepohjaisen kartoituksen kehittäminen varhaishoitoa ja genomilääketiedettä koskevien yhteisten resurssien ja palvelujen visualisoimiseksi Espanjassa. </w:t>
      </w:r>
    </w:p>
    <w:p w14:paraId="68459F49" w14:textId="652616A6" w:rsidR="0065073E" w:rsidRDefault="000A0998">
      <w:pPr>
        <w:pStyle w:val="P68B1DB1-Normal4"/>
        <w:numPr>
          <w:ilvl w:val="0"/>
          <w:numId w:val="131"/>
        </w:numPr>
        <w:spacing w:before="120" w:after="160" w:line="259" w:lineRule="auto"/>
        <w:contextualSpacing/>
        <w:jc w:val="both"/>
        <w:rPr>
          <w:rFonts w:cs="Times New Roman"/>
          <w:noProof/>
        </w:rPr>
      </w:pPr>
      <w:r>
        <w:rPr>
          <w:noProof/>
        </w:rPr>
        <w:t>Saatetaan päätökseen pilottihankkeet, joiden tarkoituksena on varustaa kansallinen terveydenhuoltojärjestelmä yhteentoimivilla valmiuksilla, infrastruktuurilla, laitteilla ja tietojärjestelmillä, joilla helpotetaan harvinaisia sairauksia sairastavien potilaiden terveydenhuollon parantamista.</w:t>
      </w:r>
    </w:p>
    <w:p w14:paraId="64290D2A" w14:textId="77777777" w:rsidR="0065073E" w:rsidRDefault="0065073E">
      <w:pPr>
        <w:spacing w:before="120" w:after="160" w:line="259" w:lineRule="auto"/>
        <w:ind w:left="720"/>
        <w:contextualSpacing/>
        <w:jc w:val="both"/>
        <w:rPr>
          <w:rFonts w:ascii="Times New Roman" w:hAnsi="Times New Roman" w:cs="Times New Roman"/>
          <w:noProof/>
          <w:sz w:val="24"/>
        </w:rPr>
      </w:pPr>
    </w:p>
    <w:p w14:paraId="15EAF733" w14:textId="2E759F62"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721A2B6D" w14:textId="76DB5867" w:rsidR="0065073E" w:rsidRDefault="000A0998">
      <w:pPr>
        <w:pStyle w:val="P68B1DB1-Normal5"/>
        <w:spacing w:before="120" w:after="120" w:line="240" w:lineRule="auto"/>
        <w:jc w:val="both"/>
        <w:rPr>
          <w:rFonts w:cs="Times New Roman"/>
          <w:noProof/>
        </w:rPr>
      </w:pPr>
      <w:r>
        <w:rPr>
          <w:noProof/>
        </w:rPr>
        <w:t>Investointi 5 (C18.I5) – Suunnitelma lääkkeiden kulutuksen järkeistämiseksi ja kestävyyden edistämiseksi sekä genomipalvelujen valikoiman laajentamiseksi kansallisessa terveydenhuoltojärjestelmässä</w:t>
      </w:r>
    </w:p>
    <w:p w14:paraId="7100F4DF" w14:textId="77777777" w:rsidR="0065073E" w:rsidRDefault="000A0998">
      <w:pPr>
        <w:pStyle w:val="P68B1DB1-Normal4"/>
        <w:spacing w:before="120" w:after="120" w:line="240" w:lineRule="auto"/>
        <w:jc w:val="both"/>
        <w:rPr>
          <w:rFonts w:cs="Times New Roman"/>
          <w:noProof/>
        </w:rPr>
      </w:pPr>
      <w:r>
        <w:rPr>
          <w:noProof/>
        </w:rPr>
        <w:t>Investointi koostuu lääkkeiden ja lääkinnällisten laitteiden käytön järkeistämistä koskevan suunnitelman täytäntöönpanosta. Suunnitelman tavoitteena on saavuttaa seuraavat tavoitteet:</w:t>
      </w:r>
    </w:p>
    <w:p w14:paraId="4CBF0E04" w14:textId="77777777" w:rsidR="0065073E" w:rsidRDefault="000A0998">
      <w:pPr>
        <w:pStyle w:val="P68B1DB1-Normal4"/>
        <w:numPr>
          <w:ilvl w:val="0"/>
          <w:numId w:val="132"/>
        </w:numPr>
        <w:spacing w:before="120" w:after="120" w:line="259" w:lineRule="auto"/>
        <w:ind w:left="714" w:hanging="357"/>
        <w:contextualSpacing/>
        <w:jc w:val="both"/>
        <w:rPr>
          <w:rFonts w:cs="Times New Roman"/>
          <w:noProof/>
        </w:rPr>
      </w:pPr>
      <w:r>
        <w:rPr>
          <w:noProof/>
        </w:rPr>
        <w:t>käyttää lääkinnällisiä tuotteita vain silloin, kun ne ovat tarpeen, ja jos niitä käytetään, käyttää kustannustehokkaimpia tuotteita;</w:t>
      </w:r>
    </w:p>
    <w:p w14:paraId="2EB85BAE" w14:textId="71704731" w:rsidR="0065073E" w:rsidRDefault="000A0998">
      <w:pPr>
        <w:pStyle w:val="P68B1DB1-Normal4"/>
        <w:numPr>
          <w:ilvl w:val="0"/>
          <w:numId w:val="132"/>
        </w:numPr>
        <w:spacing w:before="120" w:after="120" w:line="259" w:lineRule="auto"/>
        <w:ind w:left="714" w:hanging="357"/>
        <w:contextualSpacing/>
        <w:jc w:val="both"/>
        <w:rPr>
          <w:rFonts w:cs="Times New Roman"/>
          <w:noProof/>
        </w:rPr>
      </w:pPr>
      <w:r>
        <w:rPr>
          <w:noProof/>
        </w:rPr>
        <w:t xml:space="preserve">vähennetään polyapteekkia (useampi kuin viisi lääkettä) ja lääkkeiden tarpeetonta käyttöä;  </w:t>
      </w:r>
    </w:p>
    <w:p w14:paraId="6B0DB5E6" w14:textId="7B6825C6" w:rsidR="0065073E" w:rsidRDefault="000A0998">
      <w:pPr>
        <w:pStyle w:val="P68B1DB1-Normal4"/>
        <w:numPr>
          <w:ilvl w:val="0"/>
          <w:numId w:val="132"/>
        </w:numPr>
        <w:spacing w:before="120" w:after="120" w:line="259" w:lineRule="auto"/>
        <w:ind w:left="714" w:hanging="357"/>
        <w:contextualSpacing/>
        <w:jc w:val="both"/>
        <w:rPr>
          <w:rFonts w:cs="Times New Roman"/>
          <w:noProof/>
        </w:rPr>
      </w:pPr>
      <w:r>
        <w:rPr>
          <w:noProof/>
        </w:rPr>
        <w:t>vähennetään uusiin lääkkeisiin liittyvää kliinistä epävarmuutta lisäämällä tieteellistä tietämystä, parantamalla saatavilla olevaa tietoa ja vähentämällä taloudellista epävarmuutta.</w:t>
      </w:r>
    </w:p>
    <w:p w14:paraId="0DB07811" w14:textId="2250D2DE" w:rsidR="0065073E" w:rsidRDefault="000A0998">
      <w:pPr>
        <w:pStyle w:val="P68B1DB1-ListParagraph6"/>
        <w:numPr>
          <w:ilvl w:val="0"/>
          <w:numId w:val="132"/>
        </w:numPr>
        <w:spacing w:before="120" w:after="120"/>
        <w:ind w:left="714" w:hanging="357"/>
        <w:jc w:val="both"/>
        <w:rPr>
          <w:rFonts w:cs="Times New Roman"/>
          <w:noProof/>
        </w:rPr>
      </w:pPr>
      <w:r>
        <w:rPr>
          <w:noProof/>
        </w:rPr>
        <w:t>laajennetaan genomipalvelujen valikoimaa kansallisessa terveydenhuoltojärjestelmässä</w:t>
      </w:r>
    </w:p>
    <w:p w14:paraId="45FAD8ED" w14:textId="77777777" w:rsidR="0065073E" w:rsidRDefault="000A0998">
      <w:pPr>
        <w:pStyle w:val="P68B1DB1-Normal4"/>
        <w:spacing w:before="120" w:after="120" w:line="240" w:lineRule="auto"/>
        <w:jc w:val="both"/>
        <w:rPr>
          <w:rFonts w:cs="Times New Roman"/>
          <w:noProof/>
        </w:rPr>
      </w:pPr>
      <w:r>
        <w:rPr>
          <w:noProof/>
        </w:rPr>
        <w:t>Suunnitelmaan sisältyy kolmen järjestelmän luominen tai kehittäminen lääkkeiden ja terveysteknologian arvioinnin parantamiseksi Espanjassa:</w:t>
      </w:r>
    </w:p>
    <w:p w14:paraId="4360D124" w14:textId="77777777" w:rsidR="0065073E" w:rsidRDefault="000A0998">
      <w:pPr>
        <w:pStyle w:val="P68B1DB1-Normal4"/>
        <w:numPr>
          <w:ilvl w:val="0"/>
          <w:numId w:val="134"/>
        </w:numPr>
        <w:spacing w:before="120" w:after="160" w:line="259" w:lineRule="auto"/>
        <w:contextualSpacing/>
        <w:jc w:val="both"/>
        <w:rPr>
          <w:rFonts w:cs="Times New Roman"/>
          <w:noProof/>
        </w:rPr>
      </w:pPr>
      <w:r>
        <w:rPr>
          <w:noProof/>
        </w:rPr>
        <w:t>Lääkkeiden arviointiverkoston perustaminen kansallisessa terveydenhuoltojärjestelmässä: On kehitettävä tekninen alusta lääkkeiden arviointi- ja paikannusraporttien hallinnointia ja jakamista varten (joissa analysoidaan uusien lääkkeiden lisäarvoa niiden kustannustehokkuuden perusteella) niiden eri kehitysvaiheissa.</w:t>
      </w:r>
    </w:p>
    <w:p w14:paraId="74443222" w14:textId="77777777" w:rsidR="0065073E" w:rsidRDefault="000A0998">
      <w:pPr>
        <w:pStyle w:val="P68B1DB1-Normal4"/>
        <w:numPr>
          <w:ilvl w:val="0"/>
          <w:numId w:val="134"/>
        </w:numPr>
        <w:spacing w:before="120" w:after="160" w:line="259" w:lineRule="auto"/>
        <w:contextualSpacing/>
        <w:jc w:val="both"/>
        <w:rPr>
          <w:rFonts w:cs="Times New Roman"/>
          <w:noProof/>
        </w:rPr>
      </w:pPr>
      <w:r>
        <w:rPr>
          <w:noProof/>
        </w:rPr>
        <w:t>Suurivaikutteisten lääkkeiden järjestelmän (VALTERMED) laajentaminen. Väline perustuu hallinnollisten, kliinisten ja terapeuttisten tietojen rekisteriin, jonka avulla voidaan seurata ja analysoida potilaiden lähtötilannetta ja kehitystä farmakologisen hoidon aloittamisen jälkeen. Tämän uuden välineen tavoite on integroitava itsehallintoalueiden tietojärjestelmiin, ja siihen on sisällytettävä tietoa lääkkeiden vaikutuksesta potilaiden elämänlaatuun.</w:t>
      </w:r>
    </w:p>
    <w:p w14:paraId="77443D4E" w14:textId="77777777" w:rsidR="0065073E" w:rsidRDefault="000A0998">
      <w:pPr>
        <w:pStyle w:val="P68B1DB1-Normal4"/>
        <w:numPr>
          <w:ilvl w:val="0"/>
          <w:numId w:val="134"/>
        </w:numPr>
        <w:spacing w:before="120" w:after="160" w:line="240" w:lineRule="auto"/>
        <w:contextualSpacing/>
        <w:jc w:val="both"/>
        <w:rPr>
          <w:rFonts w:cs="Times New Roman"/>
          <w:noProof/>
        </w:rPr>
      </w:pPr>
      <w:r>
        <w:rPr>
          <w:noProof/>
        </w:rPr>
        <w:t>Perustetaan Espanjan terveysteknologia- ja hoitoverkosto (RedETS). Verkostolla on keskeinen rooli tieteellisen ja teknisen neuvonnan antamisessa päätöksentekoa varten terveysteknologian ja -palvelujen sisällyttämisestä julkiseen rahoitukseen. Teknologisen alustan avulla on voitava hallinnoida ja jakaa RedETS-tuotteita niiden eri kehitysvaiheissa verkoston virastojen/yksiköiden kesken sekä seurata kullekin vaiheelle määriteltyjen määräaikojen noudattamista.</w:t>
      </w:r>
    </w:p>
    <w:p w14:paraId="26438FF8" w14:textId="2197C04D" w:rsidR="0065073E" w:rsidRDefault="000A0998">
      <w:pPr>
        <w:spacing w:before="120" w:after="120" w:line="240" w:lineRule="auto"/>
        <w:contextualSpacing/>
        <w:jc w:val="both"/>
        <w:rPr>
          <w:rFonts w:ascii="Times New Roman" w:hAnsi="Times New Roman" w:cs="Times New Roman"/>
          <w:noProof/>
          <w:sz w:val="24"/>
        </w:rPr>
      </w:pPr>
      <w:r>
        <w:rPr>
          <w:rFonts w:ascii="Times New Roman" w:hAnsi="Times New Roman"/>
          <w:noProof/>
          <w:sz w:val="24"/>
        </w:rPr>
        <w:t xml:space="preserve">Investoinnin on </w:t>
      </w:r>
      <w:r>
        <w:rPr>
          <w:noProof/>
        </w:rPr>
        <w:t>i ncludettava hankkeita</w:t>
      </w:r>
      <w:r>
        <w:rPr>
          <w:rFonts w:ascii="Times New Roman" w:hAnsi="Times New Roman"/>
          <w:noProof/>
          <w:sz w:val="24"/>
        </w:rPr>
        <w:t>, jotka liittyvät seuraaviin: rinnakkais- ja biosimilaarilääkkeiden käytön edistäminen, ortopedisten ja proteesisten palvelujen ja tuotteiden kehittäminen ja nykyaikaistaminen, terveydenhuollon ammattilaisten koulutus lääkkeiden järkevästä käytöstä sekä ratkaisut lääkeinnovaatioiden edistämiseksi.</w:t>
      </w:r>
    </w:p>
    <w:p w14:paraId="08F6D3F2" w14:textId="77C6FB3F" w:rsidR="0065073E" w:rsidRDefault="000A0998">
      <w:pPr>
        <w:pStyle w:val="ListParagraph"/>
        <w:spacing w:before="120" w:after="120" w:line="240" w:lineRule="auto"/>
        <w:ind w:left="0"/>
        <w:jc w:val="both"/>
        <w:rPr>
          <w:rFonts w:ascii="Times New Roman" w:hAnsi="Times New Roman" w:cs="Times New Roman"/>
          <w:noProof/>
          <w:sz w:val="24"/>
        </w:rPr>
      </w:pPr>
      <w:r>
        <w:rPr>
          <w:rFonts w:ascii="Times New Roman" w:hAnsi="Times New Roman"/>
          <w:noProof/>
          <w:sz w:val="24"/>
        </w:rPr>
        <w:t>Investoinnilla laajennetaan</w:t>
      </w:r>
      <w:r>
        <w:rPr>
          <w:noProof/>
        </w:rPr>
        <w:t xml:space="preserve"> </w:t>
      </w:r>
      <w:r>
        <w:rPr>
          <w:rFonts w:ascii="Times New Roman" w:hAnsi="Times New Roman"/>
          <w:noProof/>
          <w:sz w:val="24"/>
        </w:rPr>
        <w:t xml:space="preserve">myös kansallisen terveydenhuoltojärjestelmän geneettisen testauksen luetteloa hankkimalla tarvittavat laitteet ja luomalla tietojärjestelmä genomitiedon integroimiseksi kansallisella tasolla. </w:t>
      </w:r>
    </w:p>
    <w:p w14:paraId="002D9CE5" w14:textId="77777777" w:rsidR="0065073E" w:rsidRDefault="0065073E">
      <w:pPr>
        <w:pStyle w:val="ListParagraph"/>
        <w:spacing w:before="120" w:after="120" w:line="240" w:lineRule="auto"/>
        <w:ind w:left="0"/>
        <w:jc w:val="both"/>
        <w:rPr>
          <w:rFonts w:ascii="Times New Roman" w:hAnsi="Times New Roman" w:cs="Times New Roman"/>
          <w:noProof/>
          <w:sz w:val="24"/>
        </w:rPr>
      </w:pPr>
    </w:p>
    <w:p w14:paraId="70E8B695" w14:textId="7AD8693D" w:rsidR="0065073E" w:rsidRDefault="000A0998">
      <w:pPr>
        <w:pStyle w:val="P68B1DB1-ListParagraph6"/>
        <w:spacing w:before="120" w:after="120" w:line="240" w:lineRule="auto"/>
        <w:ind w:left="0"/>
        <w:jc w:val="both"/>
        <w:rPr>
          <w:rFonts w:cs="Times New Roman"/>
          <w:noProof/>
        </w:rPr>
      </w:pPr>
      <w:r>
        <w:rPr>
          <w:noProof/>
        </w:rPr>
        <w:t>Investoinnin toteutus saatetaan päätökseen viimeistään 30. kesäkuuta 2026.</w:t>
      </w:r>
    </w:p>
    <w:p w14:paraId="2AB17794" w14:textId="77777777" w:rsidR="0065073E" w:rsidRDefault="000A0998">
      <w:pPr>
        <w:pStyle w:val="P68B1DB1-Normal5"/>
        <w:spacing w:before="120" w:after="120" w:line="240" w:lineRule="auto"/>
        <w:jc w:val="both"/>
        <w:rPr>
          <w:rFonts w:cs="Times New Roman"/>
          <w:noProof/>
        </w:rPr>
      </w:pPr>
      <w:r>
        <w:rPr>
          <w:noProof/>
        </w:rPr>
        <w:t>Investointi 6 (C18.I6) – Terveystietojärvi</w:t>
      </w:r>
    </w:p>
    <w:p w14:paraId="75453DF5" w14:textId="678F28DA" w:rsidR="0065073E" w:rsidRDefault="000A0998">
      <w:pPr>
        <w:pStyle w:val="P68B1DB1-Normal4"/>
        <w:spacing w:before="120" w:after="120" w:line="240" w:lineRule="auto"/>
        <w:jc w:val="both"/>
        <w:rPr>
          <w:rFonts w:cs="Times New Roman"/>
          <w:noProof/>
        </w:rPr>
      </w:pPr>
      <w:r>
        <w:rPr>
          <w:noProof/>
        </w:rPr>
        <w:t>Investointi koostuu sellaisen terveystietojärven luomisesta, joka kerää tietoa eri tietojärjestelmistä, myös alueellisista järjestelmistä, ja jonka tarkoituksena on helpottaa reaaliaikaista verilöylysointia diagnostiikan ja hoidon tukemiseksi ja parantamiseksi, riskitekijöiden tunnistaminen, kehityssuuntausten analysointi, mallien tunnistaminen, terveysriskitilanteiden ennustaminen ja niihin liittyvien resurssien ohjelmointi, mukaan lukien tekoälyalgoritmien käyttö, sekä uudet skaalattavat järjestelmäarkkitehtuurit ja mallien uudet käsittely- ja tunnistamisvälineet.</w:t>
      </w:r>
    </w:p>
    <w:p w14:paraId="7C66CDFF" w14:textId="7BFFB978" w:rsidR="0065073E" w:rsidRDefault="000A0998">
      <w:pPr>
        <w:pStyle w:val="P68B1DB1-Normal4"/>
        <w:spacing w:before="120" w:after="120" w:line="240" w:lineRule="auto"/>
        <w:jc w:val="both"/>
        <w:rPr>
          <w:rFonts w:cs="Times New Roman"/>
          <w:noProof/>
        </w:rPr>
      </w:pPr>
      <w:r>
        <w:rPr>
          <w:noProof/>
        </w:rPr>
        <w:t>Investoinnin toteutus saatetaan päätökseen 31. joulukuuta 2025 mennessä.</w:t>
      </w:r>
    </w:p>
    <w:p w14:paraId="0EF9A25B"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R.2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9D63422"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499AC33C"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421"/>
          <w:headerReference w:type="default" r:id="rId422"/>
          <w:footerReference w:type="even" r:id="rId423"/>
          <w:footerReference w:type="default" r:id="rId424"/>
          <w:headerReference w:type="first" r:id="rId425"/>
          <w:footerReference w:type="first" r:id="rId426"/>
          <w:pgSz w:w="11907" w:h="16839"/>
          <w:pgMar w:top="1134" w:right="1134" w:bottom="1134" w:left="1134" w:header="567" w:footer="567" w:gutter="0"/>
          <w:cols w:space="720"/>
          <w:docGrid w:linePitch="360"/>
        </w:sectPr>
      </w:pPr>
    </w:p>
    <w:tbl>
      <w:tblPr>
        <w:tblW w:w="15286"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828"/>
        <w:gridCol w:w="814"/>
        <w:gridCol w:w="2733"/>
        <w:gridCol w:w="1241"/>
        <w:gridCol w:w="691"/>
        <w:gridCol w:w="966"/>
        <w:gridCol w:w="553"/>
        <w:gridCol w:w="553"/>
        <w:gridCol w:w="553"/>
        <w:gridCol w:w="5517"/>
      </w:tblGrid>
      <w:tr w:rsidR="0065073E" w14:paraId="62D43E99" w14:textId="77777777">
        <w:trPr>
          <w:trHeight w:val="309"/>
          <w:tblHeader/>
        </w:trPr>
        <w:tc>
          <w:tcPr>
            <w:tcW w:w="837" w:type="dxa"/>
            <w:tcBorders>
              <w:bottom w:val="nil"/>
            </w:tcBorders>
            <w:shd w:val="clear" w:color="auto" w:fill="C6D9F1" w:themeFill="text2" w:themeFillTint="33"/>
            <w:noWrap/>
            <w:vAlign w:val="center"/>
          </w:tcPr>
          <w:p w14:paraId="5140A831" w14:textId="4C2C83B0" w:rsidR="0065073E" w:rsidRDefault="000A0998">
            <w:pPr>
              <w:pStyle w:val="P68B1DB1-Normal8"/>
              <w:spacing w:after="0" w:line="240" w:lineRule="auto"/>
              <w:jc w:val="center"/>
              <w:rPr>
                <w:rFonts w:cs="Times New Roman"/>
                <w:noProof/>
              </w:rPr>
            </w:pPr>
            <w:r>
              <w:rPr>
                <w:noProof/>
              </w:rPr>
              <w:t>Määrä</w:t>
            </w:r>
          </w:p>
        </w:tc>
        <w:tc>
          <w:tcPr>
            <w:tcW w:w="828" w:type="dxa"/>
            <w:tcBorders>
              <w:bottom w:val="nil"/>
            </w:tcBorders>
            <w:shd w:val="clear" w:color="auto" w:fill="C6D9F1" w:themeFill="text2" w:themeFillTint="33"/>
            <w:noWrap/>
            <w:vAlign w:val="center"/>
          </w:tcPr>
          <w:p w14:paraId="38814002" w14:textId="62C4C95B" w:rsidR="0065073E" w:rsidRDefault="000A0998">
            <w:pPr>
              <w:pStyle w:val="P68B1DB1-Normal8"/>
              <w:spacing w:after="0" w:line="240" w:lineRule="auto"/>
              <w:jc w:val="center"/>
              <w:rPr>
                <w:rFonts w:cs="Times New Roman"/>
                <w:noProof/>
              </w:rPr>
            </w:pPr>
            <w:r>
              <w:rPr>
                <w:noProof/>
              </w:rPr>
              <w:t>Toimenpide</w:t>
            </w:r>
          </w:p>
        </w:tc>
        <w:tc>
          <w:tcPr>
            <w:tcW w:w="814" w:type="dxa"/>
            <w:tcBorders>
              <w:bottom w:val="nil"/>
            </w:tcBorders>
            <w:shd w:val="clear" w:color="auto" w:fill="C6D9F1" w:themeFill="text2" w:themeFillTint="33"/>
            <w:noWrap/>
            <w:vAlign w:val="center"/>
          </w:tcPr>
          <w:p w14:paraId="51816F42" w14:textId="326DA0C5"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733" w:type="dxa"/>
            <w:tcBorders>
              <w:bottom w:val="nil"/>
            </w:tcBorders>
            <w:shd w:val="clear" w:color="auto" w:fill="C6D9F1" w:themeFill="text2" w:themeFillTint="33"/>
            <w:noWrap/>
            <w:vAlign w:val="center"/>
          </w:tcPr>
          <w:p w14:paraId="6D960B58" w14:textId="32BD70F2" w:rsidR="0065073E" w:rsidRDefault="000A0998">
            <w:pPr>
              <w:pStyle w:val="P68B1DB1-Normal8"/>
              <w:spacing w:after="0" w:line="240" w:lineRule="auto"/>
              <w:jc w:val="center"/>
              <w:rPr>
                <w:rFonts w:cs="Times New Roman"/>
                <w:noProof/>
              </w:rPr>
            </w:pPr>
            <w:r>
              <w:rPr>
                <w:noProof/>
              </w:rPr>
              <w:t>Nimi</w:t>
            </w:r>
          </w:p>
        </w:tc>
        <w:tc>
          <w:tcPr>
            <w:tcW w:w="1241" w:type="dxa"/>
            <w:tcBorders>
              <w:bottom w:val="nil"/>
            </w:tcBorders>
            <w:shd w:val="clear" w:color="auto" w:fill="C6D9F1" w:themeFill="text2" w:themeFillTint="33"/>
            <w:noWrap/>
            <w:vAlign w:val="center"/>
          </w:tcPr>
          <w:p w14:paraId="303E1D0A" w14:textId="28A2C36A" w:rsidR="0065073E" w:rsidRDefault="000A0998">
            <w:pPr>
              <w:pStyle w:val="P68B1DB1-Normal8"/>
              <w:spacing w:after="0" w:line="240" w:lineRule="auto"/>
              <w:jc w:val="center"/>
              <w:rPr>
                <w:rFonts w:cs="Times New Roman"/>
                <w:noProof/>
              </w:rPr>
            </w:pPr>
            <w:r>
              <w:rPr>
                <w:noProof/>
              </w:rPr>
              <w:t>Välitavoitteiden laadullinen indikaattori</w:t>
            </w:r>
          </w:p>
        </w:tc>
        <w:tc>
          <w:tcPr>
            <w:tcW w:w="2210" w:type="dxa"/>
            <w:gridSpan w:val="3"/>
            <w:shd w:val="clear" w:color="auto" w:fill="C6D9F1" w:themeFill="text2" w:themeFillTint="33"/>
            <w:noWrap/>
            <w:vAlign w:val="center"/>
          </w:tcPr>
          <w:p w14:paraId="59ECDC07" w14:textId="072F88A3" w:rsidR="0065073E" w:rsidRDefault="000A0998">
            <w:pPr>
              <w:pStyle w:val="P68B1DB1-Normal8"/>
              <w:spacing w:after="0" w:line="240" w:lineRule="auto"/>
              <w:jc w:val="center"/>
              <w:rPr>
                <w:rFonts w:cs="Times New Roman"/>
                <w:noProof/>
              </w:rPr>
            </w:pPr>
            <w:r>
              <w:rPr>
                <w:noProof/>
              </w:rPr>
              <w:t>Määrällinen indikaattori tavoitteelle</w:t>
            </w:r>
          </w:p>
        </w:tc>
        <w:tc>
          <w:tcPr>
            <w:tcW w:w="1106" w:type="dxa"/>
            <w:gridSpan w:val="2"/>
            <w:shd w:val="clear" w:color="auto" w:fill="C6D9F1" w:themeFill="text2" w:themeFillTint="33"/>
            <w:noWrap/>
            <w:vAlign w:val="center"/>
          </w:tcPr>
          <w:p w14:paraId="6EC1D8C0" w14:textId="4599817F" w:rsidR="0065073E" w:rsidRDefault="000A0998">
            <w:pPr>
              <w:pStyle w:val="P68B1DB1-Normal8"/>
              <w:spacing w:after="0" w:line="240" w:lineRule="auto"/>
              <w:jc w:val="center"/>
              <w:rPr>
                <w:rFonts w:cs="Times New Roman"/>
                <w:noProof/>
              </w:rPr>
            </w:pPr>
            <w:r>
              <w:rPr>
                <w:noProof/>
              </w:rPr>
              <w:t>Aika</w:t>
            </w:r>
          </w:p>
        </w:tc>
        <w:tc>
          <w:tcPr>
            <w:tcW w:w="5517" w:type="dxa"/>
            <w:tcBorders>
              <w:bottom w:val="nil"/>
            </w:tcBorders>
            <w:shd w:val="clear" w:color="auto" w:fill="C6D9F1" w:themeFill="text2" w:themeFillTint="33"/>
            <w:noWrap/>
            <w:vAlign w:val="center"/>
          </w:tcPr>
          <w:p w14:paraId="1DA52048" w14:textId="2D09CC64"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12D5620" w14:textId="77777777">
        <w:trPr>
          <w:trHeight w:val="309"/>
          <w:tblHeader/>
        </w:trPr>
        <w:tc>
          <w:tcPr>
            <w:tcW w:w="837"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65073E" w:rsidRDefault="0065073E">
            <w:pPr>
              <w:spacing w:after="0" w:line="240" w:lineRule="auto"/>
              <w:jc w:val="center"/>
              <w:rPr>
                <w:rFonts w:ascii="Times New Roman" w:hAnsi="Times New Roman" w:cs="Times New Roman"/>
                <w:b/>
                <w:noProof/>
                <w:sz w:val="18"/>
              </w:rPr>
            </w:pPr>
          </w:p>
        </w:tc>
        <w:tc>
          <w:tcPr>
            <w:tcW w:w="814"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65073E" w:rsidRDefault="0065073E">
            <w:pPr>
              <w:spacing w:after="0" w:line="240" w:lineRule="auto"/>
              <w:jc w:val="center"/>
              <w:rPr>
                <w:rFonts w:ascii="Times New Roman" w:hAnsi="Times New Roman" w:cs="Times New Roman"/>
                <w:b/>
                <w:noProof/>
                <w:sz w:val="18"/>
              </w:rPr>
            </w:pPr>
          </w:p>
        </w:tc>
        <w:tc>
          <w:tcPr>
            <w:tcW w:w="2733"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65073E" w:rsidRDefault="0065073E">
            <w:pPr>
              <w:spacing w:after="0" w:line="240" w:lineRule="auto"/>
              <w:rPr>
                <w:rFonts w:ascii="Times New Roman" w:hAnsi="Times New Roman" w:cs="Times New Roman"/>
                <w:b/>
                <w:noProof/>
                <w:sz w:val="18"/>
              </w:rPr>
            </w:pPr>
          </w:p>
        </w:tc>
        <w:tc>
          <w:tcPr>
            <w:tcW w:w="1241"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65073E" w:rsidRDefault="0065073E">
            <w:pPr>
              <w:spacing w:after="0" w:line="240" w:lineRule="auto"/>
              <w:jc w:val="center"/>
              <w:rPr>
                <w:rFonts w:ascii="Times New Roman" w:hAnsi="Times New Roman" w:cs="Times New Roman"/>
                <w:b/>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65073E" w:rsidRDefault="000A0998">
            <w:pPr>
              <w:pStyle w:val="P68B1DB1-Normal8"/>
              <w:spacing w:after="0" w:line="240" w:lineRule="auto"/>
              <w:jc w:val="center"/>
              <w:rPr>
                <w:rFonts w:cs="Times New Roman"/>
                <w:noProof/>
              </w:rPr>
            </w:pPr>
            <w:r>
              <w:rPr>
                <w:noProof/>
              </w:rPr>
              <w:t>Yksikkö</w:t>
            </w:r>
          </w:p>
        </w:tc>
        <w:tc>
          <w:tcPr>
            <w:tcW w:w="9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20E6FDB2" w:rsidR="0065073E" w:rsidRDefault="000A0998">
            <w:pPr>
              <w:pStyle w:val="P68B1DB1-Normal8"/>
              <w:spacing w:after="0" w:line="240" w:lineRule="auto"/>
              <w:jc w:val="center"/>
              <w:rPr>
                <w:rFonts w:cs="Times New Roman"/>
                <w:noProof/>
              </w:rPr>
            </w:pPr>
            <w:r>
              <w:rPr>
                <w:noProof/>
              </w:rPr>
              <w:t>Lähtötaso</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65073E" w:rsidRDefault="000A0998">
            <w:pPr>
              <w:pStyle w:val="P68B1DB1-Normal8"/>
              <w:spacing w:after="0" w:line="240" w:lineRule="auto"/>
              <w:jc w:val="center"/>
              <w:rPr>
                <w:rFonts w:cs="Times New Roman"/>
                <w:noProof/>
              </w:rPr>
            </w:pPr>
            <w:r>
              <w:rPr>
                <w:noProof/>
              </w:rPr>
              <w:t>Päämäärä</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65073E" w:rsidRDefault="0065073E">
            <w:pPr>
              <w:spacing w:after="0" w:line="240" w:lineRule="auto"/>
              <w:jc w:val="center"/>
              <w:rPr>
                <w:rFonts w:ascii="Times New Roman" w:hAnsi="Times New Roman" w:cs="Times New Roman"/>
                <w:b/>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65073E" w:rsidRDefault="0065073E">
            <w:pPr>
              <w:spacing w:after="0" w:line="240" w:lineRule="auto"/>
              <w:jc w:val="center"/>
              <w:rPr>
                <w:rFonts w:ascii="Times New Roman" w:hAnsi="Times New Roman" w:cs="Times New Roman"/>
                <w:b/>
                <w:noProof/>
                <w:sz w:val="18"/>
              </w:rPr>
            </w:pPr>
          </w:p>
        </w:tc>
        <w:tc>
          <w:tcPr>
            <w:tcW w:w="5517"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65073E" w:rsidRDefault="0065073E">
            <w:pPr>
              <w:spacing w:after="0" w:line="240" w:lineRule="auto"/>
              <w:rPr>
                <w:rFonts w:ascii="Times New Roman" w:hAnsi="Times New Roman" w:cs="Times New Roman"/>
                <w:b/>
                <w:noProof/>
                <w:sz w:val="18"/>
              </w:rPr>
            </w:pPr>
          </w:p>
        </w:tc>
      </w:tr>
      <w:tr w:rsidR="0065073E" w14:paraId="16052931"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65073E" w:rsidRDefault="000A0998">
            <w:pPr>
              <w:pStyle w:val="P68B1DB1-Normal12"/>
              <w:spacing w:after="0" w:line="240" w:lineRule="auto"/>
              <w:jc w:val="center"/>
              <w:rPr>
                <w:rFonts w:eastAsia="Times New Roman" w:cs="Times New Roman"/>
                <w:noProof/>
              </w:rPr>
            </w:pPr>
            <w:r>
              <w:rPr>
                <w:noProof/>
              </w:rPr>
              <w:t>273</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65073E" w:rsidRDefault="000A0998">
            <w:pPr>
              <w:pStyle w:val="P68B1DB1-Normal12"/>
              <w:spacing w:after="0" w:line="240" w:lineRule="auto"/>
              <w:jc w:val="center"/>
              <w:rPr>
                <w:rFonts w:eastAsia="Times New Roman" w:cs="Times New Roman"/>
                <w:noProof/>
              </w:rPr>
            </w:pPr>
            <w:r>
              <w:rPr>
                <w:noProof/>
              </w:rPr>
              <w:t>C18.R1</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65073E" w:rsidRDefault="000A0998">
            <w:pPr>
              <w:pStyle w:val="P68B1DB1-Normal12"/>
              <w:spacing w:after="0" w:line="240" w:lineRule="auto"/>
              <w:rPr>
                <w:rFonts w:cs="Times New Roman"/>
                <w:noProof/>
              </w:rPr>
            </w:pPr>
            <w:r>
              <w:rPr>
                <w:noProof/>
              </w:rPr>
              <w:t>Perusterveydenhuoltoa ja yhteisöhoitoa koskeva toimintasuunnitelma</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65073E" w:rsidRDefault="000A0998">
            <w:pPr>
              <w:pStyle w:val="P68B1DB1-Normal12"/>
              <w:spacing w:after="0" w:line="240" w:lineRule="auto"/>
              <w:jc w:val="center"/>
              <w:rPr>
                <w:rFonts w:eastAsia="Times New Roman" w:cs="Times New Roman"/>
                <w:noProof/>
              </w:rPr>
            </w:pPr>
            <w:r>
              <w:rPr>
                <w:noProof/>
              </w:rPr>
              <w:t xml:space="preserve">Alueidenvälisen </w:t>
            </w:r>
            <w:r>
              <w:rPr>
                <w:i/>
                <w:noProof/>
              </w:rPr>
              <w:t>Consejon hyväksyntä</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65073E" w:rsidRDefault="000A0998">
            <w:pPr>
              <w:pStyle w:val="P68B1DB1-Normal12"/>
              <w:spacing w:after="0" w:line="240" w:lineRule="auto"/>
              <w:rPr>
                <w:rFonts w:eastAsia="Times New Roman" w:cs="Times New Roman"/>
                <w:noProof/>
              </w:rPr>
            </w:pPr>
            <w:r>
              <w:rPr>
                <w:noProof/>
              </w:rPr>
              <w:t>Toimintasuunnitelman päätavoitteena on vahvistaa perushoitoa kansallisessa terveydenhuoltojärjestelmässä, jotta voidaan vastata paremmin uusiin terveysongelmiin, parantaa yksilöllisiä hoitokokemusta kaikille, ehkäistä sairauksia ja lisätä perusterveydenhuollon valmiuksia ratkaista terveysongelmia.</w:t>
            </w:r>
          </w:p>
        </w:tc>
      </w:tr>
      <w:tr w:rsidR="0065073E" w14:paraId="311F85DC"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65073E" w:rsidRDefault="000A0998">
            <w:pPr>
              <w:pStyle w:val="P68B1DB1-Normal12"/>
              <w:spacing w:after="0" w:line="240" w:lineRule="auto"/>
              <w:jc w:val="center"/>
              <w:rPr>
                <w:rFonts w:eastAsia="Times New Roman" w:cs="Times New Roman"/>
                <w:noProof/>
              </w:rPr>
            </w:pPr>
            <w:r>
              <w:rPr>
                <w:noProof/>
              </w:rPr>
              <w:t>274</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65073E" w:rsidRDefault="000A0998">
            <w:pPr>
              <w:pStyle w:val="P68B1DB1-Normal12"/>
              <w:spacing w:after="0" w:line="240" w:lineRule="auto"/>
              <w:jc w:val="center"/>
              <w:rPr>
                <w:rFonts w:eastAsia="Times New Roman" w:cs="Times New Roman"/>
                <w:noProof/>
              </w:rPr>
            </w:pPr>
            <w:r>
              <w:rPr>
                <w:noProof/>
              </w:rPr>
              <w:t>C18.R2</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65073E" w:rsidRDefault="000A0998">
            <w:pPr>
              <w:pStyle w:val="P68B1DB1-Normal12"/>
              <w:spacing w:after="0" w:line="240" w:lineRule="auto"/>
              <w:rPr>
                <w:rFonts w:eastAsia="Times New Roman" w:cs="Times New Roman"/>
                <w:noProof/>
              </w:rPr>
            </w:pPr>
            <w:r>
              <w:rPr>
                <w:noProof/>
              </w:rPr>
              <w:t xml:space="preserve">Espanjan kansanterveysstrategian hyväksyminen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65073E" w:rsidRDefault="000A0998">
            <w:pPr>
              <w:pStyle w:val="P68B1DB1-Normal12"/>
              <w:spacing w:after="0" w:line="240" w:lineRule="auto"/>
              <w:jc w:val="center"/>
              <w:rPr>
                <w:rFonts w:eastAsia="Times New Roman" w:cs="Times New Roman"/>
                <w:noProof/>
              </w:rPr>
            </w:pPr>
            <w:r>
              <w:rPr>
                <w:noProof/>
              </w:rPr>
              <w:t xml:space="preserve">Alueidenvälisen Sanidadin </w:t>
            </w:r>
            <w:r>
              <w:rPr>
                <w:i/>
                <w:noProof/>
              </w:rPr>
              <w:t>Consejon hyväksyntä</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65073E" w:rsidRDefault="000A0998">
            <w:pPr>
              <w:pStyle w:val="P68B1DB1-Normal12"/>
              <w:spacing w:after="0" w:line="240" w:lineRule="auto"/>
              <w:jc w:val="center"/>
              <w:rPr>
                <w:rFonts w:eastAsia="Times New Roman" w:cs="Times New Roman"/>
                <w:noProof/>
              </w:rPr>
            </w:pPr>
            <w:r>
              <w:rPr>
                <w:noProof/>
              </w:rPr>
              <w:t>2022</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65073E" w:rsidRDefault="000A0998">
            <w:pPr>
              <w:pStyle w:val="P68B1DB1-Normal12"/>
              <w:spacing w:after="0" w:line="240" w:lineRule="auto"/>
              <w:rPr>
                <w:rFonts w:eastAsia="Times New Roman" w:cs="Times New Roman"/>
                <w:noProof/>
              </w:rPr>
            </w:pPr>
            <w:r>
              <w:rPr>
                <w:noProof/>
              </w:rPr>
              <w:t xml:space="preserve">Kansanterveysstrategiassa vahvistetaan kansanterveystoimia koskevat strategiset suuntaviivat koko Espanjassa. Strategian tavoitteena on parantaa Espanjan väestön terveyttä määrittelemällä keskeiset toimintalinjat ja painopisteet, joita kaikkien terveyshallintojen on noudatettava kansanterveyden edistämistä, ennaltaehkäisyä ja suojelua koskevissa politiikoissaan, kohdeväestöä koskevissa toimissa, kansalaisille tiedottamisessa, ammattilaisten koulutuksessa ja heidän tarpeisiinsa vastaamisessa. Strategialla on varmistettava, että kansanterveys ja terveydenhuollon yhtäläinen saatavuus otetaan huomioon kaikessa julkisessa politiikassa, ja sillä helpotetaan alojen välistä toimintaa tällä alalla. Sen on kestettävä viisi vuotta, ja siitä on tehtävä kahden vuoden välein väliarvioinnit, joissa analysoidaan täytäntöönpanon astetta. Siihen on sisällyttävä kaikkia kansanterveyden osa-alueita koskevia toimenpiteitä ja toimia, jotka toteutetaan Espanjan kaikkien terveyshallintojen politiikoissa, suunnitelmissa ja ohjelmissa strategian voimassaoloaikana strategiassa asetetuissa määräajoissa.  </w:t>
            </w:r>
          </w:p>
        </w:tc>
      </w:tr>
      <w:tr w:rsidR="0065073E" w14:paraId="3EB075B5"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65073E" w:rsidRDefault="000A0998">
            <w:pPr>
              <w:pStyle w:val="P68B1DB1-Normal12"/>
              <w:spacing w:after="0" w:line="240" w:lineRule="auto"/>
              <w:jc w:val="center"/>
              <w:rPr>
                <w:rFonts w:eastAsia="Times New Roman" w:cs="Times New Roman"/>
                <w:noProof/>
              </w:rPr>
            </w:pPr>
            <w:r>
              <w:rPr>
                <w:noProof/>
              </w:rPr>
              <w:t>275</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65073E" w:rsidRDefault="000A0998">
            <w:pPr>
              <w:pStyle w:val="P68B1DB1-Normal12"/>
              <w:spacing w:after="0" w:line="240" w:lineRule="auto"/>
              <w:jc w:val="center"/>
              <w:rPr>
                <w:rFonts w:eastAsia="Times New Roman" w:cs="Times New Roman"/>
                <w:noProof/>
              </w:rPr>
            </w:pPr>
            <w:r>
              <w:rPr>
                <w:noProof/>
              </w:rPr>
              <w:t>C18.R3</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65073E" w:rsidRDefault="000A0998">
            <w:pPr>
              <w:pStyle w:val="P68B1DB1-Normal12"/>
              <w:spacing w:after="0" w:line="240" w:lineRule="auto"/>
              <w:rPr>
                <w:rFonts w:eastAsia="Times New Roman" w:cs="Times New Roman"/>
                <w:noProof/>
              </w:rPr>
            </w:pPr>
            <w:r>
              <w:rPr>
                <w:noProof/>
              </w:rPr>
              <w:t>Laki kansallisen terveydenhuoltojärjestelmän tasapuolisuudesta, yleismaailmallisuudesta ja yhteenkuuluvuudesta sekä erittäin monimutkaisen hoidon uudelleensuuntaamisesta ja yhteisen palveluvalikoiman lisäämisestä</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77777777" w:rsidR="0065073E" w:rsidRDefault="000A0998">
            <w:pPr>
              <w:pStyle w:val="P68B1DB1-Normal12"/>
              <w:spacing w:after="0" w:line="240" w:lineRule="auto"/>
              <w:jc w:val="center"/>
              <w:rPr>
                <w:rFonts w:eastAsia="Times New Roman" w:cs="Times New Roman"/>
                <w:noProof/>
              </w:rPr>
            </w:pPr>
            <w:r>
              <w:rPr>
                <w:noProof/>
              </w:rPr>
              <w:t xml:space="preserve">Lain voimaantulo ja Consejo Inter territorial Sanidadin antamat hyväksynnät  </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65073E" w:rsidRDefault="000A0998">
            <w:pPr>
              <w:pStyle w:val="P68B1DB1-Normal12"/>
              <w:spacing w:after="0" w:line="240" w:lineRule="auto"/>
              <w:rPr>
                <w:rFonts w:cs="Times New Roman"/>
                <w:noProof/>
              </w:rPr>
            </w:pPr>
            <w:r>
              <w:rPr>
                <w:noProof/>
              </w:rPr>
              <w:t xml:space="preserve">Lain ja sen osatekijöiden tavoitteet ovat seuraavat: Varmistetaan terveydenhuollon saatavuus kaikille, integroidaan potilaiden edustajat Espanjan kansallisen terveydenhuoltojärjestelmän hallintoelimiin, rajoitetaan uusien omavastuuosuuksien käyttöä, muutetaan sosiaali- ja terveysetuuksien määritelmää kansallisessa terveydenhuoltojärjestelmässä, varmistetaan koordinointi terveys- ja sosiaaliviranomaisten välillä, otetaan käyttöön vaikutustenarviointi kaikista alan sääntelymuutoksista ja lopuksi uudistetaan lääkkeiden käyttöä kansallisessa terveydenhuoltojärjestelmässä. Tähän lakiin on liitettävä perusteellinen vaikutustenarviointi, joka on myös julkistettava ja jossa tarkastellaan myös sen vaikutuksia julkisen talouden pitkän aikavälin kestävyyteen. </w:t>
            </w:r>
          </w:p>
          <w:p w14:paraId="46D8381A" w14:textId="77777777" w:rsidR="0065073E" w:rsidRDefault="0065073E">
            <w:pPr>
              <w:spacing w:after="0" w:line="240" w:lineRule="auto"/>
              <w:rPr>
                <w:rFonts w:ascii="Times New Roman" w:hAnsi="Times New Roman" w:cs="Times New Roman"/>
                <w:noProof/>
                <w:sz w:val="18"/>
              </w:rPr>
            </w:pPr>
          </w:p>
          <w:p w14:paraId="6FED2239" w14:textId="5AFA5792" w:rsidR="0065073E" w:rsidRDefault="000A0998">
            <w:pPr>
              <w:pStyle w:val="P68B1DB1-Normal12"/>
              <w:spacing w:after="0" w:line="240" w:lineRule="auto"/>
              <w:rPr>
                <w:rFonts w:cs="Times New Roman"/>
                <w:noProof/>
              </w:rPr>
            </w:pPr>
            <w:r>
              <w:rPr>
                <w:noProof/>
              </w:rPr>
              <w:t xml:space="preserve">Consejon alueen välisen </w:t>
            </w:r>
            <w:r>
              <w:rPr>
                <w:i/>
                <w:noProof/>
              </w:rPr>
              <w:t>Sanidadin sopimuksen jälkeen tulee voimaan</w:t>
            </w:r>
            <w:r>
              <w:rPr>
                <w:noProof/>
              </w:rPr>
              <w:t xml:space="preserve"> ministeriön määräys, jolla lisätään julkisten terveyspalvelujen yhteistä valikoimaa ainakin laajentamalla ja parantamalla hammashoitoon, genomilääketieteeseen, ortopediseen ja proteesihoitoon ja ennaltaehkäisevään hoitoon liittyviä palveluja. </w:t>
            </w:r>
          </w:p>
          <w:p w14:paraId="7746CA4F" w14:textId="77777777" w:rsidR="0065073E" w:rsidRDefault="0065073E">
            <w:pPr>
              <w:spacing w:after="0" w:line="240" w:lineRule="auto"/>
              <w:rPr>
                <w:rFonts w:ascii="Times New Roman" w:hAnsi="Times New Roman" w:cs="Times New Roman"/>
                <w:noProof/>
                <w:sz w:val="18"/>
              </w:rPr>
            </w:pPr>
          </w:p>
          <w:p w14:paraId="71CC1E39" w14:textId="7C562A4E" w:rsidR="0065073E" w:rsidRDefault="000A0998">
            <w:pPr>
              <w:pStyle w:val="P68B1DB1-Normal12"/>
              <w:spacing w:after="0" w:line="240" w:lineRule="auto"/>
              <w:rPr>
                <w:rFonts w:eastAsia="Times New Roman" w:cs="Times New Roman"/>
                <w:noProof/>
              </w:rPr>
            </w:pPr>
            <w:r>
              <w:rPr>
                <w:i/>
                <w:noProof/>
              </w:rPr>
              <w:t>Consejo Inter territorial Sanidad</w:t>
            </w:r>
            <w:r>
              <w:rPr>
                <w:noProof/>
              </w:rPr>
              <w:t xml:space="preserve"> hyväksyy yhteyspisteiden verkoston vahvistamisen ja kehittämisen sekä muiden kuin kyseisten keskusten, palvelujen ja viiteyksiköiden (CSUR) hallinnoiman hoidon uudelleenjärjestämisen</w:t>
            </w:r>
          </w:p>
        </w:tc>
      </w:tr>
      <w:tr w:rsidR="0065073E" w14:paraId="2A694D2D"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65073E" w:rsidRDefault="000A0998">
            <w:pPr>
              <w:pStyle w:val="P68B1DB1-Normal12"/>
              <w:spacing w:after="0" w:line="240" w:lineRule="auto"/>
              <w:jc w:val="center"/>
              <w:rPr>
                <w:rFonts w:eastAsia="Times New Roman" w:cs="Times New Roman"/>
                <w:noProof/>
              </w:rPr>
            </w:pPr>
            <w:r>
              <w:rPr>
                <w:noProof/>
              </w:rPr>
              <w:t>276</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65073E" w:rsidRDefault="000A0998">
            <w:pPr>
              <w:pStyle w:val="P68B1DB1-Normal12"/>
              <w:spacing w:after="0" w:line="240" w:lineRule="auto"/>
              <w:jc w:val="center"/>
              <w:rPr>
                <w:rFonts w:eastAsia="Times New Roman" w:cs="Times New Roman"/>
                <w:noProof/>
              </w:rPr>
            </w:pPr>
            <w:r>
              <w:rPr>
                <w:noProof/>
              </w:rPr>
              <w:t>C18.R4</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2B4C6ABE" w:rsidR="0065073E" w:rsidRDefault="000A0998">
            <w:pPr>
              <w:pStyle w:val="P68B1DB1-Normal12"/>
              <w:spacing w:after="0" w:line="240" w:lineRule="auto"/>
              <w:rPr>
                <w:rFonts w:eastAsia="Times New Roman" w:cs="Times New Roman"/>
                <w:noProof/>
              </w:rPr>
            </w:pPr>
            <w:r>
              <w:rPr>
                <w:noProof/>
              </w:rPr>
              <w:t>Laki lakisääteisen terveydenhuollon henkilöstön puitesäännöstä, muista täydentävistä toimenpiteistä ja erikoistuneen terveydenhuoltoalan koulutusjärjestelmän parantamisesta</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7777777" w:rsidR="0065073E" w:rsidRDefault="000A0998">
            <w:pPr>
              <w:pStyle w:val="P68B1DB1-Normal12"/>
              <w:spacing w:after="0" w:line="240" w:lineRule="auto"/>
              <w:jc w:val="center"/>
              <w:rPr>
                <w:rFonts w:eastAsia="Times New Roman" w:cs="Times New Roman"/>
                <w:noProof/>
              </w:rPr>
            </w:pPr>
            <w:r>
              <w:rPr>
                <w:noProof/>
              </w:rPr>
              <w:t>Lainmuutoksen voimaantulo ja kuninkaan asetuksen voimaantulo</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950B7B8" w14:textId="58322BE4" w:rsidR="0065073E" w:rsidRDefault="000A0998">
            <w:pPr>
              <w:pStyle w:val="P68B1DB1-Normal12"/>
              <w:spacing w:after="0" w:line="240" w:lineRule="auto"/>
              <w:rPr>
                <w:noProof/>
              </w:rPr>
            </w:pPr>
            <w:r>
              <w:rPr>
                <w:noProof/>
              </w:rPr>
              <w:t>Puitesääntö on perussääntö, jolla säännellään pääsyä terveysvirkamiehen asemaan ja säännellään virkojen tarjoamista, ylennystä, liikkuvuutta ja työoloja.</w:t>
            </w:r>
          </w:p>
          <w:p w14:paraId="5451E507" w14:textId="77777777" w:rsidR="0065073E" w:rsidRDefault="000A0998">
            <w:pPr>
              <w:spacing w:after="0" w:line="240" w:lineRule="auto"/>
              <w:rPr>
                <w:rFonts w:ascii="Times New Roman" w:hAnsi="Times New Roman"/>
                <w:noProof/>
                <w:sz w:val="18"/>
              </w:rPr>
            </w:pPr>
            <w:r>
              <w:rPr>
                <w:rFonts w:ascii="Times New Roman" w:hAnsi="Times New Roman"/>
                <w:noProof/>
                <w:sz w:val="18"/>
              </w:rPr>
              <w:t xml:space="preserve">Muutoksella on seuraavat välittömät tavoitteet: </w:t>
            </w:r>
            <w:r>
              <w:rPr>
                <w:noProof/>
              </w:rPr>
              <w:t xml:space="preserve"> </w:t>
            </w:r>
            <w:r>
              <w:rPr>
                <w:noProof/>
              </w:rPr>
              <w:br/>
            </w:r>
            <w:r>
              <w:rPr>
                <w:rFonts w:ascii="Times New Roman" w:hAnsi="Times New Roman"/>
                <w:noProof/>
                <w:sz w:val="18"/>
              </w:rPr>
              <w:t>— Määräaikaisten työsopimusten vähentäminen.</w:t>
            </w:r>
          </w:p>
          <w:p w14:paraId="0BF6442E" w14:textId="77DED138" w:rsidR="0065073E" w:rsidRDefault="000A0998">
            <w:pPr>
              <w:pStyle w:val="P68B1DB1-Normal12"/>
              <w:spacing w:after="0" w:line="240" w:lineRule="auto"/>
              <w:rPr>
                <w:rFonts w:cs="Times New Roman"/>
                <w:noProof/>
              </w:rPr>
            </w:pPr>
            <w:r>
              <w:rPr>
                <w:noProof/>
              </w:rPr>
              <w:t>Tähän lakiin liitetään perusteellinen vaikutustenarviointi, jossa tarkastellaan myös sen vaikutuksia julkisen talouden pitkän aikavälin kestävyyteen.</w:t>
            </w:r>
          </w:p>
          <w:p w14:paraId="79EBE2C4" w14:textId="3A0D56DE" w:rsidR="0065073E" w:rsidRDefault="000A0998">
            <w:pPr>
              <w:pStyle w:val="P68B1DB1-Normal12"/>
              <w:spacing w:after="0" w:line="240" w:lineRule="auto"/>
              <w:rPr>
                <w:rFonts w:eastAsia="Times New Roman" w:cs="Times New Roman"/>
                <w:noProof/>
              </w:rPr>
            </w:pPr>
            <w:r>
              <w:rPr>
                <w:noProof/>
              </w:rPr>
              <w:t>Muutosta täydennetään muilla oikeudellisesti sitovilla säännöillä ja liitännäistoimenpiteillä, joilla</w:t>
            </w:r>
          </w:p>
          <w:p w14:paraId="473D5362" w14:textId="4AAB8FB2" w:rsidR="0065073E" w:rsidRDefault="000A0998">
            <w:pPr>
              <w:spacing w:after="0" w:line="240" w:lineRule="auto"/>
              <w:rPr>
                <w:rFonts w:ascii="Times New Roman" w:hAnsi="Times New Roman" w:cs="Times New Roman"/>
                <w:noProof/>
                <w:sz w:val="18"/>
              </w:rPr>
            </w:pPr>
            <w:r>
              <w:rPr>
                <w:rFonts w:ascii="Times New Roman" w:hAnsi="Times New Roman"/>
                <w:noProof/>
                <w:sz w:val="18"/>
              </w:rPr>
              <w:t xml:space="preserve">Varmistetaan ammattilaisten lähettäminen tietyille maantieteellisille alueille, joita kannustintoimenpiteet eivät palvele riittävästi. </w:t>
            </w:r>
            <w:r>
              <w:rPr>
                <w:noProof/>
              </w:rPr>
              <w:t xml:space="preserve"> </w:t>
            </w:r>
            <w:r>
              <w:rPr>
                <w:noProof/>
              </w:rPr>
              <w:br/>
            </w:r>
            <w:r>
              <w:rPr>
                <w:rFonts w:ascii="Times New Roman" w:hAnsi="Times New Roman"/>
                <w:noProof/>
                <w:sz w:val="18"/>
              </w:rPr>
              <w:t xml:space="preserve">— Parannetaan ympäristöä ja työoloja toimenpiteillä, joilla edistetään ammatillista kehitystä ja pidetään osaajia Espanjan järjestelmässä parantamalla taloudellisia olosuhteita mutta myös avaamalla mahdollisuuksia terveydenhuoltoon, opetukseen ja tutkimukseen. </w:t>
            </w:r>
            <w:r>
              <w:rPr>
                <w:noProof/>
              </w:rPr>
              <w:t xml:space="preserve"> </w:t>
            </w:r>
            <w:r>
              <w:rPr>
                <w:noProof/>
              </w:rPr>
              <w:br/>
            </w:r>
          </w:p>
          <w:p w14:paraId="16B49FF6" w14:textId="77777777" w:rsidR="0065073E" w:rsidRDefault="000A0998">
            <w:pPr>
              <w:pStyle w:val="P68B1DB1-Normal12"/>
              <w:spacing w:after="0" w:line="240" w:lineRule="auto"/>
              <w:rPr>
                <w:rFonts w:eastAsia="Times New Roman" w:cs="Times New Roman"/>
                <w:noProof/>
              </w:rPr>
            </w:pPr>
            <w:r>
              <w:rPr>
                <w:noProof/>
              </w:rPr>
              <w:t>Terveydenhuoltoalan koulutusjärjestelmän parantamista koskevan kuninkaallisen asetuksen voimaantulo</w:t>
            </w:r>
          </w:p>
        </w:tc>
      </w:tr>
      <w:tr w:rsidR="0065073E" w14:paraId="573ABAC6"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65073E" w:rsidRDefault="000A0998">
            <w:pPr>
              <w:pStyle w:val="P68B1DB1-Normal12"/>
              <w:spacing w:after="0" w:line="240" w:lineRule="auto"/>
              <w:jc w:val="center"/>
              <w:rPr>
                <w:rFonts w:eastAsia="Times New Roman" w:cs="Times New Roman"/>
                <w:noProof/>
              </w:rPr>
            </w:pPr>
            <w:r>
              <w:rPr>
                <w:noProof/>
              </w:rPr>
              <w:t>277</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65073E" w:rsidRDefault="000A0998">
            <w:pPr>
              <w:pStyle w:val="P68B1DB1-Normal12"/>
              <w:spacing w:after="0" w:line="240" w:lineRule="auto"/>
              <w:jc w:val="center"/>
              <w:rPr>
                <w:rFonts w:eastAsia="Times New Roman" w:cs="Times New Roman"/>
                <w:noProof/>
              </w:rPr>
            </w:pPr>
            <w:r>
              <w:rPr>
                <w:noProof/>
              </w:rPr>
              <w:t>C18.R5</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65073E" w:rsidRDefault="000A0998">
            <w:pPr>
              <w:pStyle w:val="P68B1DB1-Normal12"/>
              <w:spacing w:after="0" w:line="240" w:lineRule="auto"/>
              <w:rPr>
                <w:rFonts w:cs="Times New Roman"/>
                <w:noProof/>
              </w:rPr>
            </w:pPr>
            <w:r>
              <w:rPr>
                <w:noProof/>
              </w:rPr>
              <w:t xml:space="preserve">Laki lääkkeiden takuista ja järkevästä käytöstä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65073E" w:rsidRDefault="000A0998">
            <w:pPr>
              <w:pStyle w:val="P68B1DB1-Normal12"/>
              <w:spacing w:after="0" w:line="240" w:lineRule="auto"/>
              <w:jc w:val="center"/>
              <w:rPr>
                <w:rFonts w:eastAsia="Times New Roman" w:cs="Times New Roman"/>
                <w:noProof/>
              </w:rPr>
            </w:pPr>
            <w:r>
              <w:rPr>
                <w:noProof/>
              </w:rPr>
              <w:t>Lain voimaantulo</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65073E" w:rsidRDefault="000A0998">
            <w:pPr>
              <w:spacing w:after="0" w:line="240" w:lineRule="auto"/>
              <w:rPr>
                <w:rFonts w:ascii="Times New Roman" w:eastAsia="Times New Roman" w:hAnsi="Times New Roman" w:cs="Times New Roman"/>
                <w:noProof/>
                <w:sz w:val="18"/>
              </w:rPr>
            </w:pPr>
            <w:r>
              <w:rPr>
                <w:noProof/>
              </w:rPr>
              <w:t>Lääkkeiden takuita ja järkevää käyttöä koskevan lain</w:t>
            </w:r>
            <w:r>
              <w:rPr>
                <w:rFonts w:ascii="Times New Roman" w:hAnsi="Times New Roman"/>
                <w:noProof/>
                <w:sz w:val="18"/>
              </w:rPr>
              <w:t>voimaantulo. Tämän lainsäädäntöuudistuksen päätavoitteita ovat muun muassa seuraavat:</w:t>
            </w:r>
            <w:r>
              <w:rPr>
                <w:noProof/>
              </w:rPr>
              <w:t xml:space="preserve"> </w:t>
            </w:r>
            <w:r>
              <w:rPr>
                <w:noProof/>
              </w:rPr>
              <w:br/>
            </w:r>
            <w:r>
              <w:rPr>
                <w:rFonts w:ascii="Times New Roman" w:hAnsi="Times New Roman"/>
                <w:noProof/>
                <w:sz w:val="18"/>
              </w:rPr>
              <w:t xml:space="preserve">— Muutetaan viitehintajärjestelmää ottamalla käyttöön tekijöitä, jotka lisäävät kilpailua. </w:t>
            </w:r>
            <w:r>
              <w:rPr>
                <w:noProof/>
              </w:rPr>
              <w:t xml:space="preserve"> </w:t>
            </w:r>
            <w:r>
              <w:rPr>
                <w:noProof/>
              </w:rPr>
              <w:br/>
            </w:r>
            <w:r>
              <w:rPr>
                <w:rFonts w:ascii="Times New Roman" w:hAnsi="Times New Roman"/>
                <w:noProof/>
                <w:sz w:val="18"/>
              </w:rPr>
              <w:t xml:space="preserve">— Vahvistaa lääkkeiden etäjakelua. </w:t>
            </w:r>
            <w:r>
              <w:rPr>
                <w:noProof/>
              </w:rPr>
              <w:t xml:space="preserve"> </w:t>
            </w:r>
            <w:r>
              <w:rPr>
                <w:noProof/>
              </w:rPr>
              <w:br/>
            </w:r>
            <w:r>
              <w:rPr>
                <w:rFonts w:ascii="Times New Roman" w:hAnsi="Times New Roman"/>
                <w:noProof/>
                <w:sz w:val="18"/>
              </w:rPr>
              <w:t xml:space="preserve">— Mahdollistaa sen, että sosiaali- ja terveyskeskusten lääkevarastot liitetään perusterveydenhuollon apteekkipalveluihin. </w:t>
            </w:r>
            <w:r>
              <w:rPr>
                <w:noProof/>
              </w:rPr>
              <w:t xml:space="preserve"> </w:t>
            </w:r>
            <w:r>
              <w:rPr>
                <w:noProof/>
              </w:rPr>
              <w:br/>
            </w:r>
            <w:r>
              <w:rPr>
                <w:rFonts w:ascii="Times New Roman" w:hAnsi="Times New Roman"/>
                <w:noProof/>
                <w:sz w:val="18"/>
              </w:rPr>
              <w:t>—Muuttaa järjestelmää siten, että lasketaan julkisin varoin rahoitettujen lääkkeiden ja terveystuotteiden valmistajien, maahantuojien ja toimittajien neljännesvuosittainen maksuosuus kansalliseen terveydenhuoltojärjestelmään.</w:t>
            </w:r>
            <w:r>
              <w:rPr>
                <w:noProof/>
              </w:rPr>
              <w:t xml:space="preserve"> </w:t>
            </w:r>
            <w:r>
              <w:rPr>
                <w:noProof/>
              </w:rPr>
              <w:br/>
            </w:r>
            <w:r>
              <w:rPr>
                <w:rFonts w:ascii="Times New Roman" w:hAnsi="Times New Roman"/>
                <w:noProof/>
                <w:sz w:val="18"/>
              </w:rPr>
              <w:t xml:space="preserve"> — Selkeytetään huumemainonnan valvontaa koskevia toimivaltuuksia.</w:t>
            </w:r>
            <w:r>
              <w:rPr>
                <w:noProof/>
              </w:rPr>
              <w:t xml:space="preserve"> </w:t>
            </w:r>
            <w:r>
              <w:rPr>
                <w:noProof/>
              </w:rPr>
              <w:br/>
            </w:r>
            <w:r>
              <w:rPr>
                <w:rFonts w:ascii="Times New Roman" w:hAnsi="Times New Roman"/>
                <w:noProof/>
                <w:sz w:val="18"/>
              </w:rPr>
              <w:t xml:space="preserve"> —Muutetaan lääkeviraston soveltamia hintoja. </w:t>
            </w:r>
            <w:r>
              <w:rPr>
                <w:noProof/>
              </w:rPr>
              <w:t xml:space="preserve"> </w:t>
            </w:r>
            <w:r>
              <w:rPr>
                <w:noProof/>
              </w:rPr>
              <w:br/>
            </w:r>
            <w:r>
              <w:rPr>
                <w:rFonts w:ascii="Times New Roman" w:hAnsi="Times New Roman"/>
                <w:noProof/>
                <w:sz w:val="18"/>
              </w:rPr>
              <w:t xml:space="preserve">— Muuttaa ja päivittää seuraamusmenettelyä ja rikkomisia. </w:t>
            </w:r>
          </w:p>
          <w:p w14:paraId="45D9FFE4" w14:textId="2E2D7D8A" w:rsidR="0065073E" w:rsidRDefault="000A0998">
            <w:pPr>
              <w:spacing w:after="0" w:line="240" w:lineRule="auto"/>
              <w:rPr>
                <w:rFonts w:ascii="Times New Roman" w:eastAsia="Times New Roman" w:hAnsi="Times New Roman" w:cs="Times New Roman"/>
                <w:noProof/>
                <w:sz w:val="18"/>
              </w:rPr>
            </w:pPr>
            <w:r>
              <w:rPr>
                <w:noProof/>
              </w:rPr>
              <w:t xml:space="preserve"> </w:t>
            </w:r>
            <w:r>
              <w:rPr>
                <w:noProof/>
              </w:rPr>
              <w:br/>
            </w:r>
            <w:r>
              <w:rPr>
                <w:rFonts w:ascii="Times New Roman" w:hAnsi="Times New Roman"/>
                <w:noProof/>
                <w:sz w:val="18"/>
              </w:rPr>
              <w:t>Tähän lakiin liitetään perusteellinen vaikutustenarviointi, jossa tarkastellaan myös sen vaikutuksia julkisen talouden pitkän aikavälin kestävyyteen.</w:t>
            </w:r>
          </w:p>
        </w:tc>
      </w:tr>
      <w:tr w:rsidR="0065073E" w14:paraId="19EFCCE4"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65073E" w:rsidRDefault="000A0998">
            <w:pPr>
              <w:pStyle w:val="P68B1DB1-Normal12"/>
              <w:spacing w:after="0" w:line="240" w:lineRule="auto"/>
              <w:jc w:val="center"/>
              <w:rPr>
                <w:rFonts w:eastAsia="Times New Roman" w:cs="Times New Roman"/>
                <w:noProof/>
              </w:rPr>
            </w:pPr>
            <w:r>
              <w:rPr>
                <w:noProof/>
              </w:rPr>
              <w:t>278</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65073E" w:rsidRDefault="000A0998">
            <w:pPr>
              <w:pStyle w:val="P68B1DB1-Normal12"/>
              <w:spacing w:after="0" w:line="240" w:lineRule="auto"/>
              <w:jc w:val="center"/>
              <w:rPr>
                <w:rFonts w:eastAsia="Times New Roman" w:cs="Times New Roman"/>
                <w:noProof/>
              </w:rPr>
            </w:pPr>
            <w:r>
              <w:rPr>
                <w:noProof/>
              </w:rPr>
              <w:t>C18.I1</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65073E" w:rsidRDefault="000A0998">
            <w:pPr>
              <w:pStyle w:val="P68B1DB1-Normal12"/>
              <w:spacing w:after="0" w:line="240" w:lineRule="auto"/>
              <w:rPr>
                <w:rFonts w:eastAsia="Times New Roman" w:cs="Times New Roman"/>
                <w:noProof/>
              </w:rPr>
            </w:pPr>
            <w:r>
              <w:rPr>
                <w:noProof/>
              </w:rPr>
              <w:t xml:space="preserve">Laiteinvestointisuunnitelman hyväksyminen ja varojen jakaminen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65073E" w:rsidRDefault="000A0998">
            <w:pPr>
              <w:pStyle w:val="P68B1DB1-Normal12"/>
              <w:spacing w:after="0" w:line="240" w:lineRule="auto"/>
              <w:jc w:val="center"/>
              <w:rPr>
                <w:rFonts w:eastAsia="Times New Roman" w:cs="Times New Roman"/>
                <w:noProof/>
              </w:rPr>
            </w:pPr>
            <w:r>
              <w:rPr>
                <w:noProof/>
              </w:rPr>
              <w:t xml:space="preserve">Alueidenvälisen Sanidadin </w:t>
            </w:r>
            <w:r>
              <w:rPr>
                <w:i/>
                <w:noProof/>
              </w:rPr>
              <w:t>Consejon hyväksyntä</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65073E" w:rsidRDefault="000A0998">
            <w:pPr>
              <w:pStyle w:val="P68B1DB1-Normal12"/>
              <w:spacing w:after="0" w:line="240" w:lineRule="auto"/>
              <w:rPr>
                <w:rFonts w:cs="Times New Roman"/>
                <w:noProof/>
              </w:rPr>
            </w:pPr>
            <w:r>
              <w:rPr>
                <w:noProof/>
              </w:rPr>
              <w:t xml:space="preserve">Alueidenvälisen konsortion </w:t>
            </w:r>
            <w:r>
              <w:rPr>
                <w:i/>
                <w:noProof/>
              </w:rPr>
              <w:t>hyväksyntä</w:t>
            </w:r>
            <w:r>
              <w:rPr>
                <w:noProof/>
              </w:rPr>
              <w:t xml:space="preserve"> suunnitelmalle ja varojen jakaminen, jossa vahvistetaan mekanismit 796100000 euron avustusten myöntämiseksi. </w:t>
            </w:r>
          </w:p>
        </w:tc>
      </w:tr>
      <w:tr w:rsidR="0065073E" w14:paraId="42CB8BE0"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65073E" w:rsidRDefault="000A0998">
            <w:pPr>
              <w:pStyle w:val="P68B1DB1-Normal12"/>
              <w:spacing w:after="0" w:line="240" w:lineRule="auto"/>
              <w:jc w:val="center"/>
              <w:rPr>
                <w:rFonts w:eastAsia="Times New Roman" w:cs="Times New Roman"/>
                <w:noProof/>
              </w:rPr>
            </w:pPr>
            <w:r>
              <w:rPr>
                <w:noProof/>
              </w:rPr>
              <w:t>279</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65073E" w:rsidRDefault="000A0998">
            <w:pPr>
              <w:pStyle w:val="P68B1DB1-Normal12"/>
              <w:spacing w:after="0" w:line="240" w:lineRule="auto"/>
              <w:jc w:val="center"/>
              <w:rPr>
                <w:rFonts w:eastAsia="Times New Roman" w:cs="Times New Roman"/>
                <w:noProof/>
              </w:rPr>
            </w:pPr>
            <w:r>
              <w:rPr>
                <w:noProof/>
              </w:rPr>
              <w:t>C18.I1</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65073E" w:rsidRDefault="000A0998">
            <w:pPr>
              <w:pStyle w:val="P68B1DB1-Normal12"/>
              <w:spacing w:after="0" w:line="240" w:lineRule="auto"/>
              <w:jc w:val="center"/>
              <w:rPr>
                <w:rFonts w:eastAsia="Times New Roman"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65073E" w:rsidRDefault="000A0998">
            <w:pPr>
              <w:pStyle w:val="P68B1DB1-Normal12"/>
              <w:spacing w:after="0" w:line="240" w:lineRule="auto"/>
              <w:rPr>
                <w:rFonts w:eastAsia="Times New Roman" w:cs="Times New Roman"/>
                <w:noProof/>
              </w:rPr>
            </w:pPr>
            <w:r>
              <w:rPr>
                <w:noProof/>
              </w:rPr>
              <w:t xml:space="preserve">Laitteiden asennus/uusiminen/laajentaminen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65073E" w:rsidRDefault="000A0998">
            <w:pPr>
              <w:pStyle w:val="P68B1DB1-Normal12"/>
              <w:spacing w:after="0" w:line="240" w:lineRule="auto"/>
              <w:jc w:val="center"/>
              <w:rPr>
                <w:rFonts w:eastAsia="Times New Roman" w:cs="Times New Roman"/>
                <w:noProof/>
              </w:rPr>
            </w:pPr>
            <w:r>
              <w:rPr>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65073E" w:rsidRDefault="000A0998">
            <w:pPr>
              <w:pStyle w:val="P68B1DB1-Normal12"/>
              <w:spacing w:after="0" w:line="240" w:lineRule="auto"/>
              <w:jc w:val="right"/>
              <w:rPr>
                <w:rFonts w:eastAsia="Times New Roman" w:cs="Times New Roman"/>
                <w:noProof/>
              </w:rPr>
            </w:pPr>
            <w:r>
              <w:rPr>
                <w:noProof/>
              </w:rPr>
              <w:t>750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65073E" w:rsidRDefault="000A0998">
            <w:pPr>
              <w:pStyle w:val="P68B1DB1-Normal12"/>
              <w:spacing w:after="0" w:line="240" w:lineRule="auto"/>
              <w:rPr>
                <w:rFonts w:eastAsia="Times New Roman" w:cs="Times New Roman"/>
                <w:noProof/>
              </w:rPr>
            </w:pPr>
            <w:r>
              <w:rPr>
                <w:noProof/>
              </w:rPr>
              <w:t>Otettava käyttöön vähintään 750 uutta laitetta uusimalla, laajentamalla tai uusilla laitteistoilla koko maassa.</w:t>
            </w:r>
          </w:p>
        </w:tc>
      </w:tr>
      <w:tr w:rsidR="0065073E" w14:paraId="3164ED5A"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65073E" w:rsidRDefault="000A0998">
            <w:pPr>
              <w:pStyle w:val="P68B1DB1-Normal12"/>
              <w:spacing w:after="0" w:line="240" w:lineRule="auto"/>
              <w:jc w:val="center"/>
              <w:rPr>
                <w:rFonts w:eastAsia="Times New Roman" w:cs="Times New Roman"/>
                <w:noProof/>
              </w:rPr>
            </w:pPr>
            <w:r>
              <w:rPr>
                <w:noProof/>
              </w:rPr>
              <w:t>280</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65073E" w:rsidRDefault="000A0998">
            <w:pPr>
              <w:pStyle w:val="P68B1DB1-Normal12"/>
              <w:spacing w:after="0" w:line="240" w:lineRule="auto"/>
              <w:jc w:val="center"/>
              <w:rPr>
                <w:rFonts w:eastAsia="Times New Roman" w:cs="Times New Roman"/>
                <w:noProof/>
              </w:rPr>
            </w:pPr>
            <w:r>
              <w:rPr>
                <w:noProof/>
              </w:rPr>
              <w:t>C18.I2</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65073E" w:rsidRDefault="000A0998">
            <w:pPr>
              <w:pStyle w:val="P68B1DB1-Normal12"/>
              <w:spacing w:after="0" w:line="240" w:lineRule="auto"/>
              <w:jc w:val="center"/>
              <w:rPr>
                <w:rFonts w:eastAsia="Times New Roman"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65073E" w:rsidRDefault="000A0998">
            <w:pPr>
              <w:pStyle w:val="P68B1DB1-Normal12"/>
              <w:spacing w:after="0" w:line="240" w:lineRule="auto"/>
              <w:rPr>
                <w:rFonts w:eastAsia="Times New Roman" w:cs="Times New Roman"/>
                <w:noProof/>
              </w:rPr>
            </w:pPr>
            <w:r>
              <w:rPr>
                <w:noProof/>
              </w:rPr>
              <w:t>Kansanterveyskampanjat ja -toimet</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65073E" w:rsidRDefault="000A0998">
            <w:pPr>
              <w:pStyle w:val="P68B1DB1-Normal12"/>
              <w:spacing w:after="0" w:line="240" w:lineRule="auto"/>
              <w:jc w:val="center"/>
              <w:rPr>
                <w:rFonts w:eastAsia="Times New Roman" w:cs="Times New Roman"/>
                <w:noProof/>
              </w:rPr>
            </w:pPr>
            <w:r>
              <w:rPr>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65073E" w:rsidRDefault="000A0998">
            <w:pPr>
              <w:pStyle w:val="P68B1DB1-Normal12"/>
              <w:spacing w:after="0" w:line="240" w:lineRule="auto"/>
              <w:jc w:val="right"/>
              <w:rPr>
                <w:rFonts w:eastAsia="Times New Roman" w:cs="Times New Roman"/>
                <w:noProof/>
              </w:rPr>
            </w:pPr>
            <w:r>
              <w:rPr>
                <w:noProof/>
              </w:rPr>
              <w:t>11</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65073E" w:rsidRDefault="000A0998">
            <w:pPr>
              <w:pStyle w:val="P68B1DB1-Normal12"/>
              <w:spacing w:after="0" w:line="240" w:lineRule="auto"/>
              <w:rPr>
                <w:rFonts w:eastAsia="Times New Roman" w:cs="Times New Roman"/>
                <w:noProof/>
              </w:rPr>
            </w:pPr>
            <w:r>
              <w:rPr>
                <w:noProof/>
              </w:rPr>
              <w:t>Vähintään 11 kansanterveysalan tiedotus- tai seulontakampanjaa on toteutettu esimerkiksi seuraavilla aloilla: tupakoinnin torjunta, alkoholinkäytön ehkäiseminen, mielenterveyden edistäminen, terveellisten elinympäristöjen ja elintapojen edistäminen, mikrobilääkeresistenssiä koskeva suunnitelma ja syövän ehkäisy, mukaan lukien eurooppalaisten syöväntorjuntasääntöjen levittäminen.  Kampanjat ovat valtakunnallisia. Levitys toteutetaan radion, painetun median, internetin, suoramarkkinoinnin ja ulkona toteutettavien toimien avulla.</w:t>
            </w:r>
          </w:p>
        </w:tc>
      </w:tr>
      <w:tr w:rsidR="0065073E" w14:paraId="09954089"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65073E" w:rsidRDefault="000A0998">
            <w:pPr>
              <w:pStyle w:val="P68B1DB1-Normal12"/>
              <w:spacing w:after="0" w:line="240" w:lineRule="auto"/>
              <w:jc w:val="center"/>
              <w:rPr>
                <w:rFonts w:eastAsia="Times New Roman" w:cs="Times New Roman"/>
                <w:noProof/>
              </w:rPr>
            </w:pPr>
            <w:r>
              <w:rPr>
                <w:noProof/>
              </w:rPr>
              <w:t>281</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65073E" w:rsidRDefault="000A0998">
            <w:pPr>
              <w:pStyle w:val="P68B1DB1-Normal12"/>
              <w:spacing w:after="0" w:line="240" w:lineRule="auto"/>
              <w:jc w:val="center"/>
              <w:rPr>
                <w:rFonts w:eastAsia="Times New Roman" w:cs="Times New Roman"/>
                <w:noProof/>
              </w:rPr>
            </w:pPr>
            <w:r>
              <w:rPr>
                <w:noProof/>
              </w:rPr>
              <w:t>C18.I3</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65073E" w:rsidRDefault="000A0998">
            <w:pPr>
              <w:pStyle w:val="P68B1DB1-Normal12"/>
              <w:spacing w:after="0" w:line="240" w:lineRule="auto"/>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65073E" w:rsidRDefault="000A0998">
            <w:pPr>
              <w:pStyle w:val="P68B1DB1-Normal12"/>
              <w:spacing w:after="0" w:line="240" w:lineRule="auto"/>
              <w:rPr>
                <w:rFonts w:eastAsia="Times New Roman" w:cs="Times New Roman"/>
                <w:noProof/>
              </w:rPr>
            </w:pPr>
            <w:r>
              <w:rPr>
                <w:noProof/>
              </w:rPr>
              <w:t>Kansanterveysalan seurantaverkoston tietojärjestelmä</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65073E" w:rsidRDefault="000A0998">
            <w:pPr>
              <w:pStyle w:val="P68B1DB1-Normal12"/>
              <w:spacing w:after="0" w:line="240" w:lineRule="auto"/>
              <w:jc w:val="center"/>
              <w:rPr>
                <w:rFonts w:eastAsia="Times New Roman" w:cs="Times New Roman"/>
                <w:noProof/>
              </w:rPr>
            </w:pPr>
            <w:r>
              <w:rPr>
                <w:noProof/>
              </w:rPr>
              <w:t>Käyttöönottotodistus</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65073E" w:rsidRDefault="000A0998">
            <w:pPr>
              <w:pStyle w:val="P68B1DB1-Normal12"/>
              <w:spacing w:after="0" w:line="240" w:lineRule="auto"/>
              <w:rPr>
                <w:rFonts w:eastAsia="Times New Roman" w:cs="Times New Roman"/>
                <w:noProof/>
              </w:rPr>
            </w:pPr>
            <w:r>
              <w:rPr>
                <w:noProof/>
              </w:rPr>
              <w:t>2025</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65073E" w:rsidRDefault="000A0998">
            <w:pPr>
              <w:pStyle w:val="P68B1DB1-Normal12"/>
              <w:spacing w:after="0" w:line="240" w:lineRule="auto"/>
              <w:rPr>
                <w:rFonts w:cs="Times New Roman"/>
                <w:noProof/>
              </w:rPr>
            </w:pPr>
            <w:r>
              <w:rPr>
                <w:noProof/>
              </w:rPr>
              <w:t>Valtion ja itsehallintoalueiden seurantajärjestelmän (kansanterveyden seurannan verkoston tietojärjestelmä) on oltava toiminnassa, jotta mahdollistetaan varhaisvaroitus ja nopea reagointi terveysriskin aiheuttavien ongelmien havaitsemiseksi, toimivaltaisilta viranomaisilta saatujen tietojen levittämiseksi ja valvontatoimenpiteiden täytäntöönpanon helpottamiseksi.</w:t>
            </w:r>
          </w:p>
          <w:p w14:paraId="7C6081FB" w14:textId="77777777" w:rsidR="0065073E" w:rsidRDefault="0065073E">
            <w:pPr>
              <w:spacing w:after="0" w:line="240" w:lineRule="auto"/>
              <w:rPr>
                <w:rFonts w:ascii="Times New Roman" w:hAnsi="Times New Roman" w:cs="Times New Roman"/>
                <w:noProof/>
                <w:sz w:val="18"/>
              </w:rPr>
            </w:pPr>
          </w:p>
          <w:p w14:paraId="1D67845B" w14:textId="7A1F1486" w:rsidR="0065073E" w:rsidRDefault="000A0998">
            <w:pPr>
              <w:pStyle w:val="P68B1DB1-Normal12"/>
              <w:spacing w:after="0" w:line="240" w:lineRule="auto"/>
              <w:rPr>
                <w:rFonts w:cs="Times New Roman"/>
                <w:noProof/>
              </w:rPr>
            </w:pPr>
            <w:r>
              <w:rPr>
                <w:noProof/>
              </w:rPr>
              <w:t>Uudelle kansanterveyskeskukselle hankitaan laitteita, joiden kokonaisarvo on vähintään 9,45 miljoonaa euroa.</w:t>
            </w:r>
          </w:p>
          <w:p w14:paraId="5AE0BF10" w14:textId="77777777" w:rsidR="0065073E" w:rsidRDefault="0065073E">
            <w:pPr>
              <w:spacing w:after="0" w:line="240" w:lineRule="auto"/>
              <w:rPr>
                <w:rFonts w:ascii="Times New Roman" w:hAnsi="Times New Roman" w:cs="Times New Roman"/>
                <w:noProof/>
                <w:sz w:val="18"/>
              </w:rPr>
            </w:pPr>
          </w:p>
          <w:p w14:paraId="7B0EA280" w14:textId="6F3798CB" w:rsidR="0065073E" w:rsidRDefault="000A0998">
            <w:pPr>
              <w:pStyle w:val="P68B1DB1-Normal12"/>
              <w:spacing w:after="0" w:line="240" w:lineRule="auto"/>
              <w:rPr>
                <w:rFonts w:cs="Times New Roman"/>
                <w:noProof/>
              </w:rPr>
            </w:pPr>
            <w:r>
              <w:rPr>
                <w:noProof/>
              </w:rPr>
              <w:t>Melillan yliopistollisen sairaalan laitteiden hankinta ja kansallisen Dosmetriakeskuksen uuden rakennuksen rakentaminen sekä laitteistojen ja infrastruktuurien hankinta kansallisen työterveys- ja työturvallisuuslaitoksen, kansallisen elintarvikekeskuksen, lääke- ja terveysviraston ja kansallisen elinsiirtojärjestön testauslaboratorion kapasiteetin lisäämiseksi on saatava päätökseen vähintään 44 miljoonan euron arvosta.</w:t>
            </w:r>
          </w:p>
          <w:p w14:paraId="7B7CF298" w14:textId="77777777" w:rsidR="0065073E" w:rsidRDefault="0065073E">
            <w:pPr>
              <w:spacing w:after="0" w:line="240" w:lineRule="auto"/>
              <w:rPr>
                <w:rFonts w:ascii="Times New Roman" w:hAnsi="Times New Roman" w:cs="Times New Roman"/>
                <w:noProof/>
                <w:sz w:val="18"/>
              </w:rPr>
            </w:pPr>
          </w:p>
          <w:p w14:paraId="0373B938" w14:textId="77777777" w:rsidR="0065073E" w:rsidRDefault="000A0998">
            <w:pPr>
              <w:pStyle w:val="P68B1DB1-Normal12"/>
              <w:spacing w:after="0" w:line="240" w:lineRule="auto"/>
              <w:rPr>
                <w:rFonts w:eastAsia="Times New Roman" w:cs="Times New Roman"/>
                <w:noProof/>
              </w:rPr>
            </w:pPr>
            <w:r>
              <w:rPr>
                <w:noProof/>
              </w:rPr>
              <w:t>Kansallisen terveydenhuoltojärjestelmän suorituskyvyn arviointi pandemian aikana on saatettava päätökseen ja julkaistava.</w:t>
            </w:r>
          </w:p>
        </w:tc>
      </w:tr>
      <w:tr w:rsidR="0065073E" w14:paraId="7B849F40"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65073E" w:rsidRDefault="000A0998">
            <w:pPr>
              <w:pStyle w:val="P68B1DB1-Normal12"/>
              <w:spacing w:after="0" w:line="240" w:lineRule="auto"/>
              <w:jc w:val="center"/>
              <w:rPr>
                <w:rFonts w:eastAsia="Times New Roman" w:cs="Times New Roman"/>
                <w:noProof/>
              </w:rPr>
            </w:pPr>
            <w:r>
              <w:rPr>
                <w:noProof/>
              </w:rPr>
              <w:t>282</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65073E" w:rsidRDefault="000A0998">
            <w:pPr>
              <w:pStyle w:val="P68B1DB1-Normal12"/>
              <w:spacing w:after="0" w:line="240" w:lineRule="auto"/>
              <w:jc w:val="center"/>
              <w:rPr>
                <w:rFonts w:eastAsia="Times New Roman" w:cs="Times New Roman"/>
                <w:noProof/>
              </w:rPr>
            </w:pPr>
            <w:r>
              <w:rPr>
                <w:noProof/>
              </w:rPr>
              <w:t>C18.I4</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65073E" w:rsidRDefault="000A0998">
            <w:pPr>
              <w:pStyle w:val="P68B1DB1-Normal12"/>
              <w:spacing w:after="0" w:line="240" w:lineRule="auto"/>
              <w:jc w:val="center"/>
              <w:rPr>
                <w:rFonts w:eastAsia="Times New Roman"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65073E" w:rsidRDefault="000A0998">
            <w:pPr>
              <w:pStyle w:val="P68B1DB1-Normal12"/>
              <w:spacing w:after="0" w:line="240" w:lineRule="auto"/>
              <w:rPr>
                <w:rFonts w:eastAsia="Times New Roman" w:cs="Times New Roman"/>
                <w:noProof/>
              </w:rPr>
            </w:pPr>
            <w:r>
              <w:rPr>
                <w:noProof/>
              </w:rPr>
              <w:t xml:space="preserve">Jatkokoulutussuunnitelmien puitteissa koulutetut terveydenhuollon ammattilaiset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65073E" w:rsidRDefault="000A0998">
            <w:pPr>
              <w:pStyle w:val="P68B1DB1-Normal12"/>
              <w:spacing w:after="0" w:line="240" w:lineRule="auto"/>
              <w:jc w:val="center"/>
              <w:rPr>
                <w:rFonts w:eastAsia="Times New Roman" w:cs="Times New Roman"/>
                <w:noProof/>
              </w:rPr>
            </w:pPr>
            <w:r>
              <w:rPr>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65073E" w:rsidRDefault="000A0998">
            <w:pPr>
              <w:pStyle w:val="P68B1DB1-Normal12"/>
              <w:spacing w:after="0" w:line="240" w:lineRule="auto"/>
              <w:jc w:val="right"/>
              <w:rPr>
                <w:rFonts w:eastAsia="Times New Roman" w:cs="Times New Roman"/>
                <w:noProof/>
              </w:rPr>
            </w:pPr>
            <w:r>
              <w:rPr>
                <w:noProof/>
              </w:rPr>
              <w:t>90 000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65073E" w:rsidRDefault="000A0998">
            <w:pPr>
              <w:pStyle w:val="P68B1DB1-Normal12"/>
              <w:spacing w:after="0" w:line="240" w:lineRule="auto"/>
              <w:rPr>
                <w:rFonts w:cs="Times New Roman"/>
                <w:noProof/>
              </w:rPr>
            </w:pPr>
            <w:r>
              <w:rPr>
                <w:noProof/>
              </w:rPr>
              <w:t>Vähintään 90000 terveydenhuollon ammattilaista on suorittanut yhteensä 360000 jatkokoulutuspistettä, mikä vastaa yhteensä 3,6 miljoonaa tuntia koulutusta C18.I4 kohdan määritelmässä vahvistettujen painopisteiden mukaisesti suunniteltujen jatkokoulutussuunnitelmien puitteissa. Koulutuksen on katettava: Terveysteknologian ja tietojärjestelmien käyttö, kansanterveyden seuranta ja epidemiologia, potilas- ja ammattiturvallisuus, diagnoosi- ja hoitoresurssien järkevä käyttö, syövän varhainen havaitseminen, mielenterveys, ympäristöterveys, riskitekijöiden ehkäiseminen, sukupuoleen perustuvan väkivallan varhainen havaitseminen, lasten hyväksikäytön varhainen havaitseminen, bioetiikka, kliininen viestintä, näyttöön perustuva lääketiede, yhteistyö muiden kanssa, tutkimusmenetelmät, terveydenhuoltolaitosten johtajien johtamistaitojen kehittäminen ja mentoreiden koulutus terveydenhuollon erityiskoulutuksessa. Koulutusta on tarjottu luokkaopetuksena, verkko- ja monimuoto-oppimisen muodoissa, ja sen ovat suorittaneet pätevät terveydenhuollon ammattilaiset ja terveydenhuollon ammattikoulutuksen ammattilaiset.</w:t>
            </w:r>
          </w:p>
        </w:tc>
      </w:tr>
      <w:tr w:rsidR="0065073E" w14:paraId="1FDFAA19"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65073E" w:rsidRDefault="000A0998">
            <w:pPr>
              <w:pStyle w:val="P68B1DB1-Normal12"/>
              <w:spacing w:after="0" w:line="240" w:lineRule="auto"/>
              <w:jc w:val="center"/>
              <w:rPr>
                <w:rFonts w:cs="Times New Roman"/>
                <w:noProof/>
              </w:rPr>
            </w:pPr>
            <w:r>
              <w:rPr>
                <w:noProof/>
              </w:rPr>
              <w:t>463</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65073E" w:rsidRDefault="000A0998">
            <w:pPr>
              <w:pStyle w:val="P68B1DB1-Normal12"/>
              <w:spacing w:after="0" w:line="240" w:lineRule="auto"/>
              <w:jc w:val="center"/>
              <w:rPr>
                <w:rFonts w:cs="Times New Roman"/>
                <w:noProof/>
              </w:rPr>
            </w:pPr>
            <w:r>
              <w:rPr>
                <w:noProof/>
              </w:rPr>
              <w:t>C18.I4</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65073E" w:rsidRDefault="000A0998">
            <w:pPr>
              <w:pStyle w:val="P68B1DB1-Normal12"/>
              <w:spacing w:after="0" w:line="240" w:lineRule="auto"/>
              <w:jc w:val="center"/>
              <w:rPr>
                <w:rFonts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65073E" w:rsidRDefault="000A0998">
            <w:pPr>
              <w:pStyle w:val="P68B1DB1-Normal12"/>
              <w:spacing w:after="0" w:line="240" w:lineRule="auto"/>
              <w:rPr>
                <w:rFonts w:cs="Times New Roman"/>
                <w:noProof/>
              </w:rPr>
            </w:pPr>
            <w:r>
              <w:rPr>
                <w:noProof/>
              </w:rPr>
              <w:t>Terveydenhuollon ammattilaisten koulutus ja resurssit tiedon jakamiseksi</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65073E" w:rsidRDefault="0065073E">
            <w:pPr>
              <w:spacing w:after="0" w:line="240" w:lineRule="auto"/>
              <w:jc w:val="center"/>
              <w:rPr>
                <w:rFonts w:ascii="Times New Roman" w:hAnsi="Times New Roman" w:cs="Times New Roman"/>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65073E" w:rsidRDefault="0065073E">
            <w:pPr>
              <w:spacing w:after="0" w:line="240" w:lineRule="auto"/>
              <w:jc w:val="center"/>
              <w:rPr>
                <w:rFonts w:ascii="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65073E" w:rsidRDefault="0065073E">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65073E" w:rsidRDefault="0065073E">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65073E" w:rsidRDefault="000A0998">
            <w:pPr>
              <w:pStyle w:val="P68B1DB1-Normal12"/>
              <w:spacing w:after="0" w:line="240" w:lineRule="auto"/>
              <w:jc w:val="center"/>
              <w:rPr>
                <w:rFonts w:cs="Times New Roman"/>
                <w:noProof/>
              </w:rPr>
            </w:pPr>
            <w:r>
              <w:rPr>
                <w:noProof/>
              </w:rPr>
              <w:t>TOINEN VUOSINELJÄNNES</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65073E" w:rsidRDefault="000A0998">
            <w:pPr>
              <w:pStyle w:val="P68B1DB1-Normal12"/>
              <w:spacing w:after="0" w:line="240" w:lineRule="auto"/>
              <w:jc w:val="center"/>
              <w:rPr>
                <w:rFonts w:cs="Times New Roman"/>
                <w:noProof/>
              </w:rPr>
            </w:pPr>
            <w:r>
              <w:rPr>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65073E" w:rsidRDefault="000A0998">
            <w:pPr>
              <w:pStyle w:val="P68B1DB1-Normal12"/>
              <w:spacing w:after="0" w:line="240" w:lineRule="auto"/>
              <w:rPr>
                <w:rFonts w:cs="Times New Roman"/>
                <w:noProof/>
              </w:rPr>
            </w:pPr>
            <w:r>
              <w:rPr>
                <w:noProof/>
              </w:rPr>
              <w:t>Vähintään 1300 terveydenhuoltoa on koulutettava kansainvälisistä terveydenhuoltoalan ammatillisten taitojen arviointi- ja hyväksymismalleista (terveydenhuollon ammattilaisen uudelleensertifiointimallit). Lisäksi on kehitettävä seuraavat tietotekniset sovellukset sääntelemättömien taitojen arviointia ja hyväksymistä varten:</w:t>
            </w:r>
          </w:p>
          <w:p w14:paraId="6E2A2FAE" w14:textId="77777777" w:rsidR="0065073E" w:rsidRDefault="000A0998">
            <w:pPr>
              <w:pStyle w:val="P68B1DB1-ListParagraph13"/>
              <w:numPr>
                <w:ilvl w:val="0"/>
                <w:numId w:val="625"/>
              </w:numPr>
              <w:spacing w:after="0" w:line="240" w:lineRule="auto"/>
              <w:rPr>
                <w:rFonts w:eastAsia="Times New Roman" w:cs="Times New Roman"/>
                <w:noProof/>
              </w:rPr>
            </w:pPr>
            <w:r>
              <w:rPr>
                <w:noProof/>
              </w:rPr>
              <w:t xml:space="preserve">Verkkosovellus uudelleensertifiointia varten </w:t>
            </w:r>
          </w:p>
          <w:p w14:paraId="6374291C" w14:textId="77777777" w:rsidR="0065073E" w:rsidRDefault="000A0998">
            <w:pPr>
              <w:pStyle w:val="P68B1DB1-ListParagraph13"/>
              <w:numPr>
                <w:ilvl w:val="0"/>
                <w:numId w:val="625"/>
              </w:numPr>
              <w:spacing w:after="0" w:line="240" w:lineRule="auto"/>
              <w:rPr>
                <w:rFonts w:eastAsia="Times New Roman" w:cs="Times New Roman"/>
                <w:noProof/>
              </w:rPr>
            </w:pPr>
            <w:r>
              <w:rPr>
                <w:noProof/>
              </w:rPr>
              <w:t>Ammatillisen uudelleensertifioinnin tietojen sisällyttäminen REPS-portaaliin</w:t>
            </w:r>
          </w:p>
          <w:p w14:paraId="7A59FD98" w14:textId="77777777" w:rsidR="0065073E" w:rsidRDefault="0065073E">
            <w:pPr>
              <w:spacing w:after="0" w:line="240" w:lineRule="auto"/>
              <w:rPr>
                <w:rFonts w:ascii="Times New Roman" w:eastAsia="Times New Roman" w:hAnsi="Times New Roman" w:cs="Times New Roman"/>
                <w:noProof/>
                <w:sz w:val="18"/>
              </w:rPr>
            </w:pPr>
          </w:p>
          <w:p w14:paraId="6962BC08" w14:textId="77777777" w:rsidR="0065073E" w:rsidRDefault="000A0998">
            <w:pPr>
              <w:pStyle w:val="P68B1DB1-Normal12"/>
              <w:spacing w:after="0" w:line="240" w:lineRule="auto"/>
              <w:rPr>
                <w:rFonts w:cs="Times New Roman"/>
                <w:noProof/>
              </w:rPr>
            </w:pPr>
            <w:r>
              <w:rPr>
                <w:noProof/>
              </w:rPr>
              <w:t>On hankittava tai kehitettävä yhteistyövälineitä erittäin monimutkaisissa olosuhteissa. Yhteistyövälineiden on sisällettävä vähintään seuraavat toiminnot:</w:t>
            </w:r>
          </w:p>
          <w:p w14:paraId="0BD47D04" w14:textId="77777777" w:rsidR="0065073E" w:rsidRDefault="000A0998">
            <w:pPr>
              <w:pStyle w:val="P68B1DB1-ListParagraph13"/>
              <w:numPr>
                <w:ilvl w:val="0"/>
                <w:numId w:val="632"/>
              </w:numPr>
              <w:spacing w:after="0" w:line="240" w:lineRule="auto"/>
              <w:rPr>
                <w:rFonts w:cs="Times New Roman"/>
                <w:noProof/>
              </w:rPr>
            </w:pPr>
            <w:r>
              <w:rPr>
                <w:noProof/>
              </w:rPr>
              <w:t>Yhteiset kliiniset prosessit potilashallintaa varten.</w:t>
            </w:r>
          </w:p>
          <w:p w14:paraId="71CCAA76" w14:textId="77777777" w:rsidR="0065073E" w:rsidRDefault="000A0998">
            <w:pPr>
              <w:pStyle w:val="P68B1DB1-ListParagraph13"/>
              <w:numPr>
                <w:ilvl w:val="0"/>
                <w:numId w:val="632"/>
              </w:numPr>
              <w:spacing w:after="0" w:line="240" w:lineRule="auto"/>
              <w:rPr>
                <w:rFonts w:cs="Times New Roman"/>
                <w:noProof/>
              </w:rPr>
            </w:pPr>
            <w:r>
              <w:rPr>
                <w:noProof/>
              </w:rPr>
              <w:t xml:space="preserve">Ammattilaisten välinen viestintä. </w:t>
            </w:r>
          </w:p>
          <w:p w14:paraId="53B470EB" w14:textId="77777777" w:rsidR="0065073E" w:rsidRDefault="0065073E">
            <w:pPr>
              <w:spacing w:after="0" w:line="240" w:lineRule="auto"/>
              <w:rPr>
                <w:rFonts w:ascii="Times New Roman" w:hAnsi="Times New Roman" w:cs="Times New Roman"/>
                <w:noProof/>
                <w:sz w:val="18"/>
              </w:rPr>
            </w:pPr>
          </w:p>
          <w:p w14:paraId="4C5CD18B" w14:textId="77777777" w:rsidR="0065073E" w:rsidRDefault="000A0998">
            <w:pPr>
              <w:pStyle w:val="P68B1DB1-Normal12"/>
              <w:spacing w:after="0" w:line="240" w:lineRule="auto"/>
              <w:rPr>
                <w:rFonts w:cs="Times New Roman"/>
                <w:noProof/>
              </w:rPr>
            </w:pPr>
            <w:r>
              <w:rPr>
                <w:noProof/>
              </w:rPr>
              <w:t>On saatettava päätökseen tietokonepohjainen kartoitus, jolla havainnollistetaan yhteisiä resursseja ja palveluja varhaishoitoa ja genomilääketiedettä varten.</w:t>
            </w:r>
          </w:p>
        </w:tc>
      </w:tr>
      <w:tr w:rsidR="0065073E" w14:paraId="7C41C0DC"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65073E" w:rsidRDefault="000A0998">
            <w:pPr>
              <w:pStyle w:val="P68B1DB1-Normal12"/>
              <w:jc w:val="center"/>
              <w:rPr>
                <w:rFonts w:eastAsia="Times New Roman" w:cs="Times New Roman"/>
                <w:noProof/>
              </w:rPr>
            </w:pPr>
            <w:r>
              <w:rPr>
                <w:noProof/>
              </w:rPr>
              <w:t>283</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65073E" w:rsidRDefault="000A0998">
            <w:pPr>
              <w:pStyle w:val="P68B1DB1-Normal12"/>
              <w:jc w:val="center"/>
              <w:rPr>
                <w:rFonts w:eastAsia="Times New Roman" w:cs="Times New Roman"/>
                <w:noProof/>
              </w:rPr>
            </w:pPr>
            <w:r>
              <w:rPr>
                <w:noProof/>
              </w:rPr>
              <w:t>C18.I5</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65073E" w:rsidRDefault="000A0998">
            <w:pPr>
              <w:pStyle w:val="P68B1DB1-Normal12"/>
              <w:jc w:val="center"/>
              <w:rPr>
                <w:rFonts w:eastAsia="Times New Roman" w:cs="Times New Roman"/>
                <w:noProof/>
              </w:rPr>
            </w:pPr>
            <w:r>
              <w:rPr>
                <w:noProof/>
              </w:rPr>
              <w:t>M</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65073E" w:rsidRDefault="000A0998">
            <w:pPr>
              <w:pStyle w:val="P68B1DB1-Normal12"/>
              <w:rPr>
                <w:rFonts w:eastAsia="Times New Roman" w:cs="Times New Roman"/>
                <w:noProof/>
              </w:rPr>
            </w:pPr>
            <w:r>
              <w:rPr>
                <w:noProof/>
              </w:rPr>
              <w:t>VALTERM ED-järjestelmä ja -alusta terveysteknologian ja kansallisen terveydenhuoltojärjestelmän hyötyjen arviointia varten</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65073E" w:rsidRDefault="000A0998">
            <w:pPr>
              <w:pStyle w:val="P68B1DB1-Normal12"/>
              <w:jc w:val="center"/>
              <w:rPr>
                <w:rFonts w:eastAsia="Times New Roman" w:cs="Times New Roman"/>
                <w:noProof/>
              </w:rPr>
            </w:pPr>
            <w:r>
              <w:rPr>
                <w:noProof/>
              </w:rPr>
              <w:t>Käyttöönottotodistus</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65073E" w:rsidRDefault="0065073E">
            <w:pPr>
              <w:jc w:val="center"/>
              <w:rPr>
                <w:rFonts w:ascii="Times New Roman" w:eastAsia="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65073E" w:rsidRDefault="0065073E">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65073E" w:rsidRDefault="0065073E">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65073E" w:rsidRDefault="000A0998">
            <w:pPr>
              <w:pStyle w:val="P68B1DB1-Normal12"/>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65073E" w:rsidRDefault="000A0998">
            <w:pPr>
              <w:pStyle w:val="P68B1DB1-Normal12"/>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65073E" w:rsidRDefault="000A0998">
            <w:pPr>
              <w:pStyle w:val="P68B1DB1-Normal12"/>
              <w:rPr>
                <w:rFonts w:eastAsia="Times New Roman" w:cs="Times New Roman"/>
                <w:noProof/>
              </w:rPr>
            </w:pPr>
            <w:r>
              <w:rPr>
                <w:noProof/>
              </w:rPr>
              <w:t>Terveysministeriön ja autonomisten alueiden välinen lääkkeiden arviointiverkosto on toiminnassa, VALTERM ED-järjestelmä on toiminnassa ja Espanjan terveysteknologian ja -hyötyjen arviointivirastojen verkostolle (SNS REDETS) on perustettu foorumi.</w:t>
            </w:r>
          </w:p>
          <w:p w14:paraId="6111A05C" w14:textId="77777777" w:rsidR="0065073E" w:rsidRDefault="0065073E">
            <w:pPr>
              <w:rPr>
                <w:rFonts w:ascii="Times New Roman" w:eastAsia="Times New Roman" w:hAnsi="Times New Roman" w:cs="Times New Roman"/>
                <w:noProof/>
                <w:sz w:val="18"/>
              </w:rPr>
            </w:pPr>
          </w:p>
        </w:tc>
      </w:tr>
      <w:tr w:rsidR="0065073E" w14:paraId="2A1543F9"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65073E" w:rsidRDefault="000A0998">
            <w:pPr>
              <w:pStyle w:val="P68B1DB1-Normal12"/>
              <w:jc w:val="center"/>
              <w:rPr>
                <w:rFonts w:eastAsia="Times New Roman" w:cs="Times New Roman"/>
                <w:noProof/>
              </w:rPr>
            </w:pPr>
            <w:r>
              <w:rPr>
                <w:noProof/>
              </w:rPr>
              <w:t>464</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65073E" w:rsidRDefault="000A0998">
            <w:pPr>
              <w:pStyle w:val="P68B1DB1-Normal12"/>
              <w:jc w:val="center"/>
              <w:rPr>
                <w:rFonts w:eastAsia="Times New Roman" w:cs="Times New Roman"/>
                <w:noProof/>
              </w:rPr>
            </w:pPr>
            <w:r>
              <w:rPr>
                <w:noProof/>
              </w:rPr>
              <w:t>C18.I5</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65073E" w:rsidRDefault="000A0998">
            <w:pPr>
              <w:pStyle w:val="P68B1DB1-Normal12"/>
              <w:jc w:val="center"/>
              <w:rPr>
                <w:rFonts w:eastAsia="Times New Roman"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65073E" w:rsidRDefault="000A0998">
            <w:pPr>
              <w:pStyle w:val="P68B1DB1-Normal12"/>
              <w:rPr>
                <w:rFonts w:eastAsia="Times New Roman" w:cs="Times New Roman"/>
                <w:noProof/>
              </w:rPr>
            </w:pPr>
            <w:r>
              <w:rPr>
                <w:noProof/>
              </w:rPr>
              <w:t>Suunnitelma lääkkeiden kulutuksen järkeistämiseksi ja kestävyyden edistämiseksi</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65073E" w:rsidRDefault="0065073E">
            <w:pPr>
              <w:jc w:val="center"/>
              <w:rPr>
                <w:rFonts w:ascii="Times New Roman" w:eastAsia="Times New Roman" w:hAnsi="Times New Roman" w:cs="Times New Roman"/>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65073E" w:rsidRDefault="0065073E">
            <w:pPr>
              <w:jc w:val="center"/>
              <w:rPr>
                <w:rFonts w:ascii="Times New Roman" w:eastAsia="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65073E" w:rsidRDefault="0065073E">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65073E" w:rsidRDefault="0065073E">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65073E" w:rsidRDefault="000A0998">
            <w:pPr>
              <w:pStyle w:val="P68B1DB1-Normal12"/>
              <w:jc w:val="center"/>
              <w:rPr>
                <w:rFonts w:eastAsia="Times New Roman" w:cs="Times New Roman"/>
                <w:noProof/>
              </w:rPr>
            </w:pPr>
            <w:r>
              <w:rPr>
                <w:noProof/>
              </w:rPr>
              <w:t>TOINEN VUOSINELJÄNNES</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65073E" w:rsidRDefault="000A0998">
            <w:pPr>
              <w:pStyle w:val="P68B1DB1-Normal12"/>
              <w:jc w:val="center"/>
              <w:rPr>
                <w:rFonts w:eastAsia="Times New Roman" w:cs="Times New Roman"/>
                <w:noProof/>
              </w:rPr>
            </w:pPr>
            <w:r>
              <w:rPr>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65073E" w:rsidRDefault="000A0998">
            <w:pPr>
              <w:pStyle w:val="P68B1DB1-Normal12"/>
              <w:rPr>
                <w:rFonts w:eastAsia="Times New Roman" w:cs="Times New Roman"/>
                <w:noProof/>
              </w:rPr>
            </w:pPr>
            <w:r>
              <w:rPr>
                <w:noProof/>
              </w:rPr>
              <w:t>Geneeristen ja biosimilaarilääkkeiden käytön edistämiseksi on toteutettava kampanja.</w:t>
            </w:r>
          </w:p>
          <w:p w14:paraId="4A2FC14B" w14:textId="42ED86BA" w:rsidR="0065073E" w:rsidRDefault="000A0998">
            <w:pPr>
              <w:pStyle w:val="P68B1DB1-Normal12"/>
              <w:rPr>
                <w:rFonts w:eastAsia="Times New Roman" w:cs="Times New Roman"/>
                <w:noProof/>
              </w:rPr>
            </w:pPr>
            <w:r>
              <w:rPr>
                <w:noProof/>
              </w:rPr>
              <w:t>Ortopedisten ja proteesisten palvelujen määräämistä varten on otettava käyttöön tietojärjestelmä.</w:t>
            </w:r>
          </w:p>
          <w:p w14:paraId="251727E0" w14:textId="2D566576" w:rsidR="0065073E" w:rsidRDefault="000A0998">
            <w:pPr>
              <w:pStyle w:val="P68B1DB1-Normal12"/>
              <w:rPr>
                <w:rFonts w:eastAsia="Times New Roman" w:cs="Times New Roman"/>
                <w:noProof/>
              </w:rPr>
            </w:pPr>
            <w:r>
              <w:rPr>
                <w:noProof/>
              </w:rPr>
              <w:t>Vähintään 46300 terveydenhuollon ammattihenkilölle on annettava koulutusta lääkkeiden järkevästä käytöstä, tieteellisen tiedon käytöstä kliinisiin toimiin ja tieteellisen kirjallisuuden kriittisen lukemisen taitojen kehittämiseen.</w:t>
            </w:r>
          </w:p>
          <w:p w14:paraId="046176C0" w14:textId="77777777" w:rsidR="0065073E" w:rsidRDefault="000A0998">
            <w:pPr>
              <w:pStyle w:val="P68B1DB1-Normal12"/>
              <w:rPr>
                <w:rFonts w:eastAsia="Times New Roman" w:cs="Times New Roman"/>
                <w:noProof/>
              </w:rPr>
            </w:pPr>
            <w:r>
              <w:rPr>
                <w:noProof/>
              </w:rPr>
              <w:t>Perustetaan tutkintotodistus lääkkeiden ja terveysteknologian arvioinnin arvioinnista.</w:t>
            </w:r>
          </w:p>
        </w:tc>
      </w:tr>
      <w:tr w:rsidR="0065073E" w14:paraId="69CDC385" w14:textId="77777777">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65073E" w:rsidRDefault="000A0998">
            <w:pPr>
              <w:pStyle w:val="P68B1DB1-Normal12"/>
              <w:spacing w:after="0" w:line="240" w:lineRule="auto"/>
              <w:jc w:val="center"/>
              <w:rPr>
                <w:rFonts w:eastAsia="Times New Roman" w:cs="Times New Roman"/>
                <w:noProof/>
              </w:rPr>
            </w:pPr>
            <w:r>
              <w:rPr>
                <w:noProof/>
              </w:rPr>
              <w:t>284</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65073E" w:rsidRDefault="000A0998">
            <w:pPr>
              <w:pStyle w:val="P68B1DB1-Normal12"/>
              <w:spacing w:after="0" w:line="240" w:lineRule="auto"/>
              <w:jc w:val="center"/>
              <w:rPr>
                <w:rFonts w:eastAsia="Times New Roman" w:cs="Times New Roman"/>
                <w:noProof/>
              </w:rPr>
            </w:pPr>
            <w:r>
              <w:rPr>
                <w:noProof/>
              </w:rPr>
              <w:t>C18.I6</w:t>
            </w:r>
          </w:p>
        </w:tc>
        <w:tc>
          <w:tcPr>
            <w:tcW w:w="814"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65073E" w:rsidRDefault="000A0998">
            <w:pPr>
              <w:pStyle w:val="P68B1DB1-Normal12"/>
              <w:spacing w:after="0" w:line="240" w:lineRule="auto"/>
              <w:jc w:val="center"/>
              <w:rPr>
                <w:rFonts w:eastAsia="Times New Roman" w:cs="Times New Roman"/>
                <w:noProof/>
              </w:rPr>
            </w:pPr>
            <w:r>
              <w:rPr>
                <w:noProof/>
              </w:rPr>
              <w:t>T</w:t>
            </w:r>
          </w:p>
        </w:tc>
        <w:tc>
          <w:tcPr>
            <w:tcW w:w="2733"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65073E" w:rsidRDefault="000A0998">
            <w:pPr>
              <w:pStyle w:val="P68B1DB1-Normal12"/>
              <w:spacing w:after="0" w:line="240" w:lineRule="auto"/>
              <w:rPr>
                <w:rFonts w:eastAsia="Times New Roman" w:cs="Times New Roman"/>
                <w:noProof/>
              </w:rPr>
            </w:pPr>
            <w:r>
              <w:rPr>
                <w:noProof/>
              </w:rPr>
              <w:t xml:space="preserve">Terveystietojärvi toiminnassa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65073E" w:rsidRDefault="000A0998">
            <w:pPr>
              <w:pStyle w:val="P68B1DB1-Normal12"/>
              <w:spacing w:after="0" w:line="240" w:lineRule="auto"/>
              <w:jc w:val="center"/>
              <w:rPr>
                <w:rFonts w:eastAsia="Times New Roman" w:cs="Times New Roman"/>
                <w:noProof/>
              </w:rPr>
            </w:pPr>
            <w:r>
              <w:rPr>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65073E" w:rsidRDefault="000A0998">
            <w:pPr>
              <w:pStyle w:val="P68B1DB1-Normal12"/>
              <w:spacing w:after="0" w:line="240" w:lineRule="auto"/>
              <w:jc w:val="right"/>
              <w:rPr>
                <w:rFonts w:eastAsia="Times New Roman" w:cs="Times New Roman"/>
                <w:noProof/>
              </w:rPr>
            </w:pPr>
            <w:r>
              <w:rPr>
                <w:noProof/>
              </w:rPr>
              <w:t>17</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65073E" w:rsidRDefault="000A0998">
            <w:pPr>
              <w:pStyle w:val="P68B1DB1-Normal12"/>
              <w:spacing w:after="0" w:line="240" w:lineRule="auto"/>
              <w:rPr>
                <w:rFonts w:eastAsia="Times New Roman" w:cs="Times New Roman"/>
                <w:noProof/>
              </w:rPr>
            </w:pPr>
            <w:r>
              <w:rPr>
                <w:noProof/>
              </w:rPr>
              <w:t>Terveystietojärven on oltava valtion käytössä, ja siihen on kuuluttava vähintään 17 autonomista aluetta tai kaupunkia, joiden tavoitteena on mahdollistaa massadatan analysointi diagnoosien ja hoitojen tunnistamiseksi ja parantamiseksi.</w:t>
            </w:r>
          </w:p>
        </w:tc>
      </w:tr>
      <w:tr w:rsidR="0065073E" w14:paraId="36323961" w14:textId="77777777">
        <w:trPr>
          <w:trHeight w:val="309"/>
        </w:trPr>
        <w:tc>
          <w:tcPr>
            <w:tcW w:w="837" w:type="dxa"/>
            <w:shd w:val="clear" w:color="auto" w:fill="C6EFCE"/>
            <w:noWrap/>
          </w:tcPr>
          <w:p w14:paraId="15D2AC37" w14:textId="5B8A585D" w:rsidR="0065073E" w:rsidRDefault="000A0998">
            <w:pPr>
              <w:pStyle w:val="P68B1DB1-Normal12"/>
              <w:spacing w:after="0" w:line="240" w:lineRule="auto"/>
              <w:jc w:val="center"/>
              <w:rPr>
                <w:rFonts w:cs="Times New Roman"/>
                <w:noProof/>
              </w:rPr>
            </w:pPr>
            <w:r>
              <w:rPr>
                <w:noProof/>
              </w:rPr>
              <w:t>465</w:t>
            </w:r>
          </w:p>
        </w:tc>
        <w:tc>
          <w:tcPr>
            <w:tcW w:w="828" w:type="dxa"/>
            <w:shd w:val="clear" w:color="auto" w:fill="C6EFCE"/>
            <w:noWrap/>
          </w:tcPr>
          <w:p w14:paraId="4E2574A6" w14:textId="77777777" w:rsidR="0065073E" w:rsidRDefault="000A0998">
            <w:pPr>
              <w:pStyle w:val="P68B1DB1-Normal12"/>
              <w:spacing w:after="0" w:line="240" w:lineRule="auto"/>
              <w:jc w:val="center"/>
              <w:rPr>
                <w:rFonts w:cs="Times New Roman"/>
                <w:noProof/>
              </w:rPr>
            </w:pPr>
            <w:r>
              <w:rPr>
                <w:noProof/>
              </w:rPr>
              <w:t>C18.I4</w:t>
            </w:r>
          </w:p>
        </w:tc>
        <w:tc>
          <w:tcPr>
            <w:tcW w:w="814" w:type="dxa"/>
            <w:shd w:val="clear" w:color="auto" w:fill="C6EFCE"/>
            <w:noWrap/>
          </w:tcPr>
          <w:p w14:paraId="0DF8E6C4" w14:textId="77777777" w:rsidR="0065073E" w:rsidRDefault="000A0998">
            <w:pPr>
              <w:pStyle w:val="P68B1DB1-Normal12"/>
              <w:spacing w:after="0" w:line="240" w:lineRule="auto"/>
              <w:jc w:val="center"/>
              <w:rPr>
                <w:rFonts w:cs="Times New Roman"/>
                <w:noProof/>
              </w:rPr>
            </w:pPr>
            <w:r>
              <w:rPr>
                <w:noProof/>
              </w:rPr>
              <w:t>T</w:t>
            </w:r>
          </w:p>
        </w:tc>
        <w:tc>
          <w:tcPr>
            <w:tcW w:w="2733" w:type="dxa"/>
            <w:shd w:val="clear" w:color="auto" w:fill="C6EFCE"/>
            <w:noWrap/>
          </w:tcPr>
          <w:p w14:paraId="20B9943E" w14:textId="6C3315D1" w:rsidR="0065073E" w:rsidRDefault="000A0998">
            <w:pPr>
              <w:pStyle w:val="P68B1DB1-Normal12"/>
              <w:spacing w:after="0" w:line="240" w:lineRule="auto"/>
              <w:rPr>
                <w:rFonts w:eastAsia="Times New Roman" w:cs="Times New Roman"/>
                <w:noProof/>
              </w:rPr>
            </w:pPr>
            <w:r>
              <w:rPr>
                <w:noProof/>
              </w:rPr>
              <w:t xml:space="preserve">Harvinaisia sairauksia sairastavien potilaiden terveydenhuollon parantamiseen tähtäävien hankkeiden loppuun saattaminen </w:t>
            </w:r>
          </w:p>
        </w:tc>
        <w:tc>
          <w:tcPr>
            <w:tcW w:w="1241" w:type="dxa"/>
            <w:shd w:val="clear" w:color="auto" w:fill="C6EFCE"/>
            <w:noWrap/>
          </w:tcPr>
          <w:p w14:paraId="0A78DA5B" w14:textId="77777777" w:rsidR="0065073E" w:rsidRDefault="0065073E">
            <w:pPr>
              <w:spacing w:after="0" w:line="240" w:lineRule="auto"/>
              <w:jc w:val="center"/>
              <w:rPr>
                <w:rFonts w:ascii="Times New Roman" w:hAnsi="Times New Roman" w:cs="Times New Roman"/>
                <w:noProof/>
                <w:sz w:val="18"/>
              </w:rPr>
            </w:pPr>
          </w:p>
        </w:tc>
        <w:tc>
          <w:tcPr>
            <w:tcW w:w="691" w:type="dxa"/>
            <w:shd w:val="clear" w:color="auto" w:fill="C6EFCE"/>
            <w:noWrap/>
          </w:tcPr>
          <w:p w14:paraId="595D81A4" w14:textId="79DA9C70" w:rsidR="0065073E" w:rsidRDefault="000A0998">
            <w:pPr>
              <w:pStyle w:val="P68B1DB1-Normal12"/>
              <w:spacing w:after="0" w:line="240" w:lineRule="auto"/>
              <w:jc w:val="center"/>
              <w:rPr>
                <w:rFonts w:cs="Times New Roman"/>
                <w:noProof/>
              </w:rPr>
            </w:pPr>
            <w:r>
              <w:rPr>
                <w:noProof/>
              </w:rPr>
              <w:t xml:space="preserve">Miljoonaa euroa </w:t>
            </w:r>
          </w:p>
        </w:tc>
        <w:tc>
          <w:tcPr>
            <w:tcW w:w="966" w:type="dxa"/>
            <w:shd w:val="clear" w:color="auto" w:fill="C6EFCE"/>
            <w:noWrap/>
          </w:tcPr>
          <w:p w14:paraId="73434D56" w14:textId="77777777" w:rsidR="0065073E" w:rsidRDefault="000A0998">
            <w:pPr>
              <w:pStyle w:val="P68B1DB1-Normal12"/>
              <w:spacing w:after="0" w:line="240" w:lineRule="auto"/>
              <w:jc w:val="right"/>
              <w:rPr>
                <w:rFonts w:cs="Times New Roman"/>
                <w:noProof/>
              </w:rPr>
            </w:pPr>
            <w:r>
              <w:rPr>
                <w:noProof/>
              </w:rPr>
              <w:t>0</w:t>
            </w:r>
          </w:p>
        </w:tc>
        <w:tc>
          <w:tcPr>
            <w:tcW w:w="553" w:type="dxa"/>
            <w:shd w:val="clear" w:color="auto" w:fill="C6EFCE"/>
            <w:noWrap/>
          </w:tcPr>
          <w:p w14:paraId="77FAD77F" w14:textId="77777777" w:rsidR="0065073E" w:rsidRDefault="000A0998">
            <w:pPr>
              <w:pStyle w:val="P68B1DB1-Normal12"/>
              <w:spacing w:after="0" w:line="240" w:lineRule="auto"/>
              <w:jc w:val="right"/>
              <w:rPr>
                <w:rFonts w:eastAsia="Times New Roman" w:cs="Times New Roman"/>
                <w:noProof/>
              </w:rPr>
            </w:pPr>
            <w:r>
              <w:rPr>
                <w:noProof/>
              </w:rPr>
              <w:t>50</w:t>
            </w:r>
          </w:p>
        </w:tc>
        <w:tc>
          <w:tcPr>
            <w:tcW w:w="553" w:type="dxa"/>
            <w:shd w:val="clear" w:color="auto" w:fill="C6EFCE"/>
            <w:noWrap/>
          </w:tcPr>
          <w:p w14:paraId="6D2A1BB2" w14:textId="52B062C2" w:rsidR="0065073E" w:rsidRDefault="000A0998">
            <w:pPr>
              <w:pStyle w:val="P68B1DB1-Normal12"/>
              <w:spacing w:after="0" w:line="240" w:lineRule="auto"/>
              <w:jc w:val="center"/>
              <w:rPr>
                <w:rFonts w:cs="Times New Roman"/>
                <w:noProof/>
              </w:rPr>
            </w:pPr>
            <w:r>
              <w:rPr>
                <w:noProof/>
              </w:rPr>
              <w:t>TOINEN VUOSINELJÄNNES</w:t>
            </w:r>
          </w:p>
        </w:tc>
        <w:tc>
          <w:tcPr>
            <w:tcW w:w="553" w:type="dxa"/>
            <w:shd w:val="clear" w:color="auto" w:fill="C6EFCE"/>
            <w:noWrap/>
          </w:tcPr>
          <w:p w14:paraId="03755F8C" w14:textId="743B6E37" w:rsidR="0065073E" w:rsidRDefault="000A0998">
            <w:pPr>
              <w:pStyle w:val="P68B1DB1-Normal12"/>
              <w:spacing w:after="0" w:line="240" w:lineRule="auto"/>
              <w:jc w:val="center"/>
              <w:rPr>
                <w:rFonts w:cs="Times New Roman"/>
                <w:noProof/>
              </w:rPr>
            </w:pPr>
            <w:r>
              <w:rPr>
                <w:noProof/>
              </w:rPr>
              <w:t>2026</w:t>
            </w:r>
          </w:p>
        </w:tc>
        <w:tc>
          <w:tcPr>
            <w:tcW w:w="5517" w:type="dxa"/>
            <w:shd w:val="clear" w:color="auto" w:fill="C6EFCE"/>
            <w:noWrap/>
          </w:tcPr>
          <w:p w14:paraId="48DF3648" w14:textId="4F2C31D2" w:rsidR="0065073E" w:rsidRDefault="000A0998">
            <w:pPr>
              <w:pStyle w:val="P68B1DB1-Normal12"/>
              <w:spacing w:after="0" w:line="240" w:lineRule="auto"/>
              <w:rPr>
                <w:rFonts w:eastAsia="Times New Roman" w:cs="Times New Roman"/>
                <w:noProof/>
              </w:rPr>
            </w:pPr>
            <w:r>
              <w:rPr>
                <w:noProof/>
              </w:rPr>
              <w:t>Vähintään 50 miljoonan euron pilottihankkeiden loppuun saattaminen kansallisen terveydenhuoltojärjestelmän varustamiseksi yhteentoimivilla valmiuksilla, infrastruktuurilla, laitteilla ja tietojärjestelmillä harvinaisia sairauksia sairastavien potilaiden terveydenhuollon parantamiseksi</w:t>
            </w:r>
          </w:p>
        </w:tc>
      </w:tr>
      <w:tr w:rsidR="0065073E" w14:paraId="0A1EAE17" w14:textId="77777777">
        <w:trPr>
          <w:trHeight w:val="309"/>
        </w:trPr>
        <w:tc>
          <w:tcPr>
            <w:tcW w:w="837" w:type="dxa"/>
            <w:shd w:val="clear" w:color="auto" w:fill="C6EFCE"/>
            <w:noWrap/>
          </w:tcPr>
          <w:p w14:paraId="48D0ABBD" w14:textId="3408C95B" w:rsidR="0065073E" w:rsidRDefault="000A0998">
            <w:pPr>
              <w:pStyle w:val="P68B1DB1-Normal12"/>
              <w:spacing w:after="0" w:line="240" w:lineRule="auto"/>
              <w:jc w:val="center"/>
              <w:rPr>
                <w:rFonts w:eastAsia="Times New Roman" w:cs="Times New Roman"/>
                <w:noProof/>
              </w:rPr>
            </w:pPr>
            <w:r>
              <w:rPr>
                <w:noProof/>
              </w:rPr>
              <w:t>466</w:t>
            </w:r>
          </w:p>
        </w:tc>
        <w:tc>
          <w:tcPr>
            <w:tcW w:w="828" w:type="dxa"/>
            <w:shd w:val="clear" w:color="auto" w:fill="C6EFCE"/>
            <w:noWrap/>
          </w:tcPr>
          <w:p w14:paraId="08593F24" w14:textId="50218951" w:rsidR="0065073E" w:rsidRDefault="000A0998">
            <w:pPr>
              <w:pStyle w:val="P68B1DB1-Normal12"/>
              <w:spacing w:after="0" w:line="240" w:lineRule="auto"/>
              <w:jc w:val="center"/>
              <w:rPr>
                <w:rFonts w:eastAsia="Times New Roman" w:cs="Times New Roman"/>
                <w:noProof/>
              </w:rPr>
            </w:pPr>
            <w:r>
              <w:rPr>
                <w:noProof/>
              </w:rPr>
              <w:t>C18.I5</w:t>
            </w:r>
          </w:p>
        </w:tc>
        <w:tc>
          <w:tcPr>
            <w:tcW w:w="814" w:type="dxa"/>
            <w:shd w:val="clear" w:color="auto" w:fill="C6EFCE"/>
            <w:noWrap/>
          </w:tcPr>
          <w:p w14:paraId="62D7F482" w14:textId="319DB96D" w:rsidR="0065073E" w:rsidRDefault="000A0998">
            <w:pPr>
              <w:pStyle w:val="P68B1DB1-Normal12"/>
              <w:spacing w:after="0" w:line="240" w:lineRule="auto"/>
              <w:jc w:val="center"/>
              <w:rPr>
                <w:rFonts w:eastAsia="Times New Roman" w:cs="Times New Roman"/>
                <w:noProof/>
              </w:rPr>
            </w:pPr>
            <w:r>
              <w:rPr>
                <w:noProof/>
              </w:rPr>
              <w:t>T</w:t>
            </w:r>
          </w:p>
        </w:tc>
        <w:tc>
          <w:tcPr>
            <w:tcW w:w="2733" w:type="dxa"/>
            <w:shd w:val="clear" w:color="auto" w:fill="C6EFCE"/>
            <w:noWrap/>
          </w:tcPr>
          <w:p w14:paraId="11CC146B" w14:textId="0ADF4BA4" w:rsidR="0065073E" w:rsidRDefault="000A0998">
            <w:pPr>
              <w:pStyle w:val="P68B1DB1-Normal12"/>
              <w:spacing w:after="0" w:line="240" w:lineRule="auto"/>
              <w:rPr>
                <w:rFonts w:eastAsia="Times New Roman" w:cs="Times New Roman"/>
                <w:noProof/>
              </w:rPr>
            </w:pPr>
            <w:r>
              <w:rPr>
                <w:noProof/>
              </w:rPr>
              <w:t>Genomipalvelujen laajentaminen kansallisessa terveydenhuoltojärjestelmässä</w:t>
            </w:r>
          </w:p>
        </w:tc>
        <w:tc>
          <w:tcPr>
            <w:tcW w:w="1241" w:type="dxa"/>
            <w:shd w:val="clear" w:color="auto" w:fill="C6EFCE"/>
            <w:noWrap/>
          </w:tcPr>
          <w:p w14:paraId="5D3803A4" w14:textId="3365792B" w:rsidR="0065073E" w:rsidRDefault="000A0998">
            <w:pPr>
              <w:pStyle w:val="P68B1DB1-Normal12"/>
              <w:spacing w:after="0" w:line="240" w:lineRule="auto"/>
              <w:jc w:val="center"/>
              <w:rPr>
                <w:rFonts w:cs="Times New Roman"/>
                <w:noProof/>
              </w:rPr>
            </w:pPr>
            <w:r>
              <w:rPr>
                <w:noProof/>
              </w:rPr>
              <w:t xml:space="preserve"> </w:t>
            </w:r>
          </w:p>
        </w:tc>
        <w:tc>
          <w:tcPr>
            <w:tcW w:w="691" w:type="dxa"/>
            <w:shd w:val="clear" w:color="auto" w:fill="C6EFCE"/>
            <w:noWrap/>
          </w:tcPr>
          <w:p w14:paraId="48F0A250" w14:textId="56E62F00" w:rsidR="0065073E" w:rsidRDefault="000A0998">
            <w:pPr>
              <w:pStyle w:val="P68B1DB1-Normal12"/>
              <w:spacing w:after="0" w:line="240" w:lineRule="auto"/>
              <w:jc w:val="center"/>
              <w:rPr>
                <w:rFonts w:eastAsia="Times New Roman" w:cs="Times New Roman"/>
                <w:noProof/>
              </w:rPr>
            </w:pPr>
            <w:r>
              <w:rPr>
                <w:noProof/>
              </w:rPr>
              <w:t xml:space="preserve">Miljoonaa euroa </w:t>
            </w:r>
          </w:p>
        </w:tc>
        <w:tc>
          <w:tcPr>
            <w:tcW w:w="966" w:type="dxa"/>
            <w:shd w:val="clear" w:color="auto" w:fill="C6EFCE"/>
            <w:noWrap/>
          </w:tcPr>
          <w:p w14:paraId="528FBAF1" w14:textId="153C087C" w:rsidR="0065073E" w:rsidRDefault="000A0998">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F038E42" w14:textId="3B1E3DA3" w:rsidR="0065073E" w:rsidRDefault="000A0998">
            <w:pPr>
              <w:pStyle w:val="P68B1DB1-Normal12"/>
              <w:spacing w:after="0" w:line="240" w:lineRule="auto"/>
              <w:jc w:val="right"/>
              <w:rPr>
                <w:rFonts w:eastAsia="Times New Roman" w:cs="Times New Roman"/>
                <w:noProof/>
              </w:rPr>
            </w:pPr>
            <w:r>
              <w:rPr>
                <w:noProof/>
              </w:rPr>
              <w:t>23</w:t>
            </w:r>
          </w:p>
        </w:tc>
        <w:tc>
          <w:tcPr>
            <w:tcW w:w="553" w:type="dxa"/>
            <w:shd w:val="clear" w:color="auto" w:fill="C6EFCE"/>
            <w:noWrap/>
          </w:tcPr>
          <w:p w14:paraId="76756A97" w14:textId="122F5FB9"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3" w:type="dxa"/>
            <w:shd w:val="clear" w:color="auto" w:fill="C6EFCE"/>
            <w:noWrap/>
          </w:tcPr>
          <w:p w14:paraId="1187235C" w14:textId="3E77F6F4" w:rsidR="0065073E" w:rsidRDefault="000A0998">
            <w:pPr>
              <w:pStyle w:val="P68B1DB1-Normal12"/>
              <w:spacing w:after="0" w:line="240" w:lineRule="auto"/>
              <w:jc w:val="center"/>
              <w:rPr>
                <w:rFonts w:eastAsia="Times New Roman" w:cs="Times New Roman"/>
                <w:noProof/>
              </w:rPr>
            </w:pPr>
            <w:r>
              <w:rPr>
                <w:noProof/>
              </w:rPr>
              <w:t>2026</w:t>
            </w:r>
          </w:p>
        </w:tc>
        <w:tc>
          <w:tcPr>
            <w:tcW w:w="5517" w:type="dxa"/>
            <w:shd w:val="clear" w:color="auto" w:fill="C6EFCE"/>
            <w:noWrap/>
          </w:tcPr>
          <w:p w14:paraId="086447AF" w14:textId="1B49B1B4" w:rsidR="0065073E" w:rsidRDefault="000A0998">
            <w:pPr>
              <w:pStyle w:val="P68B1DB1-Normal12"/>
              <w:spacing w:after="0" w:line="240" w:lineRule="auto"/>
              <w:rPr>
                <w:rFonts w:eastAsia="Times New Roman" w:cs="Times New Roman"/>
                <w:noProof/>
              </w:rPr>
            </w:pPr>
            <w:r>
              <w:rPr>
                <w:noProof/>
              </w:rPr>
              <w:t>On hankittava geenitestauksen laajennetun luettelon toteuttamiseksi tarvittavat laitteet, joiden arvo on vähintään 23000000 euroa, ja genomitiedon integrointiin tarkoitetun tietojärjestelmän on oltava toiminnassa kansallisella tasolla.</w:t>
            </w:r>
          </w:p>
        </w:tc>
      </w:tr>
      <w:tr w:rsidR="0065073E" w14:paraId="0BAA2D52" w14:textId="77777777">
        <w:trPr>
          <w:trHeight w:val="309"/>
        </w:trPr>
        <w:tc>
          <w:tcPr>
            <w:tcW w:w="837" w:type="dxa"/>
            <w:shd w:val="clear" w:color="auto" w:fill="C6EFCE"/>
            <w:noWrap/>
          </w:tcPr>
          <w:p w14:paraId="3FD0142E" w14:textId="04899C00" w:rsidR="0065073E" w:rsidRDefault="000A0998">
            <w:pPr>
              <w:pStyle w:val="P68B1DB1-Normal12"/>
              <w:spacing w:after="0" w:line="240" w:lineRule="auto"/>
              <w:jc w:val="center"/>
              <w:rPr>
                <w:rFonts w:cs="Times New Roman"/>
                <w:noProof/>
              </w:rPr>
            </w:pPr>
            <w:r>
              <w:rPr>
                <w:noProof/>
              </w:rPr>
              <w:t>466 a</w:t>
            </w:r>
          </w:p>
        </w:tc>
        <w:tc>
          <w:tcPr>
            <w:tcW w:w="828" w:type="dxa"/>
            <w:shd w:val="clear" w:color="auto" w:fill="C6EFCE"/>
            <w:noWrap/>
          </w:tcPr>
          <w:p w14:paraId="2CA30FAA" w14:textId="667F3C2D" w:rsidR="0065073E" w:rsidRDefault="000A0998">
            <w:pPr>
              <w:pStyle w:val="P68B1DB1-Normal12"/>
              <w:spacing w:after="0" w:line="240" w:lineRule="auto"/>
              <w:jc w:val="center"/>
              <w:rPr>
                <w:rFonts w:cs="Times New Roman"/>
                <w:noProof/>
              </w:rPr>
            </w:pPr>
            <w:r>
              <w:rPr>
                <w:noProof/>
              </w:rPr>
              <w:t>C18.I6</w:t>
            </w:r>
          </w:p>
        </w:tc>
        <w:tc>
          <w:tcPr>
            <w:tcW w:w="814" w:type="dxa"/>
            <w:shd w:val="clear" w:color="auto" w:fill="C6EFCE"/>
            <w:noWrap/>
          </w:tcPr>
          <w:p w14:paraId="069CB644" w14:textId="294A3F74" w:rsidR="0065073E" w:rsidRDefault="000A0998">
            <w:pPr>
              <w:pStyle w:val="P68B1DB1-Normal12"/>
              <w:spacing w:after="0" w:line="240" w:lineRule="auto"/>
              <w:jc w:val="center"/>
              <w:rPr>
                <w:rFonts w:cs="Times New Roman"/>
                <w:noProof/>
              </w:rPr>
            </w:pPr>
            <w:r>
              <w:rPr>
                <w:noProof/>
              </w:rPr>
              <w:t>T</w:t>
            </w:r>
          </w:p>
        </w:tc>
        <w:tc>
          <w:tcPr>
            <w:tcW w:w="2733" w:type="dxa"/>
            <w:shd w:val="clear" w:color="auto" w:fill="C6EFCE"/>
            <w:noWrap/>
          </w:tcPr>
          <w:p w14:paraId="45090972" w14:textId="62CF638A" w:rsidR="0065073E" w:rsidRDefault="000A0998">
            <w:pPr>
              <w:pStyle w:val="P68B1DB1-Normal12"/>
              <w:spacing w:after="0" w:line="240" w:lineRule="auto"/>
              <w:rPr>
                <w:rFonts w:eastAsia="Times New Roman" w:cs="Times New Roman"/>
                <w:noProof/>
              </w:rPr>
            </w:pPr>
            <w:r>
              <w:rPr>
                <w:noProof/>
              </w:rPr>
              <w:t>Massadatankäsittelyhankkeet</w:t>
            </w:r>
          </w:p>
        </w:tc>
        <w:tc>
          <w:tcPr>
            <w:tcW w:w="1241" w:type="dxa"/>
            <w:shd w:val="clear" w:color="auto" w:fill="C6EFCE"/>
            <w:noWrap/>
          </w:tcPr>
          <w:p w14:paraId="06BC43D8" w14:textId="6C040902" w:rsidR="0065073E" w:rsidRDefault="0065073E">
            <w:pPr>
              <w:spacing w:after="0" w:line="240" w:lineRule="auto"/>
              <w:jc w:val="center"/>
              <w:rPr>
                <w:rFonts w:ascii="Times New Roman" w:hAnsi="Times New Roman" w:cs="Times New Roman"/>
                <w:noProof/>
                <w:sz w:val="18"/>
              </w:rPr>
            </w:pPr>
          </w:p>
        </w:tc>
        <w:tc>
          <w:tcPr>
            <w:tcW w:w="691" w:type="dxa"/>
            <w:shd w:val="clear" w:color="auto" w:fill="C6EFCE"/>
            <w:noWrap/>
          </w:tcPr>
          <w:p w14:paraId="7F835862" w14:textId="0F05C931" w:rsidR="0065073E" w:rsidRDefault="0065073E">
            <w:pPr>
              <w:spacing w:after="0" w:line="240" w:lineRule="auto"/>
              <w:jc w:val="center"/>
              <w:rPr>
                <w:rFonts w:ascii="Times New Roman" w:hAnsi="Times New Roman" w:cs="Times New Roman"/>
                <w:noProof/>
                <w:sz w:val="18"/>
              </w:rPr>
            </w:pPr>
          </w:p>
        </w:tc>
        <w:tc>
          <w:tcPr>
            <w:tcW w:w="966" w:type="dxa"/>
            <w:shd w:val="clear" w:color="auto" w:fill="C6EFCE"/>
            <w:noWrap/>
          </w:tcPr>
          <w:p w14:paraId="6CE29A2A" w14:textId="420D3061" w:rsidR="0065073E" w:rsidRDefault="0065073E">
            <w:pPr>
              <w:spacing w:after="0" w:line="240" w:lineRule="auto"/>
              <w:jc w:val="right"/>
              <w:rPr>
                <w:rFonts w:ascii="Times New Roman" w:hAnsi="Times New Roman" w:cs="Times New Roman"/>
                <w:noProof/>
                <w:sz w:val="18"/>
              </w:rPr>
            </w:pPr>
          </w:p>
        </w:tc>
        <w:tc>
          <w:tcPr>
            <w:tcW w:w="553" w:type="dxa"/>
            <w:shd w:val="clear" w:color="auto" w:fill="C6EFCE"/>
            <w:noWrap/>
          </w:tcPr>
          <w:p w14:paraId="4C41331F" w14:textId="4EEBA05E" w:rsidR="0065073E" w:rsidRDefault="000A0998">
            <w:pPr>
              <w:pStyle w:val="P68B1DB1-Normal12"/>
              <w:spacing w:after="0" w:line="240" w:lineRule="auto"/>
              <w:jc w:val="right"/>
              <w:rPr>
                <w:rFonts w:cs="Times New Roman"/>
                <w:noProof/>
              </w:rPr>
            </w:pPr>
            <w:r>
              <w:rPr>
                <w:noProof/>
              </w:rPr>
              <w:t>2</w:t>
            </w:r>
          </w:p>
        </w:tc>
        <w:tc>
          <w:tcPr>
            <w:tcW w:w="553" w:type="dxa"/>
            <w:shd w:val="clear" w:color="auto" w:fill="C6EFCE"/>
            <w:noWrap/>
          </w:tcPr>
          <w:p w14:paraId="7C52FB75" w14:textId="58DE1D6F"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1685B77C" w14:textId="415DF8CE" w:rsidR="0065073E" w:rsidRDefault="000A0998">
            <w:pPr>
              <w:pStyle w:val="P68B1DB1-Normal12"/>
              <w:spacing w:after="0" w:line="240" w:lineRule="auto"/>
              <w:jc w:val="center"/>
              <w:rPr>
                <w:rFonts w:cs="Times New Roman"/>
                <w:noProof/>
              </w:rPr>
            </w:pPr>
            <w:r>
              <w:rPr>
                <w:noProof/>
              </w:rPr>
              <w:t>2025</w:t>
            </w:r>
          </w:p>
        </w:tc>
        <w:tc>
          <w:tcPr>
            <w:tcW w:w="5517" w:type="dxa"/>
            <w:shd w:val="clear" w:color="auto" w:fill="C6EFCE"/>
            <w:noWrap/>
          </w:tcPr>
          <w:p w14:paraId="22DCCCD1" w14:textId="28DF8296" w:rsidR="0065073E" w:rsidRDefault="000A0998">
            <w:pPr>
              <w:pStyle w:val="P68B1DB1-Normal12"/>
              <w:spacing w:after="0" w:line="240" w:lineRule="auto"/>
              <w:rPr>
                <w:rFonts w:eastAsia="Times New Roman" w:cs="Times New Roman"/>
                <w:noProof/>
              </w:rPr>
            </w:pPr>
            <w:r>
              <w:rPr>
                <w:noProof/>
              </w:rPr>
              <w:t>Osana terveystietojärveen tehtävää investointia on toteutettava vähintään kaksi massadatankäsittelyhanketta.</w:t>
            </w:r>
          </w:p>
        </w:tc>
      </w:tr>
    </w:tbl>
    <w:p w14:paraId="6CEA137B" w14:textId="77777777" w:rsidR="0065073E" w:rsidRDefault="0065073E">
      <w:pPr>
        <w:rPr>
          <w:rFonts w:ascii="Times New Roman" w:hAnsi="Times New Roman" w:cs="Times New Roman"/>
          <w:noProof/>
        </w:rPr>
      </w:pPr>
    </w:p>
    <w:p w14:paraId="6AFA53DC"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27"/>
          <w:headerReference w:type="default" r:id="rId428"/>
          <w:footerReference w:type="even" r:id="rId429"/>
          <w:footerReference w:type="default" r:id="rId430"/>
          <w:headerReference w:type="first" r:id="rId431"/>
          <w:footerReference w:type="first" r:id="rId432"/>
          <w:pgSz w:w="16839" w:h="11907" w:orient="landscape"/>
          <w:pgMar w:top="1134" w:right="1134" w:bottom="1134" w:left="1134" w:header="567" w:footer="567" w:gutter="0"/>
          <w:cols w:space="720"/>
          <w:docGrid w:linePitch="360"/>
        </w:sectPr>
      </w:pPr>
    </w:p>
    <w:p w14:paraId="20701AA1" w14:textId="77777777" w:rsidR="0065073E" w:rsidRDefault="000A0998">
      <w:pPr>
        <w:pStyle w:val="P68B1DB1-Heading12"/>
        <w:rPr>
          <w:rFonts w:cs="Times New Roman"/>
          <w:noProof/>
        </w:rPr>
      </w:pPr>
      <w:r>
        <w:rPr>
          <w:noProof/>
        </w:rPr>
        <w:t>S. OSA 19: Digitaaliset taidot</w:t>
      </w:r>
    </w:p>
    <w:p w14:paraId="07BA6823" w14:textId="77777777" w:rsidR="0065073E" w:rsidRDefault="000A0998">
      <w:pPr>
        <w:pStyle w:val="P68B1DB1-Normal4"/>
        <w:spacing w:before="120" w:after="120" w:line="240" w:lineRule="auto"/>
        <w:jc w:val="both"/>
        <w:rPr>
          <w:rFonts w:cs="Times New Roman"/>
          <w:noProof/>
        </w:rPr>
      </w:pPr>
      <w:r>
        <w:rPr>
          <w:noProof/>
        </w:rPr>
        <w:t xml:space="preserve">Espanjan elpymis- ja palautumissuunnitelman tämän komponentin päätavoitteena on lisätä digitaalisten taitojen (perus- ja edistyksellisten) tasoa eri väestöryhmille suunnatuilla toimilla. Näiden taitojen hankkiminen on avainasemassa, jotta Espanja voi hyödyntää talouden ja yhteiskunnan lisääntyvän digitalisaation tarjoamia mahdollisuuksia. </w:t>
      </w:r>
    </w:p>
    <w:p w14:paraId="1539AB6F" w14:textId="77777777" w:rsidR="0065073E" w:rsidRDefault="000A0998">
      <w:pPr>
        <w:pStyle w:val="P68B1DB1-Normal4"/>
        <w:spacing w:before="120" w:after="120" w:line="240" w:lineRule="auto"/>
        <w:jc w:val="both"/>
        <w:rPr>
          <w:rFonts w:cs="Times New Roman"/>
          <w:noProof/>
        </w:rPr>
      </w:pPr>
      <w:r>
        <w:rPr>
          <w:noProof/>
        </w:rPr>
        <w:t xml:space="preserve">Pk-yritysten digitalisointia koskevat kohdennetut toimet täydentävät suunnitelman komponentissa 13 (Pk-yritysten tukeminen) esitettyjä toimenpiteitä. Toimet korkeasti koulutettujen henkilöiden määrän lisäämiseksi tieto- ja viestintätekniikan alalla täydentävät komponentin 15 (digitaaliset yhteydet) toimia. Lisäksi koulujen digitalisointia koskevilla toimilla olisi vahvistettava komponentin 21 (koulutus) toimenpiteitä ja lisättävä komponentissa 23 (työmarkkinat) suunniteltujen toimien vaikutusta. </w:t>
      </w:r>
    </w:p>
    <w:p w14:paraId="607274F3" w14:textId="77777777" w:rsidR="0065073E" w:rsidRDefault="000A0998">
      <w:pPr>
        <w:pStyle w:val="P68B1DB1-Normal4"/>
        <w:spacing w:before="120" w:after="120" w:line="240" w:lineRule="auto"/>
        <w:jc w:val="both"/>
        <w:rPr>
          <w:rFonts w:cs="Times New Roman"/>
          <w:noProof/>
        </w:rPr>
      </w:pPr>
      <w:r>
        <w:rPr>
          <w:noProof/>
        </w:rPr>
        <w:t>Komponentissa käsitellään maakohtaisia suosituksia innovoinnin edistämisestä (maakohtainen suositus 3 2019), digitaalisen oppimisen saatavuudesta (maakohtainen suositus 2 2020) ja pitkälle kehitettyjen julkisten investointihankkeiden aikaistamisesta, yksityisten investointien edistämisestä talouden elpymisen edistämiseksi ja investointien keskittämisestä vihreään ja digitaaliseen siirtymään (maakohtainen suositus 3 2020).</w:t>
      </w:r>
    </w:p>
    <w:p w14:paraId="21FD6DE3"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126D6E9E"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S.1 </w:t>
      </w:r>
      <w:r>
        <w:rPr>
          <w:noProof/>
        </w:rPr>
        <w:t xml:space="preserve"> </w:t>
      </w:r>
      <w:r>
        <w:rPr>
          <w:rFonts w:ascii="Times New Roman" w:hAnsi="Times New Roman"/>
          <w:b/>
          <w:noProof/>
          <w:sz w:val="24"/>
          <w:u w:val="single"/>
        </w:rPr>
        <w:t>Kuvaus uudistuksista ja investoinneista, joita rahoitetaan rahoitustuella, jota ei makseta takaisin</w:t>
      </w:r>
    </w:p>
    <w:p w14:paraId="0B394C03" w14:textId="77777777" w:rsidR="0065073E" w:rsidRDefault="000A0998">
      <w:pPr>
        <w:pStyle w:val="P68B1DB1-Normal5"/>
        <w:spacing w:before="120" w:after="120" w:line="240" w:lineRule="auto"/>
        <w:jc w:val="both"/>
        <w:rPr>
          <w:rFonts w:cs="Times New Roman"/>
          <w:noProof/>
        </w:rPr>
      </w:pPr>
      <w:r>
        <w:rPr>
          <w:noProof/>
        </w:rPr>
        <w:t>Uudistus 1 (C19.R1) – Kansallinen digitaalisia taitoja koskeva suunnitelma</w:t>
      </w:r>
    </w:p>
    <w:p w14:paraId="3025D3CD" w14:textId="77777777" w:rsidR="0065073E" w:rsidRDefault="000A0998">
      <w:pPr>
        <w:pStyle w:val="P68B1DB1-Normal4"/>
        <w:spacing w:before="120" w:after="120" w:line="240" w:lineRule="auto"/>
        <w:jc w:val="both"/>
        <w:rPr>
          <w:rFonts w:cs="Times New Roman"/>
          <w:noProof/>
        </w:rPr>
      </w:pPr>
      <w:r>
        <w:rPr>
          <w:noProof/>
        </w:rPr>
        <w:t>Toimenpide koostuu strategisesta suunnitelmasta, jonka tavoitteena on I) digitaalisten taitojen koulutuksen tarjoaminen koko väestölle; II) kuroa umpeen sukupuolten välinen digitaalinen kuilu; III) koulutusjärjestelmän digitalisointi ja digitaalisten taitojen kehittäminen oppimista varten; IV) digitaalisten taitojen tarjoaminen yksityisten työntekijöiden ja työttömien työllistettävyyden parantamiseksi, v) julkisten työntekijöiden digitaalisten taitojen tukeminen; VI) digitaalisten taitojen kehittäminen pk-yrityksissä; ja vii) tieto- ja viestintätekniikan asiantuntijoiden määrän lisääminen. Osa-alueeseen tehtävät investoinnit auttavat saavuttamaan strategisen suunnitelman tavoitteet.</w:t>
      </w:r>
    </w:p>
    <w:p w14:paraId="363B289B"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tammikuuta 2021 mennessä.</w:t>
      </w:r>
    </w:p>
    <w:p w14:paraId="16918094" w14:textId="77777777" w:rsidR="0065073E" w:rsidRDefault="000A0998">
      <w:pPr>
        <w:pStyle w:val="P68B1DB1-Normal5"/>
        <w:spacing w:before="120" w:after="120" w:line="240" w:lineRule="auto"/>
        <w:jc w:val="both"/>
        <w:rPr>
          <w:rFonts w:cs="Times New Roman"/>
          <w:noProof/>
        </w:rPr>
      </w:pPr>
      <w:r>
        <w:rPr>
          <w:noProof/>
        </w:rPr>
        <w:t xml:space="preserve">Investointi 1 (C19. I1) – Poikittaiset digitaaliset taidot </w:t>
      </w:r>
    </w:p>
    <w:p w14:paraId="66FE5F11"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parantaa väestön digitaalisten taitojen tasoa. Toimenpiteessä on otettava huomioon: a) kehitetään tukikeskusten verkosto perus- ja pitkälle vietyjä digitaalisia taitoja koskevaa koulutusta varten, b) tietoyhteiskuntaan osallistamiseen tähtäävät toimet ikääntyneiden vaikutusmahdollisuuksien lisäämiseksi tai haavoittuvassa asemassa olevien lasten koulutuksen helpottamiseksi, c) erilaiset tiedotuskampanjat, d) toimet väestön digitaalisten valmiuksien parantamiseksi ja e) digitaalisten resurssien kehittäminen espanjan kielen levittämistä ja opetusta varten. Toimenpiteellä on myös edistettävä naisten digitaalista voimaannuttamista ja edistettävä tieteellisiä ja teknologisia ammatteja kouluissa. </w:t>
      </w:r>
    </w:p>
    <w:p w14:paraId="4791FCF2" w14:textId="3534EE53" w:rsidR="0065073E" w:rsidRDefault="000A0998">
      <w:pPr>
        <w:pStyle w:val="P68B1DB1-Normal4"/>
        <w:spacing w:before="120" w:after="120" w:line="240" w:lineRule="auto"/>
        <w:jc w:val="both"/>
        <w:rPr>
          <w:rFonts w:cs="Times New Roman"/>
          <w:noProof/>
          <w:u w:val="single"/>
        </w:rPr>
      </w:pPr>
      <w:r>
        <w:rPr>
          <w:noProof/>
        </w:rPr>
        <w:t xml:space="preserve">Toimenpiteen täytäntöönpano on määrä saattaa päätökseen 30. kesäkuuta 2026 mennessä. </w:t>
      </w:r>
    </w:p>
    <w:p w14:paraId="791021AF"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433"/>
          <w:headerReference w:type="default" r:id="rId434"/>
          <w:footerReference w:type="even" r:id="rId435"/>
          <w:footerReference w:type="default" r:id="rId436"/>
          <w:headerReference w:type="first" r:id="rId437"/>
          <w:footerReference w:type="first" r:id="rId438"/>
          <w:pgSz w:w="11907" w:h="16839"/>
          <w:pgMar w:top="1134" w:right="1134" w:bottom="1134" w:left="1134" w:header="567" w:footer="567" w:gutter="0"/>
          <w:cols w:space="720"/>
          <w:docGrid w:linePitch="360"/>
        </w:sectPr>
      </w:pPr>
    </w:p>
    <w:p w14:paraId="46A1ADB9" w14:textId="77777777" w:rsidR="0065073E" w:rsidRDefault="000A0998">
      <w:pPr>
        <w:pStyle w:val="P68B1DB1-Normal5"/>
        <w:spacing w:before="120" w:after="120" w:line="240" w:lineRule="auto"/>
        <w:jc w:val="both"/>
        <w:rPr>
          <w:rFonts w:cs="Times New Roman"/>
          <w:noProof/>
        </w:rPr>
      </w:pPr>
      <w:r>
        <w:rPr>
          <w:noProof/>
        </w:rPr>
        <w:t>Investointi 2 (C19. I2) – Koulutuksen digitalisaatio</w:t>
      </w:r>
    </w:p>
    <w:p w14:paraId="43927BEE" w14:textId="77777777" w:rsidR="0065073E" w:rsidRDefault="000A0998">
      <w:pPr>
        <w:pStyle w:val="P68B1DB1-Normal4"/>
        <w:spacing w:before="120" w:after="120" w:line="240" w:lineRule="auto"/>
        <w:jc w:val="both"/>
        <w:rPr>
          <w:rFonts w:cs="Times New Roman"/>
          <w:noProof/>
        </w:rPr>
      </w:pPr>
      <w:r>
        <w:rPr>
          <w:noProof/>
        </w:rPr>
        <w:t>Tämän toimenpiteen tavoitteena on parantaa digitaalisen oppimisen saatavuutta tarjoamalla kannettavia laitteita vähintään 300000 haavoittuvassa asemassa olevien ryhmien oppilaalle julkisissa tai julkisesti tuetuissa kouluissa. Sen on myös asennettava, päivitettävä ja ylläpidettävä interaktiivisia digitaalisia järjestelmiä (IDS) vähintään 240000 luokkahuoneessa julkisissa ja julkisesti tuetuissa kouluissa etäopiskelun ja monimuotoisen oppimisen mahdollistamiseksi. Toimenpiteellä on myös tuettava digitaalistrategian valmistelua tai tarkistamista vähintään 22000 julkisessa ja julkisesti tuetussa koulukeskuksessa, ja siihen on sisällyttävä 700000 opettajan digitaalinen koulutus.</w:t>
      </w:r>
    </w:p>
    <w:p w14:paraId="65A93E9D" w14:textId="4AA7B068" w:rsidR="0065073E" w:rsidRDefault="000A0998">
      <w:pPr>
        <w:pStyle w:val="P68B1DB1-Normal4"/>
        <w:spacing w:before="120" w:after="120" w:line="240" w:lineRule="auto"/>
        <w:jc w:val="both"/>
        <w:rPr>
          <w:rFonts w:cs="Times New Roman"/>
          <w:noProof/>
        </w:rPr>
      </w:pPr>
      <w:r>
        <w:rPr>
          <w:noProof/>
        </w:rPr>
        <w:t>Tällä toimenpiteellä tuetaan myös digitaalisen ammatillisen koulutuksen suunnitelman täytäntöönpanoa. Tähän päästään työkokemuksen kautta hankittujen ammatillisten taitojen digitaalisen akkreditoinnin hallinnointivälineellä ja luomalla työllisyyttä varten digitaalisia ammatillisen koulutuksen hallinnointivälineitä kansallisen tutkintoluettelon ja ammatillisen koulutuksen rekisterin mukaisesti. Lisäksi toimenpiteellä tuetaan simulaattoreiden, digitaalisten kaksosten ja teknologiakeskusten luomista.</w:t>
      </w:r>
    </w:p>
    <w:p w14:paraId="28D3EF1E" w14:textId="77777777" w:rsidR="0065073E" w:rsidRDefault="000A0998">
      <w:pPr>
        <w:pStyle w:val="P68B1DB1-Normal4"/>
        <w:spacing w:before="120" w:after="120" w:line="240" w:lineRule="auto"/>
        <w:jc w:val="both"/>
        <w:rPr>
          <w:rFonts w:cs="Times New Roman"/>
          <w:noProof/>
          <w:u w:val="single"/>
        </w:rPr>
      </w:pPr>
      <w:r>
        <w:rPr>
          <w:noProof/>
        </w:rPr>
        <w:t xml:space="preserve">Toimenpiteen täytäntöönpano on määrä saattaa päätökseen 31. joulukuuta 2025 mennessä. </w:t>
      </w:r>
    </w:p>
    <w:p w14:paraId="658922D2" w14:textId="77777777" w:rsidR="0065073E" w:rsidRDefault="000A0998">
      <w:pPr>
        <w:pStyle w:val="P68B1DB1-Normal5"/>
        <w:spacing w:before="120" w:after="120" w:line="240" w:lineRule="auto"/>
        <w:jc w:val="both"/>
        <w:rPr>
          <w:rFonts w:cs="Times New Roman"/>
          <w:noProof/>
        </w:rPr>
      </w:pPr>
      <w:r>
        <w:rPr>
          <w:noProof/>
        </w:rPr>
        <w:t>Investointi 3 (C19. I3) – Työllisyyden digitaaliset taidot</w:t>
      </w:r>
    </w:p>
    <w:p w14:paraId="5909B2B8" w14:textId="77777777" w:rsidR="0065073E" w:rsidRDefault="000A0998">
      <w:pPr>
        <w:pStyle w:val="P68B1DB1-Normal4"/>
        <w:spacing w:before="120" w:after="120" w:line="240" w:lineRule="auto"/>
        <w:jc w:val="both"/>
        <w:rPr>
          <w:rFonts w:cs="Times New Roman"/>
          <w:noProof/>
        </w:rPr>
      </w:pPr>
      <w:r>
        <w:rPr>
          <w:noProof/>
        </w:rPr>
        <w:t xml:space="preserve">Tämän toimenpiteen tavoitteena on vahvistaa työssäkäyvien ja työttömien – erityisesti nuorten – digitaalisia taitoja heidän työllistyvyytensä parantamiseksi. Koulutus on suunnattava myös julkishallinnolle (muun muassa terveydenhuollon ammattilaisille, asevoimien joukoille ja merenkulkijoille sekä erityisvaraajille, sosiaaliturva- ja rahoitusaloilla työskentelevälle henkilöstölle). Lisäksi toimenpiteellä tuetaan pk-yritysten digitalisointia talouden tietyille aloille suunnatuilla toimilla ja sellaisten henkilöiden koulutuksella, jotka voivat toimia muutosvaikuttajina, mukaan lukien asiantuntijat ja yritysten johtajat. </w:t>
      </w:r>
    </w:p>
    <w:p w14:paraId="5C547629" w14:textId="5534DE9D" w:rsidR="0065073E" w:rsidRDefault="000A0998">
      <w:pPr>
        <w:pStyle w:val="P68B1DB1-Normal4"/>
        <w:spacing w:before="120" w:after="120" w:line="240" w:lineRule="auto"/>
        <w:jc w:val="both"/>
        <w:rPr>
          <w:rFonts w:cs="Times New Roman"/>
          <w:noProof/>
        </w:rPr>
      </w:pPr>
      <w:r>
        <w:rPr>
          <w:noProof/>
        </w:rPr>
        <w:t xml:space="preserve">Toimenpiteen täytäntöönpano on määrä saattaa päätökseen 30. kesäkuuta 2026 mennessä. </w:t>
      </w:r>
    </w:p>
    <w:p w14:paraId="2F45F217" w14:textId="77777777" w:rsidR="0065073E" w:rsidRDefault="000A0998">
      <w:pPr>
        <w:pStyle w:val="P68B1DB1-Normal5"/>
        <w:spacing w:before="120" w:after="120" w:line="240" w:lineRule="auto"/>
        <w:jc w:val="both"/>
        <w:rPr>
          <w:rFonts w:cs="Times New Roman"/>
          <w:noProof/>
        </w:rPr>
      </w:pPr>
      <w:r>
        <w:rPr>
          <w:noProof/>
        </w:rPr>
        <w:t>Investointi 4 (C19. I4) – Digitaalialan ammattilaiset</w:t>
      </w:r>
    </w:p>
    <w:p w14:paraId="2965251D" w14:textId="77777777" w:rsidR="0065073E" w:rsidRDefault="000A0998">
      <w:pPr>
        <w:pStyle w:val="P68B1DB1-Normal4"/>
        <w:spacing w:before="120" w:after="120" w:line="240" w:lineRule="auto"/>
        <w:jc w:val="both"/>
        <w:rPr>
          <w:rFonts w:cs="Times New Roman"/>
          <w:noProof/>
        </w:rPr>
      </w:pPr>
      <w:r>
        <w:rPr>
          <w:noProof/>
        </w:rPr>
        <w:t>Tämän toimenpiteen tavoitteena on mukauttaa pitkälle vietyä digitaalista osaamista koskevaa nykyistä ammatillisen koulutuksen tarjontaa ja houkutella lahjakkuuksia näille aloille ja pitää heidät palveluksessaan. Sillä luodaan myös avoimia oppimisresursseja tekoälyä ja kyberturvallisuutta koskevaa digitaalista opetusta varten eri tasoilla.</w:t>
      </w:r>
    </w:p>
    <w:p w14:paraId="284D8B53" w14:textId="77777777" w:rsidR="0065073E" w:rsidRDefault="000A0998">
      <w:pPr>
        <w:pStyle w:val="P68B1DB1-Normal4"/>
        <w:spacing w:before="120" w:after="120" w:line="240" w:lineRule="auto"/>
        <w:jc w:val="both"/>
        <w:rPr>
          <w:rFonts w:cs="Times New Roman"/>
          <w:noProof/>
        </w:rPr>
      </w:pPr>
      <w:r>
        <w:rPr>
          <w:noProof/>
        </w:rPr>
        <w:t xml:space="preserve">Toimenpiteeseen sisältyy erityiskoulutusta noin 20000 tietotekniikka-asiantuntijalle, joissa keskitytään kyberturvallisuuteen, sekä rahoitus nelivuotisille apurahoille, joilla houkutellaan lahjakkuuksia pitkälle vietyihin digitaalisiin taitoihin ja pidetään heidät palveluksessa. </w:t>
      </w:r>
    </w:p>
    <w:p w14:paraId="41E6B510" w14:textId="77777777" w:rsidR="0065073E" w:rsidRDefault="000A0998">
      <w:pPr>
        <w:pStyle w:val="P68B1DB1-Normal4"/>
        <w:spacing w:before="120" w:after="120" w:line="240" w:lineRule="auto"/>
        <w:jc w:val="both"/>
        <w:rPr>
          <w:rFonts w:cs="Times New Roman"/>
          <w:b/>
          <w:noProof/>
          <w:u w:val="single"/>
        </w:rPr>
      </w:pPr>
      <w:r>
        <w:rPr>
          <w:noProof/>
        </w:rPr>
        <w:t xml:space="preserve">Toimenpiteen täytäntöönpano on määrä saattaa päätökseen 31. joulukuuta 2025 mennessä. </w:t>
      </w:r>
    </w:p>
    <w:p w14:paraId="4ABCEC58" w14:textId="77777777" w:rsidR="0065073E" w:rsidRDefault="000A0998">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S.2.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4CC3DB63"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toimen alkamisajankohta, ellei toimen kuvauksessa toisin ilmoiteta. Taulukossa esitetyt määrät eivät sisällä arvonlisäveroa.</w:t>
      </w:r>
    </w:p>
    <w:p w14:paraId="10C442A1" w14:textId="77777777" w:rsidR="0065073E" w:rsidRDefault="0065073E">
      <w:pPr>
        <w:spacing w:before="120" w:after="120" w:line="240" w:lineRule="auto"/>
        <w:jc w:val="both"/>
        <w:rPr>
          <w:rFonts w:ascii="Times New Roman" w:hAnsi="Times New Roman" w:cs="Times New Roman"/>
          <w:b/>
          <w:noProof/>
          <w:sz w:val="24"/>
          <w:u w:val="single"/>
        </w:rPr>
      </w:pPr>
    </w:p>
    <w:p w14:paraId="543CCFE9" w14:textId="77777777" w:rsidR="0065073E" w:rsidRDefault="0065073E">
      <w:pPr>
        <w:spacing w:before="120" w:after="120" w:line="240" w:lineRule="auto"/>
        <w:ind w:left="709"/>
        <w:jc w:val="both"/>
        <w:rPr>
          <w:rFonts w:ascii="Times New Roman" w:hAnsi="Times New Roman" w:cs="Times New Roman"/>
          <w:noProof/>
          <w:sz w:val="24"/>
        </w:rPr>
      </w:pPr>
    </w:p>
    <w:p w14:paraId="3C010B0A"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39"/>
          <w:headerReference w:type="default" r:id="rId440"/>
          <w:footerReference w:type="even" r:id="rId441"/>
          <w:footerReference w:type="default" r:id="rId442"/>
          <w:headerReference w:type="first" r:id="rId443"/>
          <w:footerReference w:type="first" r:id="rId444"/>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7"/>
        <w:gridCol w:w="797"/>
        <w:gridCol w:w="830"/>
        <w:gridCol w:w="2625"/>
        <w:gridCol w:w="1382"/>
        <w:gridCol w:w="831"/>
        <w:gridCol w:w="966"/>
        <w:gridCol w:w="692"/>
        <w:gridCol w:w="417"/>
        <w:gridCol w:w="554"/>
        <w:gridCol w:w="5523"/>
      </w:tblGrid>
      <w:tr w:rsidR="0065073E" w14:paraId="77F4444D" w14:textId="77777777">
        <w:trPr>
          <w:trHeight w:val="309"/>
          <w:tblHeader/>
        </w:trPr>
        <w:tc>
          <w:tcPr>
            <w:tcW w:w="977" w:type="dxa"/>
            <w:tcBorders>
              <w:bottom w:val="nil"/>
            </w:tcBorders>
            <w:shd w:val="clear" w:color="auto" w:fill="C6D9F1" w:themeFill="text2" w:themeFillTint="33"/>
            <w:noWrap/>
          </w:tcPr>
          <w:p w14:paraId="0F115FF8" w14:textId="77777777" w:rsidR="0065073E" w:rsidRDefault="000A0998">
            <w:pPr>
              <w:pStyle w:val="P68B1DB1-Normal8"/>
              <w:spacing w:after="0" w:line="240" w:lineRule="auto"/>
              <w:jc w:val="center"/>
              <w:rPr>
                <w:rFonts w:cs="Times New Roman"/>
                <w:noProof/>
              </w:rPr>
            </w:pPr>
            <w:r>
              <w:rPr>
                <w:noProof/>
              </w:rPr>
              <w:t>Määrä</w:t>
            </w:r>
          </w:p>
        </w:tc>
        <w:tc>
          <w:tcPr>
            <w:tcW w:w="797" w:type="dxa"/>
            <w:tcBorders>
              <w:bottom w:val="nil"/>
            </w:tcBorders>
            <w:shd w:val="clear" w:color="auto" w:fill="C6D9F1" w:themeFill="text2" w:themeFillTint="33"/>
            <w:noWrap/>
          </w:tcPr>
          <w:p w14:paraId="289B5EB3" w14:textId="77777777" w:rsidR="0065073E" w:rsidRDefault="000A0998">
            <w:pPr>
              <w:pStyle w:val="P68B1DB1-Normal8"/>
              <w:spacing w:after="0" w:line="240" w:lineRule="auto"/>
              <w:jc w:val="center"/>
              <w:rPr>
                <w:rFonts w:cs="Times New Roman"/>
                <w:noProof/>
              </w:rPr>
            </w:pPr>
            <w:r>
              <w:rPr>
                <w:noProof/>
              </w:rPr>
              <w:t>Toimenpide</w:t>
            </w:r>
          </w:p>
        </w:tc>
        <w:tc>
          <w:tcPr>
            <w:tcW w:w="830" w:type="dxa"/>
            <w:tcBorders>
              <w:bottom w:val="nil"/>
            </w:tcBorders>
            <w:shd w:val="clear" w:color="auto" w:fill="C6D9F1" w:themeFill="text2" w:themeFillTint="33"/>
            <w:noWrap/>
          </w:tcPr>
          <w:p w14:paraId="6B8CB5F1"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25" w:type="dxa"/>
            <w:tcBorders>
              <w:bottom w:val="nil"/>
            </w:tcBorders>
            <w:shd w:val="clear" w:color="auto" w:fill="C6D9F1" w:themeFill="text2" w:themeFillTint="33"/>
            <w:noWrap/>
          </w:tcPr>
          <w:p w14:paraId="102CD23E" w14:textId="77777777" w:rsidR="0065073E" w:rsidRDefault="000A0998">
            <w:pPr>
              <w:pStyle w:val="P68B1DB1-Normal8"/>
              <w:spacing w:after="0" w:line="240" w:lineRule="auto"/>
              <w:jc w:val="center"/>
              <w:rPr>
                <w:rFonts w:cs="Times New Roman"/>
                <w:noProof/>
              </w:rPr>
            </w:pPr>
            <w:r>
              <w:rPr>
                <w:noProof/>
              </w:rPr>
              <w:t>Nimi</w:t>
            </w:r>
          </w:p>
        </w:tc>
        <w:tc>
          <w:tcPr>
            <w:tcW w:w="1382" w:type="dxa"/>
            <w:tcBorders>
              <w:bottom w:val="nil"/>
            </w:tcBorders>
            <w:shd w:val="clear" w:color="auto" w:fill="C6D9F1" w:themeFill="text2" w:themeFillTint="33"/>
            <w:noWrap/>
          </w:tcPr>
          <w:p w14:paraId="228A5962"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89" w:type="dxa"/>
            <w:gridSpan w:val="3"/>
            <w:shd w:val="clear" w:color="auto" w:fill="C6D9F1" w:themeFill="text2" w:themeFillTint="33"/>
            <w:noWrap/>
          </w:tcPr>
          <w:p w14:paraId="3093DBAB"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71" w:type="dxa"/>
            <w:gridSpan w:val="2"/>
            <w:shd w:val="clear" w:color="auto" w:fill="C6D9F1" w:themeFill="text2" w:themeFillTint="33"/>
            <w:noWrap/>
          </w:tcPr>
          <w:p w14:paraId="335F0B82" w14:textId="77777777" w:rsidR="0065073E" w:rsidRDefault="000A0998">
            <w:pPr>
              <w:pStyle w:val="P68B1DB1-Normal8"/>
              <w:spacing w:after="0" w:line="240" w:lineRule="auto"/>
              <w:jc w:val="center"/>
              <w:rPr>
                <w:rFonts w:cs="Times New Roman"/>
                <w:noProof/>
              </w:rPr>
            </w:pPr>
            <w:r>
              <w:rPr>
                <w:noProof/>
              </w:rPr>
              <w:t>Aika</w:t>
            </w:r>
          </w:p>
        </w:tc>
        <w:tc>
          <w:tcPr>
            <w:tcW w:w="5523" w:type="dxa"/>
            <w:tcBorders>
              <w:bottom w:val="nil"/>
            </w:tcBorders>
            <w:shd w:val="clear" w:color="auto" w:fill="C6D9F1" w:themeFill="text2" w:themeFillTint="33"/>
            <w:noWrap/>
          </w:tcPr>
          <w:p w14:paraId="604952A4"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2C9FF982" w14:textId="77777777">
        <w:trPr>
          <w:trHeight w:val="309"/>
          <w:tblHeader/>
        </w:trPr>
        <w:tc>
          <w:tcPr>
            <w:tcW w:w="977" w:type="dxa"/>
            <w:tcBorders>
              <w:top w:val="nil"/>
            </w:tcBorders>
            <w:shd w:val="clear" w:color="auto" w:fill="C6D9F1" w:themeFill="text2" w:themeFillTint="33"/>
            <w:noWrap/>
          </w:tcPr>
          <w:p w14:paraId="70ED3F4C" w14:textId="77777777" w:rsidR="0065073E" w:rsidRDefault="0065073E">
            <w:pPr>
              <w:spacing w:after="0" w:line="240" w:lineRule="auto"/>
              <w:jc w:val="center"/>
              <w:rPr>
                <w:rFonts w:ascii="Times New Roman" w:hAnsi="Times New Roman" w:cs="Times New Roman"/>
                <w:b/>
                <w:noProof/>
                <w:sz w:val="18"/>
              </w:rPr>
            </w:pPr>
          </w:p>
        </w:tc>
        <w:tc>
          <w:tcPr>
            <w:tcW w:w="797" w:type="dxa"/>
            <w:tcBorders>
              <w:top w:val="nil"/>
            </w:tcBorders>
            <w:shd w:val="clear" w:color="auto" w:fill="C6D9F1" w:themeFill="text2" w:themeFillTint="33"/>
            <w:noWrap/>
          </w:tcPr>
          <w:p w14:paraId="58A2343A" w14:textId="77777777" w:rsidR="0065073E" w:rsidRDefault="0065073E">
            <w:pPr>
              <w:spacing w:after="0" w:line="240" w:lineRule="auto"/>
              <w:jc w:val="center"/>
              <w:rPr>
                <w:rFonts w:ascii="Times New Roman" w:hAnsi="Times New Roman" w:cs="Times New Roman"/>
                <w:b/>
                <w:noProof/>
                <w:sz w:val="18"/>
              </w:rPr>
            </w:pPr>
          </w:p>
        </w:tc>
        <w:tc>
          <w:tcPr>
            <w:tcW w:w="830" w:type="dxa"/>
            <w:tcBorders>
              <w:top w:val="nil"/>
            </w:tcBorders>
            <w:shd w:val="clear" w:color="auto" w:fill="C6D9F1" w:themeFill="text2" w:themeFillTint="33"/>
            <w:noWrap/>
          </w:tcPr>
          <w:p w14:paraId="61BA8B61" w14:textId="77777777" w:rsidR="0065073E" w:rsidRDefault="0065073E">
            <w:pPr>
              <w:spacing w:after="0" w:line="240" w:lineRule="auto"/>
              <w:jc w:val="center"/>
              <w:rPr>
                <w:rFonts w:ascii="Times New Roman" w:hAnsi="Times New Roman" w:cs="Times New Roman"/>
                <w:b/>
                <w:noProof/>
                <w:sz w:val="18"/>
              </w:rPr>
            </w:pPr>
          </w:p>
        </w:tc>
        <w:tc>
          <w:tcPr>
            <w:tcW w:w="2625" w:type="dxa"/>
            <w:tcBorders>
              <w:top w:val="nil"/>
            </w:tcBorders>
            <w:shd w:val="clear" w:color="auto" w:fill="C6D9F1" w:themeFill="text2" w:themeFillTint="33"/>
            <w:noWrap/>
          </w:tcPr>
          <w:p w14:paraId="4C82012C" w14:textId="77777777" w:rsidR="0065073E" w:rsidRDefault="0065073E">
            <w:pPr>
              <w:spacing w:after="0" w:line="240" w:lineRule="auto"/>
              <w:rPr>
                <w:rFonts w:ascii="Times New Roman" w:hAnsi="Times New Roman" w:cs="Times New Roman"/>
                <w:b/>
                <w:noProof/>
                <w:sz w:val="18"/>
              </w:rPr>
            </w:pPr>
          </w:p>
        </w:tc>
        <w:tc>
          <w:tcPr>
            <w:tcW w:w="1382" w:type="dxa"/>
            <w:tcBorders>
              <w:top w:val="nil"/>
            </w:tcBorders>
            <w:shd w:val="clear" w:color="auto" w:fill="C6D9F1" w:themeFill="text2" w:themeFillTint="33"/>
            <w:noWrap/>
          </w:tcPr>
          <w:p w14:paraId="3273D545" w14:textId="77777777" w:rsidR="0065073E" w:rsidRDefault="0065073E">
            <w:pPr>
              <w:spacing w:after="0" w:line="240" w:lineRule="auto"/>
              <w:jc w:val="center"/>
              <w:rPr>
                <w:rFonts w:ascii="Times New Roman" w:hAnsi="Times New Roman" w:cs="Times New Roman"/>
                <w:b/>
                <w:noProof/>
                <w:sz w:val="18"/>
              </w:rPr>
            </w:pPr>
          </w:p>
        </w:tc>
        <w:tc>
          <w:tcPr>
            <w:tcW w:w="831" w:type="dxa"/>
            <w:shd w:val="clear" w:color="auto" w:fill="C6D9F1" w:themeFill="text2" w:themeFillTint="33"/>
            <w:noWrap/>
          </w:tcPr>
          <w:p w14:paraId="20C97B34"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tcPr>
          <w:p w14:paraId="6C884A23" w14:textId="7AE92FCE" w:rsidR="0065073E" w:rsidRDefault="000A0998">
            <w:pPr>
              <w:pStyle w:val="P68B1DB1-Normal8"/>
              <w:spacing w:after="0" w:line="240" w:lineRule="auto"/>
              <w:jc w:val="center"/>
              <w:rPr>
                <w:rFonts w:cs="Times New Roman"/>
                <w:noProof/>
              </w:rPr>
            </w:pPr>
            <w:r>
              <w:rPr>
                <w:noProof/>
              </w:rPr>
              <w:t>Lähtötaso</w:t>
            </w:r>
          </w:p>
        </w:tc>
        <w:tc>
          <w:tcPr>
            <w:tcW w:w="692" w:type="dxa"/>
            <w:shd w:val="clear" w:color="auto" w:fill="C6D9F1" w:themeFill="text2" w:themeFillTint="33"/>
            <w:noWrap/>
          </w:tcPr>
          <w:p w14:paraId="43910F29" w14:textId="77777777" w:rsidR="0065073E" w:rsidRDefault="000A0998">
            <w:pPr>
              <w:pStyle w:val="P68B1DB1-Normal8"/>
              <w:spacing w:after="0" w:line="240" w:lineRule="auto"/>
              <w:jc w:val="center"/>
              <w:rPr>
                <w:rFonts w:cs="Times New Roman"/>
                <w:noProof/>
              </w:rPr>
            </w:pPr>
            <w:r>
              <w:rPr>
                <w:noProof/>
              </w:rPr>
              <w:t>Päämäärä</w:t>
            </w:r>
          </w:p>
        </w:tc>
        <w:tc>
          <w:tcPr>
            <w:tcW w:w="417" w:type="dxa"/>
            <w:shd w:val="clear" w:color="auto" w:fill="C6D9F1" w:themeFill="text2" w:themeFillTint="33"/>
            <w:noWrap/>
          </w:tcPr>
          <w:p w14:paraId="2EFF67D8" w14:textId="77777777" w:rsidR="0065073E" w:rsidRDefault="000A0998">
            <w:pPr>
              <w:pStyle w:val="P68B1DB1-Normal8"/>
              <w:spacing w:after="0" w:line="240" w:lineRule="auto"/>
              <w:jc w:val="center"/>
              <w:rPr>
                <w:rFonts w:cs="Times New Roman"/>
                <w:noProof/>
              </w:rPr>
            </w:pPr>
            <w:r>
              <w:rPr>
                <w:noProof/>
              </w:rPr>
              <w:t>Q</w:t>
            </w:r>
          </w:p>
        </w:tc>
        <w:tc>
          <w:tcPr>
            <w:tcW w:w="554" w:type="dxa"/>
            <w:shd w:val="clear" w:color="auto" w:fill="C6D9F1" w:themeFill="text2" w:themeFillTint="33"/>
            <w:noWrap/>
          </w:tcPr>
          <w:p w14:paraId="173F9C0B" w14:textId="77777777" w:rsidR="0065073E" w:rsidRDefault="000A0998">
            <w:pPr>
              <w:pStyle w:val="P68B1DB1-Normal8"/>
              <w:spacing w:after="0" w:line="240" w:lineRule="auto"/>
              <w:jc w:val="center"/>
              <w:rPr>
                <w:rFonts w:cs="Times New Roman"/>
                <w:noProof/>
              </w:rPr>
            </w:pPr>
            <w:r>
              <w:rPr>
                <w:noProof/>
              </w:rPr>
              <w:t>Vuosi</w:t>
            </w:r>
          </w:p>
        </w:tc>
        <w:tc>
          <w:tcPr>
            <w:tcW w:w="5523" w:type="dxa"/>
            <w:tcBorders>
              <w:top w:val="nil"/>
            </w:tcBorders>
            <w:shd w:val="clear" w:color="auto" w:fill="C6D9F1" w:themeFill="text2" w:themeFillTint="33"/>
            <w:noWrap/>
          </w:tcPr>
          <w:p w14:paraId="7E520BEA" w14:textId="77777777" w:rsidR="0065073E" w:rsidRDefault="0065073E">
            <w:pPr>
              <w:spacing w:after="0" w:line="240" w:lineRule="auto"/>
              <w:rPr>
                <w:rFonts w:ascii="Times New Roman" w:hAnsi="Times New Roman" w:cs="Times New Roman"/>
                <w:b/>
                <w:noProof/>
                <w:sz w:val="18"/>
              </w:rPr>
            </w:pPr>
          </w:p>
        </w:tc>
      </w:tr>
      <w:tr w:rsidR="0065073E" w14:paraId="49645203" w14:textId="77777777">
        <w:trPr>
          <w:trHeight w:val="309"/>
        </w:trPr>
        <w:tc>
          <w:tcPr>
            <w:tcW w:w="977" w:type="dxa"/>
            <w:shd w:val="clear" w:color="auto" w:fill="C6EFCE"/>
            <w:noWrap/>
          </w:tcPr>
          <w:p w14:paraId="1033C07A" w14:textId="77777777" w:rsidR="0065073E" w:rsidRDefault="000A0998">
            <w:pPr>
              <w:pStyle w:val="P68B1DB1-Normal12"/>
              <w:spacing w:after="0" w:line="240" w:lineRule="auto"/>
              <w:jc w:val="center"/>
              <w:rPr>
                <w:rFonts w:eastAsia="Times New Roman" w:cs="Times New Roman"/>
                <w:noProof/>
              </w:rPr>
            </w:pPr>
            <w:r>
              <w:rPr>
                <w:noProof/>
              </w:rPr>
              <w:t>285</w:t>
            </w:r>
          </w:p>
        </w:tc>
        <w:tc>
          <w:tcPr>
            <w:tcW w:w="797" w:type="dxa"/>
            <w:shd w:val="clear" w:color="auto" w:fill="C6EFCE"/>
            <w:noWrap/>
          </w:tcPr>
          <w:p w14:paraId="2C6BD067" w14:textId="77777777" w:rsidR="0065073E" w:rsidRDefault="000A0998">
            <w:pPr>
              <w:pStyle w:val="P68B1DB1-Normal12"/>
              <w:spacing w:after="0" w:line="240" w:lineRule="auto"/>
              <w:jc w:val="center"/>
              <w:rPr>
                <w:rFonts w:eastAsia="Times New Roman" w:cs="Times New Roman"/>
                <w:noProof/>
              </w:rPr>
            </w:pPr>
            <w:r>
              <w:rPr>
                <w:noProof/>
              </w:rPr>
              <w:t>C19.R1</w:t>
            </w:r>
          </w:p>
        </w:tc>
        <w:tc>
          <w:tcPr>
            <w:tcW w:w="830" w:type="dxa"/>
            <w:shd w:val="clear" w:color="auto" w:fill="C6EFCE"/>
            <w:noWrap/>
          </w:tcPr>
          <w:p w14:paraId="3F26CF38" w14:textId="77777777" w:rsidR="0065073E" w:rsidRDefault="000A0998">
            <w:pPr>
              <w:pStyle w:val="P68B1DB1-Normal12"/>
              <w:spacing w:after="0" w:line="240" w:lineRule="auto"/>
              <w:jc w:val="center"/>
              <w:rPr>
                <w:rFonts w:eastAsia="Times New Roman" w:cs="Times New Roman"/>
                <w:noProof/>
              </w:rPr>
            </w:pPr>
            <w:r>
              <w:rPr>
                <w:noProof/>
              </w:rPr>
              <w:t>M</w:t>
            </w:r>
          </w:p>
        </w:tc>
        <w:tc>
          <w:tcPr>
            <w:tcW w:w="2625" w:type="dxa"/>
            <w:shd w:val="clear" w:color="auto" w:fill="C6EFCE"/>
            <w:noWrap/>
          </w:tcPr>
          <w:p w14:paraId="4EE85BFA" w14:textId="77777777" w:rsidR="0065073E" w:rsidRDefault="000A0998">
            <w:pPr>
              <w:pStyle w:val="P68B1DB1-Normal12"/>
              <w:spacing w:after="0" w:line="240" w:lineRule="auto"/>
              <w:rPr>
                <w:rFonts w:eastAsia="Times New Roman" w:cs="Times New Roman"/>
                <w:noProof/>
              </w:rPr>
            </w:pPr>
            <w:r>
              <w:rPr>
                <w:noProof/>
              </w:rPr>
              <w:t>Kansallisen digitaalisia taitoja koskevan suunnitelman hyväksyminen ministerineuvostossa</w:t>
            </w:r>
          </w:p>
        </w:tc>
        <w:tc>
          <w:tcPr>
            <w:tcW w:w="1382" w:type="dxa"/>
            <w:shd w:val="clear" w:color="auto" w:fill="C6EFCE"/>
            <w:noWrap/>
          </w:tcPr>
          <w:p w14:paraId="431D6E58" w14:textId="77777777" w:rsidR="0065073E" w:rsidRDefault="000A0998">
            <w:pPr>
              <w:pStyle w:val="P68B1DB1-Normal12"/>
              <w:spacing w:after="0" w:line="240" w:lineRule="auto"/>
              <w:jc w:val="center"/>
              <w:rPr>
                <w:rFonts w:eastAsia="Times New Roman" w:cs="Times New Roman"/>
                <w:noProof/>
              </w:rPr>
            </w:pPr>
            <w:r>
              <w:rPr>
                <w:noProof/>
              </w:rPr>
              <w:t>Ministerineuvoston viite</w:t>
            </w:r>
          </w:p>
        </w:tc>
        <w:tc>
          <w:tcPr>
            <w:tcW w:w="831" w:type="dxa"/>
            <w:shd w:val="clear" w:color="auto" w:fill="C6EFCE"/>
            <w:noWrap/>
          </w:tcPr>
          <w:p w14:paraId="5B1F0EB8"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51848022"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92" w:type="dxa"/>
            <w:shd w:val="clear" w:color="auto" w:fill="C6EFCE"/>
            <w:noWrap/>
          </w:tcPr>
          <w:p w14:paraId="633489A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7" w:type="dxa"/>
            <w:shd w:val="clear" w:color="auto" w:fill="C6EFCE"/>
            <w:noWrap/>
          </w:tcPr>
          <w:p w14:paraId="71914AFE"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54" w:type="dxa"/>
            <w:shd w:val="clear" w:color="auto" w:fill="C6EFCE"/>
            <w:noWrap/>
          </w:tcPr>
          <w:p w14:paraId="6DF6DA1F"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523" w:type="dxa"/>
            <w:shd w:val="clear" w:color="auto" w:fill="C6EFCE"/>
            <w:noWrap/>
          </w:tcPr>
          <w:p w14:paraId="321ACE2D" w14:textId="77777777" w:rsidR="0065073E" w:rsidRDefault="000A0998">
            <w:pPr>
              <w:pStyle w:val="P68B1DB1-Normal12"/>
              <w:spacing w:after="0" w:line="240" w:lineRule="auto"/>
              <w:rPr>
                <w:rFonts w:eastAsia="Times New Roman" w:cs="Times New Roman"/>
                <w:noProof/>
              </w:rPr>
            </w:pPr>
            <w:r>
              <w:rPr>
                <w:noProof/>
              </w:rPr>
              <w:t>Ministerineuvosto hyväksyy kansallisen digitaalisia taitoja koskevan suunnitelman. Suunnitelman tavoitteet ovat seuraavat: 1) digitaalisten taitojen koulutuksen tarjoaminen koko väestölle; 2) kurotaan umpeen sukupuolten välinen digitaalinen kuilu; 3) koulutusjärjestelmän digitalisointi ja digitaalisten taitojen kehittäminen oppimista varten; (4, 5) digitaalisten taitojen tarjoaminen yksityisten ja julkisten työntekijöiden työllistettävyyden parantamiseksi; 6) digitaalisten taitojen kehittäminen pk-yrityksissä; ja 7) tieto- ja viestintätekniikan asiantuntijoiden määrän lisääminen, sillä ne eivät sido alueita ja paikallisyhteisöjä.</w:t>
            </w:r>
          </w:p>
        </w:tc>
      </w:tr>
      <w:tr w:rsidR="0065073E" w14:paraId="7F43154E" w14:textId="77777777">
        <w:trPr>
          <w:trHeight w:val="309"/>
        </w:trPr>
        <w:tc>
          <w:tcPr>
            <w:tcW w:w="977" w:type="dxa"/>
            <w:shd w:val="clear" w:color="auto" w:fill="C6EFCE"/>
            <w:noWrap/>
          </w:tcPr>
          <w:p w14:paraId="28AB29BD" w14:textId="77777777" w:rsidR="0065073E" w:rsidRDefault="000A0998">
            <w:pPr>
              <w:pStyle w:val="P68B1DB1-Normal12"/>
              <w:spacing w:after="0" w:line="240" w:lineRule="auto"/>
              <w:jc w:val="center"/>
              <w:rPr>
                <w:rFonts w:eastAsia="Times New Roman" w:cs="Times New Roman"/>
                <w:noProof/>
              </w:rPr>
            </w:pPr>
            <w:r>
              <w:rPr>
                <w:noProof/>
              </w:rPr>
              <w:t>286</w:t>
            </w:r>
          </w:p>
        </w:tc>
        <w:tc>
          <w:tcPr>
            <w:tcW w:w="797" w:type="dxa"/>
            <w:shd w:val="clear" w:color="auto" w:fill="C6EFCE"/>
            <w:noWrap/>
          </w:tcPr>
          <w:p w14:paraId="496CF9AC" w14:textId="77777777" w:rsidR="0065073E" w:rsidRDefault="000A0998">
            <w:pPr>
              <w:pStyle w:val="P68B1DB1-Normal12"/>
              <w:spacing w:after="0" w:line="240" w:lineRule="auto"/>
              <w:jc w:val="center"/>
              <w:rPr>
                <w:rFonts w:eastAsia="Times New Roman" w:cs="Times New Roman"/>
                <w:noProof/>
              </w:rPr>
            </w:pPr>
            <w:r>
              <w:rPr>
                <w:noProof/>
              </w:rPr>
              <w:t>C19.I1</w:t>
            </w:r>
          </w:p>
        </w:tc>
        <w:tc>
          <w:tcPr>
            <w:tcW w:w="830" w:type="dxa"/>
            <w:shd w:val="clear" w:color="auto" w:fill="C6EFCE"/>
            <w:noWrap/>
          </w:tcPr>
          <w:p w14:paraId="74B3164B" w14:textId="77777777" w:rsidR="0065073E" w:rsidRDefault="000A0998">
            <w:pPr>
              <w:pStyle w:val="P68B1DB1-Normal12"/>
              <w:spacing w:after="0" w:line="240" w:lineRule="auto"/>
              <w:jc w:val="center"/>
              <w:rPr>
                <w:rFonts w:eastAsia="Times New Roman" w:cs="Times New Roman"/>
                <w:noProof/>
              </w:rPr>
            </w:pPr>
            <w:r>
              <w:rPr>
                <w:noProof/>
              </w:rPr>
              <w:t>T</w:t>
            </w:r>
          </w:p>
        </w:tc>
        <w:tc>
          <w:tcPr>
            <w:tcW w:w="2625" w:type="dxa"/>
            <w:shd w:val="clear" w:color="auto" w:fill="C6EFCE"/>
            <w:noWrap/>
          </w:tcPr>
          <w:p w14:paraId="156B4125" w14:textId="77777777" w:rsidR="0065073E" w:rsidRDefault="000A0998">
            <w:pPr>
              <w:pStyle w:val="P68B1DB1-Normal12"/>
              <w:spacing w:after="0" w:line="240" w:lineRule="auto"/>
              <w:rPr>
                <w:rFonts w:eastAsia="Times New Roman" w:cs="Times New Roman"/>
                <w:noProof/>
              </w:rPr>
            </w:pPr>
            <w:r>
              <w:rPr>
                <w:noProof/>
              </w:rPr>
              <w:t>Kansalaisille suunnattu digitaalisia taitoja koskeva koulutus.</w:t>
            </w:r>
          </w:p>
        </w:tc>
        <w:tc>
          <w:tcPr>
            <w:tcW w:w="1382" w:type="dxa"/>
            <w:shd w:val="clear" w:color="auto" w:fill="C6EFCE"/>
            <w:noWrap/>
          </w:tcPr>
          <w:p w14:paraId="4EAEF2B2" w14:textId="77777777" w:rsidR="0065073E" w:rsidRDefault="000A0998">
            <w:pPr>
              <w:pStyle w:val="P68B1DB1-Normal12"/>
              <w:spacing w:after="0" w:line="240" w:lineRule="auto"/>
              <w:jc w:val="center"/>
              <w:rPr>
                <w:rFonts w:eastAsia="Times New Roman" w:cs="Times New Roman"/>
                <w:noProof/>
              </w:rPr>
            </w:pPr>
            <w:r>
              <w:rPr>
                <w:noProof/>
              </w:rPr>
              <w:t>—</w:t>
            </w:r>
          </w:p>
        </w:tc>
        <w:tc>
          <w:tcPr>
            <w:tcW w:w="831" w:type="dxa"/>
            <w:shd w:val="clear" w:color="auto" w:fill="C6EFCE"/>
            <w:noWrap/>
          </w:tcPr>
          <w:p w14:paraId="28A170BB"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546E7625" w14:textId="77777777" w:rsidR="0065073E" w:rsidRDefault="000A0998">
            <w:pPr>
              <w:pStyle w:val="P68B1DB1-Normal12"/>
              <w:spacing w:after="0" w:line="240" w:lineRule="auto"/>
              <w:jc w:val="right"/>
              <w:rPr>
                <w:rFonts w:eastAsia="Times New Roman" w:cs="Times New Roman"/>
                <w:noProof/>
              </w:rPr>
            </w:pPr>
            <w:r>
              <w:rPr>
                <w:noProof/>
              </w:rPr>
              <w:t>0</w:t>
            </w:r>
          </w:p>
        </w:tc>
        <w:tc>
          <w:tcPr>
            <w:tcW w:w="692" w:type="dxa"/>
            <w:shd w:val="clear" w:color="auto" w:fill="C6EFCE"/>
            <w:noWrap/>
          </w:tcPr>
          <w:p w14:paraId="2CB75CD5" w14:textId="77777777" w:rsidR="0065073E" w:rsidRDefault="000A0998">
            <w:pPr>
              <w:pStyle w:val="P68B1DB1-Normal12"/>
              <w:spacing w:after="0" w:line="240" w:lineRule="auto"/>
              <w:jc w:val="right"/>
              <w:rPr>
                <w:rFonts w:eastAsia="Times New Roman" w:cs="Times New Roman"/>
                <w:noProof/>
              </w:rPr>
            </w:pPr>
            <w:r>
              <w:rPr>
                <w:noProof/>
              </w:rPr>
              <w:t>75</w:t>
            </w:r>
          </w:p>
        </w:tc>
        <w:tc>
          <w:tcPr>
            <w:tcW w:w="417" w:type="dxa"/>
            <w:shd w:val="clear" w:color="auto" w:fill="C6EFCE"/>
            <w:noWrap/>
          </w:tcPr>
          <w:p w14:paraId="117126BB" w14:textId="77777777" w:rsidR="0065073E" w:rsidRDefault="000A0998">
            <w:pPr>
              <w:pStyle w:val="P68B1DB1-Normal12"/>
              <w:spacing w:after="0" w:line="240" w:lineRule="auto"/>
              <w:jc w:val="center"/>
              <w:rPr>
                <w:rFonts w:eastAsia="Times New Roman" w:cs="Times New Roman"/>
                <w:noProof/>
              </w:rPr>
            </w:pPr>
            <w:r>
              <w:rPr>
                <w:noProof/>
              </w:rPr>
              <w:t>Q4</w:t>
            </w:r>
          </w:p>
        </w:tc>
        <w:tc>
          <w:tcPr>
            <w:tcW w:w="554" w:type="dxa"/>
            <w:shd w:val="clear" w:color="auto" w:fill="C6EFCE"/>
            <w:noWrap/>
          </w:tcPr>
          <w:p w14:paraId="3CE7951F"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523" w:type="dxa"/>
            <w:shd w:val="clear" w:color="auto" w:fill="C6EFCE"/>
            <w:noWrap/>
          </w:tcPr>
          <w:p w14:paraId="1B50A127" w14:textId="77777777" w:rsidR="0065073E" w:rsidRDefault="000A0998">
            <w:pPr>
              <w:pStyle w:val="P68B1DB1-Normal12"/>
              <w:spacing w:after="0" w:line="240" w:lineRule="auto"/>
              <w:rPr>
                <w:rFonts w:eastAsia="Times New Roman" w:cs="Times New Roman"/>
                <w:noProof/>
              </w:rPr>
            </w:pPr>
            <w:r>
              <w:rPr>
                <w:noProof/>
              </w:rPr>
              <w:t>Vähintään 75 prosenttia talousarviosta on sidottava investoinnin mukaisiin toimiin, joilla kansalaisille annetaan digitaalisia taitoja koskevaa koulutusta.</w:t>
            </w:r>
          </w:p>
        </w:tc>
      </w:tr>
      <w:tr w:rsidR="0065073E" w14:paraId="0513FA74" w14:textId="77777777">
        <w:trPr>
          <w:trHeight w:val="309"/>
        </w:trPr>
        <w:tc>
          <w:tcPr>
            <w:tcW w:w="977" w:type="dxa"/>
            <w:shd w:val="clear" w:color="auto" w:fill="C6EFCE"/>
            <w:noWrap/>
          </w:tcPr>
          <w:p w14:paraId="4B953DC2" w14:textId="77777777" w:rsidR="0065073E" w:rsidRDefault="000A0998">
            <w:pPr>
              <w:pStyle w:val="P68B1DB1-Normal12"/>
              <w:spacing w:after="0"/>
              <w:jc w:val="center"/>
              <w:rPr>
                <w:rFonts w:eastAsia="Times New Roman" w:cs="Times New Roman"/>
                <w:noProof/>
              </w:rPr>
            </w:pPr>
            <w:r>
              <w:rPr>
                <w:noProof/>
              </w:rPr>
              <w:t>287</w:t>
            </w:r>
          </w:p>
        </w:tc>
        <w:tc>
          <w:tcPr>
            <w:tcW w:w="797" w:type="dxa"/>
            <w:shd w:val="clear" w:color="auto" w:fill="C6EFCE"/>
            <w:noWrap/>
          </w:tcPr>
          <w:p w14:paraId="376F0F06" w14:textId="77777777" w:rsidR="0065073E" w:rsidRDefault="000A0998">
            <w:pPr>
              <w:pStyle w:val="P68B1DB1-Normal12"/>
              <w:spacing w:after="0"/>
              <w:jc w:val="center"/>
              <w:rPr>
                <w:rFonts w:eastAsia="Times New Roman" w:cs="Times New Roman"/>
                <w:noProof/>
              </w:rPr>
            </w:pPr>
            <w:r>
              <w:rPr>
                <w:noProof/>
              </w:rPr>
              <w:t>C19.I1</w:t>
            </w:r>
          </w:p>
        </w:tc>
        <w:tc>
          <w:tcPr>
            <w:tcW w:w="830" w:type="dxa"/>
            <w:shd w:val="clear" w:color="auto" w:fill="C6EFCE"/>
            <w:noWrap/>
          </w:tcPr>
          <w:p w14:paraId="3AA020F6" w14:textId="77777777" w:rsidR="0065073E" w:rsidRDefault="000A0998">
            <w:pPr>
              <w:pStyle w:val="P68B1DB1-Normal12"/>
              <w:spacing w:after="0"/>
              <w:jc w:val="center"/>
              <w:rPr>
                <w:rFonts w:eastAsia="Times New Roman" w:cs="Times New Roman"/>
                <w:noProof/>
              </w:rPr>
            </w:pPr>
            <w:r>
              <w:rPr>
                <w:noProof/>
              </w:rPr>
              <w:t>M</w:t>
            </w:r>
          </w:p>
        </w:tc>
        <w:tc>
          <w:tcPr>
            <w:tcW w:w="2625" w:type="dxa"/>
            <w:shd w:val="clear" w:color="auto" w:fill="C6EFCE"/>
            <w:noWrap/>
          </w:tcPr>
          <w:p w14:paraId="2C1D57A8" w14:textId="77777777" w:rsidR="0065073E" w:rsidRDefault="000A0998">
            <w:pPr>
              <w:pStyle w:val="P68B1DB1-Normal12"/>
              <w:spacing w:after="0"/>
              <w:rPr>
                <w:rFonts w:eastAsia="Times New Roman" w:cs="Times New Roman"/>
                <w:noProof/>
              </w:rPr>
            </w:pPr>
            <w:r>
              <w:rPr>
                <w:noProof/>
              </w:rPr>
              <w:t>Digitaalisten valmiuksien parantamiseen tähtäävien toimien loppuun saattaminen</w:t>
            </w:r>
          </w:p>
        </w:tc>
        <w:tc>
          <w:tcPr>
            <w:tcW w:w="1382" w:type="dxa"/>
            <w:shd w:val="clear" w:color="auto" w:fill="C6EFCE"/>
            <w:noWrap/>
          </w:tcPr>
          <w:p w14:paraId="7CB89D25" w14:textId="77777777" w:rsidR="0065073E" w:rsidRDefault="000A0998">
            <w:pPr>
              <w:pStyle w:val="P68B1DB1-Normal12"/>
              <w:spacing w:after="0"/>
              <w:jc w:val="center"/>
              <w:rPr>
                <w:rFonts w:eastAsia="Times New Roman" w:cs="Times New Roman"/>
                <w:noProof/>
              </w:rPr>
            </w:pPr>
            <w:r>
              <w:rPr>
                <w:noProof/>
              </w:rPr>
              <w:t>Kansallisten digitaalisten koulutuskeskusten myöntämä pätevyystodistus</w:t>
            </w:r>
          </w:p>
        </w:tc>
        <w:tc>
          <w:tcPr>
            <w:tcW w:w="831" w:type="dxa"/>
            <w:shd w:val="clear" w:color="auto" w:fill="C6EFCE"/>
            <w:noWrap/>
          </w:tcPr>
          <w:p w14:paraId="5171A1D5"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0F5A38EE" w14:textId="77777777" w:rsidR="0065073E" w:rsidRDefault="000A0998">
            <w:pPr>
              <w:pStyle w:val="P68B1DB1-Normal12"/>
              <w:spacing w:after="0"/>
              <w:jc w:val="right"/>
              <w:rPr>
                <w:rFonts w:eastAsia="Times New Roman" w:cs="Times New Roman"/>
                <w:noProof/>
              </w:rPr>
            </w:pPr>
            <w:r>
              <w:rPr>
                <w:noProof/>
              </w:rPr>
              <w:t xml:space="preserve"> </w:t>
            </w:r>
          </w:p>
        </w:tc>
        <w:tc>
          <w:tcPr>
            <w:tcW w:w="692" w:type="dxa"/>
            <w:shd w:val="clear" w:color="auto" w:fill="C6EFCE"/>
            <w:noWrap/>
          </w:tcPr>
          <w:p w14:paraId="1346C00E" w14:textId="77777777" w:rsidR="0065073E" w:rsidRDefault="000A0998">
            <w:pPr>
              <w:pStyle w:val="P68B1DB1-Normal12"/>
              <w:spacing w:after="0"/>
              <w:jc w:val="right"/>
              <w:rPr>
                <w:rFonts w:eastAsia="Times New Roman" w:cs="Times New Roman"/>
                <w:noProof/>
              </w:rPr>
            </w:pPr>
            <w:r>
              <w:rPr>
                <w:noProof/>
              </w:rPr>
              <w:t xml:space="preserve"> </w:t>
            </w:r>
          </w:p>
        </w:tc>
        <w:tc>
          <w:tcPr>
            <w:tcW w:w="417" w:type="dxa"/>
            <w:shd w:val="clear" w:color="auto" w:fill="C6EFCE"/>
            <w:noWrap/>
          </w:tcPr>
          <w:p w14:paraId="1C429867" w14:textId="77777777" w:rsidR="0065073E" w:rsidRDefault="000A0998">
            <w:pPr>
              <w:pStyle w:val="P68B1DB1-Normal12"/>
              <w:spacing w:after="0"/>
              <w:jc w:val="center"/>
              <w:rPr>
                <w:rFonts w:eastAsia="Times New Roman" w:cs="Times New Roman"/>
                <w:noProof/>
              </w:rPr>
            </w:pPr>
            <w:r>
              <w:rPr>
                <w:noProof/>
              </w:rPr>
              <w:t>Q4</w:t>
            </w:r>
          </w:p>
        </w:tc>
        <w:tc>
          <w:tcPr>
            <w:tcW w:w="554" w:type="dxa"/>
            <w:shd w:val="clear" w:color="auto" w:fill="C6EFCE"/>
            <w:noWrap/>
          </w:tcPr>
          <w:p w14:paraId="41DD6D8D" w14:textId="77777777" w:rsidR="0065073E" w:rsidRDefault="000A0998">
            <w:pPr>
              <w:pStyle w:val="P68B1DB1-Normal12"/>
              <w:spacing w:after="0"/>
              <w:jc w:val="center"/>
              <w:rPr>
                <w:rFonts w:eastAsia="Times New Roman" w:cs="Times New Roman"/>
                <w:noProof/>
              </w:rPr>
            </w:pPr>
            <w:r>
              <w:rPr>
                <w:noProof/>
              </w:rPr>
              <w:t>2024</w:t>
            </w:r>
          </w:p>
        </w:tc>
        <w:tc>
          <w:tcPr>
            <w:tcW w:w="5523" w:type="dxa"/>
            <w:shd w:val="clear" w:color="auto" w:fill="C6EFCE"/>
            <w:noWrap/>
          </w:tcPr>
          <w:p w14:paraId="66C094A9" w14:textId="77777777" w:rsidR="0065073E" w:rsidRDefault="000A0998">
            <w:pPr>
              <w:pStyle w:val="P68B1DB1-Normal12"/>
              <w:spacing w:after="0"/>
              <w:rPr>
                <w:rFonts w:eastAsia="Times New Roman" w:cs="Times New Roman"/>
                <w:noProof/>
              </w:rPr>
            </w:pPr>
            <w:r>
              <w:rPr>
                <w:noProof/>
              </w:rPr>
              <w:t>Digitaalisten taitojen kansallisen verkoston perustaminen (mukaan lukien 1500 ammatillisen koulutuksen keskuksen uudistaminen) sekä tiedotuskampanjoiden ja viestintäsuunnitelmien toteuttaminen</w:t>
            </w:r>
          </w:p>
        </w:tc>
      </w:tr>
      <w:tr w:rsidR="0065073E" w14:paraId="48159E20" w14:textId="77777777">
        <w:trPr>
          <w:trHeight w:val="309"/>
        </w:trPr>
        <w:tc>
          <w:tcPr>
            <w:tcW w:w="977" w:type="dxa"/>
            <w:shd w:val="clear" w:color="auto" w:fill="C6EFCE"/>
            <w:noWrap/>
          </w:tcPr>
          <w:p w14:paraId="6A7BEC8F" w14:textId="77777777" w:rsidR="0065073E" w:rsidRDefault="000A0998">
            <w:pPr>
              <w:pStyle w:val="P68B1DB1-Normal12"/>
              <w:spacing w:after="0" w:line="240" w:lineRule="auto"/>
              <w:jc w:val="center"/>
              <w:rPr>
                <w:rFonts w:eastAsia="Times New Roman" w:cs="Times New Roman"/>
                <w:noProof/>
              </w:rPr>
            </w:pPr>
            <w:r>
              <w:rPr>
                <w:noProof/>
              </w:rPr>
              <w:t>288</w:t>
            </w:r>
          </w:p>
        </w:tc>
        <w:tc>
          <w:tcPr>
            <w:tcW w:w="797" w:type="dxa"/>
            <w:shd w:val="clear" w:color="auto" w:fill="C6EFCE"/>
            <w:noWrap/>
          </w:tcPr>
          <w:p w14:paraId="2F2F2189" w14:textId="77777777" w:rsidR="0065073E" w:rsidRDefault="000A0998">
            <w:pPr>
              <w:pStyle w:val="P68B1DB1-Normal12"/>
              <w:spacing w:after="0" w:line="240" w:lineRule="auto"/>
              <w:jc w:val="center"/>
              <w:rPr>
                <w:rFonts w:eastAsia="Times New Roman" w:cs="Times New Roman"/>
                <w:noProof/>
              </w:rPr>
            </w:pPr>
            <w:r>
              <w:rPr>
                <w:noProof/>
              </w:rPr>
              <w:t>C19.I1</w:t>
            </w:r>
          </w:p>
        </w:tc>
        <w:tc>
          <w:tcPr>
            <w:tcW w:w="830" w:type="dxa"/>
            <w:shd w:val="clear" w:color="auto" w:fill="C6EFCE"/>
            <w:noWrap/>
          </w:tcPr>
          <w:p w14:paraId="3E265AB6" w14:textId="77777777" w:rsidR="0065073E" w:rsidRDefault="000A0998">
            <w:pPr>
              <w:pStyle w:val="P68B1DB1-Normal12"/>
              <w:spacing w:after="0" w:line="240" w:lineRule="auto"/>
              <w:jc w:val="center"/>
              <w:rPr>
                <w:rFonts w:eastAsia="Times New Roman" w:cs="Times New Roman"/>
                <w:noProof/>
              </w:rPr>
            </w:pPr>
            <w:r>
              <w:rPr>
                <w:noProof/>
              </w:rPr>
              <w:t>T</w:t>
            </w:r>
          </w:p>
        </w:tc>
        <w:tc>
          <w:tcPr>
            <w:tcW w:w="2625" w:type="dxa"/>
            <w:shd w:val="clear" w:color="auto" w:fill="C6EFCE"/>
            <w:noWrap/>
          </w:tcPr>
          <w:p w14:paraId="6072DF11" w14:textId="77777777" w:rsidR="0065073E" w:rsidRDefault="000A0998">
            <w:pPr>
              <w:pStyle w:val="P68B1DB1-Normal12"/>
              <w:spacing w:after="0" w:line="240" w:lineRule="auto"/>
              <w:rPr>
                <w:rFonts w:eastAsia="Times New Roman" w:cs="Times New Roman"/>
                <w:noProof/>
              </w:rPr>
            </w:pPr>
            <w:r>
              <w:rPr>
                <w:noProof/>
              </w:rPr>
              <w:t>Kansalaisille suunnattu digitaalisia taitoja koskeva koulutus.</w:t>
            </w:r>
          </w:p>
        </w:tc>
        <w:tc>
          <w:tcPr>
            <w:tcW w:w="1382" w:type="dxa"/>
            <w:shd w:val="clear" w:color="auto" w:fill="C6EFCE"/>
            <w:noWrap/>
          </w:tcPr>
          <w:p w14:paraId="31E47F0B" w14:textId="77777777" w:rsidR="0065073E" w:rsidRDefault="000A0998">
            <w:pPr>
              <w:pStyle w:val="P68B1DB1-Normal12"/>
              <w:spacing w:after="0" w:line="240" w:lineRule="auto"/>
              <w:jc w:val="center"/>
              <w:rPr>
                <w:rFonts w:eastAsia="Times New Roman" w:cs="Times New Roman"/>
                <w:noProof/>
              </w:rPr>
            </w:pPr>
            <w:r>
              <w:rPr>
                <w:noProof/>
              </w:rPr>
              <w:t>—</w:t>
            </w:r>
          </w:p>
        </w:tc>
        <w:tc>
          <w:tcPr>
            <w:tcW w:w="831" w:type="dxa"/>
            <w:shd w:val="clear" w:color="auto" w:fill="C6EFCE"/>
            <w:noWrap/>
          </w:tcPr>
          <w:p w14:paraId="25EAAA1B"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shd w:val="clear" w:color="auto" w:fill="C6EFCE"/>
            <w:noWrap/>
          </w:tcPr>
          <w:p w14:paraId="368C90DF" w14:textId="77777777" w:rsidR="0065073E" w:rsidRDefault="000A0998">
            <w:pPr>
              <w:pStyle w:val="P68B1DB1-Normal12"/>
              <w:spacing w:after="0" w:line="240" w:lineRule="auto"/>
              <w:jc w:val="right"/>
              <w:rPr>
                <w:rFonts w:eastAsia="Times New Roman" w:cs="Times New Roman"/>
                <w:noProof/>
              </w:rPr>
            </w:pPr>
            <w:r>
              <w:rPr>
                <w:noProof/>
              </w:rPr>
              <w:t>0</w:t>
            </w:r>
          </w:p>
        </w:tc>
        <w:tc>
          <w:tcPr>
            <w:tcW w:w="692" w:type="dxa"/>
            <w:shd w:val="clear" w:color="auto" w:fill="C6EFCE"/>
            <w:noWrap/>
          </w:tcPr>
          <w:p w14:paraId="499E844B" w14:textId="77777777" w:rsidR="0065073E" w:rsidRDefault="000A0998">
            <w:pPr>
              <w:pStyle w:val="P68B1DB1-Normal12"/>
              <w:spacing w:after="0" w:line="240" w:lineRule="auto"/>
              <w:jc w:val="right"/>
              <w:rPr>
                <w:rFonts w:eastAsia="Times New Roman" w:cs="Times New Roman"/>
                <w:noProof/>
              </w:rPr>
            </w:pPr>
            <w:r>
              <w:rPr>
                <w:noProof/>
              </w:rPr>
              <w:t xml:space="preserve">2 600 000 </w:t>
            </w:r>
          </w:p>
        </w:tc>
        <w:tc>
          <w:tcPr>
            <w:tcW w:w="417" w:type="dxa"/>
            <w:shd w:val="clear" w:color="auto" w:fill="C6EFCE"/>
            <w:noWrap/>
          </w:tcPr>
          <w:p w14:paraId="6145FD72" w14:textId="684D0812" w:rsidR="0065073E" w:rsidRDefault="000A0998">
            <w:pPr>
              <w:pStyle w:val="P68B1DB1-Normal12"/>
              <w:rPr>
                <w:rFonts w:cs="Times New Roman"/>
                <w:noProof/>
              </w:rPr>
            </w:pPr>
            <w:r>
              <w:rPr>
                <w:noProof/>
              </w:rPr>
              <w:t>TOINEN VUOSINELJÄNNES</w:t>
            </w:r>
          </w:p>
        </w:tc>
        <w:tc>
          <w:tcPr>
            <w:tcW w:w="554" w:type="dxa"/>
            <w:shd w:val="clear" w:color="auto" w:fill="C6EFCE"/>
            <w:noWrap/>
          </w:tcPr>
          <w:p w14:paraId="5518F433" w14:textId="6E3B8EFA" w:rsidR="0065073E" w:rsidRDefault="000A0998">
            <w:pPr>
              <w:pStyle w:val="P68B1DB1-Normal12"/>
              <w:spacing w:after="0" w:line="240" w:lineRule="auto"/>
              <w:jc w:val="center"/>
              <w:rPr>
                <w:rFonts w:eastAsia="Times New Roman" w:cs="Times New Roman"/>
                <w:noProof/>
              </w:rPr>
            </w:pPr>
            <w:r>
              <w:rPr>
                <w:noProof/>
              </w:rPr>
              <w:t>2026</w:t>
            </w:r>
          </w:p>
        </w:tc>
        <w:tc>
          <w:tcPr>
            <w:tcW w:w="5523" w:type="dxa"/>
            <w:shd w:val="clear" w:color="auto" w:fill="C6EFCE"/>
            <w:noWrap/>
          </w:tcPr>
          <w:p w14:paraId="395D370C" w14:textId="7DE8F0FF" w:rsidR="0065073E" w:rsidRDefault="000A0998">
            <w:pPr>
              <w:pStyle w:val="P68B1DB1-Normal12"/>
              <w:spacing w:after="0" w:line="240" w:lineRule="auto"/>
              <w:rPr>
                <w:rFonts w:eastAsia="Times New Roman" w:cs="Times New Roman"/>
                <w:noProof/>
              </w:rPr>
            </w:pPr>
            <w:r>
              <w:rPr>
                <w:noProof/>
              </w:rPr>
              <w:t xml:space="preserve">2600000 kansalaista on saanut digitaalisia taitoja koskevaa koulutusta toimenpiteen toimien mukaisesti. Koulutuksen on kestettävä vähintään 7,5 tuntia. </w:t>
            </w:r>
          </w:p>
        </w:tc>
      </w:tr>
      <w:tr w:rsidR="0065073E" w14:paraId="0525C8BE" w14:textId="77777777">
        <w:trPr>
          <w:trHeight w:val="309"/>
        </w:trPr>
        <w:tc>
          <w:tcPr>
            <w:tcW w:w="977" w:type="dxa"/>
            <w:shd w:val="clear" w:color="auto" w:fill="C6EFCE"/>
            <w:noWrap/>
          </w:tcPr>
          <w:p w14:paraId="00601881" w14:textId="77777777" w:rsidR="0065073E" w:rsidRDefault="000A0998">
            <w:pPr>
              <w:pStyle w:val="P68B1DB1-Normal12"/>
              <w:spacing w:after="0" w:line="240" w:lineRule="auto"/>
              <w:jc w:val="center"/>
              <w:rPr>
                <w:rFonts w:eastAsia="Times New Roman" w:cs="Times New Roman"/>
                <w:noProof/>
              </w:rPr>
            </w:pPr>
            <w:r>
              <w:rPr>
                <w:noProof/>
              </w:rPr>
              <w:t>289</w:t>
            </w:r>
          </w:p>
        </w:tc>
        <w:tc>
          <w:tcPr>
            <w:tcW w:w="797" w:type="dxa"/>
            <w:shd w:val="clear" w:color="auto" w:fill="C6EFCE"/>
            <w:noWrap/>
          </w:tcPr>
          <w:p w14:paraId="0198CF67" w14:textId="77777777" w:rsidR="0065073E" w:rsidRDefault="000A0998">
            <w:pPr>
              <w:pStyle w:val="P68B1DB1-Normal12"/>
              <w:spacing w:after="0" w:line="240" w:lineRule="auto"/>
              <w:jc w:val="center"/>
              <w:rPr>
                <w:rFonts w:eastAsia="Times New Roman" w:cs="Times New Roman"/>
                <w:noProof/>
              </w:rPr>
            </w:pPr>
            <w:r>
              <w:rPr>
                <w:noProof/>
              </w:rPr>
              <w:t>C19.I2</w:t>
            </w:r>
          </w:p>
        </w:tc>
        <w:tc>
          <w:tcPr>
            <w:tcW w:w="830" w:type="dxa"/>
            <w:shd w:val="clear" w:color="auto" w:fill="C6EFCE"/>
            <w:noWrap/>
          </w:tcPr>
          <w:p w14:paraId="5E596148" w14:textId="77777777" w:rsidR="0065073E" w:rsidRDefault="000A0998">
            <w:pPr>
              <w:pStyle w:val="P68B1DB1-Normal12"/>
              <w:spacing w:after="0" w:line="240" w:lineRule="auto"/>
              <w:jc w:val="center"/>
              <w:rPr>
                <w:rFonts w:eastAsia="Times New Roman" w:cs="Times New Roman"/>
                <w:noProof/>
              </w:rPr>
            </w:pPr>
            <w:r>
              <w:rPr>
                <w:noProof/>
              </w:rPr>
              <w:t>M</w:t>
            </w:r>
          </w:p>
        </w:tc>
        <w:tc>
          <w:tcPr>
            <w:tcW w:w="2625" w:type="dxa"/>
            <w:shd w:val="clear" w:color="auto" w:fill="C6EFCE"/>
            <w:noWrap/>
          </w:tcPr>
          <w:p w14:paraId="25F5FE95" w14:textId="77777777" w:rsidR="0065073E" w:rsidRDefault="000A0998">
            <w:pPr>
              <w:pStyle w:val="P68B1DB1-Normal12"/>
              <w:spacing w:after="0" w:line="240" w:lineRule="auto"/>
              <w:rPr>
                <w:rFonts w:eastAsia="Times New Roman" w:cs="Times New Roman"/>
                <w:noProof/>
              </w:rPr>
            </w:pPr>
            <w:r>
              <w:rPr>
                <w:noProof/>
              </w:rPr>
              <w:t>Ohjelma julkisten ja julkisesti tuettujen koulujen varustamiseksi digitaalisilla välineillä</w:t>
            </w:r>
          </w:p>
        </w:tc>
        <w:tc>
          <w:tcPr>
            <w:tcW w:w="1382" w:type="dxa"/>
            <w:shd w:val="clear" w:color="auto" w:fill="C6EFCE"/>
            <w:noWrap/>
          </w:tcPr>
          <w:p w14:paraId="693456BE" w14:textId="77777777" w:rsidR="0065073E" w:rsidRDefault="000A0998">
            <w:pPr>
              <w:pStyle w:val="P68B1DB1-Normal12"/>
              <w:spacing w:after="0" w:line="240" w:lineRule="auto"/>
              <w:jc w:val="center"/>
              <w:rPr>
                <w:rFonts w:eastAsia="Times New Roman" w:cs="Times New Roman"/>
                <w:noProof/>
              </w:rPr>
            </w:pPr>
            <w:r>
              <w:rPr>
                <w:noProof/>
              </w:rPr>
              <w:t>Julkaiseminen virallisessa lehdessä</w:t>
            </w:r>
          </w:p>
        </w:tc>
        <w:tc>
          <w:tcPr>
            <w:tcW w:w="831" w:type="dxa"/>
            <w:shd w:val="clear" w:color="auto" w:fill="C6EFCE"/>
            <w:noWrap/>
          </w:tcPr>
          <w:p w14:paraId="17F0B53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0864613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92" w:type="dxa"/>
            <w:shd w:val="clear" w:color="auto" w:fill="C6EFCE"/>
            <w:noWrap/>
          </w:tcPr>
          <w:p w14:paraId="0DF3105E"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7" w:type="dxa"/>
            <w:shd w:val="clear" w:color="auto" w:fill="C6EFCE"/>
            <w:noWrap/>
          </w:tcPr>
          <w:p w14:paraId="40C7AA42" w14:textId="77777777" w:rsidR="0065073E" w:rsidRDefault="000A0998">
            <w:pPr>
              <w:pStyle w:val="P68B1DB1-Normal12"/>
              <w:spacing w:after="0" w:line="240" w:lineRule="auto"/>
              <w:jc w:val="center"/>
              <w:rPr>
                <w:rFonts w:eastAsia="Times New Roman" w:cs="Times New Roman"/>
                <w:noProof/>
              </w:rPr>
            </w:pPr>
            <w:r>
              <w:rPr>
                <w:noProof/>
              </w:rPr>
              <w:t>Q4</w:t>
            </w:r>
          </w:p>
        </w:tc>
        <w:tc>
          <w:tcPr>
            <w:tcW w:w="554" w:type="dxa"/>
            <w:shd w:val="clear" w:color="auto" w:fill="C6EFCE"/>
            <w:noWrap/>
          </w:tcPr>
          <w:p w14:paraId="46DB8416"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523" w:type="dxa"/>
            <w:shd w:val="clear" w:color="auto" w:fill="C6EFCE"/>
            <w:noWrap/>
          </w:tcPr>
          <w:p w14:paraId="6E671F39" w14:textId="77777777" w:rsidR="0065073E" w:rsidRDefault="000A0998">
            <w:pPr>
              <w:pStyle w:val="P68B1DB1-Normal12"/>
              <w:spacing w:after="0" w:line="240" w:lineRule="auto"/>
              <w:rPr>
                <w:rFonts w:eastAsia="Times New Roman" w:cs="Times New Roman"/>
                <w:noProof/>
              </w:rPr>
            </w:pPr>
            <w:r>
              <w:rPr>
                <w:noProof/>
              </w:rPr>
              <w:t>Ohjelman hyväksyminen vähintään 240000 luokkahuoneen varustamiseksi, 700000 opettajan kouluttamiseksi ja digitaalistrategian valmistelemiseksi tai tarkistamiseksi vähintään 22000 julkisessa ja julkisesti tuetussa koulukeskuksessa sekä 300000 verkkoon liitettyä digitaalista laitetta (kannettavat tietokoneet, tabletit) julkisissa ja julkisesti tuetuissa kouluissa yhteistyössä itsehallintoalueiden kanssa. Ohjelma sitoo itsehallintoalueita.</w:t>
            </w:r>
          </w:p>
        </w:tc>
      </w:tr>
      <w:tr w:rsidR="0065073E" w14:paraId="035D1F4E" w14:textId="77777777">
        <w:trPr>
          <w:trHeight w:val="309"/>
        </w:trPr>
        <w:tc>
          <w:tcPr>
            <w:tcW w:w="977" w:type="dxa"/>
            <w:shd w:val="clear" w:color="auto" w:fill="C6EFCE"/>
            <w:noWrap/>
          </w:tcPr>
          <w:p w14:paraId="1592DE65" w14:textId="77777777" w:rsidR="0065073E" w:rsidRDefault="000A0998">
            <w:pPr>
              <w:pStyle w:val="P68B1DB1-Normal12"/>
              <w:spacing w:after="0" w:line="240" w:lineRule="auto"/>
              <w:jc w:val="center"/>
              <w:rPr>
                <w:rFonts w:eastAsia="Times New Roman" w:cs="Times New Roman"/>
                <w:noProof/>
              </w:rPr>
            </w:pPr>
            <w:r>
              <w:rPr>
                <w:noProof/>
              </w:rPr>
              <w:t>290</w:t>
            </w:r>
          </w:p>
        </w:tc>
        <w:tc>
          <w:tcPr>
            <w:tcW w:w="797" w:type="dxa"/>
            <w:shd w:val="clear" w:color="auto" w:fill="C6EFCE"/>
            <w:noWrap/>
          </w:tcPr>
          <w:p w14:paraId="3E6A731A" w14:textId="77777777" w:rsidR="0065073E" w:rsidRDefault="000A0998">
            <w:pPr>
              <w:pStyle w:val="P68B1DB1-Normal12"/>
              <w:spacing w:after="0" w:line="240" w:lineRule="auto"/>
              <w:jc w:val="center"/>
              <w:rPr>
                <w:rFonts w:eastAsia="Times New Roman" w:cs="Times New Roman"/>
                <w:noProof/>
              </w:rPr>
            </w:pPr>
            <w:r>
              <w:rPr>
                <w:noProof/>
              </w:rPr>
              <w:t>C19.I2</w:t>
            </w:r>
          </w:p>
        </w:tc>
        <w:tc>
          <w:tcPr>
            <w:tcW w:w="830" w:type="dxa"/>
            <w:shd w:val="clear" w:color="auto" w:fill="C6EFCE"/>
            <w:noWrap/>
          </w:tcPr>
          <w:p w14:paraId="14CE7EF2" w14:textId="77777777" w:rsidR="0065073E" w:rsidRDefault="000A0998">
            <w:pPr>
              <w:pStyle w:val="P68B1DB1-Normal12"/>
              <w:spacing w:after="0" w:line="240" w:lineRule="auto"/>
              <w:jc w:val="center"/>
              <w:rPr>
                <w:rFonts w:eastAsia="Times New Roman" w:cs="Times New Roman"/>
                <w:noProof/>
              </w:rPr>
            </w:pPr>
            <w:r>
              <w:rPr>
                <w:noProof/>
              </w:rPr>
              <w:t>M</w:t>
            </w:r>
          </w:p>
        </w:tc>
        <w:tc>
          <w:tcPr>
            <w:tcW w:w="2625" w:type="dxa"/>
            <w:shd w:val="clear" w:color="auto" w:fill="C6EFCE"/>
            <w:noWrap/>
          </w:tcPr>
          <w:p w14:paraId="50E8BCDD" w14:textId="77777777" w:rsidR="0065073E" w:rsidRDefault="000A0998">
            <w:pPr>
              <w:pStyle w:val="P68B1DB1-Normal12"/>
              <w:spacing w:after="0" w:line="240" w:lineRule="auto"/>
              <w:rPr>
                <w:rFonts w:eastAsia="Times New Roman" w:cs="Times New Roman"/>
                <w:noProof/>
              </w:rPr>
            </w:pPr>
            <w:r>
              <w:rPr>
                <w:noProof/>
              </w:rPr>
              <w:t>Koulutuksen digitalisaatiota koskevien toimien loppuun saattaminen</w:t>
            </w:r>
          </w:p>
        </w:tc>
        <w:tc>
          <w:tcPr>
            <w:tcW w:w="1382" w:type="dxa"/>
            <w:shd w:val="clear" w:color="auto" w:fill="C6EFCE"/>
            <w:noWrap/>
          </w:tcPr>
          <w:p w14:paraId="0BA257E9" w14:textId="77777777" w:rsidR="0065073E" w:rsidRDefault="000A0998">
            <w:pPr>
              <w:pStyle w:val="P68B1DB1-Normal12"/>
              <w:spacing w:after="0" w:line="240" w:lineRule="auto"/>
              <w:jc w:val="center"/>
              <w:rPr>
                <w:rFonts w:eastAsia="Times New Roman" w:cs="Times New Roman"/>
                <w:noProof/>
              </w:rPr>
            </w:pPr>
            <w:r>
              <w:rPr>
                <w:noProof/>
              </w:rPr>
              <w:t>Valtion- ja aluehallinnon myöntämä sertifiointi</w:t>
            </w:r>
          </w:p>
        </w:tc>
        <w:tc>
          <w:tcPr>
            <w:tcW w:w="831" w:type="dxa"/>
            <w:shd w:val="clear" w:color="auto" w:fill="C6EFCE"/>
            <w:noWrap/>
          </w:tcPr>
          <w:p w14:paraId="6E132F27"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7104DD22"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92" w:type="dxa"/>
            <w:shd w:val="clear" w:color="auto" w:fill="C6EFCE"/>
            <w:noWrap/>
          </w:tcPr>
          <w:p w14:paraId="62A445D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7" w:type="dxa"/>
            <w:shd w:val="clear" w:color="auto" w:fill="C6EFCE"/>
            <w:noWrap/>
          </w:tcPr>
          <w:p w14:paraId="5317C62F" w14:textId="6C72614B" w:rsidR="0065073E" w:rsidRDefault="000A0998">
            <w:pPr>
              <w:pStyle w:val="P68B1DB1-Normal12"/>
              <w:spacing w:after="0" w:line="240" w:lineRule="auto"/>
              <w:jc w:val="center"/>
              <w:rPr>
                <w:rFonts w:eastAsia="Times New Roman" w:cs="Times New Roman"/>
                <w:noProof/>
              </w:rPr>
            </w:pPr>
            <w:r>
              <w:rPr>
                <w:noProof/>
              </w:rPr>
              <w:t>Q4</w:t>
            </w:r>
          </w:p>
        </w:tc>
        <w:tc>
          <w:tcPr>
            <w:tcW w:w="554" w:type="dxa"/>
            <w:shd w:val="clear" w:color="auto" w:fill="C6EFCE"/>
            <w:noWrap/>
          </w:tcPr>
          <w:p w14:paraId="521ACFB1" w14:textId="7B0B616B" w:rsidR="0065073E" w:rsidRDefault="000A0998">
            <w:pPr>
              <w:pStyle w:val="P68B1DB1-Normal12"/>
              <w:spacing w:after="0" w:line="240" w:lineRule="auto"/>
              <w:jc w:val="center"/>
              <w:rPr>
                <w:rFonts w:eastAsia="Times New Roman" w:cs="Times New Roman"/>
                <w:noProof/>
              </w:rPr>
            </w:pPr>
            <w:r>
              <w:rPr>
                <w:noProof/>
              </w:rPr>
              <w:t>2025</w:t>
            </w:r>
          </w:p>
        </w:tc>
        <w:tc>
          <w:tcPr>
            <w:tcW w:w="5523" w:type="dxa"/>
            <w:shd w:val="clear" w:color="auto" w:fill="C6EFCE"/>
            <w:noWrap/>
          </w:tcPr>
          <w:p w14:paraId="699E923D" w14:textId="77777777" w:rsidR="0065073E" w:rsidRDefault="000A0998">
            <w:pPr>
              <w:pStyle w:val="P68B1DB1-Normal12"/>
              <w:spacing w:after="0" w:line="240" w:lineRule="auto"/>
              <w:rPr>
                <w:rFonts w:eastAsia="Times New Roman" w:cs="Times New Roman"/>
                <w:noProof/>
              </w:rPr>
            </w:pPr>
            <w:r>
              <w:rPr>
                <w:noProof/>
              </w:rPr>
              <w:t xml:space="preserve">Koulutuksen digitaalista muutosta koskevien toimien loppuun saattaminen, mukaan lukien digitaalisten taitojen sertifiointi vähintään 80 prosentille 700000 opettajasta, jotka ovat saaneet koulutusta digitaalisista taidoista; ja vähintään 22000 keskusta sai tukea digitaalisten strategioidensa valmistelussa ja tarkistamisessa. </w:t>
            </w:r>
          </w:p>
        </w:tc>
      </w:tr>
      <w:tr w:rsidR="0065073E" w14:paraId="72B5444C" w14:textId="77777777">
        <w:trPr>
          <w:trHeight w:val="309"/>
        </w:trPr>
        <w:tc>
          <w:tcPr>
            <w:tcW w:w="977"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65073E" w:rsidRDefault="000A0998">
            <w:pPr>
              <w:pStyle w:val="P68B1DB1-Normal12"/>
              <w:spacing w:after="0" w:line="240" w:lineRule="auto"/>
              <w:jc w:val="center"/>
              <w:rPr>
                <w:rFonts w:cs="Times New Roman"/>
                <w:noProof/>
              </w:rPr>
            </w:pPr>
            <w:r>
              <w:rPr>
                <w:noProof/>
              </w:rPr>
              <w:t>291</w:t>
            </w:r>
          </w:p>
        </w:tc>
        <w:tc>
          <w:tcPr>
            <w:tcW w:w="797"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65073E" w:rsidRDefault="000A0998">
            <w:pPr>
              <w:pStyle w:val="P68B1DB1-Normal12"/>
              <w:spacing w:after="0" w:line="240" w:lineRule="auto"/>
              <w:jc w:val="center"/>
              <w:rPr>
                <w:rFonts w:cs="Times New Roman"/>
                <w:noProof/>
              </w:rPr>
            </w:pPr>
            <w:r>
              <w:rPr>
                <w:noProof/>
              </w:rPr>
              <w:t>C19.I2</w:t>
            </w:r>
          </w:p>
        </w:tc>
        <w:tc>
          <w:tcPr>
            <w:tcW w:w="830"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65073E" w:rsidRDefault="000A0998">
            <w:pPr>
              <w:pStyle w:val="P68B1DB1-Normal12"/>
              <w:spacing w:after="0" w:line="240" w:lineRule="auto"/>
              <w:jc w:val="center"/>
              <w:rPr>
                <w:rFonts w:cs="Times New Roman"/>
                <w:noProof/>
              </w:rPr>
            </w:pPr>
            <w:r>
              <w:rPr>
                <w:noProof/>
              </w:rPr>
              <w:t>T</w:t>
            </w:r>
          </w:p>
        </w:tc>
        <w:tc>
          <w:tcPr>
            <w:tcW w:w="2625"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65073E" w:rsidRDefault="000A0998">
            <w:pPr>
              <w:pStyle w:val="P68B1DB1-Normal12"/>
              <w:spacing w:after="0" w:line="240" w:lineRule="auto"/>
              <w:rPr>
                <w:rFonts w:cs="Times New Roman"/>
                <w:noProof/>
              </w:rPr>
            </w:pPr>
            <w:r>
              <w:rPr>
                <w:noProof/>
              </w:rPr>
              <w:t>Verkkoon liitettyjen digitaalisten laitteiden tarjoaminen julkisissa ja julkisesti tuetuissa kouluissa ”digitaalisen kuilun” umpeen kuromiseksi ja vähintään 240000 luokkahuoneen varustamiseksi</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65073E" w:rsidRDefault="000A0998">
            <w:pPr>
              <w:pStyle w:val="P68B1DB1-Normal12"/>
              <w:spacing w:after="0" w:line="240" w:lineRule="auto"/>
              <w:jc w:val="center"/>
              <w:rPr>
                <w:rFonts w:cs="Times New Roman"/>
                <w:noProof/>
              </w:rPr>
            </w:pPr>
            <w:r>
              <w:rPr>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65073E" w:rsidRDefault="000A0998">
            <w:pPr>
              <w:pStyle w:val="P68B1DB1-Normal12"/>
              <w:spacing w:after="0" w:line="240" w:lineRule="auto"/>
              <w:jc w:val="center"/>
              <w:rPr>
                <w:rFonts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65073E" w:rsidRDefault="000A0998">
            <w:pPr>
              <w:pStyle w:val="P68B1DB1-Normal12"/>
              <w:spacing w:after="0" w:line="240" w:lineRule="auto"/>
              <w:jc w:val="center"/>
              <w:rPr>
                <w:rFonts w:cs="Times New Roman"/>
                <w:noProof/>
              </w:rPr>
            </w:pPr>
            <w:r>
              <w:rPr>
                <w:noProof/>
              </w:rPr>
              <w:t>0</w:t>
            </w:r>
          </w:p>
        </w:tc>
        <w:tc>
          <w:tcPr>
            <w:tcW w:w="692"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65073E" w:rsidRDefault="000A0998">
            <w:pPr>
              <w:pStyle w:val="P68B1DB1-Normal12"/>
              <w:spacing w:after="0" w:line="240" w:lineRule="auto"/>
              <w:jc w:val="right"/>
              <w:rPr>
                <w:rFonts w:cs="Times New Roman"/>
                <w:noProof/>
              </w:rPr>
            </w:pPr>
            <w:r>
              <w:rPr>
                <w:noProof/>
              </w:rPr>
              <w:t>540 000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65073E" w:rsidRDefault="000A0998">
            <w:pPr>
              <w:pStyle w:val="P68B1DB1-Normal12"/>
              <w:spacing w:after="0" w:line="240" w:lineRule="auto"/>
              <w:jc w:val="center"/>
              <w:rPr>
                <w:rFonts w:cs="Times New Roman"/>
                <w:noProof/>
              </w:rPr>
            </w:pPr>
            <w:r>
              <w:rPr>
                <w:noProof/>
              </w:rPr>
              <w:t>Q4</w:t>
            </w:r>
          </w:p>
        </w:tc>
        <w:tc>
          <w:tcPr>
            <w:tcW w:w="554"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65073E" w:rsidRDefault="000A0998">
            <w:pPr>
              <w:pStyle w:val="P68B1DB1-Normal12"/>
              <w:spacing w:after="0" w:line="240" w:lineRule="auto"/>
              <w:jc w:val="center"/>
              <w:rPr>
                <w:rFonts w:cs="Times New Roman"/>
                <w:noProof/>
              </w:rPr>
            </w:pPr>
            <w:r>
              <w:rPr>
                <w:noProof/>
              </w:rPr>
              <w:t>2025</w:t>
            </w:r>
          </w:p>
        </w:tc>
        <w:tc>
          <w:tcPr>
            <w:tcW w:w="552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65073E" w:rsidRDefault="000A0998">
            <w:pPr>
              <w:pStyle w:val="P68B1DB1-Normal12"/>
              <w:spacing w:after="0" w:line="240" w:lineRule="auto"/>
              <w:rPr>
                <w:rFonts w:cs="Times New Roman"/>
                <w:noProof/>
              </w:rPr>
            </w:pPr>
            <w:r>
              <w:rPr>
                <w:noProof/>
              </w:rPr>
              <w:t>Loppuun saatettu verkkoon liitettyjen ja interaktiivisten digitaalisten laitteiden tarjoaminen vähintään 300000 oppilaalle ja laitteita vähintään 240000 luokkahuoneelle julkisissa ja julkisesti tuetuissa kouluissa ”digitaalisen kahtiajaon umpeen kuromiseksi”. Valtion ja aluehallinnon antamat todistukset laitteiden hankinnasta ja toimituksista.</w:t>
            </w:r>
          </w:p>
        </w:tc>
      </w:tr>
      <w:tr w:rsidR="0065073E" w14:paraId="39A90A99" w14:textId="77777777">
        <w:trPr>
          <w:trHeight w:val="309"/>
        </w:trPr>
        <w:tc>
          <w:tcPr>
            <w:tcW w:w="977" w:type="dxa"/>
            <w:shd w:val="clear" w:color="auto" w:fill="C6EFCE"/>
            <w:noWrap/>
          </w:tcPr>
          <w:p w14:paraId="2F0A1F75" w14:textId="77777777" w:rsidR="0065073E" w:rsidRDefault="000A0998">
            <w:pPr>
              <w:pStyle w:val="P68B1DB1-Normal12"/>
              <w:spacing w:after="0"/>
              <w:jc w:val="center"/>
              <w:rPr>
                <w:rFonts w:eastAsia="Times New Roman" w:cs="Times New Roman"/>
                <w:noProof/>
              </w:rPr>
            </w:pPr>
            <w:r>
              <w:rPr>
                <w:noProof/>
              </w:rPr>
              <w:t>292</w:t>
            </w:r>
          </w:p>
        </w:tc>
        <w:tc>
          <w:tcPr>
            <w:tcW w:w="797" w:type="dxa"/>
            <w:shd w:val="clear" w:color="auto" w:fill="C6EFCE"/>
            <w:noWrap/>
          </w:tcPr>
          <w:p w14:paraId="32658B1F" w14:textId="77777777" w:rsidR="0065073E" w:rsidRDefault="000A0998">
            <w:pPr>
              <w:pStyle w:val="P68B1DB1-Normal12"/>
              <w:spacing w:after="0"/>
              <w:jc w:val="center"/>
              <w:rPr>
                <w:rFonts w:eastAsia="Times New Roman" w:cs="Times New Roman"/>
                <w:noProof/>
              </w:rPr>
            </w:pPr>
            <w:r>
              <w:rPr>
                <w:noProof/>
              </w:rPr>
              <w:t>C19.I3</w:t>
            </w:r>
          </w:p>
        </w:tc>
        <w:tc>
          <w:tcPr>
            <w:tcW w:w="830" w:type="dxa"/>
            <w:shd w:val="clear" w:color="auto" w:fill="C6EFCE"/>
            <w:noWrap/>
          </w:tcPr>
          <w:p w14:paraId="7C96DFE7" w14:textId="77777777" w:rsidR="0065073E" w:rsidRDefault="000A0998">
            <w:pPr>
              <w:pStyle w:val="P68B1DB1-Normal12"/>
              <w:spacing w:after="0"/>
              <w:jc w:val="center"/>
              <w:rPr>
                <w:rFonts w:eastAsia="Times New Roman" w:cs="Times New Roman"/>
                <w:noProof/>
              </w:rPr>
            </w:pPr>
            <w:r>
              <w:rPr>
                <w:noProof/>
              </w:rPr>
              <w:t>T</w:t>
            </w:r>
          </w:p>
        </w:tc>
        <w:tc>
          <w:tcPr>
            <w:tcW w:w="2625" w:type="dxa"/>
            <w:shd w:val="clear" w:color="auto" w:fill="C6EFCE"/>
            <w:noWrap/>
          </w:tcPr>
          <w:p w14:paraId="4318913C" w14:textId="77777777" w:rsidR="0065073E" w:rsidRDefault="000A0998">
            <w:pPr>
              <w:pStyle w:val="P68B1DB1-Normal12"/>
              <w:spacing w:after="0"/>
              <w:rPr>
                <w:rFonts w:eastAsia="Times New Roman" w:cs="Times New Roman"/>
                <w:noProof/>
              </w:rPr>
            </w:pPr>
            <w:r>
              <w:rPr>
                <w:noProof/>
              </w:rPr>
              <w:t>Digitaalinen koulutus työllistymistä varten</w:t>
            </w:r>
          </w:p>
        </w:tc>
        <w:tc>
          <w:tcPr>
            <w:tcW w:w="1382" w:type="dxa"/>
            <w:shd w:val="clear" w:color="auto" w:fill="C6EFCE"/>
            <w:noWrap/>
          </w:tcPr>
          <w:p w14:paraId="20888F6E" w14:textId="77777777" w:rsidR="0065073E" w:rsidRDefault="000A0998">
            <w:pPr>
              <w:pStyle w:val="P68B1DB1-Normal12"/>
              <w:spacing w:after="0"/>
              <w:jc w:val="center"/>
              <w:rPr>
                <w:rFonts w:eastAsia="Times New Roman" w:cs="Times New Roman"/>
                <w:noProof/>
              </w:rPr>
            </w:pPr>
            <w:r>
              <w:rPr>
                <w:noProof/>
              </w:rPr>
              <w:t>—</w:t>
            </w:r>
          </w:p>
        </w:tc>
        <w:tc>
          <w:tcPr>
            <w:tcW w:w="831" w:type="dxa"/>
            <w:shd w:val="clear" w:color="auto" w:fill="C6EFCE"/>
            <w:noWrap/>
          </w:tcPr>
          <w:p w14:paraId="31F32044" w14:textId="77777777" w:rsidR="0065073E" w:rsidRDefault="000A0998">
            <w:pPr>
              <w:pStyle w:val="P68B1DB1-Normal12"/>
              <w:spacing w:after="0"/>
              <w:jc w:val="center"/>
              <w:rPr>
                <w:rFonts w:eastAsia="Times New Roman" w:cs="Times New Roman"/>
                <w:noProof/>
              </w:rPr>
            </w:pPr>
            <w:r>
              <w:rPr>
                <w:noProof/>
              </w:rPr>
              <w:t>Määrä</w:t>
            </w:r>
          </w:p>
        </w:tc>
        <w:tc>
          <w:tcPr>
            <w:tcW w:w="966" w:type="dxa"/>
            <w:shd w:val="clear" w:color="auto" w:fill="C6EFCE"/>
            <w:noWrap/>
          </w:tcPr>
          <w:p w14:paraId="5729981C" w14:textId="77777777" w:rsidR="0065073E" w:rsidRDefault="000A0998">
            <w:pPr>
              <w:pStyle w:val="P68B1DB1-Normal12"/>
              <w:spacing w:after="0"/>
              <w:jc w:val="center"/>
              <w:rPr>
                <w:rFonts w:eastAsia="Times New Roman" w:cs="Times New Roman"/>
                <w:noProof/>
              </w:rPr>
            </w:pPr>
            <w:r>
              <w:rPr>
                <w:noProof/>
              </w:rPr>
              <w:t>0</w:t>
            </w:r>
          </w:p>
        </w:tc>
        <w:tc>
          <w:tcPr>
            <w:tcW w:w="692" w:type="dxa"/>
            <w:shd w:val="clear" w:color="auto" w:fill="C6EFCE"/>
            <w:noWrap/>
          </w:tcPr>
          <w:p w14:paraId="71BD47FB" w14:textId="3A348229" w:rsidR="0065073E" w:rsidRDefault="000A0998">
            <w:pPr>
              <w:pStyle w:val="P68B1DB1-Normal12"/>
              <w:spacing w:after="0"/>
              <w:jc w:val="center"/>
              <w:rPr>
                <w:rFonts w:eastAsia="Times New Roman" w:cs="Times New Roman"/>
                <w:noProof/>
              </w:rPr>
            </w:pPr>
            <w:r>
              <w:rPr>
                <w:noProof/>
              </w:rPr>
              <w:t>300 000</w:t>
            </w:r>
          </w:p>
        </w:tc>
        <w:tc>
          <w:tcPr>
            <w:tcW w:w="417" w:type="dxa"/>
            <w:shd w:val="clear" w:color="auto" w:fill="C6EFCE"/>
            <w:noWrap/>
          </w:tcPr>
          <w:p w14:paraId="057F51E9" w14:textId="7EA54AB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4" w:type="dxa"/>
            <w:shd w:val="clear" w:color="auto" w:fill="C6EFCE"/>
            <w:noWrap/>
          </w:tcPr>
          <w:p w14:paraId="00761683" w14:textId="263050A2" w:rsidR="0065073E" w:rsidRDefault="000A0998">
            <w:pPr>
              <w:pStyle w:val="P68B1DB1-Normal12"/>
              <w:spacing w:after="0"/>
              <w:jc w:val="center"/>
              <w:rPr>
                <w:rFonts w:eastAsia="Times New Roman" w:cs="Times New Roman"/>
                <w:noProof/>
              </w:rPr>
            </w:pPr>
            <w:r>
              <w:rPr>
                <w:noProof/>
              </w:rPr>
              <w:t>2026</w:t>
            </w:r>
          </w:p>
        </w:tc>
        <w:tc>
          <w:tcPr>
            <w:tcW w:w="5523" w:type="dxa"/>
            <w:shd w:val="clear" w:color="auto" w:fill="C6EFCE"/>
            <w:noWrap/>
          </w:tcPr>
          <w:p w14:paraId="4D4A6247" w14:textId="0B722362" w:rsidR="0065073E" w:rsidRDefault="000A0998">
            <w:pPr>
              <w:pStyle w:val="P68B1DB1-Normal12"/>
              <w:spacing w:after="0"/>
              <w:rPr>
                <w:rFonts w:eastAsia="Times New Roman" w:cs="Times New Roman"/>
                <w:noProof/>
              </w:rPr>
            </w:pPr>
            <w:r>
              <w:rPr>
                <w:noProof/>
              </w:rPr>
              <w:t xml:space="preserve">Vähintään 300000 ihmistä osallistui digitaalisia taitoja koskevaan koulutukseen. Jokaisella koulutuksella on oltava vähintään 150 tuntia. </w:t>
            </w:r>
          </w:p>
        </w:tc>
      </w:tr>
      <w:tr w:rsidR="0065073E" w14:paraId="62860367" w14:textId="77777777">
        <w:trPr>
          <w:trHeight w:val="309"/>
        </w:trPr>
        <w:tc>
          <w:tcPr>
            <w:tcW w:w="977" w:type="dxa"/>
            <w:shd w:val="clear" w:color="auto" w:fill="C6EFCE"/>
            <w:noWrap/>
          </w:tcPr>
          <w:p w14:paraId="757A7A19" w14:textId="05E6CA17" w:rsidR="0065073E" w:rsidRDefault="000A0998">
            <w:pPr>
              <w:pStyle w:val="P68B1DB1-Normal12"/>
              <w:spacing w:after="0"/>
              <w:jc w:val="center"/>
              <w:rPr>
                <w:rFonts w:cs="Times New Roman"/>
                <w:noProof/>
              </w:rPr>
            </w:pPr>
            <w:r>
              <w:rPr>
                <w:noProof/>
              </w:rPr>
              <w:t>292a</w:t>
            </w:r>
          </w:p>
        </w:tc>
        <w:tc>
          <w:tcPr>
            <w:tcW w:w="797" w:type="dxa"/>
            <w:shd w:val="clear" w:color="auto" w:fill="C6EFCE"/>
            <w:noWrap/>
          </w:tcPr>
          <w:p w14:paraId="76AB10C2" w14:textId="4FA785CB" w:rsidR="0065073E" w:rsidRDefault="000A0998">
            <w:pPr>
              <w:pStyle w:val="P68B1DB1-Normal12"/>
              <w:spacing w:after="0"/>
              <w:jc w:val="center"/>
              <w:rPr>
                <w:rFonts w:cs="Times New Roman"/>
                <w:noProof/>
              </w:rPr>
            </w:pPr>
            <w:r>
              <w:rPr>
                <w:noProof/>
              </w:rPr>
              <w:t>C19.I3</w:t>
            </w:r>
          </w:p>
        </w:tc>
        <w:tc>
          <w:tcPr>
            <w:tcW w:w="830" w:type="dxa"/>
            <w:shd w:val="clear" w:color="auto" w:fill="C6EFCE"/>
            <w:noWrap/>
          </w:tcPr>
          <w:p w14:paraId="1BAED019" w14:textId="68C4AB0A" w:rsidR="0065073E" w:rsidRDefault="000A0998">
            <w:pPr>
              <w:pStyle w:val="P68B1DB1-Normal12"/>
              <w:spacing w:after="0"/>
              <w:jc w:val="center"/>
              <w:rPr>
                <w:rFonts w:cs="Times New Roman"/>
                <w:noProof/>
              </w:rPr>
            </w:pPr>
            <w:r>
              <w:rPr>
                <w:noProof/>
              </w:rPr>
              <w:t>T</w:t>
            </w:r>
          </w:p>
        </w:tc>
        <w:tc>
          <w:tcPr>
            <w:tcW w:w="2625" w:type="dxa"/>
            <w:shd w:val="clear" w:color="auto" w:fill="C6EFCE"/>
            <w:noWrap/>
          </w:tcPr>
          <w:p w14:paraId="1C721F08" w14:textId="62137FC0" w:rsidR="0065073E" w:rsidRDefault="000A0998">
            <w:pPr>
              <w:pStyle w:val="P68B1DB1-Normal12"/>
              <w:spacing w:after="0"/>
              <w:rPr>
                <w:rFonts w:cs="Times New Roman"/>
                <w:noProof/>
              </w:rPr>
            </w:pPr>
            <w:r>
              <w:rPr>
                <w:noProof/>
              </w:rPr>
              <w:t>Digitaalinen koulutus työympäristössä</w:t>
            </w:r>
          </w:p>
        </w:tc>
        <w:tc>
          <w:tcPr>
            <w:tcW w:w="1382" w:type="dxa"/>
            <w:shd w:val="clear" w:color="auto" w:fill="C6EFCE"/>
            <w:noWrap/>
          </w:tcPr>
          <w:p w14:paraId="611D487A" w14:textId="5D31B60C" w:rsidR="0065073E" w:rsidRDefault="000A0998">
            <w:pPr>
              <w:pStyle w:val="P68B1DB1-Normal12"/>
              <w:spacing w:after="0"/>
              <w:jc w:val="center"/>
              <w:rPr>
                <w:rFonts w:cs="Times New Roman"/>
                <w:noProof/>
              </w:rPr>
            </w:pPr>
            <w:r>
              <w:rPr>
                <w:noProof/>
              </w:rPr>
              <w:t>—</w:t>
            </w:r>
          </w:p>
        </w:tc>
        <w:tc>
          <w:tcPr>
            <w:tcW w:w="831" w:type="dxa"/>
            <w:shd w:val="clear" w:color="auto" w:fill="C6EFCE"/>
            <w:noWrap/>
          </w:tcPr>
          <w:p w14:paraId="3B72509B" w14:textId="4E11529E" w:rsidR="0065073E" w:rsidRDefault="000A0998">
            <w:pPr>
              <w:pStyle w:val="P68B1DB1-Normal12"/>
              <w:spacing w:after="0"/>
              <w:jc w:val="center"/>
              <w:rPr>
                <w:rFonts w:cs="Times New Roman"/>
                <w:noProof/>
              </w:rPr>
            </w:pPr>
            <w:r>
              <w:rPr>
                <w:noProof/>
              </w:rPr>
              <w:t>Miljoonaa euroa</w:t>
            </w:r>
          </w:p>
        </w:tc>
        <w:tc>
          <w:tcPr>
            <w:tcW w:w="966" w:type="dxa"/>
            <w:shd w:val="clear" w:color="auto" w:fill="C6EFCE"/>
            <w:noWrap/>
          </w:tcPr>
          <w:p w14:paraId="2B8B0D72" w14:textId="4CE8B428" w:rsidR="0065073E" w:rsidRDefault="000A0998">
            <w:pPr>
              <w:pStyle w:val="P68B1DB1-Normal12"/>
              <w:spacing w:after="0"/>
              <w:jc w:val="center"/>
              <w:rPr>
                <w:rFonts w:cs="Times New Roman"/>
                <w:noProof/>
              </w:rPr>
            </w:pPr>
            <w:r>
              <w:rPr>
                <w:noProof/>
              </w:rPr>
              <w:t>0</w:t>
            </w:r>
          </w:p>
        </w:tc>
        <w:tc>
          <w:tcPr>
            <w:tcW w:w="692" w:type="dxa"/>
            <w:shd w:val="clear" w:color="auto" w:fill="C6EFCE"/>
            <w:noWrap/>
          </w:tcPr>
          <w:p w14:paraId="108F9EAA" w14:textId="0DA11FBA" w:rsidR="0065073E" w:rsidRDefault="000A0998">
            <w:pPr>
              <w:pStyle w:val="P68B1DB1-Normal12"/>
              <w:spacing w:after="0"/>
              <w:jc w:val="center"/>
              <w:rPr>
                <w:rFonts w:cs="Times New Roman"/>
                <w:noProof/>
              </w:rPr>
            </w:pPr>
            <w:r>
              <w:rPr>
                <w:noProof/>
              </w:rPr>
              <w:t>310</w:t>
            </w:r>
          </w:p>
        </w:tc>
        <w:tc>
          <w:tcPr>
            <w:tcW w:w="417" w:type="dxa"/>
            <w:shd w:val="clear" w:color="auto" w:fill="C6EFCE"/>
            <w:noWrap/>
          </w:tcPr>
          <w:p w14:paraId="70C6A7D6" w14:textId="10AEB1EA" w:rsidR="0065073E" w:rsidRDefault="000A0998">
            <w:pPr>
              <w:pStyle w:val="P68B1DB1-Normal12"/>
              <w:spacing w:after="0" w:line="240" w:lineRule="auto"/>
              <w:jc w:val="center"/>
              <w:rPr>
                <w:rFonts w:cs="Times New Roman"/>
                <w:noProof/>
              </w:rPr>
            </w:pPr>
            <w:r>
              <w:rPr>
                <w:noProof/>
              </w:rPr>
              <w:t>TOINEN VUOSINELJÄNNES</w:t>
            </w:r>
          </w:p>
        </w:tc>
        <w:tc>
          <w:tcPr>
            <w:tcW w:w="554" w:type="dxa"/>
            <w:shd w:val="clear" w:color="auto" w:fill="C6EFCE"/>
            <w:noWrap/>
          </w:tcPr>
          <w:p w14:paraId="1021B2E8" w14:textId="0F50FBF7" w:rsidR="0065073E" w:rsidRDefault="000A0998">
            <w:pPr>
              <w:pStyle w:val="P68B1DB1-Normal12"/>
              <w:spacing w:after="0"/>
              <w:jc w:val="center"/>
              <w:rPr>
                <w:rFonts w:cs="Times New Roman"/>
                <w:noProof/>
              </w:rPr>
            </w:pPr>
            <w:r>
              <w:rPr>
                <w:noProof/>
              </w:rPr>
              <w:t>2026</w:t>
            </w:r>
          </w:p>
        </w:tc>
        <w:tc>
          <w:tcPr>
            <w:tcW w:w="5523" w:type="dxa"/>
            <w:shd w:val="clear" w:color="auto" w:fill="C6EFCE"/>
            <w:noWrap/>
          </w:tcPr>
          <w:p w14:paraId="77D932FD" w14:textId="06EAB83D" w:rsidR="0065073E" w:rsidRDefault="000A0998">
            <w:pPr>
              <w:pStyle w:val="P68B1DB1-Normal12"/>
              <w:spacing w:after="0"/>
              <w:rPr>
                <w:rFonts w:cs="Times New Roman"/>
                <w:noProof/>
              </w:rPr>
            </w:pPr>
            <w:r>
              <w:rPr>
                <w:noProof/>
              </w:rPr>
              <w:t>Työympäristön digitaalisia taitoja koskevan koulutuksen ja koulutussisältöjen loppuun saattaminen, jotta voidaan tukea koulutuksen toteuttamista ja jonka kokonaisbudjetti on vähintään 310 miljoonaa euroa. Jokaisella koulutuksella on oltava vähintään 25 tuntia.</w:t>
            </w:r>
          </w:p>
        </w:tc>
      </w:tr>
      <w:tr w:rsidR="0065073E" w14:paraId="3813BF75" w14:textId="77777777">
        <w:trPr>
          <w:trHeight w:val="309"/>
        </w:trPr>
        <w:tc>
          <w:tcPr>
            <w:tcW w:w="977"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65073E" w:rsidRDefault="000A0998">
            <w:pPr>
              <w:pStyle w:val="P68B1DB1-Normal12"/>
              <w:spacing w:after="0" w:line="240" w:lineRule="auto"/>
              <w:jc w:val="center"/>
              <w:rPr>
                <w:rFonts w:cs="Times New Roman"/>
                <w:noProof/>
              </w:rPr>
            </w:pPr>
            <w:r>
              <w:rPr>
                <w:noProof/>
              </w:rPr>
              <w:t>293</w:t>
            </w:r>
          </w:p>
        </w:tc>
        <w:tc>
          <w:tcPr>
            <w:tcW w:w="797"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65073E" w:rsidRDefault="000A0998">
            <w:pPr>
              <w:pStyle w:val="P68B1DB1-Normal12"/>
              <w:spacing w:after="0" w:line="240" w:lineRule="auto"/>
              <w:jc w:val="center"/>
              <w:rPr>
                <w:rFonts w:cs="Times New Roman"/>
                <w:noProof/>
              </w:rPr>
            </w:pPr>
            <w:r>
              <w:rPr>
                <w:noProof/>
              </w:rPr>
              <w:t>C19.I4</w:t>
            </w:r>
          </w:p>
        </w:tc>
        <w:tc>
          <w:tcPr>
            <w:tcW w:w="830"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65073E" w:rsidRDefault="000A0998">
            <w:pPr>
              <w:pStyle w:val="P68B1DB1-Normal12"/>
              <w:spacing w:after="0" w:line="240" w:lineRule="auto"/>
              <w:jc w:val="center"/>
              <w:rPr>
                <w:rFonts w:cs="Times New Roman"/>
                <w:noProof/>
              </w:rPr>
            </w:pPr>
            <w:r>
              <w:rPr>
                <w:noProof/>
              </w:rPr>
              <w:t>T</w:t>
            </w:r>
          </w:p>
        </w:tc>
        <w:tc>
          <w:tcPr>
            <w:tcW w:w="2625"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65073E" w:rsidRDefault="000A0998">
            <w:pPr>
              <w:pStyle w:val="P68B1DB1-Normal12"/>
              <w:spacing w:after="0" w:line="240" w:lineRule="auto"/>
              <w:rPr>
                <w:rFonts w:cs="Times New Roman"/>
                <w:noProof/>
              </w:rPr>
            </w:pPr>
            <w:r>
              <w:rPr>
                <w:noProof/>
              </w:rPr>
              <w:t xml:space="preserve">Digitaalisten lahjakkuuksien apurahaohjelmat </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65073E" w:rsidRDefault="000A0998">
            <w:pPr>
              <w:pStyle w:val="P68B1DB1-Normal12"/>
              <w:spacing w:after="0" w:line="240" w:lineRule="auto"/>
              <w:jc w:val="center"/>
              <w:rPr>
                <w:rFonts w:cs="Times New Roman"/>
                <w:noProof/>
              </w:rPr>
            </w:pPr>
            <w:r>
              <w:rPr>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65073E" w:rsidRDefault="000A0998">
            <w:pPr>
              <w:pStyle w:val="P68B1DB1-Normal12"/>
              <w:spacing w:after="0" w:line="240" w:lineRule="auto"/>
              <w:jc w:val="center"/>
              <w:rPr>
                <w:rFonts w:cs="Times New Roman"/>
                <w:noProof/>
              </w:rPr>
            </w:pPr>
            <w:r>
              <w:rPr>
                <w:noProof/>
              </w:rPr>
              <w:t>Määrä</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65073E" w:rsidRDefault="000A0998">
            <w:pPr>
              <w:pStyle w:val="P68B1DB1-Normal12"/>
              <w:spacing w:after="0" w:line="240" w:lineRule="auto"/>
              <w:jc w:val="center"/>
              <w:rPr>
                <w:rFonts w:cs="Times New Roman"/>
                <w:noProof/>
              </w:rPr>
            </w:pPr>
            <w:r>
              <w:rPr>
                <w:noProof/>
              </w:rPr>
              <w:t>0</w:t>
            </w:r>
          </w:p>
        </w:tc>
        <w:tc>
          <w:tcPr>
            <w:tcW w:w="692"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65073E" w:rsidRDefault="000A0998">
            <w:pPr>
              <w:pStyle w:val="P68B1DB1-Normal12"/>
              <w:spacing w:after="0" w:line="240" w:lineRule="auto"/>
              <w:jc w:val="center"/>
              <w:rPr>
                <w:rFonts w:cs="Times New Roman"/>
                <w:noProof/>
              </w:rPr>
            </w:pPr>
            <w:r>
              <w:rPr>
                <w:noProof/>
              </w:rPr>
              <w:t>300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65073E" w:rsidRDefault="000A0998">
            <w:pPr>
              <w:pStyle w:val="P68B1DB1-Normal12"/>
              <w:spacing w:after="0" w:line="240" w:lineRule="auto"/>
              <w:jc w:val="center"/>
              <w:rPr>
                <w:rFonts w:cs="Times New Roman"/>
                <w:noProof/>
              </w:rPr>
            </w:pPr>
            <w:r>
              <w:rPr>
                <w:noProof/>
              </w:rPr>
              <w:t>Q4</w:t>
            </w:r>
          </w:p>
        </w:tc>
        <w:tc>
          <w:tcPr>
            <w:tcW w:w="554"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65073E" w:rsidRDefault="000A0998">
            <w:pPr>
              <w:pStyle w:val="P68B1DB1-Normal12"/>
              <w:spacing w:after="0" w:line="240" w:lineRule="auto"/>
              <w:jc w:val="center"/>
              <w:rPr>
                <w:rFonts w:cs="Times New Roman"/>
                <w:noProof/>
              </w:rPr>
            </w:pPr>
            <w:r>
              <w:rPr>
                <w:noProof/>
              </w:rPr>
              <w:t>2024</w:t>
            </w:r>
          </w:p>
        </w:tc>
        <w:tc>
          <w:tcPr>
            <w:tcW w:w="552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65073E" w:rsidRDefault="000A0998">
            <w:pPr>
              <w:pStyle w:val="P68B1DB1-Normal12"/>
              <w:spacing w:after="0" w:line="240" w:lineRule="auto"/>
              <w:rPr>
                <w:rFonts w:cs="Times New Roman"/>
                <w:noProof/>
              </w:rPr>
            </w:pPr>
            <w:r>
              <w:rPr>
                <w:noProof/>
              </w:rPr>
              <w:t>Vähintään 300 saajaa on myöntänyt apurahaohjelmia digitaitojen houkuttelemiseksi ja säilyttämiseksi (kumulatiivinen 2021–2024). Kussakin ohjelmassa on oltava vähintään 240 ECTS-järjestelmää.</w:t>
            </w:r>
          </w:p>
        </w:tc>
      </w:tr>
      <w:tr w:rsidR="0065073E" w14:paraId="3139313E" w14:textId="77777777">
        <w:trPr>
          <w:trHeight w:val="309"/>
        </w:trPr>
        <w:tc>
          <w:tcPr>
            <w:tcW w:w="977" w:type="dxa"/>
            <w:shd w:val="clear" w:color="auto" w:fill="C6EFCE"/>
            <w:noWrap/>
          </w:tcPr>
          <w:p w14:paraId="68A4C843" w14:textId="77777777" w:rsidR="0065073E" w:rsidRDefault="000A0998">
            <w:pPr>
              <w:pStyle w:val="P68B1DB1-Normal12"/>
              <w:spacing w:after="0" w:line="240" w:lineRule="auto"/>
              <w:jc w:val="center"/>
              <w:rPr>
                <w:rFonts w:cs="Times New Roman"/>
                <w:noProof/>
              </w:rPr>
            </w:pPr>
            <w:r>
              <w:rPr>
                <w:noProof/>
              </w:rPr>
              <w:t>294</w:t>
            </w:r>
          </w:p>
        </w:tc>
        <w:tc>
          <w:tcPr>
            <w:tcW w:w="797" w:type="dxa"/>
            <w:shd w:val="clear" w:color="auto" w:fill="C6EFCE"/>
            <w:noWrap/>
          </w:tcPr>
          <w:p w14:paraId="14A3AD9A" w14:textId="77777777" w:rsidR="0065073E" w:rsidRDefault="000A0998">
            <w:pPr>
              <w:pStyle w:val="P68B1DB1-Normal12"/>
              <w:spacing w:after="0" w:line="240" w:lineRule="auto"/>
              <w:jc w:val="center"/>
              <w:rPr>
                <w:rFonts w:cs="Times New Roman"/>
                <w:noProof/>
              </w:rPr>
            </w:pPr>
            <w:r>
              <w:rPr>
                <w:noProof/>
              </w:rPr>
              <w:t>C19.I4</w:t>
            </w:r>
          </w:p>
        </w:tc>
        <w:tc>
          <w:tcPr>
            <w:tcW w:w="830" w:type="dxa"/>
            <w:shd w:val="clear" w:color="auto" w:fill="C6EFCE"/>
            <w:noWrap/>
          </w:tcPr>
          <w:p w14:paraId="664798B4" w14:textId="77777777" w:rsidR="0065073E" w:rsidRDefault="000A0998">
            <w:pPr>
              <w:pStyle w:val="P68B1DB1-Normal12"/>
              <w:spacing w:after="0" w:line="240" w:lineRule="auto"/>
              <w:jc w:val="center"/>
              <w:rPr>
                <w:rFonts w:cs="Times New Roman"/>
                <w:noProof/>
              </w:rPr>
            </w:pPr>
            <w:r>
              <w:rPr>
                <w:noProof/>
              </w:rPr>
              <w:t>T</w:t>
            </w:r>
          </w:p>
        </w:tc>
        <w:tc>
          <w:tcPr>
            <w:tcW w:w="2625" w:type="dxa"/>
            <w:shd w:val="clear" w:color="auto" w:fill="C6EFCE"/>
            <w:noWrap/>
          </w:tcPr>
          <w:p w14:paraId="63BA0E3A" w14:textId="77777777" w:rsidR="0065073E" w:rsidRDefault="000A0998">
            <w:pPr>
              <w:pStyle w:val="P68B1DB1-Normal12"/>
              <w:spacing w:after="0" w:line="240" w:lineRule="auto"/>
              <w:rPr>
                <w:rFonts w:cs="Times New Roman"/>
                <w:noProof/>
              </w:rPr>
            </w:pPr>
            <w:r>
              <w:rPr>
                <w:noProof/>
              </w:rPr>
              <w:t>Tietotekniikka-alan ammattilaisten koulutus</w:t>
            </w:r>
          </w:p>
        </w:tc>
        <w:tc>
          <w:tcPr>
            <w:tcW w:w="1382" w:type="dxa"/>
            <w:shd w:val="clear" w:color="auto" w:fill="C6EFCE"/>
            <w:noWrap/>
          </w:tcPr>
          <w:p w14:paraId="73C0A2EE" w14:textId="77777777" w:rsidR="0065073E" w:rsidRDefault="000A0998">
            <w:pPr>
              <w:pStyle w:val="P68B1DB1-Normal12"/>
              <w:spacing w:after="0" w:line="240" w:lineRule="auto"/>
              <w:jc w:val="center"/>
              <w:rPr>
                <w:rFonts w:cs="Times New Roman"/>
                <w:noProof/>
              </w:rPr>
            </w:pPr>
            <w:r>
              <w:rPr>
                <w:noProof/>
              </w:rPr>
              <w:t xml:space="preserve"> </w:t>
            </w:r>
          </w:p>
        </w:tc>
        <w:tc>
          <w:tcPr>
            <w:tcW w:w="831" w:type="dxa"/>
            <w:shd w:val="clear" w:color="auto" w:fill="C6EFCE"/>
            <w:noWrap/>
          </w:tcPr>
          <w:p w14:paraId="403778D3" w14:textId="77777777" w:rsidR="0065073E" w:rsidRDefault="000A0998">
            <w:pPr>
              <w:pStyle w:val="P68B1DB1-Normal12"/>
              <w:spacing w:after="0" w:line="240" w:lineRule="auto"/>
              <w:jc w:val="center"/>
              <w:rPr>
                <w:rFonts w:cs="Times New Roman"/>
                <w:noProof/>
              </w:rPr>
            </w:pPr>
            <w:r>
              <w:rPr>
                <w:noProof/>
              </w:rPr>
              <w:t>Määrä</w:t>
            </w:r>
          </w:p>
        </w:tc>
        <w:tc>
          <w:tcPr>
            <w:tcW w:w="966" w:type="dxa"/>
            <w:shd w:val="clear" w:color="auto" w:fill="C6EFCE"/>
            <w:noWrap/>
          </w:tcPr>
          <w:p w14:paraId="2B2313F1" w14:textId="77777777" w:rsidR="0065073E" w:rsidRDefault="000A0998">
            <w:pPr>
              <w:pStyle w:val="P68B1DB1-Normal12"/>
              <w:spacing w:after="0" w:line="240" w:lineRule="auto"/>
              <w:jc w:val="center"/>
              <w:rPr>
                <w:rFonts w:cs="Times New Roman"/>
                <w:noProof/>
              </w:rPr>
            </w:pPr>
            <w:r>
              <w:rPr>
                <w:noProof/>
              </w:rPr>
              <w:t>0</w:t>
            </w:r>
          </w:p>
        </w:tc>
        <w:tc>
          <w:tcPr>
            <w:tcW w:w="692" w:type="dxa"/>
            <w:shd w:val="clear" w:color="auto" w:fill="C6EFCE"/>
            <w:noWrap/>
          </w:tcPr>
          <w:p w14:paraId="7BC0BD7E" w14:textId="77777777" w:rsidR="0065073E" w:rsidRDefault="000A0998">
            <w:pPr>
              <w:pStyle w:val="P68B1DB1-Normal12"/>
              <w:spacing w:after="0" w:line="240" w:lineRule="auto"/>
              <w:jc w:val="center"/>
              <w:rPr>
                <w:rFonts w:cs="Times New Roman"/>
                <w:noProof/>
              </w:rPr>
            </w:pPr>
            <w:r>
              <w:rPr>
                <w:noProof/>
              </w:rPr>
              <w:t>18 000</w:t>
            </w:r>
          </w:p>
        </w:tc>
        <w:tc>
          <w:tcPr>
            <w:tcW w:w="417" w:type="dxa"/>
            <w:shd w:val="clear" w:color="auto" w:fill="C6EFCE"/>
            <w:noWrap/>
          </w:tcPr>
          <w:p w14:paraId="2C328CC7" w14:textId="77777777" w:rsidR="0065073E" w:rsidRDefault="000A0998">
            <w:pPr>
              <w:pStyle w:val="P68B1DB1-Normal12"/>
              <w:spacing w:after="0" w:line="240" w:lineRule="auto"/>
              <w:jc w:val="center"/>
              <w:rPr>
                <w:rFonts w:cs="Times New Roman"/>
                <w:noProof/>
              </w:rPr>
            </w:pPr>
            <w:r>
              <w:rPr>
                <w:noProof/>
              </w:rPr>
              <w:t>Q4</w:t>
            </w:r>
          </w:p>
        </w:tc>
        <w:tc>
          <w:tcPr>
            <w:tcW w:w="554" w:type="dxa"/>
            <w:shd w:val="clear" w:color="auto" w:fill="C6EFCE"/>
            <w:noWrap/>
          </w:tcPr>
          <w:p w14:paraId="2A4F6777" w14:textId="77777777" w:rsidR="0065073E" w:rsidRDefault="000A0998">
            <w:pPr>
              <w:pStyle w:val="P68B1DB1-Normal12"/>
              <w:spacing w:after="0" w:line="240" w:lineRule="auto"/>
              <w:jc w:val="center"/>
              <w:rPr>
                <w:rFonts w:cs="Times New Roman"/>
                <w:noProof/>
              </w:rPr>
            </w:pPr>
            <w:r>
              <w:rPr>
                <w:noProof/>
              </w:rPr>
              <w:t>2025</w:t>
            </w:r>
          </w:p>
        </w:tc>
        <w:tc>
          <w:tcPr>
            <w:tcW w:w="5523" w:type="dxa"/>
            <w:shd w:val="clear" w:color="auto" w:fill="C6EFCE"/>
            <w:noWrap/>
          </w:tcPr>
          <w:p w14:paraId="43410A69" w14:textId="77777777" w:rsidR="0065073E" w:rsidRDefault="000A0998">
            <w:pPr>
              <w:pStyle w:val="P68B1DB1-Normal12"/>
              <w:spacing w:after="0" w:line="240" w:lineRule="auto"/>
              <w:rPr>
                <w:rFonts w:cs="Times New Roman"/>
                <w:noProof/>
              </w:rPr>
            </w:pPr>
            <w:r>
              <w:rPr>
                <w:noProof/>
              </w:rPr>
              <w:t xml:space="preserve">Vähintään 18000 tietotekniikan ammattilaista, jotka ovat saaneet koulutusta vähintään 250 tunnin erikoiskursseille. </w:t>
            </w:r>
          </w:p>
        </w:tc>
      </w:tr>
    </w:tbl>
    <w:p w14:paraId="7A22DBDB" w14:textId="77777777" w:rsidR="0065073E" w:rsidRDefault="0065073E">
      <w:pPr>
        <w:spacing w:before="120" w:after="120" w:line="240" w:lineRule="auto"/>
        <w:ind w:left="709"/>
        <w:jc w:val="both"/>
        <w:rPr>
          <w:rFonts w:ascii="Times New Roman" w:hAnsi="Times New Roman" w:cs="Times New Roman"/>
          <w:noProof/>
          <w:sz w:val="24"/>
        </w:rPr>
      </w:pPr>
    </w:p>
    <w:p w14:paraId="26595393" w14:textId="77777777" w:rsidR="0065073E" w:rsidRDefault="0065073E">
      <w:pPr>
        <w:spacing w:before="120" w:after="120" w:line="240" w:lineRule="auto"/>
        <w:ind w:left="709"/>
        <w:jc w:val="both"/>
        <w:rPr>
          <w:rFonts w:ascii="Times New Roman" w:hAnsi="Times New Roman" w:cs="Times New Roman"/>
          <w:noProof/>
          <w:sz w:val="24"/>
        </w:rPr>
      </w:pPr>
    </w:p>
    <w:p w14:paraId="4BE80159" w14:textId="77777777" w:rsidR="0065073E" w:rsidRDefault="0065073E">
      <w:pPr>
        <w:spacing w:before="120" w:after="120" w:line="240" w:lineRule="auto"/>
        <w:ind w:left="709"/>
        <w:jc w:val="both"/>
        <w:rPr>
          <w:rFonts w:ascii="Times New Roman" w:hAnsi="Times New Roman" w:cs="Times New Roman"/>
          <w:noProof/>
          <w:sz w:val="24"/>
        </w:rPr>
      </w:pPr>
    </w:p>
    <w:p w14:paraId="1E889018"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45"/>
          <w:headerReference w:type="default" r:id="rId446"/>
          <w:footerReference w:type="even" r:id="rId447"/>
          <w:footerReference w:type="default" r:id="rId448"/>
          <w:headerReference w:type="first" r:id="rId449"/>
          <w:footerReference w:type="first" r:id="rId450"/>
          <w:pgSz w:w="16839" w:h="11907" w:orient="landscape"/>
          <w:pgMar w:top="1134" w:right="1134" w:bottom="1134" w:left="1134" w:header="567" w:footer="567" w:gutter="0"/>
          <w:cols w:space="720"/>
          <w:docGrid w:linePitch="360"/>
        </w:sectPr>
      </w:pPr>
    </w:p>
    <w:p w14:paraId="780CBD9C" w14:textId="77777777" w:rsidR="0065073E" w:rsidRDefault="000A0998">
      <w:pPr>
        <w:pStyle w:val="P68B1DB1-Heading12"/>
        <w:rPr>
          <w:rFonts w:cs="Times New Roman"/>
          <w:noProof/>
        </w:rPr>
      </w:pPr>
      <w:r>
        <w:rPr>
          <w:noProof/>
        </w:rPr>
        <w:t>T. OSA 20: Strateginen suunnitelma ammatillisen koulutuksen edistämiseksi</w:t>
      </w:r>
    </w:p>
    <w:p w14:paraId="1BD30229" w14:textId="77777777" w:rsidR="0065073E" w:rsidRDefault="000A0998">
      <w:pPr>
        <w:pStyle w:val="P68B1DB1-Normal4"/>
        <w:spacing w:before="120" w:after="120" w:line="240" w:lineRule="auto"/>
        <w:jc w:val="both"/>
        <w:rPr>
          <w:rFonts w:cs="Times New Roman"/>
          <w:noProof/>
        </w:rPr>
      </w:pPr>
      <w:r>
        <w:rPr>
          <w:noProof/>
        </w:rPr>
        <w:t xml:space="preserve">Espanjan elpymis- ja palautumissuunnitelman komponentilla pyritään muuttamaan ja nykyaikaistamaan ammatillisen koulutuksen järjestelmää ja mukauttamaan sitä vastaamaan talouden tuotantoalojen muutoksia. Tätä varten komponentilla pyritään parantamaan työntekijöiden työllistettävyyttä ja ammatillista liikkuvuutta ja siten lisäämään tuottavuutta ja kilpailukykyä. </w:t>
      </w:r>
    </w:p>
    <w:p w14:paraId="0906955F" w14:textId="77777777" w:rsidR="0065073E" w:rsidRDefault="000A0998">
      <w:pPr>
        <w:pStyle w:val="P68B1DB1-Normal4"/>
        <w:spacing w:before="120" w:after="120" w:line="240" w:lineRule="auto"/>
        <w:jc w:val="both"/>
        <w:rPr>
          <w:rFonts w:cs="Times New Roman"/>
          <w:noProof/>
        </w:rPr>
      </w:pPr>
      <w:r>
        <w:rPr>
          <w:noProof/>
        </w:rPr>
        <w:t xml:space="preserve">Nykyiseen osaamisen kohtaanto-ongelmaan on puututtava, jotta voidaan parantaa tasapainoa väestön koulutustason ja työmarkkinoiden tarpeiden välillä erityisesti tukemalla matalan osaamistason täydennystä kohti keskitason osaamista ja uudelleenkoulutusta.  Erityistä huomiota on kiinnitettävä teknisiin ja digitaalisiin taitoihin, sukupuolten osaamisvajeeseen puuttumiseen ja korkea-asteen ammatillisen koulutuksen ohjelmien houkuttelevuuden lisäämiseen osallistumisen parantamiseksi. Komponenttiin sisältyy myös olemassa olevien taitojen tunnustaminen, jotta voidaan avata uusia koulutusmahdollisuuksia ja uusia tutkintoja yhdennetymmässä ammatillisen koulutuksen järjestelmässä, joka palvelee sekä oppivelvollisuuskoulun piirissä olevia ihmisiä, jotka auttavat vähentämään koulunkäynnin keskeyttämistä – että koko työelämän ajan. </w:t>
      </w:r>
    </w:p>
    <w:p w14:paraId="5C9D1302" w14:textId="77777777" w:rsidR="0065073E" w:rsidRDefault="000A0998">
      <w:pPr>
        <w:pStyle w:val="P68B1DB1-Normal4"/>
        <w:spacing w:before="120" w:after="120" w:line="240" w:lineRule="auto"/>
        <w:jc w:val="both"/>
        <w:textAlignment w:val="baseline"/>
        <w:rPr>
          <w:rFonts w:eastAsia="Times New Roman" w:cs="Times New Roman"/>
          <w:noProof/>
        </w:rPr>
      </w:pPr>
      <w:r>
        <w:rPr>
          <w:noProof/>
        </w:rPr>
        <w:t>Komponentilla edistetään koulunkäynnin keskeyttämisen vähentämiseen liittyvien maakohtaisten suositusten noudattamista (maakohtainen suositus 2 2019); lisätään koulutuksen ja yritysten välistä yhteistyötä työmarkkinoiden kannalta merkityksellisten taitojen ja pätevyyksien tarjonnan parantamiseksi erityisesti tieto- ja viestintätekniikan osalta (maakohtainen suositus 2 2019); työllisyyden tukeminen työpaikkojen säilyttämiseen tähtäävillä toimenpiteillä, tehokkailla kannustimilla työhönottoon ja osaamisen kehittämiseen (maakohtainen suositus 2 2020); parannetaan digitaalisen oppimisen saatavuutta (maakohtainen suositus 2 2020).</w:t>
      </w:r>
    </w:p>
    <w:p w14:paraId="10EF2818" w14:textId="77777777" w:rsidR="0065073E" w:rsidRDefault="000A0998">
      <w:pPr>
        <w:pStyle w:val="P68B1DB1-Normal4"/>
        <w:spacing w:before="120" w:after="120" w:line="240" w:lineRule="auto"/>
        <w:jc w:val="both"/>
        <w:textAlignment w:val="baseline"/>
        <w:rPr>
          <w:rFonts w:eastAsia="Times New Roman"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1E1D791"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T.1 </w:t>
      </w:r>
      <w:r>
        <w:rPr>
          <w:noProof/>
        </w:rPr>
        <w:t xml:space="preserve"> </w:t>
      </w:r>
      <w:r>
        <w:rPr>
          <w:rFonts w:ascii="Times New Roman" w:hAnsi="Times New Roman"/>
          <w:b/>
          <w:noProof/>
          <w:sz w:val="24"/>
          <w:u w:val="single"/>
        </w:rPr>
        <w:t>Kuvaus uudistuksista ja investoinneista, joita rahoitetaan rahoitustuella, jota ei makseta takaisin</w:t>
      </w:r>
    </w:p>
    <w:p w14:paraId="1017AE05" w14:textId="77777777" w:rsidR="0065073E" w:rsidRDefault="000A0998">
      <w:pPr>
        <w:pStyle w:val="P68B1DB1-Normal22"/>
        <w:spacing w:before="120" w:after="120" w:line="240" w:lineRule="auto"/>
        <w:jc w:val="both"/>
        <w:rPr>
          <w:rFonts w:cs="Times New Roman"/>
          <w:noProof/>
        </w:rPr>
      </w:pPr>
      <w:r>
        <w:rPr>
          <w:noProof/>
        </w:rPr>
        <w:t xml:space="preserve">Uudistus 1 (C20.R1) – Ammatillisen koulutuksen nykyaikaistamissuunnitelma </w:t>
      </w:r>
    </w:p>
    <w:p w14:paraId="777BAF35" w14:textId="77777777" w:rsidR="0065073E" w:rsidRDefault="000A0998">
      <w:pPr>
        <w:pStyle w:val="P68B1DB1-Normal4"/>
        <w:spacing w:before="120" w:after="120" w:line="240" w:lineRule="auto"/>
        <w:jc w:val="both"/>
        <w:rPr>
          <w:rFonts w:cs="Times New Roman"/>
          <w:noProof/>
        </w:rPr>
      </w:pPr>
      <w:r>
        <w:rPr>
          <w:noProof/>
          <w:shd w:val="clear" w:color="auto" w:fill="FFFFFF"/>
        </w:rPr>
        <w:t xml:space="preserve">Uudistus koostuu ammatillisen koulutuksen nykyaikaistamissuunnitelman hyväksymisestä ja täytäntöönpanosta. Suunnitelma esiteltiin 22. heinäkuuta 2020. Sen tavoitteena on varmistaa, että ammatillisen koulutuksen järjestelmä </w:t>
      </w:r>
      <w:r>
        <w:rPr>
          <w:noProof/>
        </w:rPr>
        <w:t xml:space="preserve">vastaa keskitason tutkintoa edellyttäviä työmarkkinoita ja vastaa siten tuotantosektorin (erityisesti </w:t>
      </w:r>
      <w:r>
        <w:rPr>
          <w:noProof/>
          <w:shd w:val="clear" w:color="auto" w:fill="FFFFFF"/>
        </w:rPr>
        <w:t xml:space="preserve">teknikoiden/ylempien teknikoiden) </w:t>
      </w:r>
      <w:r>
        <w:rPr>
          <w:noProof/>
        </w:rPr>
        <w:t xml:space="preserve">tarpeita ja varmistaa, että ammatillinen koulutus ja pätevyydet parantavat työllistymismahdollisuuksia. </w:t>
      </w:r>
      <w:r>
        <w:rPr>
          <w:noProof/>
          <w:shd w:val="clear" w:color="auto" w:fill="FFFFFF"/>
        </w:rPr>
        <w:t>Siinä määritellään ammatillinen koulutus keskeiseksi tekijäksi, jolla edistetään taloudellisia ja sosiaalisia tekijöitä pandemian jälkimainingeissa.</w:t>
      </w:r>
    </w:p>
    <w:p w14:paraId="5EFD89B3" w14:textId="77777777" w:rsidR="0065073E" w:rsidRDefault="000A0998">
      <w:pPr>
        <w:pStyle w:val="P68B1DB1-Normal4"/>
        <w:spacing w:before="120" w:after="120" w:line="240" w:lineRule="auto"/>
        <w:jc w:val="both"/>
        <w:rPr>
          <w:rFonts w:cs="Times New Roman"/>
          <w:noProof/>
          <w:shd w:val="clear" w:color="auto" w:fill="FFFFFF"/>
        </w:rPr>
      </w:pPr>
      <w:r>
        <w:rPr>
          <w:noProof/>
          <w:shd w:val="clear" w:color="auto" w:fill="FFFFFF"/>
        </w:rPr>
        <w:t>Suunnitelmassa keskitytään</w:t>
      </w:r>
      <w:r>
        <w:rPr>
          <w:noProof/>
        </w:rPr>
        <w:t xml:space="preserve"> yhden yhdennetyn ammatillisen koulutuksen järjestelmän perustamiseen, joka tarjoaa koulutusta ja ammattipätevyyttä koko väestölle, mukaan lukien ammatillisen koulutuksen opiskelijat koulutusjärjestelmässä ja ammatillinen koulutus työllisyyttä varten.</w:t>
      </w:r>
      <w:r>
        <w:rPr>
          <w:noProof/>
          <w:shd w:val="clear" w:color="auto" w:fill="FFFFFF"/>
        </w:rPr>
        <w:t xml:space="preserve"> Ammatillisen koulutuksen</w:t>
      </w:r>
      <w:r>
        <w:rPr>
          <w:noProof/>
        </w:rPr>
        <w:t>on oltava tavanomainen ja toistuva ammatillisen kehityksen osatekijä kaikille työntekijöille koko heidän työelämänsä ajan.</w:t>
      </w:r>
    </w:p>
    <w:p w14:paraId="3F988533" w14:textId="77777777" w:rsidR="0065073E" w:rsidRDefault="000A0998">
      <w:pPr>
        <w:pStyle w:val="P68B1DB1-Normal21"/>
        <w:spacing w:before="120" w:after="120" w:line="240" w:lineRule="auto"/>
        <w:jc w:val="both"/>
        <w:rPr>
          <w:rFonts w:cs="Times New Roman"/>
          <w:noProof/>
        </w:rPr>
      </w:pPr>
      <w:r>
        <w:rPr>
          <w:noProof/>
        </w:rPr>
        <w:t>Suunnitelman tärkein väline on kansallinen ammattipätevyyden luettelo, jota on tarkistettava ja päivitettävä muun muassa sisällyttämällä siihen digitaalisen ja vihreän siirtymän soveltaminen. Siihen sisältyy uuden ammatillisen koulutuksen ammattipätevyyden suunnittelu kaikilla aloilla, mutta siinä keskitytään niihin kahteentoista strategiseen alaan, joilla ammatillista koulutusta tehostetaan alueelliset tarpeet huomioon ottaen.</w:t>
      </w:r>
    </w:p>
    <w:p w14:paraId="593AC1F4" w14:textId="77777777" w:rsidR="0065073E" w:rsidRDefault="000A0998">
      <w:pPr>
        <w:pStyle w:val="P68B1DB1-Normal4"/>
        <w:spacing w:before="120" w:after="120" w:line="240" w:lineRule="auto"/>
        <w:jc w:val="both"/>
        <w:rPr>
          <w:rFonts w:cs="Times New Roman"/>
          <w:noProof/>
          <w:shd w:val="clear" w:color="auto" w:fill="FFFFFF"/>
        </w:rPr>
      </w:pPr>
      <w:r>
        <w:rPr>
          <w:noProof/>
          <w:shd w:val="clear" w:color="auto" w:fill="FFFFFF"/>
        </w:rPr>
        <w:t>Suunnitelma pannaan täytäntöön antamalla useita kuninkaan asetuksia</w:t>
      </w:r>
      <w:r>
        <w:rPr>
          <w:noProof/>
        </w:rPr>
        <w:t>, jotka vastaavat uusien opinto-ohjelmien laatimista.</w:t>
      </w:r>
      <w:r>
        <w:rPr>
          <w:noProof/>
          <w:shd w:val="clear" w:color="auto" w:fill="FFFFFF"/>
        </w:rPr>
        <w:t xml:space="preserve"> Vuosina 2021–2023 on tarkoitus perustaa asteittain noin 42 uutta tutkintoa, jotka kattavat keski-, korkea- ja erikoistutkinnot. Uudistukseen sisältyy myös ammatillisen koulutuksen tutkintojen toistuva uudelleentarkastelu ja sellaisten uusien ammatillisen koulutuksen tutkintojen suunnittelu, jotka vastaavat tuotantoalojen tarpeita, keskittyen erityisesti niihin aloihin, jotka on asetettu etusijalle ammatillista koulutusta koskevassa strategisessa suunnitelmassa. </w:t>
      </w:r>
    </w:p>
    <w:p w14:paraId="3E2F91F8" w14:textId="77777777" w:rsidR="0065073E" w:rsidRDefault="000A0998">
      <w:pPr>
        <w:pStyle w:val="P68B1DB1-Normal4"/>
        <w:spacing w:before="120" w:after="120" w:line="240" w:lineRule="auto"/>
        <w:jc w:val="both"/>
        <w:rPr>
          <w:rFonts w:cs="Times New Roman"/>
          <w:noProof/>
          <w:shd w:val="clear" w:color="auto" w:fill="FFFFFF"/>
        </w:rPr>
      </w:pPr>
      <w:r>
        <w:rPr>
          <w:noProof/>
          <w:shd w:val="clear" w:color="auto" w:fill="FFFFFF"/>
        </w:rPr>
        <w:t xml:space="preserve">Muita ensisijaisia toimintalinjoja ovat innovoinnin, soveltavan tutkimuksen, yrittäjyyden, digitalisaation ja kestävyyden sisällyttäminen </w:t>
      </w:r>
      <w:r>
        <w:rPr>
          <w:noProof/>
        </w:rPr>
        <w:t>ammatillisen koulutuksen keskeisiin osatekijöihin; yritysten asema erottamattomana osana ammatillista koulutusta ja julkisen ja yksityisen sektorin yhteistyön edistäminen järjestelmässä erityisesti edistämällä ammatillisen koulutuksen kaksiosaisuutta. Tätä varten</w:t>
      </w:r>
      <w:r>
        <w:rPr>
          <w:noProof/>
          <w:shd w:val="clear" w:color="auto" w:fill="FFFFFF"/>
        </w:rPr>
        <w:t>uudistus perustuu ministeriöiden, yritysten ja työmarkkinaosapuolten yhteiseen työhön taloudessa tarvittavien taitojen määrittämiseksi.</w:t>
      </w:r>
    </w:p>
    <w:p w14:paraId="41FFB940"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joulukuuta 2020 mennessä.</w:t>
      </w:r>
    </w:p>
    <w:p w14:paraId="0A72A425" w14:textId="77777777" w:rsidR="0065073E" w:rsidRDefault="000A0998">
      <w:pPr>
        <w:pStyle w:val="P68B1DB1-Normal22"/>
        <w:spacing w:before="120" w:after="120" w:line="240" w:lineRule="auto"/>
        <w:jc w:val="both"/>
        <w:rPr>
          <w:rFonts w:cs="Times New Roman"/>
          <w:noProof/>
        </w:rPr>
      </w:pPr>
      <w:r>
        <w:rPr>
          <w:noProof/>
        </w:rPr>
        <w:t xml:space="preserve">Uudistus 2 (C20.R2) – Laki, jolla säännellään kansalliseen tutkintojen järjestelmään liittyvää integroitua ammatillisen koulutuksen järjestelmää </w:t>
      </w:r>
    </w:p>
    <w:p w14:paraId="6B0FD563" w14:textId="77777777" w:rsidR="0065073E" w:rsidRDefault="000A0998">
      <w:pPr>
        <w:pStyle w:val="P68B1DB1-Normal4"/>
        <w:spacing w:before="120" w:after="120" w:line="240" w:lineRule="auto"/>
        <w:jc w:val="both"/>
        <w:rPr>
          <w:rFonts w:cs="Times New Roman"/>
          <w:noProof/>
          <w:shd w:val="clear" w:color="auto" w:fill="FFFFFF"/>
        </w:rPr>
      </w:pPr>
      <w:r>
        <w:rPr>
          <w:noProof/>
        </w:rPr>
        <w:t xml:space="preserve">Ammatillisen koulutuksen nykyaikaistamissuunnitelman tavoitteiden ja </w:t>
      </w:r>
      <w:r>
        <w:rPr>
          <w:noProof/>
          <w:shd w:val="clear" w:color="auto" w:fill="FFFFFF"/>
        </w:rPr>
        <w:t xml:space="preserve">kansallisen tutkintojen järjestelmän mukaisesti Espanjan on esitettävä ja hyväksyttävä laki, jolla säännellään yhdennettyä ammatillisen koulutuksen järjestelmää. Uudessa laissa yhdistetään kaksi nykyistä erillistä ammatillisen koulutuksen järjestelmää, koulutusjärjestelmän järjestelmä ja työllisyyttä edistävä koulutusjärjestelmä, yhdeksi järjestelmäksi. Siinä vahvistetaan integroitu elinikäisen oppimisen järjestelmä, jota sovelletaan missä tahansa iässä ja kaikissa henkilökohtaisissa tai työtilanteissa ja tarjotaan täydentäviä ja kumulatiivisia kursseja, jotka johtavat uusiin tutkintoihin. Siihen on myös </w:t>
      </w:r>
      <w:r>
        <w:rPr>
          <w:noProof/>
        </w:rPr>
        <w:t xml:space="preserve">liitettävä perehdytysprosessi koko eliniän ajan. </w:t>
      </w:r>
    </w:p>
    <w:p w14:paraId="597A2EC6" w14:textId="77777777" w:rsidR="0065073E" w:rsidRDefault="000A0998">
      <w:pPr>
        <w:pStyle w:val="P68B1DB1-Normal4"/>
        <w:spacing w:before="120" w:after="120" w:line="240" w:lineRule="auto"/>
        <w:jc w:val="both"/>
        <w:rPr>
          <w:rFonts w:cs="Times New Roman"/>
          <w:noProof/>
          <w:shd w:val="clear" w:color="auto" w:fill="FFFFFF"/>
        </w:rPr>
      </w:pPr>
      <w:r>
        <w:rPr>
          <w:noProof/>
        </w:rPr>
        <w:t xml:space="preserve">Valmistelun ensimmäisessä vaiheessa opetus- ja ammattikoulutusministeriö on valmistellut lakiehdotuksen työmarkkinaosapuolten ja aluehallintojen konsensuksella. </w:t>
      </w:r>
      <w:r>
        <w:rPr>
          <w:noProof/>
          <w:shd w:val="clear" w:color="auto" w:fill="FFFFFF"/>
        </w:rPr>
        <w:t>Ministerineuvoston odotetaan hyväksyvän lakiehdotuksen 31. joulukuuta 2021 mennessä, ja se on määrä hyväksyä parlamentissa 30. kesäkuuta 2022 mennessä.</w:t>
      </w:r>
    </w:p>
    <w:p w14:paraId="3F614CDA" w14:textId="77777777" w:rsidR="0065073E" w:rsidRDefault="000A0998">
      <w:pPr>
        <w:pStyle w:val="P68B1DB1-Normal4"/>
        <w:spacing w:before="120" w:after="120" w:line="240" w:lineRule="auto"/>
        <w:jc w:val="both"/>
        <w:rPr>
          <w:rFonts w:cs="Times New Roman"/>
          <w:noProof/>
        </w:rPr>
      </w:pPr>
      <w:r>
        <w:rPr>
          <w:noProof/>
        </w:rPr>
        <w:t xml:space="preserve">Lopullisesti hyväksytyllä lailla, jolla yhdistetään kaksi aiemmin voimassa ollutta ammatillisen koulutuksen järjestelmää, pyritään nykyaikaistamaan järjestelmää erityisesti </w:t>
      </w:r>
    </w:p>
    <w:p w14:paraId="12CE28C1" w14:textId="77777777" w:rsidR="0065073E" w:rsidRDefault="000A0998">
      <w:pPr>
        <w:pStyle w:val="P68B1DB1-Normal4"/>
        <w:numPr>
          <w:ilvl w:val="0"/>
          <w:numId w:val="135"/>
        </w:numPr>
        <w:spacing w:before="120" w:after="160" w:line="259" w:lineRule="auto"/>
        <w:contextualSpacing/>
        <w:jc w:val="both"/>
        <w:rPr>
          <w:rFonts w:cs="Times New Roman"/>
          <w:noProof/>
        </w:rPr>
      </w:pPr>
      <w:r>
        <w:rPr>
          <w:noProof/>
        </w:rPr>
        <w:t xml:space="preserve">keskitytään matalan osaamistason taitojen parantamiseen ja parannetaan heidän työllistettävyyttään; </w:t>
      </w:r>
    </w:p>
    <w:p w14:paraId="09FE3AA0" w14:textId="77777777" w:rsidR="0065073E" w:rsidRDefault="000A0998">
      <w:pPr>
        <w:pStyle w:val="P68B1DB1-Normal4"/>
        <w:numPr>
          <w:ilvl w:val="0"/>
          <w:numId w:val="135"/>
        </w:numPr>
        <w:spacing w:before="120" w:after="160" w:line="259" w:lineRule="auto"/>
        <w:contextualSpacing/>
        <w:jc w:val="both"/>
        <w:rPr>
          <w:rFonts w:cs="Times New Roman"/>
          <w:noProof/>
        </w:rPr>
      </w:pPr>
      <w:r>
        <w:rPr>
          <w:noProof/>
        </w:rPr>
        <w:t xml:space="preserve">osaamisen kohtaanto-ongelmiin puuttumiseen, </w:t>
      </w:r>
    </w:p>
    <w:p w14:paraId="791BBCAD" w14:textId="77777777" w:rsidR="0065073E" w:rsidRDefault="000A0998">
      <w:pPr>
        <w:pStyle w:val="P68B1DB1-Normal4"/>
        <w:numPr>
          <w:ilvl w:val="0"/>
          <w:numId w:val="135"/>
        </w:numPr>
        <w:spacing w:before="120" w:after="160" w:line="259" w:lineRule="auto"/>
        <w:contextualSpacing/>
        <w:jc w:val="both"/>
        <w:rPr>
          <w:rFonts w:cs="Times New Roman"/>
          <w:noProof/>
        </w:rPr>
      </w:pPr>
      <w:r>
        <w:rPr>
          <w:noProof/>
        </w:rPr>
        <w:t>kansallisen ammattipätevyyden luettelon päivittäminen ja sen mukauttaminen talouden tuleviin tarpeisiin, mukaan lukien vihreän ja digitaalisen siirtymän tukeminen; ja</w:t>
      </w:r>
    </w:p>
    <w:p w14:paraId="38222DA9" w14:textId="77777777" w:rsidR="0065073E" w:rsidRDefault="000A0998">
      <w:pPr>
        <w:pStyle w:val="P68B1DB1-Normal4"/>
        <w:numPr>
          <w:ilvl w:val="0"/>
          <w:numId w:val="135"/>
        </w:numPr>
        <w:spacing w:before="120" w:after="160" w:line="259" w:lineRule="auto"/>
        <w:contextualSpacing/>
        <w:jc w:val="both"/>
        <w:rPr>
          <w:rFonts w:cs="Times New Roman"/>
          <w:noProof/>
        </w:rPr>
      </w:pPr>
      <w:r>
        <w:rPr>
          <w:noProof/>
        </w:rPr>
        <w:t>korkea-asteen ammatillisen koulutuksen ohjelmien houkuttelevuuden lisääminen koulutukseen osallistumisen parantamiseksi.</w:t>
      </w:r>
    </w:p>
    <w:p w14:paraId="123E8D21" w14:textId="77777777" w:rsidR="0065073E" w:rsidRDefault="000A0998">
      <w:pPr>
        <w:pStyle w:val="P68B1DB1-Normal21"/>
        <w:spacing w:before="120" w:after="120" w:line="240" w:lineRule="auto"/>
        <w:jc w:val="both"/>
        <w:rPr>
          <w:rFonts w:cs="Times New Roman"/>
          <w:noProof/>
          <w:u w:val="single"/>
        </w:rPr>
      </w:pPr>
      <w:r>
        <w:rPr>
          <w:noProof/>
        </w:rPr>
        <w:t>Toimenpiteen täytäntöönpano on saatettava päätökseen 30 päivään kesäkuuta 2022 mennessä.</w:t>
      </w:r>
    </w:p>
    <w:p w14:paraId="04B8F193" w14:textId="77777777" w:rsidR="0065073E" w:rsidRDefault="000A0998">
      <w:pPr>
        <w:pStyle w:val="P68B1DB1-Normal22"/>
        <w:spacing w:before="120" w:after="120" w:line="240" w:lineRule="auto"/>
        <w:jc w:val="both"/>
        <w:rPr>
          <w:rFonts w:cs="Times New Roman"/>
          <w:noProof/>
        </w:rPr>
      </w:pPr>
      <w:r>
        <w:rPr>
          <w:noProof/>
        </w:rPr>
        <w:t xml:space="preserve">Investointi 1 (C20.I1) – Ammattipätevyyteen liittyvä työvoiman uudelleen- ja täydennyskoulutus </w:t>
      </w:r>
    </w:p>
    <w:p w14:paraId="46184BED" w14:textId="77777777" w:rsidR="0065073E" w:rsidRDefault="000A0998">
      <w:pPr>
        <w:pStyle w:val="P68B1DB1-Normal21"/>
        <w:spacing w:before="120" w:after="120" w:line="240" w:lineRule="auto"/>
        <w:jc w:val="both"/>
        <w:rPr>
          <w:rFonts w:cs="Times New Roman"/>
          <w:noProof/>
        </w:rPr>
      </w:pPr>
      <w:r>
        <w:rPr>
          <w:noProof/>
        </w:rPr>
        <w:t>Investointiin sisältyy neljä toimea, joilla pyritään ylläpitämään ja parantamaan yli 16-vuotiaiden (työllisten tai työttömien) aktiivisen väestön ammattitaitoa:</w:t>
      </w:r>
    </w:p>
    <w:p w14:paraId="2D258D6E" w14:textId="5170A195" w:rsidR="0065073E" w:rsidRDefault="000A0998">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 xml:space="preserve">Työkokemuksen ja epävirallisen koulutuksen avulla hankittujen ammatillisten taitojen arviointi ja virallinen hyväksyminen. Tätä varten sillä pyritään varmistamaan, että olemassa olevat taidot tunnustetaan virallisesti ja että ne tarjoavat mahdollisuuden jatkokoulutukseen ja uuteen tutkintoon. Suunnitelmassa on investoitava yhteensä </w:t>
      </w:r>
      <w:r>
        <w:rPr>
          <w:noProof/>
        </w:rPr>
        <w:t>2000000 pätevyysyksikön rekisteröintiin, arviointiin ja akkreditointiin</w:t>
      </w:r>
      <w:r>
        <w:rPr>
          <w:noProof/>
          <w:shd w:val="clear" w:color="auto" w:fill="FFFFFF"/>
        </w:rPr>
        <w:t xml:space="preserve"> viiden vuoden aikana</w:t>
      </w:r>
      <w:r>
        <w:rPr>
          <w:noProof/>
        </w:rPr>
        <w:t xml:space="preserve">.  </w:t>
      </w:r>
    </w:p>
    <w:p w14:paraId="14AF6FA2" w14:textId="77777777" w:rsidR="0065073E" w:rsidRDefault="000A0998">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 xml:space="preserve">D-digitaalinen modulaarinen tarjous työntekijöille, jotka liittyvät kansallisen ammattipätevyysluettelon osaamisyksiköihin. Toimi on </w:t>
      </w:r>
      <w:r>
        <w:rPr>
          <w:noProof/>
        </w:rPr>
        <w:t xml:space="preserve">kohdennettava työntekijöille, ja sillä on varmistettava, että vähintään 300000 työntekijää saa digitaalisen koulutuksen uralla etenemistä varten ja että he voivat hankkia korkeamman osaamisen. </w:t>
      </w:r>
      <w:r>
        <w:rPr>
          <w:noProof/>
          <w:shd w:val="clear" w:color="auto" w:fill="FFFFFF"/>
        </w:rPr>
        <w:t xml:space="preserve"> </w:t>
      </w:r>
    </w:p>
    <w:p w14:paraId="295A55F2" w14:textId="68F3B515" w:rsidR="0065073E" w:rsidRDefault="000A0998">
      <w:pPr>
        <w:pStyle w:val="P68B1DB1-Normal21"/>
        <w:numPr>
          <w:ilvl w:val="0"/>
          <w:numId w:val="136"/>
        </w:numPr>
        <w:spacing w:before="120" w:after="120" w:line="240" w:lineRule="auto"/>
        <w:jc w:val="both"/>
        <w:rPr>
          <w:rFonts w:cs="Times New Roman"/>
          <w:noProof/>
        </w:rPr>
      </w:pPr>
      <w:r>
        <w:rPr>
          <w:noProof/>
        </w:rPr>
        <w:t>Ammatillisen koulutuksen joustavuuden ja saatavuuden parantaminen luomalla ”Aulas</w:t>
      </w:r>
      <w:r>
        <w:rPr>
          <w:i/>
          <w:noProof/>
        </w:rPr>
        <w:t>Mentor</w:t>
      </w:r>
      <w:r>
        <w:rPr>
          <w:noProof/>
        </w:rPr>
        <w:t xml:space="preserve">”. Toimella tarjotaan epävirallista koulutusta kansallisen ammattipätevyyden luettelon mukaisesti maaseutualueilla asuville tai väestökadon vaarassa oleville ihmisille. Erityistä huomiota kiinnitetään naisiin, jotta voidaan avata uusia mahdollisuuksia oppimiseen, työpaikkojen luomiseen ja paikallisen talouden parantamiseen. </w:t>
      </w:r>
    </w:p>
    <w:p w14:paraId="099FF252" w14:textId="77777777" w:rsidR="0065073E" w:rsidRDefault="000A0998">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 xml:space="preserve">Modulaarinen täydennys- ja uudelleenkoulutus työssäkäyville ja työttömille. Toimella tarjotaan koulutusta kehittyvistä ja nopeasti kehittyvistä tulevaisuuteen suuntautuvista taidoista, joiden odotetaan luovan työpaikkoja tulevaisuudessa, mukaan lukien vihreä siirtymä, hoivatalous ja muut modernisaatiosuunnitelmassa yksilöidyt strategiset alat. Etusijalle on asetettava heikoimmassa asemassa olevat ryhmät, jotka tarjoavat </w:t>
      </w:r>
      <w:r>
        <w:rPr>
          <w:noProof/>
        </w:rPr>
        <w:t>koulutusta, jonka tavoitteena on vähintään 700000 työllistä ja työttömän uudelleen- ja täydennyskoulutusta.</w:t>
      </w:r>
    </w:p>
    <w:p w14:paraId="581FD941" w14:textId="3088B8D5"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31. joulukuuta 2025 mennessä.</w:t>
      </w:r>
    </w:p>
    <w:p w14:paraId="58DE658F" w14:textId="77777777" w:rsidR="0065073E" w:rsidRDefault="000A0998">
      <w:pPr>
        <w:pStyle w:val="P68B1DB1-Normal22"/>
        <w:spacing w:before="120" w:after="120" w:line="240" w:lineRule="auto"/>
        <w:jc w:val="both"/>
        <w:rPr>
          <w:rFonts w:cs="Times New Roman"/>
          <w:noProof/>
        </w:rPr>
      </w:pPr>
      <w:r>
        <w:rPr>
          <w:noProof/>
        </w:rPr>
        <w:t>Investointi 2 (C20.I2): Ammatillisen koulutuksen digitalisaatio</w:t>
      </w:r>
    </w:p>
    <w:p w14:paraId="66EAFBB5" w14:textId="77777777" w:rsidR="0065073E" w:rsidRDefault="000A0998">
      <w:pPr>
        <w:pStyle w:val="P68B1DB1-Normal21"/>
        <w:spacing w:before="120" w:after="120" w:line="240" w:lineRule="auto"/>
        <w:jc w:val="both"/>
        <w:rPr>
          <w:rFonts w:cs="Times New Roman"/>
          <w:noProof/>
        </w:rPr>
      </w:pPr>
      <w:r>
        <w:rPr>
          <w:noProof/>
        </w:rPr>
        <w:t xml:space="preserve">Tällä investoinnilla pyritään muuttamaan ja nykyaikaistamaan ammatillista koulutusta, jotta voidaan tukea kunkin tuotantoalan digitalisaatiota, mutta siinä asetetaan etusijalle myös ympäristön kestävyys avaintaitona. Siihen sisältyy neljä toimea: </w:t>
      </w:r>
    </w:p>
    <w:p w14:paraId="5FC74A02" w14:textId="77777777" w:rsidR="0065073E" w:rsidRDefault="000A0998">
      <w:pPr>
        <w:pStyle w:val="P68B1DB1-Normal21"/>
        <w:numPr>
          <w:ilvl w:val="0"/>
          <w:numId w:val="137"/>
        </w:numPr>
        <w:spacing w:before="120" w:after="120" w:line="240" w:lineRule="auto"/>
        <w:jc w:val="both"/>
        <w:rPr>
          <w:rFonts w:cs="Times New Roman"/>
          <w:noProof/>
        </w:rPr>
      </w:pPr>
      <w:r>
        <w:rPr>
          <w:noProof/>
        </w:rPr>
        <w:t xml:space="preserve">Ammatillisen koulutuksen opettajien digitaalinen ja vihreä koulutus, jonka avulla he voivat toimia koulutusprosessin keskeisenä pilarina ja edistää digitaalista ja ekologista siirtymää, jota sovelletaan ammatillisen koulutuksen tuotantoaloihin. Tavoitteena on varmistaa opettajien tekniset, ammatilliset ja pedagogiset taidot koulutusjärjestelmän laadun parantamiseksi. </w:t>
      </w:r>
    </w:p>
    <w:p w14:paraId="7B6F2735" w14:textId="4A59F168" w:rsidR="0065073E" w:rsidRDefault="000A0998">
      <w:pPr>
        <w:pStyle w:val="P68B1DB1-Normal7"/>
        <w:numPr>
          <w:ilvl w:val="0"/>
          <w:numId w:val="137"/>
        </w:numPr>
        <w:spacing w:before="120" w:after="120" w:line="240" w:lineRule="auto"/>
        <w:jc w:val="both"/>
        <w:rPr>
          <w:rFonts w:cs="Times New Roman"/>
          <w:noProof/>
          <w:sz w:val="24"/>
          <w:shd w:val="clear" w:color="auto" w:fill="FFFFFF"/>
        </w:rPr>
      </w:pPr>
      <w:r>
        <w:rPr>
          <w:noProof/>
          <w:sz w:val="24"/>
          <w:shd w:val="clear" w:color="auto" w:fill="FFFFFF"/>
        </w:rPr>
        <w:t>Luokkahuoneiden muuntaminen soveltavaksi teknologiatilaksi</w:t>
      </w:r>
      <w:r>
        <w:rPr>
          <w:noProof/>
          <w:sz w:val="24"/>
        </w:rPr>
        <w:t xml:space="preserve">, joka </w:t>
      </w:r>
      <w:r>
        <w:rPr>
          <w:noProof/>
          <w:sz w:val="24"/>
          <w:shd w:val="clear" w:color="auto" w:fill="FFFFFF"/>
        </w:rPr>
        <w:t>luo uudelleen työympäristöjä käyttämällä teknologisia resursseja</w:t>
      </w:r>
      <w:r>
        <w:rPr>
          <w:noProof/>
          <w:sz w:val="24"/>
          <w:shd w:val="clear" w:color="auto" w:fill="FFFFFF" w:themeFill="background1"/>
        </w:rPr>
        <w:t xml:space="preserve">ja </w:t>
      </w:r>
      <w:r>
        <w:rPr>
          <w:noProof/>
          <w:sz w:val="24"/>
          <w:shd w:val="clear" w:color="auto" w:fill="FFFFFF"/>
        </w:rPr>
        <w:t>antaa opiskelijoille mahdollisuuden lähestyä teknologioita, jotka he löytävät myöhemmin yrityksistä. Investoinnin on mahdollistettava vähintään 1253 ”teknologian</w:t>
      </w:r>
      <w:r>
        <w:rPr>
          <w:noProof/>
        </w:rPr>
        <w:t xml:space="preserve"> ” luokkahuoneen perustaminen. </w:t>
      </w:r>
    </w:p>
    <w:p w14:paraId="72401F73" w14:textId="77777777" w:rsidR="0065073E" w:rsidRDefault="000A0998">
      <w:pPr>
        <w:pStyle w:val="P68B1DB1-Normal4"/>
        <w:numPr>
          <w:ilvl w:val="0"/>
          <w:numId w:val="137"/>
        </w:numPr>
        <w:spacing w:before="120" w:after="120" w:line="240" w:lineRule="auto"/>
        <w:jc w:val="both"/>
        <w:rPr>
          <w:rFonts w:cs="Times New Roman"/>
          <w:noProof/>
          <w:shd w:val="clear" w:color="auto" w:fill="FFFFFF"/>
        </w:rPr>
      </w:pPr>
      <w:r>
        <w:rPr>
          <w:noProof/>
        </w:rPr>
        <w:t>Luodaan ”yrittäjyyden” luokkahuoneita julkisiin ammattikoulutuskeskuksiin, joissa opiskelijat ymmärtävät yrittäjyyden erottamattomana osana ammatillista pätevyyttä ja luovat perustan yrityksen perustamiselle tai perustamiselle. Espanjan on varmistettava, että toimi on julkisen talouden kannalta kestävä elpymis- ja palautumistukivälineen päättymisen jälkeen, myös käyttämällä muita EU:n rahoituslähteitä.</w:t>
      </w:r>
    </w:p>
    <w:p w14:paraId="21038114" w14:textId="77777777" w:rsidR="0065073E" w:rsidRDefault="000A0998">
      <w:pPr>
        <w:pStyle w:val="P68B1DB1-Normal4"/>
        <w:numPr>
          <w:ilvl w:val="0"/>
          <w:numId w:val="137"/>
        </w:numPr>
        <w:spacing w:before="120" w:after="120" w:line="240" w:lineRule="auto"/>
        <w:jc w:val="both"/>
        <w:rPr>
          <w:rFonts w:cs="Times New Roman"/>
          <w:noProof/>
          <w:shd w:val="clear" w:color="auto" w:fill="FFFFFF"/>
        </w:rPr>
      </w:pPr>
      <w:r>
        <w:rPr>
          <w:noProof/>
        </w:rPr>
        <w:t>Perustetaan 50 osaamiskeskuksen verkosto, joka edistää ammatillista koulutusta koskevaa tutkimusta ja innovointia.</w:t>
      </w:r>
    </w:p>
    <w:p w14:paraId="1E7BB150" w14:textId="77777777" w:rsidR="0065073E" w:rsidRDefault="000A0998">
      <w:pPr>
        <w:pStyle w:val="P68B1DB1-Normal21"/>
        <w:spacing w:before="120" w:after="120" w:line="240" w:lineRule="auto"/>
        <w:jc w:val="both"/>
        <w:rPr>
          <w:rFonts w:cs="Times New Roman"/>
          <w:noProof/>
        </w:rPr>
      </w:pPr>
      <w:r>
        <w:rPr>
          <w:noProof/>
        </w:rPr>
        <w:t>Investoinneilla teknologiaan ja yrittäjyyden luokkahuoneisiin sekä tutkimukseen ja innovointiin keskittyvillä huippuosaamiskeskuksilla on tärkeä rooli yritysrakenteen nykyaikaistamisessa, talouden muutoksen tukemisessa ja kilpailukyvyn parantamisessa. Lisäksi niiden katsotaan edistävän yritysten perustamista strategisilla aloilla ja lisäävän pk-yritysten kokoa ja tuottavuutta.</w:t>
      </w:r>
    </w:p>
    <w:p w14:paraId="0A4E03C3" w14:textId="14E885CD" w:rsidR="0065073E" w:rsidRDefault="000A0998">
      <w:pPr>
        <w:pStyle w:val="P68B1DB1-Normal21"/>
        <w:spacing w:before="120" w:after="120" w:line="240" w:lineRule="auto"/>
        <w:jc w:val="both"/>
        <w:rPr>
          <w:rFonts w:cs="Times New Roman"/>
          <w:noProof/>
          <w:u w:val="single"/>
        </w:rPr>
      </w:pPr>
      <w:r>
        <w:rPr>
          <w:noProof/>
        </w:rPr>
        <w:t>Toimenpiteen täytäntöönpano on määrä saattaa päätökseen 31. joulukuuta 2025 mennessä.</w:t>
      </w:r>
    </w:p>
    <w:p w14:paraId="6DF2FE11" w14:textId="77777777" w:rsidR="0065073E" w:rsidRDefault="000A0998">
      <w:pPr>
        <w:pStyle w:val="P68B1DB1-Normal22"/>
        <w:keepNext/>
        <w:spacing w:before="120" w:after="120" w:line="240" w:lineRule="auto"/>
        <w:jc w:val="both"/>
        <w:rPr>
          <w:rFonts w:cs="Times New Roman"/>
          <w:noProof/>
        </w:rPr>
      </w:pPr>
      <w:r>
        <w:rPr>
          <w:noProof/>
        </w:rPr>
        <w:t>Investointi 3 (C20.I3): Innovointi ja ammatillisen koulutuksen kansainvälistyminen</w:t>
      </w:r>
    </w:p>
    <w:p w14:paraId="1E09D527" w14:textId="77ADBA22" w:rsidR="0065073E" w:rsidRDefault="000A0998">
      <w:pPr>
        <w:pStyle w:val="P68B1DB1-Normal4"/>
        <w:keepNext/>
        <w:spacing w:before="120" w:after="120" w:line="240" w:lineRule="auto"/>
        <w:jc w:val="both"/>
        <w:rPr>
          <w:rFonts w:cs="Times New Roman"/>
          <w:noProof/>
        </w:rPr>
      </w:pPr>
      <w:r>
        <w:rPr>
          <w:noProof/>
          <w:shd w:val="clear" w:color="auto" w:fill="FFFFFF"/>
        </w:rPr>
        <w:t xml:space="preserve">Tällä investoinnilla pyritään lisäämään ammatillisen koulutuksen kokonaistarjontaa perustamalla </w:t>
      </w:r>
      <w:r>
        <w:rPr>
          <w:noProof/>
        </w:rPr>
        <w:t>vähintään 8252 uutta</w:t>
      </w:r>
      <w:r>
        <w:rPr>
          <w:noProof/>
          <w:shd w:val="clear" w:color="auto" w:fill="FFFFFF"/>
        </w:rPr>
        <w:t xml:space="preserve"> </w:t>
      </w:r>
      <w:r>
        <w:rPr>
          <w:noProof/>
        </w:rPr>
        <w:t>ammatillisen koulutuksen ryhmää lukuvuoteen 2019/2020 verrattuna, tasapainottamalla tarjontaa yritysten tarpeisiin ja vastaamalla tehokkaasti alakohtaisiin tarpeisiin, kuten ammatillisen koulutuksen nykyaikaistamissuunnitelmassa esitetään, ja alueellisiin puutteisiin. Painopisteenä on vastata työmarkkinoiden kysyntään keskitason pätevyydelle. Ammatillisen koulutuksen tarjonnan lisäämiseen tarkoitetun rahoituksen alueellisen jakautumisen on perustuttava tarvearviointiin ja asiaankuuluvien sidosryhmien kanssa käytävään keskusteluun sen varmistamiseksi, että tarjonnalla vastataan tehokkaasti alueellisiin puutteisiin ja alakohtaisiin tarpeisiin. Siitä on tarkoitus sopia koulutusalan alakohtaisissa konferensseissa autonomisten alueiden kanssa.</w:t>
      </w:r>
    </w:p>
    <w:p w14:paraId="7A43001F" w14:textId="039F689F" w:rsidR="0065073E" w:rsidRDefault="000A0998">
      <w:pPr>
        <w:pStyle w:val="P68B1DB1-Normal4"/>
        <w:spacing w:before="120" w:after="120" w:line="240" w:lineRule="auto"/>
        <w:jc w:val="both"/>
        <w:rPr>
          <w:rFonts w:cs="Times New Roman"/>
          <w:noProof/>
        </w:rPr>
      </w:pPr>
      <w:r>
        <w:rPr>
          <w:noProof/>
        </w:rPr>
        <w:t>Jotta voidaan edistää viestintää vieraalla kielellä ammatillisen suorituskyvyn keskeisenä tekijänä, kaksikielisyyttä on edistettävä ammatillisen koulutuksen alalla strategisena tavoitteena. Painopisteenä on sekä opettajan että oppilaan opetus vieraalla kielellä osana formatiivista sykliä muuntamalla 3700 jaksoa kaksikieliseksi tarjoukseksi.</w:t>
      </w:r>
    </w:p>
    <w:p w14:paraId="7768A5FC" w14:textId="77777777" w:rsidR="0065073E" w:rsidRDefault="000A0998">
      <w:pPr>
        <w:pStyle w:val="P68B1DB1-Normal21"/>
        <w:spacing w:before="120" w:after="120" w:line="240" w:lineRule="auto"/>
        <w:jc w:val="both"/>
        <w:rPr>
          <w:rFonts w:cs="Times New Roman"/>
          <w:noProof/>
        </w:rPr>
      </w:pPr>
      <w:r>
        <w:rPr>
          <w:noProof/>
        </w:rPr>
        <w:t>Lisäksi investoinnilla pyritään kehittämään innovaatio- ja tietämyksensiirtohankkeita ammatillisen koulutuksen keskusten ja yritysten välillä, jotta niistä tulisi keskeinen osa uutta ammatillisen koulutuksen mallia. Investoinnilla pyritään myös muuntamaan keskitason ja korkean tason koulutusjaksot kaksikielisiksi sykleiksi vastauksena yritysten kasvavaan kansainvälistymiseen ja talouksien globalisoitumiseen.</w:t>
      </w:r>
    </w:p>
    <w:p w14:paraId="04B4B727" w14:textId="77777777" w:rsidR="0065073E" w:rsidRDefault="000A0998">
      <w:pPr>
        <w:pStyle w:val="P68B1DB1-Normal4"/>
        <w:spacing w:before="120" w:after="120" w:line="240" w:lineRule="auto"/>
        <w:jc w:val="both"/>
        <w:rPr>
          <w:rFonts w:cs="Times New Roman"/>
          <w:noProof/>
        </w:rPr>
      </w:pPr>
      <w:r>
        <w:rPr>
          <w:noProof/>
        </w:rPr>
        <w:t>Espanjan on varmistettava, että toimi on julkisen talouden kannalta kestävä elpymis- ja palautumistukivälineen päättymisen jälkeen, myös käyttämällä muita EU:n rahoituslähteitä.</w:t>
      </w:r>
    </w:p>
    <w:p w14:paraId="23E2F75C" w14:textId="20092706"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31. joulukuuta 2025 mennessä.</w:t>
      </w:r>
    </w:p>
    <w:p w14:paraId="553853FF"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T.2.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418992F" w14:textId="2B84E655" w:rsidR="0065073E" w:rsidRDefault="000A0998">
      <w:pPr>
        <w:pStyle w:val="P68B1DB1-Normal4"/>
        <w:spacing w:before="120" w:after="120" w:line="240" w:lineRule="auto"/>
        <w:jc w:val="both"/>
        <w:rPr>
          <w:rFonts w:cs="Times New Roman"/>
          <w:noProof/>
        </w:rPr>
        <w:sectPr w:rsidR="0065073E" w:rsidSect="00B511EF">
          <w:headerReference w:type="even" r:id="rId451"/>
          <w:headerReference w:type="default" r:id="rId452"/>
          <w:footerReference w:type="even" r:id="rId453"/>
          <w:footerReference w:type="default" r:id="rId454"/>
          <w:headerReference w:type="first" r:id="rId455"/>
          <w:footerReference w:type="first" r:id="rId456"/>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7BFC5B75" w14:textId="77777777" w:rsidR="0065073E" w:rsidRDefault="0065073E">
      <w:pPr>
        <w:spacing w:before="120" w:after="120" w:line="240" w:lineRule="auto"/>
        <w:jc w:val="both"/>
        <w:rPr>
          <w:rFonts w:ascii="Times New Roman" w:hAnsi="Times New Roman" w:cs="Times New Roman"/>
          <w:b/>
          <w:noProof/>
          <w:sz w:val="24"/>
          <w:u w:val="single"/>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858"/>
        <w:gridCol w:w="2685"/>
        <w:gridCol w:w="1418"/>
        <w:gridCol w:w="811"/>
        <w:gridCol w:w="984"/>
        <w:gridCol w:w="1040"/>
        <w:gridCol w:w="365"/>
        <w:gridCol w:w="627"/>
        <w:gridCol w:w="4820"/>
      </w:tblGrid>
      <w:tr w:rsidR="0065073E" w14:paraId="03A88FCA" w14:textId="77777777">
        <w:trPr>
          <w:trHeight w:val="309"/>
          <w:tblHeader/>
        </w:trPr>
        <w:tc>
          <w:tcPr>
            <w:tcW w:w="851" w:type="dxa"/>
            <w:vMerge w:val="restart"/>
            <w:shd w:val="clear" w:color="auto" w:fill="C6D9F1" w:themeFill="text2" w:themeFillTint="33"/>
            <w:noWrap/>
            <w:vAlign w:val="center"/>
          </w:tcPr>
          <w:p w14:paraId="7D977EB8" w14:textId="61433C83" w:rsidR="0065073E" w:rsidRDefault="000A0998">
            <w:pPr>
              <w:pStyle w:val="P68B1DB1-Normal8"/>
              <w:spacing w:after="0" w:line="240" w:lineRule="auto"/>
              <w:jc w:val="center"/>
              <w:rPr>
                <w:rFonts w:cs="Times New Roman"/>
                <w:noProof/>
              </w:rPr>
            </w:pPr>
            <w:r>
              <w:rPr>
                <w:noProof/>
              </w:rPr>
              <w:t>Määrä</w:t>
            </w:r>
          </w:p>
        </w:tc>
        <w:tc>
          <w:tcPr>
            <w:tcW w:w="851" w:type="dxa"/>
            <w:vMerge w:val="restart"/>
            <w:shd w:val="clear" w:color="auto" w:fill="C6D9F1" w:themeFill="text2" w:themeFillTint="33"/>
            <w:noWrap/>
            <w:vAlign w:val="center"/>
          </w:tcPr>
          <w:p w14:paraId="37E54185" w14:textId="77777777" w:rsidR="0065073E" w:rsidRDefault="000A0998">
            <w:pPr>
              <w:pStyle w:val="P68B1DB1-Normal8"/>
              <w:spacing w:after="0" w:line="240" w:lineRule="auto"/>
              <w:jc w:val="center"/>
              <w:rPr>
                <w:rFonts w:cs="Times New Roman"/>
                <w:noProof/>
              </w:rPr>
            </w:pPr>
            <w:r>
              <w:rPr>
                <w:noProof/>
              </w:rPr>
              <w:t>Toimenpide</w:t>
            </w:r>
          </w:p>
        </w:tc>
        <w:tc>
          <w:tcPr>
            <w:tcW w:w="858" w:type="dxa"/>
            <w:vMerge w:val="restart"/>
            <w:shd w:val="clear" w:color="auto" w:fill="C6D9F1" w:themeFill="text2" w:themeFillTint="33"/>
            <w:noWrap/>
            <w:vAlign w:val="center"/>
          </w:tcPr>
          <w:p w14:paraId="710F5BB6"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85" w:type="dxa"/>
            <w:vMerge w:val="restart"/>
            <w:shd w:val="clear" w:color="auto" w:fill="C6D9F1" w:themeFill="text2" w:themeFillTint="33"/>
            <w:noWrap/>
            <w:vAlign w:val="center"/>
          </w:tcPr>
          <w:p w14:paraId="753E517F" w14:textId="77777777" w:rsidR="0065073E" w:rsidRDefault="000A0998">
            <w:pPr>
              <w:pStyle w:val="P68B1DB1-Normal8"/>
              <w:spacing w:after="0" w:line="240" w:lineRule="auto"/>
              <w:jc w:val="center"/>
              <w:rPr>
                <w:rFonts w:cs="Times New Roman"/>
                <w:noProof/>
              </w:rPr>
            </w:pPr>
            <w:r>
              <w:rPr>
                <w:noProof/>
              </w:rPr>
              <w:t>Nimi</w:t>
            </w:r>
          </w:p>
        </w:tc>
        <w:tc>
          <w:tcPr>
            <w:tcW w:w="1418" w:type="dxa"/>
            <w:vMerge w:val="restart"/>
            <w:shd w:val="clear" w:color="auto" w:fill="C6D9F1" w:themeFill="text2" w:themeFillTint="33"/>
            <w:noWrap/>
            <w:vAlign w:val="center"/>
          </w:tcPr>
          <w:p w14:paraId="72C9630E"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835" w:type="dxa"/>
            <w:gridSpan w:val="3"/>
            <w:shd w:val="clear" w:color="auto" w:fill="C6D9F1" w:themeFill="text2" w:themeFillTint="33"/>
            <w:noWrap/>
            <w:vAlign w:val="center"/>
          </w:tcPr>
          <w:p w14:paraId="32E9FBE9"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5571DBCE" w14:textId="77777777" w:rsidR="0065073E" w:rsidRDefault="000A0998">
            <w:pPr>
              <w:pStyle w:val="P68B1DB1-Normal8"/>
              <w:spacing w:after="0" w:line="240" w:lineRule="auto"/>
              <w:jc w:val="center"/>
              <w:rPr>
                <w:rFonts w:cs="Times New Roman"/>
                <w:noProof/>
              </w:rPr>
            </w:pPr>
            <w:r>
              <w:rPr>
                <w:noProof/>
              </w:rPr>
              <w:t>Aika</w:t>
            </w:r>
          </w:p>
        </w:tc>
        <w:tc>
          <w:tcPr>
            <w:tcW w:w="4820" w:type="dxa"/>
            <w:vMerge w:val="restart"/>
            <w:shd w:val="clear" w:color="auto" w:fill="C6D9F1" w:themeFill="text2" w:themeFillTint="33"/>
            <w:noWrap/>
            <w:vAlign w:val="center"/>
          </w:tcPr>
          <w:p w14:paraId="0C0A5697"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19E1114" w14:textId="77777777">
        <w:trPr>
          <w:trHeight w:val="587"/>
          <w:tblHeader/>
        </w:trPr>
        <w:tc>
          <w:tcPr>
            <w:tcW w:w="851" w:type="dxa"/>
            <w:vMerge/>
            <w:noWrap/>
          </w:tcPr>
          <w:p w14:paraId="74A0DCF2" w14:textId="77777777" w:rsidR="0065073E" w:rsidRDefault="0065073E">
            <w:pPr>
              <w:spacing w:after="0" w:line="240" w:lineRule="auto"/>
              <w:jc w:val="center"/>
              <w:rPr>
                <w:rFonts w:ascii="Times New Roman" w:hAnsi="Times New Roman" w:cs="Times New Roman"/>
                <w:b/>
                <w:noProof/>
                <w:sz w:val="18"/>
              </w:rPr>
            </w:pPr>
          </w:p>
        </w:tc>
        <w:tc>
          <w:tcPr>
            <w:tcW w:w="851" w:type="dxa"/>
            <w:vMerge/>
            <w:noWrap/>
          </w:tcPr>
          <w:p w14:paraId="5A492254" w14:textId="77777777" w:rsidR="0065073E" w:rsidRDefault="0065073E">
            <w:pPr>
              <w:spacing w:after="0" w:line="240" w:lineRule="auto"/>
              <w:jc w:val="center"/>
              <w:rPr>
                <w:rFonts w:ascii="Times New Roman" w:hAnsi="Times New Roman" w:cs="Times New Roman"/>
                <w:b/>
                <w:noProof/>
                <w:sz w:val="18"/>
              </w:rPr>
            </w:pPr>
          </w:p>
        </w:tc>
        <w:tc>
          <w:tcPr>
            <w:tcW w:w="858" w:type="dxa"/>
            <w:vMerge/>
            <w:noWrap/>
          </w:tcPr>
          <w:p w14:paraId="42B6D871" w14:textId="77777777" w:rsidR="0065073E" w:rsidRDefault="0065073E">
            <w:pPr>
              <w:spacing w:after="0" w:line="240" w:lineRule="auto"/>
              <w:jc w:val="center"/>
              <w:rPr>
                <w:rFonts w:ascii="Times New Roman" w:hAnsi="Times New Roman" w:cs="Times New Roman"/>
                <w:b/>
                <w:noProof/>
                <w:sz w:val="18"/>
              </w:rPr>
            </w:pPr>
          </w:p>
        </w:tc>
        <w:tc>
          <w:tcPr>
            <w:tcW w:w="2685" w:type="dxa"/>
            <w:vMerge/>
            <w:noWrap/>
          </w:tcPr>
          <w:p w14:paraId="7B9A3E6A" w14:textId="77777777" w:rsidR="0065073E" w:rsidRDefault="0065073E">
            <w:pPr>
              <w:spacing w:after="0" w:line="240" w:lineRule="auto"/>
              <w:rPr>
                <w:rFonts w:ascii="Times New Roman" w:hAnsi="Times New Roman" w:cs="Times New Roman"/>
                <w:b/>
                <w:noProof/>
                <w:sz w:val="18"/>
              </w:rPr>
            </w:pPr>
          </w:p>
        </w:tc>
        <w:tc>
          <w:tcPr>
            <w:tcW w:w="1418" w:type="dxa"/>
            <w:vMerge/>
            <w:noWrap/>
          </w:tcPr>
          <w:p w14:paraId="675960C4" w14:textId="77777777" w:rsidR="0065073E" w:rsidRDefault="0065073E">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77777777" w:rsidR="0065073E" w:rsidRDefault="000A0998">
            <w:pPr>
              <w:pStyle w:val="P68B1DB1-Normal8"/>
              <w:spacing w:after="0" w:line="240" w:lineRule="auto"/>
              <w:jc w:val="center"/>
              <w:rPr>
                <w:rFonts w:cs="Times New Roman"/>
                <w:noProof/>
              </w:rPr>
            </w:pPr>
            <w:r>
              <w:rPr>
                <w:noProof/>
              </w:rPr>
              <w:t>Yksikkö</w:t>
            </w:r>
          </w:p>
        </w:tc>
        <w:tc>
          <w:tcPr>
            <w:tcW w:w="984" w:type="dxa"/>
            <w:shd w:val="clear" w:color="auto" w:fill="C6D9F1" w:themeFill="text2" w:themeFillTint="33"/>
            <w:noWrap/>
          </w:tcPr>
          <w:p w14:paraId="01FB293D" w14:textId="77777777" w:rsidR="0065073E" w:rsidRDefault="000A0998">
            <w:pPr>
              <w:pStyle w:val="P68B1DB1-Normal8"/>
              <w:spacing w:after="0" w:line="240" w:lineRule="auto"/>
              <w:jc w:val="center"/>
              <w:rPr>
                <w:rFonts w:cs="Times New Roman"/>
                <w:noProof/>
              </w:rPr>
            </w:pPr>
            <w:r>
              <w:rPr>
                <w:noProof/>
              </w:rPr>
              <w:t>Lähtötaso</w:t>
            </w:r>
          </w:p>
        </w:tc>
        <w:tc>
          <w:tcPr>
            <w:tcW w:w="1040" w:type="dxa"/>
            <w:shd w:val="clear" w:color="auto" w:fill="C6D9F1" w:themeFill="text2" w:themeFillTint="33"/>
            <w:noWrap/>
          </w:tcPr>
          <w:p w14:paraId="1B69AB8E" w14:textId="77777777" w:rsidR="0065073E" w:rsidRDefault="000A0998">
            <w:pPr>
              <w:pStyle w:val="P68B1DB1-Normal8"/>
              <w:spacing w:after="0" w:line="240" w:lineRule="auto"/>
              <w:jc w:val="center"/>
              <w:rPr>
                <w:rFonts w:cs="Times New Roman"/>
                <w:noProof/>
              </w:rPr>
            </w:pPr>
            <w:r>
              <w:rPr>
                <w:noProof/>
              </w:rPr>
              <w:t>Päämäärä</w:t>
            </w:r>
          </w:p>
        </w:tc>
        <w:tc>
          <w:tcPr>
            <w:tcW w:w="365" w:type="dxa"/>
            <w:shd w:val="clear" w:color="auto" w:fill="C6D9F1" w:themeFill="text2" w:themeFillTint="33"/>
            <w:noWrap/>
          </w:tcPr>
          <w:p w14:paraId="3FE72860" w14:textId="77777777" w:rsidR="0065073E" w:rsidRDefault="000A0998">
            <w:pPr>
              <w:pStyle w:val="P68B1DB1-Normal8"/>
              <w:spacing w:after="0" w:line="240" w:lineRule="auto"/>
              <w:jc w:val="center"/>
              <w:rPr>
                <w:rFonts w:cs="Times New Roman"/>
                <w:noProof/>
              </w:rPr>
            </w:pPr>
            <w:r>
              <w:rPr>
                <w:noProof/>
              </w:rPr>
              <w:t>Q</w:t>
            </w:r>
          </w:p>
        </w:tc>
        <w:tc>
          <w:tcPr>
            <w:tcW w:w="627" w:type="dxa"/>
            <w:shd w:val="clear" w:color="auto" w:fill="C6D9F1" w:themeFill="text2" w:themeFillTint="33"/>
            <w:noWrap/>
          </w:tcPr>
          <w:p w14:paraId="2204C7CA" w14:textId="77777777" w:rsidR="0065073E" w:rsidRDefault="000A0998">
            <w:pPr>
              <w:pStyle w:val="P68B1DB1-Normal8"/>
              <w:spacing w:after="0" w:line="240" w:lineRule="auto"/>
              <w:jc w:val="center"/>
              <w:rPr>
                <w:rFonts w:cs="Times New Roman"/>
                <w:noProof/>
              </w:rPr>
            </w:pPr>
            <w:r>
              <w:rPr>
                <w:noProof/>
              </w:rPr>
              <w:t>Vuosi</w:t>
            </w:r>
          </w:p>
        </w:tc>
        <w:tc>
          <w:tcPr>
            <w:tcW w:w="4820" w:type="dxa"/>
            <w:vMerge/>
            <w:noWrap/>
          </w:tcPr>
          <w:p w14:paraId="2C714CDA" w14:textId="77777777" w:rsidR="0065073E" w:rsidRDefault="0065073E">
            <w:pPr>
              <w:spacing w:after="0" w:line="240" w:lineRule="auto"/>
              <w:rPr>
                <w:rFonts w:ascii="Times New Roman" w:hAnsi="Times New Roman" w:cs="Times New Roman"/>
                <w:b/>
                <w:noProof/>
                <w:sz w:val="18"/>
              </w:rPr>
            </w:pPr>
          </w:p>
        </w:tc>
      </w:tr>
      <w:tr w:rsidR="0065073E" w14:paraId="5F1EAB79" w14:textId="77777777">
        <w:trPr>
          <w:trHeight w:val="309"/>
        </w:trPr>
        <w:tc>
          <w:tcPr>
            <w:tcW w:w="851" w:type="dxa"/>
            <w:shd w:val="clear" w:color="auto" w:fill="C6EFCE"/>
            <w:noWrap/>
          </w:tcPr>
          <w:p w14:paraId="7801E37C" w14:textId="77777777" w:rsidR="0065073E" w:rsidRDefault="000A0998">
            <w:pPr>
              <w:pStyle w:val="P68B1DB1-Normal12"/>
              <w:spacing w:after="0" w:line="240" w:lineRule="auto"/>
              <w:jc w:val="center"/>
              <w:rPr>
                <w:rFonts w:eastAsia="Times New Roman" w:cs="Times New Roman"/>
                <w:noProof/>
              </w:rPr>
            </w:pPr>
            <w:r>
              <w:rPr>
                <w:noProof/>
              </w:rPr>
              <w:t>295</w:t>
            </w:r>
          </w:p>
        </w:tc>
        <w:tc>
          <w:tcPr>
            <w:tcW w:w="851" w:type="dxa"/>
            <w:shd w:val="clear" w:color="auto" w:fill="C6EFCE"/>
            <w:noWrap/>
          </w:tcPr>
          <w:p w14:paraId="7B81073A" w14:textId="77777777" w:rsidR="0065073E" w:rsidRDefault="000A0998">
            <w:pPr>
              <w:pStyle w:val="P68B1DB1-Normal12"/>
              <w:spacing w:after="0" w:line="240" w:lineRule="auto"/>
              <w:jc w:val="center"/>
              <w:rPr>
                <w:rFonts w:eastAsia="Times New Roman" w:cs="Times New Roman"/>
                <w:noProof/>
              </w:rPr>
            </w:pPr>
            <w:r>
              <w:rPr>
                <w:noProof/>
              </w:rPr>
              <w:t>C20.R1</w:t>
            </w:r>
          </w:p>
        </w:tc>
        <w:tc>
          <w:tcPr>
            <w:tcW w:w="858" w:type="dxa"/>
            <w:shd w:val="clear" w:color="auto" w:fill="C6EFCE"/>
            <w:noWrap/>
          </w:tcPr>
          <w:p w14:paraId="1FFF2D97" w14:textId="77777777" w:rsidR="0065073E" w:rsidRDefault="000A0998">
            <w:pPr>
              <w:pStyle w:val="P68B1DB1-Normal12"/>
              <w:spacing w:after="0" w:line="240" w:lineRule="auto"/>
              <w:jc w:val="center"/>
              <w:rPr>
                <w:rFonts w:eastAsia="Times New Roman" w:cs="Times New Roman"/>
                <w:noProof/>
              </w:rPr>
            </w:pPr>
            <w:r>
              <w:rPr>
                <w:noProof/>
              </w:rPr>
              <w:t>M</w:t>
            </w:r>
          </w:p>
        </w:tc>
        <w:tc>
          <w:tcPr>
            <w:tcW w:w="2685" w:type="dxa"/>
            <w:shd w:val="clear" w:color="auto" w:fill="C6EFCE"/>
            <w:noWrap/>
          </w:tcPr>
          <w:p w14:paraId="1B84B487" w14:textId="77777777" w:rsidR="0065073E" w:rsidRDefault="000A0998">
            <w:pPr>
              <w:pStyle w:val="P68B1DB1-Normal12"/>
              <w:spacing w:after="0" w:line="240" w:lineRule="auto"/>
              <w:rPr>
                <w:rFonts w:eastAsia="Times New Roman" w:cs="Times New Roman"/>
                <w:noProof/>
              </w:rPr>
            </w:pPr>
            <w:r>
              <w:rPr>
                <w:noProof/>
              </w:rPr>
              <w:t>Ammatillisen koulutuksen nykyaikaistamissuunnitelma ja siihen liittyvät kuninkaan asetukset</w:t>
            </w:r>
          </w:p>
        </w:tc>
        <w:tc>
          <w:tcPr>
            <w:tcW w:w="1418" w:type="dxa"/>
            <w:shd w:val="clear" w:color="auto" w:fill="C6EFCE"/>
            <w:noWrap/>
          </w:tcPr>
          <w:p w14:paraId="4D0E5B23" w14:textId="77777777" w:rsidR="0065073E" w:rsidRDefault="000A0998">
            <w:pPr>
              <w:pStyle w:val="P68B1DB1-Normal12"/>
              <w:spacing w:after="0" w:line="240" w:lineRule="auto"/>
              <w:jc w:val="center"/>
              <w:rPr>
                <w:rFonts w:eastAsia="Times New Roman" w:cs="Times New Roman"/>
                <w:noProof/>
              </w:rPr>
            </w:pPr>
            <w:r>
              <w:rPr>
                <w:noProof/>
              </w:rPr>
              <w:t xml:space="preserve">Julkaisu MEFP:n verkkosivustolla ja pääministerin esitys </w:t>
            </w:r>
          </w:p>
        </w:tc>
        <w:tc>
          <w:tcPr>
            <w:tcW w:w="811" w:type="dxa"/>
            <w:shd w:val="clear" w:color="auto" w:fill="C6EFCE"/>
            <w:noWrap/>
          </w:tcPr>
          <w:p w14:paraId="3ACB1B1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CDC19B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42D3C78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5199EFB7"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198E1460" w14:textId="77777777" w:rsidR="0065073E" w:rsidRDefault="000A0998">
            <w:pPr>
              <w:pStyle w:val="P68B1DB1-Normal12"/>
              <w:spacing w:after="0" w:line="240" w:lineRule="auto"/>
              <w:jc w:val="center"/>
              <w:rPr>
                <w:rFonts w:eastAsia="Times New Roman" w:cs="Times New Roman"/>
                <w:noProof/>
              </w:rPr>
            </w:pPr>
            <w:r>
              <w:rPr>
                <w:noProof/>
              </w:rPr>
              <w:t>2020</w:t>
            </w:r>
          </w:p>
        </w:tc>
        <w:tc>
          <w:tcPr>
            <w:tcW w:w="4820" w:type="dxa"/>
            <w:shd w:val="clear" w:color="auto" w:fill="C6EFCE"/>
            <w:noWrap/>
          </w:tcPr>
          <w:p w14:paraId="7AB078FE" w14:textId="77777777" w:rsidR="0065073E" w:rsidRDefault="000A0998">
            <w:pPr>
              <w:pStyle w:val="P68B1DB1-Normal12"/>
              <w:spacing w:after="0" w:line="240" w:lineRule="auto"/>
              <w:rPr>
                <w:rFonts w:eastAsia="Times New Roman" w:cs="Times New Roman"/>
                <w:noProof/>
              </w:rPr>
            </w:pPr>
            <w:r>
              <w:rPr>
                <w:noProof/>
              </w:rPr>
              <w:t>Pääministeri esittelee ammatillisen koulutuksen nykyaikaistamissuunnitelman ja julkaisee Euroopan unionin virallisessa lehdessä kahdeksan kuninkaan asetusta suunnitelman täytäntöönpanemiseksi. Ne vastaavat viittä asiantuntijaa, kahta keskitutkintoa ja yhtä korkea-asteen opinto-ohjelmaa.</w:t>
            </w:r>
          </w:p>
        </w:tc>
      </w:tr>
      <w:tr w:rsidR="0065073E" w14:paraId="7F18E1AA" w14:textId="77777777">
        <w:trPr>
          <w:trHeight w:val="309"/>
        </w:trPr>
        <w:tc>
          <w:tcPr>
            <w:tcW w:w="851" w:type="dxa"/>
            <w:shd w:val="clear" w:color="auto" w:fill="C6EFCE"/>
            <w:noWrap/>
          </w:tcPr>
          <w:p w14:paraId="36A51CE5" w14:textId="77777777" w:rsidR="0065073E" w:rsidRDefault="000A0998">
            <w:pPr>
              <w:pStyle w:val="P68B1DB1-Normal12"/>
              <w:spacing w:after="0" w:line="240" w:lineRule="auto"/>
              <w:jc w:val="center"/>
              <w:rPr>
                <w:rFonts w:eastAsia="Times New Roman" w:cs="Times New Roman"/>
                <w:noProof/>
              </w:rPr>
            </w:pPr>
            <w:r>
              <w:rPr>
                <w:noProof/>
              </w:rPr>
              <w:t>296</w:t>
            </w:r>
          </w:p>
        </w:tc>
        <w:tc>
          <w:tcPr>
            <w:tcW w:w="851" w:type="dxa"/>
            <w:shd w:val="clear" w:color="auto" w:fill="C6EFCE"/>
            <w:noWrap/>
          </w:tcPr>
          <w:p w14:paraId="77525228" w14:textId="77777777" w:rsidR="0065073E" w:rsidRDefault="000A0998">
            <w:pPr>
              <w:pStyle w:val="P68B1DB1-Normal12"/>
              <w:spacing w:after="0" w:line="240" w:lineRule="auto"/>
              <w:jc w:val="center"/>
              <w:rPr>
                <w:rFonts w:eastAsia="Times New Roman" w:cs="Times New Roman"/>
                <w:noProof/>
              </w:rPr>
            </w:pPr>
            <w:r>
              <w:rPr>
                <w:noProof/>
              </w:rPr>
              <w:t>C20.R2</w:t>
            </w:r>
          </w:p>
        </w:tc>
        <w:tc>
          <w:tcPr>
            <w:tcW w:w="858" w:type="dxa"/>
            <w:shd w:val="clear" w:color="auto" w:fill="C6EFCE"/>
            <w:noWrap/>
          </w:tcPr>
          <w:p w14:paraId="2C26C7FC" w14:textId="77777777" w:rsidR="0065073E" w:rsidRDefault="000A0998">
            <w:pPr>
              <w:pStyle w:val="P68B1DB1-Normal12"/>
              <w:spacing w:after="0" w:line="240" w:lineRule="auto"/>
              <w:jc w:val="center"/>
              <w:rPr>
                <w:rFonts w:eastAsia="Times New Roman" w:cs="Times New Roman"/>
                <w:noProof/>
              </w:rPr>
            </w:pPr>
            <w:r>
              <w:rPr>
                <w:noProof/>
              </w:rPr>
              <w:t>M</w:t>
            </w:r>
          </w:p>
        </w:tc>
        <w:tc>
          <w:tcPr>
            <w:tcW w:w="2685" w:type="dxa"/>
            <w:shd w:val="clear" w:color="auto" w:fill="C6EFCE"/>
            <w:noWrap/>
          </w:tcPr>
          <w:p w14:paraId="66D2E756" w14:textId="77777777" w:rsidR="0065073E" w:rsidRDefault="000A0998">
            <w:pPr>
              <w:pStyle w:val="P68B1DB1-Normal12"/>
              <w:spacing w:after="0" w:line="240" w:lineRule="auto"/>
              <w:rPr>
                <w:rFonts w:eastAsia="Times New Roman" w:cs="Times New Roman"/>
                <w:noProof/>
              </w:rPr>
            </w:pPr>
            <w:r>
              <w:rPr>
                <w:noProof/>
              </w:rPr>
              <w:t>Yhtenäisestä yhdennetystä ammatillisen koulutuksen järjestelmästä annetun lain voimaantulo, jonka tavoitteena on järjestelmän nykyaikaistaminen</w:t>
            </w:r>
          </w:p>
        </w:tc>
        <w:tc>
          <w:tcPr>
            <w:tcW w:w="1418" w:type="dxa"/>
            <w:shd w:val="clear" w:color="auto" w:fill="C6EFCE"/>
            <w:noWrap/>
          </w:tcPr>
          <w:p w14:paraId="4401B173" w14:textId="77777777" w:rsidR="0065073E" w:rsidRDefault="000A0998">
            <w:pPr>
              <w:pStyle w:val="P68B1DB1-Normal12"/>
              <w:spacing w:after="0" w:line="240" w:lineRule="auto"/>
              <w:jc w:val="center"/>
              <w:rPr>
                <w:rFonts w:eastAsia="Times New Roman" w:cs="Times New Roman"/>
                <w:noProof/>
              </w:rPr>
            </w:pPr>
            <w:r>
              <w:rPr>
                <w:noProof/>
              </w:rPr>
              <w:t>Julkaiseminen Euroopan unionin virallisessa lehdessä</w:t>
            </w:r>
          </w:p>
        </w:tc>
        <w:tc>
          <w:tcPr>
            <w:tcW w:w="811" w:type="dxa"/>
            <w:shd w:val="clear" w:color="auto" w:fill="C6EFCE"/>
            <w:noWrap/>
          </w:tcPr>
          <w:p w14:paraId="10014F23"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D45BAB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1718155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11F823F8"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627" w:type="dxa"/>
            <w:shd w:val="clear" w:color="auto" w:fill="C6EFCE"/>
            <w:noWrap/>
          </w:tcPr>
          <w:p w14:paraId="7788A7C0"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820" w:type="dxa"/>
            <w:shd w:val="clear" w:color="auto" w:fill="C6EFCE"/>
            <w:noWrap/>
          </w:tcPr>
          <w:p w14:paraId="5098559A" w14:textId="77777777" w:rsidR="0065073E" w:rsidRDefault="000A0998">
            <w:pPr>
              <w:pStyle w:val="P68B1DB1-Normal12"/>
              <w:spacing w:after="0" w:line="240" w:lineRule="auto"/>
              <w:rPr>
                <w:rFonts w:eastAsia="Times New Roman" w:cs="Times New Roman"/>
                <w:noProof/>
              </w:rPr>
            </w:pPr>
            <w:r>
              <w:rPr>
                <w:noProof/>
              </w:rPr>
              <w:t>Yhtenäistä ammatillisen koulutuksen järjestelmää koskevan lain voimaantulo, jonka tavoitteena on järjestelmän nykyaikaistaminen. Laissa yhdistetään kaksi aiemmin voimassa ollutta ammatillisen koulutuksen järjestelmää ja nykyaikaistetaan niitä I) keskitytään matalan osaamistason taitojen parantamiseen ja heidän työllistyvyytensä parantamiseen; II) osaamisen kohtaanto-ongelmaan puuttuminen; III) kansallisen ammattipätevyyden luettelon päivittäminen ja sen mukauttaminen talouden tuleviin tarpeisiin, mukaan lukien vihreän ja digitaalisen siirtymän tukeminen; IV) korkea-asteen ammatillisen koulutuksen ohjelmien houkuttelevuuden parantaminen koulutukseen osallistumisen parantamiseksi.</w:t>
            </w:r>
          </w:p>
        </w:tc>
      </w:tr>
      <w:tr w:rsidR="0065073E" w14:paraId="45000D6A" w14:textId="77777777">
        <w:trPr>
          <w:trHeight w:val="309"/>
        </w:trPr>
        <w:tc>
          <w:tcPr>
            <w:tcW w:w="851" w:type="dxa"/>
            <w:shd w:val="clear" w:color="auto" w:fill="C6EFCE"/>
            <w:noWrap/>
          </w:tcPr>
          <w:p w14:paraId="78962619" w14:textId="77777777" w:rsidR="0065073E" w:rsidRDefault="000A0998">
            <w:pPr>
              <w:pStyle w:val="P68B1DB1-Normal12"/>
              <w:spacing w:after="0" w:line="240" w:lineRule="auto"/>
              <w:jc w:val="center"/>
              <w:rPr>
                <w:rFonts w:eastAsia="Times New Roman" w:cs="Times New Roman"/>
                <w:noProof/>
              </w:rPr>
            </w:pPr>
            <w:r>
              <w:rPr>
                <w:noProof/>
              </w:rPr>
              <w:t>297</w:t>
            </w:r>
          </w:p>
        </w:tc>
        <w:tc>
          <w:tcPr>
            <w:tcW w:w="851" w:type="dxa"/>
            <w:shd w:val="clear" w:color="auto" w:fill="C6EFCE"/>
            <w:noWrap/>
          </w:tcPr>
          <w:p w14:paraId="33408A4A" w14:textId="77777777" w:rsidR="0065073E" w:rsidRDefault="000A0998">
            <w:pPr>
              <w:pStyle w:val="P68B1DB1-Normal12"/>
              <w:spacing w:after="0" w:line="240" w:lineRule="auto"/>
              <w:jc w:val="center"/>
              <w:rPr>
                <w:rFonts w:eastAsia="Times New Roman" w:cs="Times New Roman"/>
                <w:noProof/>
              </w:rPr>
            </w:pPr>
            <w:r>
              <w:rPr>
                <w:noProof/>
              </w:rPr>
              <w:t>C20.I1</w:t>
            </w:r>
          </w:p>
        </w:tc>
        <w:tc>
          <w:tcPr>
            <w:tcW w:w="858" w:type="dxa"/>
            <w:shd w:val="clear" w:color="auto" w:fill="C6EFCE"/>
            <w:noWrap/>
          </w:tcPr>
          <w:p w14:paraId="4E060070"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574BB46F" w14:textId="77777777" w:rsidR="0065073E" w:rsidRDefault="000A0998">
            <w:pPr>
              <w:pStyle w:val="P68B1DB1-Normal12"/>
              <w:spacing w:after="0" w:line="240" w:lineRule="auto"/>
              <w:rPr>
                <w:rFonts w:eastAsia="Times New Roman" w:cs="Times New Roman"/>
                <w:noProof/>
              </w:rPr>
            </w:pPr>
            <w:r>
              <w:rPr>
                <w:noProof/>
              </w:rPr>
              <w:t xml:space="preserve">Kansallisen ammattipätevyyden luettelon uudet pätevyysyksiköt </w:t>
            </w:r>
          </w:p>
        </w:tc>
        <w:tc>
          <w:tcPr>
            <w:tcW w:w="1418" w:type="dxa"/>
            <w:shd w:val="clear" w:color="auto" w:fill="C6EFCE"/>
            <w:noWrap/>
          </w:tcPr>
          <w:p w14:paraId="0E55E7CF"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10AAAFBE"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shd w:val="clear" w:color="auto" w:fill="C6EFCE"/>
            <w:noWrap/>
          </w:tcPr>
          <w:p w14:paraId="7F24C0B2" w14:textId="77777777" w:rsidR="0065073E" w:rsidRDefault="000A0998">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4001611A" w14:textId="1A2AE673" w:rsidR="0065073E" w:rsidRDefault="000A0998">
            <w:pPr>
              <w:pStyle w:val="P68B1DB1-Normal12"/>
              <w:spacing w:after="0" w:line="240" w:lineRule="auto"/>
              <w:jc w:val="center"/>
              <w:rPr>
                <w:rFonts w:eastAsia="Times New Roman" w:cs="Times New Roman"/>
                <w:noProof/>
              </w:rPr>
            </w:pPr>
            <w:r>
              <w:rPr>
                <w:noProof/>
              </w:rPr>
              <w:t>2 000 000</w:t>
            </w:r>
          </w:p>
        </w:tc>
        <w:tc>
          <w:tcPr>
            <w:tcW w:w="365" w:type="dxa"/>
            <w:shd w:val="clear" w:color="auto" w:fill="C6EFCE"/>
            <w:noWrap/>
          </w:tcPr>
          <w:p w14:paraId="0FF706C7"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12CBBC17" w14:textId="7AD79860" w:rsidR="0065073E" w:rsidRDefault="000A0998">
            <w:pPr>
              <w:pStyle w:val="P68B1DB1-Normal12"/>
              <w:spacing w:after="0" w:line="240" w:lineRule="auto"/>
              <w:jc w:val="center"/>
              <w:rPr>
                <w:rFonts w:eastAsia="Times New Roman" w:cs="Times New Roman"/>
                <w:noProof/>
              </w:rPr>
            </w:pPr>
            <w:r>
              <w:rPr>
                <w:noProof/>
              </w:rPr>
              <w:t>2025</w:t>
            </w:r>
          </w:p>
        </w:tc>
        <w:tc>
          <w:tcPr>
            <w:tcW w:w="4820" w:type="dxa"/>
            <w:shd w:val="clear" w:color="auto" w:fill="C6EFCE"/>
            <w:noWrap/>
          </w:tcPr>
          <w:p w14:paraId="2CFB6FE2" w14:textId="52FCA4F8" w:rsidR="0065073E" w:rsidRDefault="000A0998">
            <w:pPr>
              <w:pStyle w:val="P68B1DB1-Normal12"/>
              <w:spacing w:after="0" w:line="240" w:lineRule="auto"/>
              <w:rPr>
                <w:rFonts w:eastAsia="Times New Roman" w:cs="Times New Roman"/>
                <w:noProof/>
              </w:rPr>
            </w:pPr>
            <w:r>
              <w:rPr>
                <w:noProof/>
              </w:rPr>
              <w:t>Työkokemuksen ja epävirallisen koulutuksen avulla hankitun kansallisen ammattipätevyyden luettelon 2000000 pätevyysyksikön rekisteröinti, arviointi ja akkreditointi.</w:t>
            </w:r>
          </w:p>
        </w:tc>
      </w:tr>
      <w:tr w:rsidR="0065073E" w14:paraId="314FAA92" w14:textId="77777777">
        <w:trPr>
          <w:trHeight w:val="309"/>
        </w:trPr>
        <w:tc>
          <w:tcPr>
            <w:tcW w:w="851" w:type="dxa"/>
            <w:shd w:val="clear" w:color="auto" w:fill="C6EFCE"/>
            <w:noWrap/>
          </w:tcPr>
          <w:p w14:paraId="2E0F6CF5" w14:textId="77777777" w:rsidR="0065073E" w:rsidRDefault="000A0998">
            <w:pPr>
              <w:pStyle w:val="P68B1DB1-Normal12"/>
              <w:spacing w:after="0" w:line="240" w:lineRule="auto"/>
              <w:jc w:val="center"/>
              <w:rPr>
                <w:rFonts w:eastAsia="Times New Roman" w:cs="Times New Roman"/>
                <w:noProof/>
              </w:rPr>
            </w:pPr>
            <w:r>
              <w:rPr>
                <w:noProof/>
              </w:rPr>
              <w:t>298</w:t>
            </w:r>
          </w:p>
        </w:tc>
        <w:tc>
          <w:tcPr>
            <w:tcW w:w="851" w:type="dxa"/>
            <w:shd w:val="clear" w:color="auto" w:fill="C6EFCE"/>
            <w:noWrap/>
          </w:tcPr>
          <w:p w14:paraId="20D3B77E" w14:textId="77777777" w:rsidR="0065073E" w:rsidRDefault="000A0998">
            <w:pPr>
              <w:pStyle w:val="P68B1DB1-Normal12"/>
              <w:spacing w:after="0" w:line="240" w:lineRule="auto"/>
              <w:jc w:val="center"/>
              <w:rPr>
                <w:rFonts w:eastAsia="Times New Roman" w:cs="Times New Roman"/>
                <w:noProof/>
              </w:rPr>
            </w:pPr>
            <w:r>
              <w:rPr>
                <w:noProof/>
              </w:rPr>
              <w:t>C20.I1</w:t>
            </w:r>
          </w:p>
        </w:tc>
        <w:tc>
          <w:tcPr>
            <w:tcW w:w="858" w:type="dxa"/>
            <w:shd w:val="clear" w:color="auto" w:fill="C6EFCE"/>
            <w:noWrap/>
          </w:tcPr>
          <w:p w14:paraId="753310FF"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431FF7A1" w14:textId="77777777" w:rsidR="0065073E" w:rsidRDefault="000A0998">
            <w:pPr>
              <w:pStyle w:val="P68B1DB1-Normal12"/>
              <w:spacing w:after="0" w:line="240" w:lineRule="auto"/>
              <w:rPr>
                <w:rFonts w:eastAsia="Times New Roman" w:cs="Times New Roman"/>
                <w:noProof/>
              </w:rPr>
            </w:pPr>
            <w:r>
              <w:rPr>
                <w:noProof/>
              </w:rPr>
              <w:t xml:space="preserve">Modulaarinen koulutus työssäkäyvien ja työttömien täydennys- ja uudelleenkoulutusta varten </w:t>
            </w:r>
          </w:p>
        </w:tc>
        <w:tc>
          <w:tcPr>
            <w:tcW w:w="1418" w:type="dxa"/>
            <w:shd w:val="clear" w:color="auto" w:fill="C6EFCE"/>
            <w:noWrap/>
          </w:tcPr>
          <w:p w14:paraId="3C6BB208"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0A99AEE2"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shd w:val="clear" w:color="auto" w:fill="C6EFCE"/>
            <w:noWrap/>
          </w:tcPr>
          <w:p w14:paraId="44D6BCA3" w14:textId="77777777" w:rsidR="0065073E" w:rsidRDefault="000A0998">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7D0F9D51" w14:textId="77777777" w:rsidR="0065073E" w:rsidRDefault="000A0998">
            <w:pPr>
              <w:pStyle w:val="P68B1DB1-Normal12"/>
              <w:spacing w:after="0" w:line="240" w:lineRule="auto"/>
              <w:jc w:val="center"/>
              <w:rPr>
                <w:rFonts w:eastAsia="Times New Roman" w:cs="Times New Roman"/>
                <w:noProof/>
              </w:rPr>
            </w:pPr>
            <w:r>
              <w:rPr>
                <w:noProof/>
              </w:rPr>
              <w:t>1 000 000</w:t>
            </w:r>
          </w:p>
        </w:tc>
        <w:tc>
          <w:tcPr>
            <w:tcW w:w="365" w:type="dxa"/>
            <w:shd w:val="clear" w:color="auto" w:fill="C6EFCE"/>
            <w:noWrap/>
          </w:tcPr>
          <w:p w14:paraId="5B13200A"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07C103F7" w14:textId="77777777" w:rsidR="0065073E" w:rsidRDefault="000A0998">
            <w:pPr>
              <w:pStyle w:val="P68B1DB1-Normal12"/>
              <w:spacing w:after="0" w:line="240" w:lineRule="auto"/>
              <w:jc w:val="center"/>
              <w:rPr>
                <w:rFonts w:eastAsia="Times New Roman" w:cs="Times New Roman"/>
                <w:noProof/>
              </w:rPr>
            </w:pPr>
            <w:r>
              <w:rPr>
                <w:noProof/>
              </w:rPr>
              <w:t>2024</w:t>
            </w:r>
          </w:p>
        </w:tc>
        <w:tc>
          <w:tcPr>
            <w:tcW w:w="4820" w:type="dxa"/>
            <w:shd w:val="clear" w:color="auto" w:fill="C6EFCE"/>
            <w:noWrap/>
          </w:tcPr>
          <w:p w14:paraId="12C1D687" w14:textId="77777777" w:rsidR="0065073E" w:rsidRDefault="000A0998">
            <w:pPr>
              <w:pStyle w:val="P68B1DB1-Normal12"/>
              <w:spacing w:after="0" w:line="240" w:lineRule="auto"/>
              <w:rPr>
                <w:rFonts w:eastAsia="Times New Roman" w:cs="Times New Roman"/>
                <w:noProof/>
              </w:rPr>
            </w:pPr>
            <w:r>
              <w:rPr>
                <w:noProof/>
              </w:rPr>
              <w:t>Modulaarisen digitaalisen koulutuksen tarjoaminen täydennys- ja uudelleenkoulutusta varten (joista vähintään 300000 koulutettua työntekijää) ja modulaarisen koulutuksen tarjoaminen työllisten ja työttömien uudelleen- ja täydennyskoulutukseen (vähintään 700000 koulutettua henkilöä).</w:t>
            </w:r>
          </w:p>
        </w:tc>
      </w:tr>
      <w:tr w:rsidR="0065073E" w14:paraId="58765A23" w14:textId="77777777">
        <w:trPr>
          <w:trHeight w:val="309"/>
        </w:trPr>
        <w:tc>
          <w:tcPr>
            <w:tcW w:w="851" w:type="dxa"/>
            <w:shd w:val="clear" w:color="auto" w:fill="C6EFCE"/>
            <w:noWrap/>
          </w:tcPr>
          <w:p w14:paraId="584F7F59" w14:textId="77777777" w:rsidR="0065073E" w:rsidRDefault="000A0998">
            <w:pPr>
              <w:pStyle w:val="P68B1DB1-Normal12"/>
              <w:spacing w:after="0" w:line="240" w:lineRule="auto"/>
              <w:jc w:val="center"/>
              <w:rPr>
                <w:rFonts w:eastAsia="Times New Roman" w:cs="Times New Roman"/>
                <w:noProof/>
              </w:rPr>
            </w:pPr>
            <w:r>
              <w:rPr>
                <w:noProof/>
              </w:rPr>
              <w:t>299</w:t>
            </w:r>
          </w:p>
        </w:tc>
        <w:tc>
          <w:tcPr>
            <w:tcW w:w="851" w:type="dxa"/>
            <w:shd w:val="clear" w:color="auto" w:fill="C6EFCE"/>
            <w:noWrap/>
          </w:tcPr>
          <w:p w14:paraId="7CD57124" w14:textId="77777777" w:rsidR="0065073E" w:rsidRDefault="000A0998">
            <w:pPr>
              <w:pStyle w:val="P68B1DB1-Normal12"/>
              <w:spacing w:after="0" w:line="240" w:lineRule="auto"/>
              <w:jc w:val="center"/>
              <w:rPr>
                <w:rFonts w:eastAsia="Times New Roman" w:cs="Times New Roman"/>
                <w:noProof/>
              </w:rPr>
            </w:pPr>
            <w:r>
              <w:rPr>
                <w:noProof/>
              </w:rPr>
              <w:t>C20.I2</w:t>
            </w:r>
          </w:p>
        </w:tc>
        <w:tc>
          <w:tcPr>
            <w:tcW w:w="858" w:type="dxa"/>
            <w:shd w:val="clear" w:color="auto" w:fill="C6EFCE"/>
            <w:noWrap/>
          </w:tcPr>
          <w:p w14:paraId="23625CEE"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0F93CAD7" w14:textId="77777777" w:rsidR="0065073E" w:rsidRDefault="000A0998">
            <w:pPr>
              <w:pStyle w:val="P68B1DB1-Normal12"/>
              <w:spacing w:after="0" w:line="240" w:lineRule="auto"/>
              <w:rPr>
                <w:rFonts w:eastAsia="Times New Roman" w:cs="Times New Roman"/>
                <w:noProof/>
              </w:rPr>
            </w:pPr>
            <w:r>
              <w:rPr>
                <w:noProof/>
              </w:rPr>
              <w:t>Ammatillisen koulutuksen huippuosaamis- ja innovointikeskukset</w:t>
            </w:r>
          </w:p>
        </w:tc>
        <w:tc>
          <w:tcPr>
            <w:tcW w:w="1418" w:type="dxa"/>
            <w:shd w:val="clear" w:color="auto" w:fill="C6EFCE"/>
            <w:noWrap/>
          </w:tcPr>
          <w:p w14:paraId="33D94C4F"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3251410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shd w:val="clear" w:color="auto" w:fill="C6EFCE"/>
            <w:noWrap/>
          </w:tcPr>
          <w:p w14:paraId="72376FB8" w14:textId="77777777" w:rsidR="0065073E" w:rsidRDefault="000A0998">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53C5D410" w14:textId="77777777" w:rsidR="0065073E" w:rsidRDefault="000A0998">
            <w:pPr>
              <w:pStyle w:val="P68B1DB1-Normal12"/>
              <w:spacing w:after="0" w:line="240" w:lineRule="auto"/>
              <w:jc w:val="center"/>
              <w:rPr>
                <w:rFonts w:eastAsia="Times New Roman" w:cs="Times New Roman"/>
                <w:noProof/>
              </w:rPr>
            </w:pPr>
            <w:r>
              <w:rPr>
                <w:noProof/>
              </w:rPr>
              <w:t>50</w:t>
            </w:r>
          </w:p>
        </w:tc>
        <w:tc>
          <w:tcPr>
            <w:tcW w:w="365" w:type="dxa"/>
            <w:shd w:val="clear" w:color="auto" w:fill="C6EFCE"/>
            <w:noWrap/>
          </w:tcPr>
          <w:p w14:paraId="67654B24"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3400A269" w14:textId="34C41AD4" w:rsidR="0065073E" w:rsidRDefault="000A0998">
            <w:pPr>
              <w:pStyle w:val="P68B1DB1-Normal12"/>
              <w:spacing w:after="0" w:line="240" w:lineRule="auto"/>
              <w:jc w:val="center"/>
              <w:rPr>
                <w:rFonts w:eastAsia="Times New Roman" w:cs="Times New Roman"/>
                <w:noProof/>
              </w:rPr>
            </w:pPr>
            <w:r>
              <w:rPr>
                <w:noProof/>
              </w:rPr>
              <w:t>2024</w:t>
            </w:r>
          </w:p>
        </w:tc>
        <w:tc>
          <w:tcPr>
            <w:tcW w:w="4820" w:type="dxa"/>
            <w:shd w:val="clear" w:color="auto" w:fill="C6EFCE"/>
            <w:noWrap/>
          </w:tcPr>
          <w:p w14:paraId="17635310" w14:textId="77777777" w:rsidR="0065073E" w:rsidRDefault="000A0998">
            <w:pPr>
              <w:pStyle w:val="P68B1DB1-Normal12"/>
              <w:spacing w:after="0" w:line="240" w:lineRule="auto"/>
              <w:rPr>
                <w:rFonts w:eastAsia="Times New Roman" w:cs="Times New Roman"/>
                <w:noProof/>
              </w:rPr>
            </w:pPr>
            <w:r>
              <w:rPr>
                <w:noProof/>
              </w:rPr>
              <w:t>Vähintään 50 osaamis- ja innovointikeskuksen perustaminen ammatillisen koulutuksen alalla</w:t>
            </w:r>
          </w:p>
        </w:tc>
      </w:tr>
      <w:tr w:rsidR="0065073E" w14:paraId="73E94D32" w14:textId="77777777">
        <w:trPr>
          <w:trHeight w:val="309"/>
        </w:trPr>
        <w:tc>
          <w:tcPr>
            <w:tcW w:w="851" w:type="dxa"/>
            <w:shd w:val="clear" w:color="auto" w:fill="C6EFCE"/>
            <w:noWrap/>
          </w:tcPr>
          <w:p w14:paraId="4B74BC9C" w14:textId="1FB87736" w:rsidR="0065073E" w:rsidRDefault="000A0998">
            <w:pPr>
              <w:pStyle w:val="P68B1DB1-Normal12"/>
              <w:spacing w:after="0" w:line="240" w:lineRule="auto"/>
              <w:jc w:val="center"/>
              <w:rPr>
                <w:rFonts w:cs="Times New Roman"/>
                <w:noProof/>
              </w:rPr>
            </w:pPr>
            <w:r>
              <w:rPr>
                <w:noProof/>
              </w:rPr>
              <w:t>467</w:t>
            </w:r>
          </w:p>
        </w:tc>
        <w:tc>
          <w:tcPr>
            <w:tcW w:w="851" w:type="dxa"/>
            <w:shd w:val="clear" w:color="auto" w:fill="C6EFCE"/>
            <w:noWrap/>
          </w:tcPr>
          <w:p w14:paraId="58748948" w14:textId="02C227AA" w:rsidR="0065073E" w:rsidRDefault="000A0998">
            <w:pPr>
              <w:pStyle w:val="P68B1DB1-Normal12"/>
              <w:spacing w:after="0" w:line="240" w:lineRule="auto"/>
              <w:jc w:val="center"/>
              <w:rPr>
                <w:rFonts w:cs="Times New Roman"/>
                <w:noProof/>
              </w:rPr>
            </w:pPr>
            <w:r>
              <w:rPr>
                <w:noProof/>
              </w:rPr>
              <w:t>C20.I2</w:t>
            </w:r>
          </w:p>
        </w:tc>
        <w:tc>
          <w:tcPr>
            <w:tcW w:w="858" w:type="dxa"/>
            <w:shd w:val="clear" w:color="auto" w:fill="C6EFCE"/>
            <w:noWrap/>
          </w:tcPr>
          <w:p w14:paraId="09C37C7B" w14:textId="6D785E73" w:rsidR="0065073E" w:rsidRDefault="000A0998">
            <w:pPr>
              <w:pStyle w:val="P68B1DB1-Normal12"/>
              <w:spacing w:after="0" w:line="240" w:lineRule="auto"/>
              <w:jc w:val="center"/>
              <w:rPr>
                <w:rFonts w:cs="Times New Roman"/>
                <w:noProof/>
              </w:rPr>
            </w:pPr>
            <w:r>
              <w:rPr>
                <w:noProof/>
              </w:rPr>
              <w:t>T</w:t>
            </w:r>
          </w:p>
        </w:tc>
        <w:tc>
          <w:tcPr>
            <w:tcW w:w="2685" w:type="dxa"/>
            <w:shd w:val="clear" w:color="auto" w:fill="C6EFCE"/>
            <w:noWrap/>
          </w:tcPr>
          <w:p w14:paraId="2B8B2EAF" w14:textId="3DCC5CBD" w:rsidR="0065073E" w:rsidRDefault="000A0998">
            <w:pPr>
              <w:pStyle w:val="P68B1DB1-Normal12"/>
              <w:spacing w:after="0" w:line="240" w:lineRule="auto"/>
              <w:rPr>
                <w:rFonts w:cs="Times New Roman"/>
                <w:noProof/>
              </w:rPr>
            </w:pPr>
            <w:r>
              <w:rPr>
                <w:noProof/>
              </w:rPr>
              <w:t>Luokkahuoneiden muuntaminen soveltavan teknologian tiloiksi</w:t>
            </w:r>
          </w:p>
        </w:tc>
        <w:tc>
          <w:tcPr>
            <w:tcW w:w="1418" w:type="dxa"/>
            <w:shd w:val="clear" w:color="auto" w:fill="C6EFCE"/>
            <w:noWrap/>
          </w:tcPr>
          <w:p w14:paraId="158ACBAA" w14:textId="77777777" w:rsidR="0065073E" w:rsidRDefault="0065073E">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65073E" w:rsidRDefault="000A0998">
            <w:pPr>
              <w:pStyle w:val="P68B1DB1-Normal12"/>
              <w:spacing w:after="0" w:line="240" w:lineRule="auto"/>
              <w:jc w:val="center"/>
              <w:rPr>
                <w:rFonts w:cs="Times New Roman"/>
                <w:noProof/>
              </w:rPr>
            </w:pPr>
            <w:r>
              <w:rPr>
                <w:noProof/>
              </w:rPr>
              <w:t>Määrä</w:t>
            </w:r>
          </w:p>
        </w:tc>
        <w:tc>
          <w:tcPr>
            <w:tcW w:w="984" w:type="dxa"/>
            <w:shd w:val="clear" w:color="auto" w:fill="C6EFCE"/>
            <w:noWrap/>
          </w:tcPr>
          <w:p w14:paraId="7AD65BD1" w14:textId="1D1A4DE7" w:rsidR="0065073E" w:rsidRDefault="000A0998">
            <w:pPr>
              <w:pStyle w:val="P68B1DB1-Normal12"/>
              <w:spacing w:after="0" w:line="240" w:lineRule="auto"/>
              <w:jc w:val="right"/>
              <w:rPr>
                <w:rFonts w:cs="Times New Roman"/>
                <w:noProof/>
              </w:rPr>
            </w:pPr>
            <w:r>
              <w:rPr>
                <w:noProof/>
              </w:rPr>
              <w:t>0</w:t>
            </w:r>
          </w:p>
        </w:tc>
        <w:tc>
          <w:tcPr>
            <w:tcW w:w="1040" w:type="dxa"/>
            <w:shd w:val="clear" w:color="auto" w:fill="C6EFCE"/>
            <w:noWrap/>
          </w:tcPr>
          <w:p w14:paraId="0C8D60C2" w14:textId="152B4BBF" w:rsidR="0065073E" w:rsidRDefault="000A0998">
            <w:pPr>
              <w:pStyle w:val="P68B1DB1-Normal12"/>
              <w:spacing w:after="0" w:line="240" w:lineRule="auto"/>
              <w:jc w:val="center"/>
              <w:rPr>
                <w:rFonts w:cs="Times New Roman"/>
                <w:noProof/>
              </w:rPr>
            </w:pPr>
            <w:r>
              <w:rPr>
                <w:noProof/>
              </w:rPr>
              <w:t>1 253</w:t>
            </w:r>
          </w:p>
        </w:tc>
        <w:tc>
          <w:tcPr>
            <w:tcW w:w="365" w:type="dxa"/>
            <w:shd w:val="clear" w:color="auto" w:fill="C6EFCE"/>
            <w:noWrap/>
          </w:tcPr>
          <w:p w14:paraId="26C5A175" w14:textId="39059409" w:rsidR="0065073E" w:rsidRDefault="000A0998">
            <w:pPr>
              <w:pStyle w:val="P68B1DB1-Normal12"/>
              <w:spacing w:after="0" w:line="240" w:lineRule="auto"/>
              <w:jc w:val="center"/>
              <w:rPr>
                <w:rFonts w:cs="Times New Roman"/>
                <w:noProof/>
              </w:rPr>
            </w:pPr>
            <w:r>
              <w:rPr>
                <w:noProof/>
              </w:rPr>
              <w:t>Q4</w:t>
            </w:r>
          </w:p>
        </w:tc>
        <w:tc>
          <w:tcPr>
            <w:tcW w:w="627" w:type="dxa"/>
            <w:shd w:val="clear" w:color="auto" w:fill="C6EFCE"/>
            <w:noWrap/>
          </w:tcPr>
          <w:p w14:paraId="06CFDB13" w14:textId="260CF935" w:rsidR="0065073E" w:rsidRDefault="000A0998">
            <w:pPr>
              <w:pStyle w:val="P68B1DB1-Normal12"/>
              <w:spacing w:after="0" w:line="240" w:lineRule="auto"/>
              <w:jc w:val="center"/>
              <w:rPr>
                <w:rFonts w:cs="Times New Roman"/>
                <w:noProof/>
              </w:rPr>
            </w:pPr>
            <w:r>
              <w:rPr>
                <w:noProof/>
              </w:rPr>
              <w:t>2025</w:t>
            </w:r>
          </w:p>
        </w:tc>
        <w:tc>
          <w:tcPr>
            <w:tcW w:w="4820" w:type="dxa"/>
            <w:shd w:val="clear" w:color="auto" w:fill="C6EFCE"/>
            <w:noWrap/>
          </w:tcPr>
          <w:p w14:paraId="5AC13B39" w14:textId="77777777" w:rsidR="0065073E" w:rsidRDefault="000A0998">
            <w:pPr>
              <w:pStyle w:val="P68B1DB1-Normal12"/>
              <w:spacing w:after="0" w:line="240" w:lineRule="auto"/>
              <w:rPr>
                <w:rFonts w:cs="Times New Roman"/>
                <w:noProof/>
              </w:rPr>
            </w:pPr>
            <w:r>
              <w:rPr>
                <w:noProof/>
              </w:rPr>
              <w:t>Vähintään 1253 luokkahuonetta, jotka on muunnettu teknologian luokkahuoneiksi, jotka luovat uudelleen työympäristöjä käyttämällä teknisiä resursseja, jotta opiskelijat voivat lähestyä teknologioita, jotka heidän on myöhemmin löydettävä yrityksissä.</w:t>
            </w:r>
          </w:p>
          <w:p w14:paraId="6F142C02" w14:textId="77777777" w:rsidR="0065073E" w:rsidRDefault="0065073E">
            <w:pPr>
              <w:spacing w:after="0" w:line="240" w:lineRule="auto"/>
              <w:rPr>
                <w:rFonts w:ascii="Times New Roman" w:hAnsi="Times New Roman" w:cs="Times New Roman"/>
                <w:noProof/>
                <w:sz w:val="18"/>
              </w:rPr>
            </w:pPr>
          </w:p>
        </w:tc>
      </w:tr>
      <w:tr w:rsidR="0065073E" w14:paraId="6D54DFE7" w14:textId="77777777">
        <w:trPr>
          <w:trHeight w:val="309"/>
        </w:trPr>
        <w:tc>
          <w:tcPr>
            <w:tcW w:w="851" w:type="dxa"/>
            <w:shd w:val="clear" w:color="auto" w:fill="C6EFCE"/>
            <w:noWrap/>
          </w:tcPr>
          <w:p w14:paraId="611A44EA" w14:textId="0521778E" w:rsidR="0065073E" w:rsidRDefault="000A0998">
            <w:pPr>
              <w:pStyle w:val="P68B1DB1-Normal12"/>
              <w:spacing w:after="0" w:line="240" w:lineRule="auto"/>
              <w:jc w:val="center"/>
              <w:rPr>
                <w:rFonts w:cs="Times New Roman"/>
                <w:noProof/>
              </w:rPr>
            </w:pPr>
            <w:r>
              <w:rPr>
                <w:noProof/>
              </w:rPr>
              <w:t>467a</w:t>
            </w:r>
          </w:p>
        </w:tc>
        <w:tc>
          <w:tcPr>
            <w:tcW w:w="851" w:type="dxa"/>
            <w:shd w:val="clear" w:color="auto" w:fill="C6EFCE"/>
            <w:noWrap/>
          </w:tcPr>
          <w:p w14:paraId="47D2B553" w14:textId="2878FBC8" w:rsidR="0065073E" w:rsidRDefault="000A0998">
            <w:pPr>
              <w:pStyle w:val="P68B1DB1-Normal12"/>
              <w:spacing w:after="0" w:line="240" w:lineRule="auto"/>
              <w:jc w:val="center"/>
              <w:rPr>
                <w:rFonts w:cs="Times New Roman"/>
                <w:noProof/>
              </w:rPr>
            </w:pPr>
            <w:r>
              <w:rPr>
                <w:noProof/>
              </w:rPr>
              <w:t>C20.I2</w:t>
            </w:r>
          </w:p>
        </w:tc>
        <w:tc>
          <w:tcPr>
            <w:tcW w:w="858" w:type="dxa"/>
            <w:shd w:val="clear" w:color="auto" w:fill="C6EFCE"/>
            <w:noWrap/>
          </w:tcPr>
          <w:p w14:paraId="798315B4" w14:textId="445FE865" w:rsidR="0065073E" w:rsidRDefault="000A0998">
            <w:pPr>
              <w:pStyle w:val="P68B1DB1-Normal12"/>
              <w:spacing w:after="0" w:line="240" w:lineRule="auto"/>
              <w:jc w:val="center"/>
              <w:rPr>
                <w:rFonts w:cs="Times New Roman"/>
                <w:noProof/>
              </w:rPr>
            </w:pPr>
            <w:r>
              <w:rPr>
                <w:noProof/>
              </w:rPr>
              <w:t>T</w:t>
            </w:r>
          </w:p>
        </w:tc>
        <w:tc>
          <w:tcPr>
            <w:tcW w:w="2685" w:type="dxa"/>
            <w:shd w:val="clear" w:color="auto" w:fill="C6EFCE"/>
            <w:noWrap/>
          </w:tcPr>
          <w:p w14:paraId="34E49174" w14:textId="4216CDAF" w:rsidR="0065073E" w:rsidRDefault="000A0998">
            <w:pPr>
              <w:pStyle w:val="P68B1DB1-Normal12"/>
              <w:spacing w:after="0" w:line="240" w:lineRule="auto"/>
              <w:rPr>
                <w:rFonts w:cs="Times New Roman"/>
                <w:noProof/>
              </w:rPr>
            </w:pPr>
            <w:r>
              <w:rPr>
                <w:noProof/>
              </w:rPr>
              <w:t>”Yrittäjyyden” luokkahuoneiden luominen ja tukeminen</w:t>
            </w:r>
          </w:p>
        </w:tc>
        <w:tc>
          <w:tcPr>
            <w:tcW w:w="1418" w:type="dxa"/>
            <w:shd w:val="clear" w:color="auto" w:fill="C6EFCE"/>
            <w:noWrap/>
          </w:tcPr>
          <w:p w14:paraId="3FACDABE" w14:textId="30ECEB38" w:rsidR="0065073E" w:rsidRDefault="000A0998">
            <w:pPr>
              <w:pStyle w:val="P68B1DB1-Normal12"/>
              <w:spacing w:after="0" w:line="240" w:lineRule="auto"/>
              <w:jc w:val="center"/>
              <w:rPr>
                <w:rFonts w:cs="Times New Roman"/>
                <w:noProof/>
              </w:rPr>
            </w:pPr>
            <w:r>
              <w:rPr>
                <w:noProof/>
              </w:rPr>
              <w:t>—</w:t>
            </w:r>
          </w:p>
        </w:tc>
        <w:tc>
          <w:tcPr>
            <w:tcW w:w="811" w:type="dxa"/>
            <w:shd w:val="clear" w:color="auto" w:fill="C6EFCE"/>
            <w:noWrap/>
          </w:tcPr>
          <w:p w14:paraId="65508F6D" w14:textId="560BA660" w:rsidR="0065073E" w:rsidRDefault="000A0998">
            <w:pPr>
              <w:pStyle w:val="P68B1DB1-Normal12"/>
              <w:spacing w:after="0" w:line="240" w:lineRule="auto"/>
              <w:jc w:val="center"/>
              <w:rPr>
                <w:rFonts w:cs="Times New Roman"/>
                <w:noProof/>
              </w:rPr>
            </w:pPr>
            <w:r>
              <w:rPr>
                <w:noProof/>
              </w:rPr>
              <w:t>Määrä</w:t>
            </w:r>
          </w:p>
        </w:tc>
        <w:tc>
          <w:tcPr>
            <w:tcW w:w="984" w:type="dxa"/>
            <w:shd w:val="clear" w:color="auto" w:fill="C6EFCE"/>
            <w:noWrap/>
          </w:tcPr>
          <w:p w14:paraId="5E9B31B8" w14:textId="17FA8C84" w:rsidR="0065073E" w:rsidRDefault="000A0998">
            <w:pPr>
              <w:pStyle w:val="P68B1DB1-Normal12"/>
              <w:spacing w:after="0" w:line="240" w:lineRule="auto"/>
              <w:jc w:val="center"/>
              <w:rPr>
                <w:rFonts w:cs="Times New Roman"/>
                <w:noProof/>
              </w:rPr>
            </w:pPr>
            <w:r>
              <w:rPr>
                <w:noProof/>
              </w:rPr>
              <w:t>0</w:t>
            </w:r>
          </w:p>
        </w:tc>
        <w:tc>
          <w:tcPr>
            <w:tcW w:w="1040" w:type="dxa"/>
            <w:shd w:val="clear" w:color="auto" w:fill="C6EFCE"/>
            <w:noWrap/>
          </w:tcPr>
          <w:p w14:paraId="02CF59FB" w14:textId="22961360" w:rsidR="0065073E" w:rsidRDefault="000A0998">
            <w:pPr>
              <w:pStyle w:val="P68B1DB1-Normal12"/>
              <w:spacing w:after="0" w:line="240" w:lineRule="auto"/>
              <w:jc w:val="center"/>
              <w:rPr>
                <w:rFonts w:cs="Times New Roman"/>
                <w:noProof/>
              </w:rPr>
            </w:pPr>
            <w:r>
              <w:rPr>
                <w:noProof/>
              </w:rPr>
              <w:t>1 350</w:t>
            </w:r>
          </w:p>
        </w:tc>
        <w:tc>
          <w:tcPr>
            <w:tcW w:w="365" w:type="dxa"/>
            <w:shd w:val="clear" w:color="auto" w:fill="C6EFCE"/>
            <w:noWrap/>
          </w:tcPr>
          <w:p w14:paraId="67BBA881" w14:textId="0A177EF0" w:rsidR="0065073E" w:rsidRDefault="000A0998">
            <w:pPr>
              <w:pStyle w:val="P68B1DB1-Normal12"/>
              <w:spacing w:after="0" w:line="240" w:lineRule="auto"/>
              <w:jc w:val="center"/>
              <w:rPr>
                <w:rFonts w:cs="Times New Roman"/>
                <w:noProof/>
              </w:rPr>
            </w:pPr>
            <w:r>
              <w:rPr>
                <w:noProof/>
              </w:rPr>
              <w:t>Q4</w:t>
            </w:r>
          </w:p>
        </w:tc>
        <w:tc>
          <w:tcPr>
            <w:tcW w:w="627" w:type="dxa"/>
            <w:shd w:val="clear" w:color="auto" w:fill="C6EFCE"/>
            <w:noWrap/>
          </w:tcPr>
          <w:p w14:paraId="253C5128" w14:textId="35FC6FC5" w:rsidR="0065073E" w:rsidRDefault="000A0998">
            <w:pPr>
              <w:pStyle w:val="P68B1DB1-Normal12"/>
              <w:spacing w:after="0" w:line="240" w:lineRule="auto"/>
              <w:rPr>
                <w:rFonts w:eastAsia="Times New Roman" w:cs="Times New Roman"/>
                <w:noProof/>
              </w:rPr>
            </w:pPr>
            <w:r>
              <w:rPr>
                <w:noProof/>
              </w:rPr>
              <w:t>2024</w:t>
            </w:r>
          </w:p>
        </w:tc>
        <w:tc>
          <w:tcPr>
            <w:tcW w:w="4820" w:type="dxa"/>
            <w:shd w:val="clear" w:color="auto" w:fill="C6EFCE"/>
            <w:noWrap/>
          </w:tcPr>
          <w:p w14:paraId="1602326B" w14:textId="6B7CC805" w:rsidR="0065073E" w:rsidRDefault="000A0998">
            <w:pPr>
              <w:pStyle w:val="P68B1DB1-Normal12"/>
              <w:spacing w:after="0" w:line="240" w:lineRule="auto"/>
              <w:rPr>
                <w:rFonts w:eastAsia="Times New Roman" w:cs="Times New Roman"/>
                <w:noProof/>
              </w:rPr>
            </w:pPr>
            <w:r>
              <w:rPr>
                <w:noProof/>
              </w:rPr>
              <w:t>Vähintään 1350 ”yrittäjyyden” luokkahuoneen perustaminen ja tukeminen julkisissa ammattikoulutuskeskuksissa.</w:t>
            </w:r>
          </w:p>
        </w:tc>
      </w:tr>
      <w:tr w:rsidR="0065073E" w14:paraId="61A44931" w14:textId="77777777">
        <w:trPr>
          <w:trHeight w:val="309"/>
        </w:trPr>
        <w:tc>
          <w:tcPr>
            <w:tcW w:w="851" w:type="dxa"/>
            <w:shd w:val="clear" w:color="auto" w:fill="C6EFCE"/>
            <w:noWrap/>
          </w:tcPr>
          <w:p w14:paraId="75ADEE7E" w14:textId="13F1DF69" w:rsidR="0065073E" w:rsidRDefault="000A0998">
            <w:pPr>
              <w:pStyle w:val="P68B1DB1-Normal12"/>
              <w:spacing w:after="0" w:line="240" w:lineRule="auto"/>
              <w:jc w:val="center"/>
              <w:rPr>
                <w:rFonts w:cs="Times New Roman"/>
                <w:noProof/>
              </w:rPr>
            </w:pPr>
            <w:r>
              <w:rPr>
                <w:noProof/>
              </w:rPr>
              <w:t>467b</w:t>
            </w:r>
          </w:p>
        </w:tc>
        <w:tc>
          <w:tcPr>
            <w:tcW w:w="851" w:type="dxa"/>
            <w:shd w:val="clear" w:color="auto" w:fill="C6EFCE"/>
            <w:noWrap/>
          </w:tcPr>
          <w:p w14:paraId="2CA33ECD" w14:textId="5359B3CE" w:rsidR="0065073E" w:rsidRDefault="000A0998">
            <w:pPr>
              <w:pStyle w:val="P68B1DB1-Normal12"/>
              <w:spacing w:after="0" w:line="240" w:lineRule="auto"/>
              <w:jc w:val="center"/>
              <w:rPr>
                <w:rFonts w:cs="Times New Roman"/>
                <w:noProof/>
              </w:rPr>
            </w:pPr>
            <w:r>
              <w:rPr>
                <w:noProof/>
              </w:rPr>
              <w:t>C20.I2</w:t>
            </w:r>
          </w:p>
        </w:tc>
        <w:tc>
          <w:tcPr>
            <w:tcW w:w="858" w:type="dxa"/>
            <w:shd w:val="clear" w:color="auto" w:fill="C6EFCE"/>
            <w:noWrap/>
          </w:tcPr>
          <w:p w14:paraId="0DAD0F06" w14:textId="3353C30C" w:rsidR="0065073E" w:rsidRDefault="000A0998">
            <w:pPr>
              <w:pStyle w:val="P68B1DB1-Normal12"/>
              <w:spacing w:after="0" w:line="240" w:lineRule="auto"/>
              <w:jc w:val="center"/>
              <w:rPr>
                <w:rFonts w:cs="Times New Roman"/>
                <w:noProof/>
              </w:rPr>
            </w:pPr>
            <w:r>
              <w:rPr>
                <w:noProof/>
              </w:rPr>
              <w:t>T</w:t>
            </w:r>
          </w:p>
        </w:tc>
        <w:tc>
          <w:tcPr>
            <w:tcW w:w="2685" w:type="dxa"/>
            <w:shd w:val="clear" w:color="auto" w:fill="C6EFCE"/>
            <w:noWrap/>
          </w:tcPr>
          <w:p w14:paraId="432616C5" w14:textId="2F6E7BB3" w:rsidR="0065073E" w:rsidRDefault="000A0998">
            <w:pPr>
              <w:pStyle w:val="P68B1DB1-Normal12"/>
              <w:spacing w:after="0" w:line="240" w:lineRule="auto"/>
              <w:rPr>
                <w:rFonts w:cs="Times New Roman"/>
                <w:noProof/>
              </w:rPr>
            </w:pPr>
            <w:r>
              <w:rPr>
                <w:noProof/>
              </w:rPr>
              <w:t>Ammatillisen koulutuksen opettajien vihreän koulutuksen loppuun saattaminen</w:t>
            </w:r>
          </w:p>
        </w:tc>
        <w:tc>
          <w:tcPr>
            <w:tcW w:w="1418" w:type="dxa"/>
            <w:shd w:val="clear" w:color="auto" w:fill="C6EFCE"/>
            <w:noWrap/>
          </w:tcPr>
          <w:p w14:paraId="2744693F" w14:textId="3C8C61C9" w:rsidR="0065073E" w:rsidRDefault="000A0998">
            <w:pPr>
              <w:pStyle w:val="P68B1DB1-Normal12"/>
              <w:spacing w:after="0" w:line="240" w:lineRule="auto"/>
              <w:jc w:val="center"/>
              <w:rPr>
                <w:rFonts w:cs="Times New Roman"/>
                <w:noProof/>
              </w:rPr>
            </w:pPr>
            <w:r>
              <w:rPr>
                <w:noProof/>
              </w:rPr>
              <w:t>—</w:t>
            </w:r>
          </w:p>
        </w:tc>
        <w:tc>
          <w:tcPr>
            <w:tcW w:w="811" w:type="dxa"/>
            <w:shd w:val="clear" w:color="auto" w:fill="C6EFCE"/>
            <w:noWrap/>
          </w:tcPr>
          <w:p w14:paraId="06865C06" w14:textId="77717ED2" w:rsidR="0065073E" w:rsidRDefault="000A0998">
            <w:pPr>
              <w:pStyle w:val="P68B1DB1-Normal12"/>
              <w:spacing w:after="0" w:line="240" w:lineRule="auto"/>
              <w:jc w:val="center"/>
              <w:rPr>
                <w:rFonts w:cs="Times New Roman"/>
                <w:noProof/>
              </w:rPr>
            </w:pPr>
            <w:r>
              <w:rPr>
                <w:noProof/>
              </w:rPr>
              <w:t>Määrä</w:t>
            </w:r>
          </w:p>
        </w:tc>
        <w:tc>
          <w:tcPr>
            <w:tcW w:w="984" w:type="dxa"/>
            <w:shd w:val="clear" w:color="auto" w:fill="C6EFCE"/>
            <w:noWrap/>
          </w:tcPr>
          <w:p w14:paraId="6B850641" w14:textId="581B4024" w:rsidR="0065073E" w:rsidRDefault="000A0998">
            <w:pPr>
              <w:pStyle w:val="P68B1DB1-Normal12"/>
              <w:spacing w:after="0" w:line="240" w:lineRule="auto"/>
              <w:jc w:val="center"/>
              <w:rPr>
                <w:rFonts w:cs="Times New Roman"/>
                <w:noProof/>
              </w:rPr>
            </w:pPr>
            <w:r>
              <w:rPr>
                <w:noProof/>
              </w:rPr>
              <w:t>0</w:t>
            </w:r>
          </w:p>
        </w:tc>
        <w:tc>
          <w:tcPr>
            <w:tcW w:w="1040" w:type="dxa"/>
            <w:shd w:val="clear" w:color="auto" w:fill="C6EFCE"/>
            <w:noWrap/>
          </w:tcPr>
          <w:p w14:paraId="32FF666D" w14:textId="1A1E471A" w:rsidR="0065073E" w:rsidRDefault="000A0998">
            <w:pPr>
              <w:pStyle w:val="P68B1DB1-Normal12"/>
              <w:spacing w:after="0" w:line="240" w:lineRule="auto"/>
              <w:jc w:val="center"/>
              <w:rPr>
                <w:rFonts w:cs="Times New Roman"/>
                <w:noProof/>
              </w:rPr>
            </w:pPr>
            <w:r>
              <w:rPr>
                <w:noProof/>
              </w:rPr>
              <w:t>25 281</w:t>
            </w:r>
          </w:p>
          <w:p w14:paraId="694DCEAB" w14:textId="31DB3365" w:rsidR="0065073E" w:rsidRDefault="0065073E">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33DD35B2" w:rsidR="0065073E" w:rsidRDefault="000A0998">
            <w:pPr>
              <w:pStyle w:val="P68B1DB1-Normal12"/>
              <w:spacing w:after="0" w:line="240" w:lineRule="auto"/>
              <w:jc w:val="center"/>
              <w:rPr>
                <w:rFonts w:cs="Times New Roman"/>
                <w:noProof/>
              </w:rPr>
            </w:pPr>
            <w:r>
              <w:rPr>
                <w:noProof/>
              </w:rPr>
              <w:t>Q4</w:t>
            </w:r>
          </w:p>
        </w:tc>
        <w:tc>
          <w:tcPr>
            <w:tcW w:w="627" w:type="dxa"/>
            <w:shd w:val="clear" w:color="auto" w:fill="C6EFCE"/>
            <w:noWrap/>
          </w:tcPr>
          <w:p w14:paraId="0011D940" w14:textId="690B5EFB" w:rsidR="0065073E" w:rsidRDefault="000A0998">
            <w:pPr>
              <w:pStyle w:val="P68B1DB1-Normal12"/>
              <w:spacing w:after="0" w:line="240" w:lineRule="auto"/>
              <w:rPr>
                <w:rFonts w:cs="Times New Roman"/>
                <w:noProof/>
              </w:rPr>
            </w:pPr>
            <w:r>
              <w:rPr>
                <w:noProof/>
              </w:rPr>
              <w:t>2024</w:t>
            </w:r>
          </w:p>
        </w:tc>
        <w:tc>
          <w:tcPr>
            <w:tcW w:w="4820" w:type="dxa"/>
            <w:shd w:val="clear" w:color="auto" w:fill="C6EFCE"/>
            <w:noWrap/>
          </w:tcPr>
          <w:p w14:paraId="47C81396" w14:textId="0BBE335C" w:rsidR="0065073E" w:rsidRDefault="000A0998">
            <w:pPr>
              <w:pStyle w:val="P68B1DB1-Normal12"/>
              <w:spacing w:after="0" w:line="240" w:lineRule="auto"/>
              <w:rPr>
                <w:rFonts w:cs="Times New Roman"/>
                <w:noProof/>
              </w:rPr>
            </w:pPr>
            <w:r>
              <w:rPr>
                <w:noProof/>
              </w:rPr>
              <w:t>30 tunnin digitaalisen ja vihreän koulutuksen loppuun saattaminen vähintään 25281 ammatillisen koulutuksen opettajalle.</w:t>
            </w:r>
          </w:p>
        </w:tc>
      </w:tr>
      <w:tr w:rsidR="0065073E" w14:paraId="4F3035A2" w14:textId="77777777">
        <w:trPr>
          <w:trHeight w:val="309"/>
        </w:trPr>
        <w:tc>
          <w:tcPr>
            <w:tcW w:w="851" w:type="dxa"/>
            <w:shd w:val="clear" w:color="auto" w:fill="C6EFCE"/>
            <w:noWrap/>
          </w:tcPr>
          <w:p w14:paraId="4F6CDBF0" w14:textId="77777777" w:rsidR="0065073E" w:rsidRDefault="000A0998">
            <w:pPr>
              <w:pStyle w:val="P68B1DB1-Normal12"/>
              <w:spacing w:after="0" w:line="240" w:lineRule="auto"/>
              <w:jc w:val="center"/>
              <w:rPr>
                <w:rFonts w:eastAsia="Times New Roman" w:cs="Times New Roman"/>
                <w:noProof/>
              </w:rPr>
            </w:pPr>
            <w:r>
              <w:rPr>
                <w:noProof/>
              </w:rPr>
              <w:t>300</w:t>
            </w:r>
          </w:p>
        </w:tc>
        <w:tc>
          <w:tcPr>
            <w:tcW w:w="851" w:type="dxa"/>
            <w:shd w:val="clear" w:color="auto" w:fill="C6EFCE"/>
            <w:noWrap/>
          </w:tcPr>
          <w:p w14:paraId="1E3E5D42" w14:textId="77777777" w:rsidR="0065073E" w:rsidRDefault="000A0998">
            <w:pPr>
              <w:pStyle w:val="P68B1DB1-Normal12"/>
              <w:spacing w:after="0" w:line="240" w:lineRule="auto"/>
              <w:jc w:val="center"/>
              <w:rPr>
                <w:rFonts w:eastAsia="Times New Roman" w:cs="Times New Roman"/>
                <w:noProof/>
              </w:rPr>
            </w:pPr>
            <w:r>
              <w:rPr>
                <w:noProof/>
              </w:rPr>
              <w:t>C20.I3</w:t>
            </w:r>
          </w:p>
        </w:tc>
        <w:tc>
          <w:tcPr>
            <w:tcW w:w="858" w:type="dxa"/>
            <w:shd w:val="clear" w:color="auto" w:fill="C6EFCE"/>
            <w:noWrap/>
          </w:tcPr>
          <w:p w14:paraId="598C6300"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79BECF6A" w14:textId="78125933" w:rsidR="0065073E" w:rsidRDefault="000A0998">
            <w:pPr>
              <w:pStyle w:val="P68B1DB1-Normal12"/>
              <w:spacing w:after="0" w:line="240" w:lineRule="auto"/>
              <w:rPr>
                <w:rFonts w:eastAsia="Times New Roman" w:cs="Times New Roman"/>
                <w:noProof/>
              </w:rPr>
            </w:pPr>
            <w:r>
              <w:rPr>
                <w:noProof/>
              </w:rPr>
              <w:t>Vähintään 1667 uutta ammatillisen koulutuksen ryhmää lukuvuoteen 2019/2020 verrattuna.</w:t>
            </w:r>
          </w:p>
        </w:tc>
        <w:tc>
          <w:tcPr>
            <w:tcW w:w="1418" w:type="dxa"/>
            <w:shd w:val="clear" w:color="auto" w:fill="C6EFCE"/>
            <w:noWrap/>
          </w:tcPr>
          <w:p w14:paraId="2827FC3C"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210464D6"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shd w:val="clear" w:color="auto" w:fill="C6EFCE"/>
            <w:noWrap/>
          </w:tcPr>
          <w:p w14:paraId="409D33D1" w14:textId="72F4F30F" w:rsidR="0065073E" w:rsidRDefault="000A0998">
            <w:pPr>
              <w:pStyle w:val="P68B1DB1-Normal12"/>
              <w:spacing w:after="0" w:line="240" w:lineRule="auto"/>
              <w:jc w:val="center"/>
              <w:rPr>
                <w:rFonts w:eastAsia="Times New Roman" w:cs="Times New Roman"/>
                <w:noProof/>
              </w:rPr>
            </w:pPr>
            <w:r>
              <w:rPr>
                <w:noProof/>
              </w:rPr>
              <w:t>39 063</w:t>
            </w:r>
          </w:p>
        </w:tc>
        <w:tc>
          <w:tcPr>
            <w:tcW w:w="1040" w:type="dxa"/>
            <w:shd w:val="clear" w:color="auto" w:fill="C6EFCE"/>
            <w:noWrap/>
          </w:tcPr>
          <w:p w14:paraId="69D9BD1A" w14:textId="179B9F40" w:rsidR="0065073E" w:rsidRDefault="000A0998">
            <w:pPr>
              <w:pStyle w:val="P68B1DB1-Normal12"/>
              <w:spacing w:after="0" w:line="240" w:lineRule="auto"/>
              <w:jc w:val="center"/>
              <w:rPr>
                <w:rFonts w:eastAsia="Times New Roman" w:cs="Times New Roman"/>
                <w:noProof/>
              </w:rPr>
            </w:pPr>
            <w:r>
              <w:rPr>
                <w:noProof/>
              </w:rPr>
              <w:t>40 730</w:t>
            </w:r>
          </w:p>
        </w:tc>
        <w:tc>
          <w:tcPr>
            <w:tcW w:w="365" w:type="dxa"/>
            <w:shd w:val="clear" w:color="auto" w:fill="C6EFCE"/>
            <w:noWrap/>
          </w:tcPr>
          <w:p w14:paraId="61388907"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50EDB1AD"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820" w:type="dxa"/>
            <w:shd w:val="clear" w:color="auto" w:fill="C6EFCE"/>
            <w:noWrap/>
          </w:tcPr>
          <w:p w14:paraId="49C61569" w14:textId="03A9E4A0" w:rsidR="0065073E" w:rsidRDefault="000A0998">
            <w:pPr>
              <w:pStyle w:val="P68B1DB1-Normal12"/>
              <w:spacing w:after="0" w:line="240" w:lineRule="auto"/>
              <w:rPr>
                <w:rFonts w:eastAsia="Times New Roman" w:cs="Times New Roman"/>
                <w:noProof/>
              </w:rPr>
            </w:pPr>
            <w:r>
              <w:rPr>
                <w:noProof/>
              </w:rPr>
              <w:t>Vähintään 1667 uutta ammatillisen koulutuksen ryhmää on perustettu lukuvuoteen 2019/2020 verrattuna. Ammatillisen koulutuksen tarjonnan lisäämiseen tarkoitetun rahoituksen alueellisen jakautumisen on perustuttava tarvearviointiin ja asiaankuuluvien sidosryhmien kanssa käytävään keskusteluun sen varmistamiseksi, että tarjonta vastaa tehokkaasti ammatillisen koulutuksen nykyaikaistamissuunnitelmassa esitettyjä alakohtaisia tarpeita ja alueellisia puutteita. Perustason päivämäärä: Lukuvuosi 2019/2020.</w:t>
            </w:r>
          </w:p>
        </w:tc>
      </w:tr>
      <w:tr w:rsidR="0065073E" w14:paraId="08891F03" w14:textId="77777777">
        <w:trPr>
          <w:trHeight w:val="309"/>
        </w:trPr>
        <w:tc>
          <w:tcPr>
            <w:tcW w:w="851" w:type="dxa"/>
            <w:tcBorders>
              <w:bottom w:val="single" w:sz="4" w:space="0" w:color="auto"/>
            </w:tcBorders>
            <w:shd w:val="clear" w:color="auto" w:fill="C6EFCE"/>
            <w:noWrap/>
          </w:tcPr>
          <w:p w14:paraId="0786758D" w14:textId="77777777" w:rsidR="0065073E" w:rsidRDefault="000A0998">
            <w:pPr>
              <w:pStyle w:val="P68B1DB1-Normal12"/>
              <w:spacing w:after="0" w:line="240" w:lineRule="auto"/>
              <w:jc w:val="center"/>
              <w:rPr>
                <w:rFonts w:eastAsia="Times New Roman" w:cs="Times New Roman"/>
                <w:noProof/>
              </w:rPr>
            </w:pPr>
            <w:r>
              <w:rPr>
                <w:noProof/>
              </w:rPr>
              <w:t>301</w:t>
            </w:r>
          </w:p>
        </w:tc>
        <w:tc>
          <w:tcPr>
            <w:tcW w:w="851" w:type="dxa"/>
            <w:tcBorders>
              <w:bottom w:val="single" w:sz="4" w:space="0" w:color="auto"/>
            </w:tcBorders>
            <w:shd w:val="clear" w:color="auto" w:fill="C6EFCE"/>
            <w:noWrap/>
          </w:tcPr>
          <w:p w14:paraId="4C5852B3" w14:textId="77777777" w:rsidR="0065073E" w:rsidRDefault="000A0998">
            <w:pPr>
              <w:pStyle w:val="P68B1DB1-Normal12"/>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73698ADF"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330171CB" w14:textId="77777777" w:rsidR="0065073E" w:rsidRDefault="000A0998">
            <w:pPr>
              <w:pStyle w:val="P68B1DB1-Normal12"/>
              <w:spacing w:after="0" w:line="240" w:lineRule="auto"/>
              <w:rPr>
                <w:rFonts w:eastAsia="Times New Roman" w:cs="Times New Roman"/>
                <w:noProof/>
              </w:rPr>
            </w:pPr>
            <w:r>
              <w:rPr>
                <w:noProof/>
              </w:rPr>
              <w:t xml:space="preserve">Kaksikieliset ammatillisen koulutuksen jaksot </w:t>
            </w:r>
          </w:p>
        </w:tc>
        <w:tc>
          <w:tcPr>
            <w:tcW w:w="1418" w:type="dxa"/>
            <w:tcBorders>
              <w:bottom w:val="single" w:sz="4" w:space="0" w:color="auto"/>
            </w:tcBorders>
            <w:shd w:val="clear" w:color="auto" w:fill="C6EFCE"/>
            <w:noWrap/>
          </w:tcPr>
          <w:p w14:paraId="5977380F"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4DAE83F2"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tcBorders>
              <w:bottom w:val="single" w:sz="4" w:space="0" w:color="auto"/>
            </w:tcBorders>
            <w:shd w:val="clear" w:color="auto" w:fill="C6EFCE"/>
            <w:noWrap/>
          </w:tcPr>
          <w:p w14:paraId="3B08B55A" w14:textId="77777777" w:rsidR="0065073E" w:rsidRDefault="000A0998">
            <w:pPr>
              <w:pStyle w:val="P68B1DB1-Normal12"/>
              <w:spacing w:after="0" w:line="240" w:lineRule="auto"/>
              <w:jc w:val="right"/>
              <w:rPr>
                <w:rFonts w:eastAsia="Times New Roman" w:cs="Times New Roman"/>
                <w:noProof/>
              </w:rPr>
            </w:pPr>
            <w:r>
              <w:rPr>
                <w:noProof/>
              </w:rPr>
              <w:t>0</w:t>
            </w:r>
          </w:p>
        </w:tc>
        <w:tc>
          <w:tcPr>
            <w:tcW w:w="1040" w:type="dxa"/>
            <w:tcBorders>
              <w:bottom w:val="single" w:sz="4" w:space="0" w:color="auto"/>
            </w:tcBorders>
            <w:shd w:val="clear" w:color="auto" w:fill="C6EFCE"/>
            <w:noWrap/>
          </w:tcPr>
          <w:p w14:paraId="582220C0" w14:textId="77777777" w:rsidR="0065073E" w:rsidRDefault="000A0998">
            <w:pPr>
              <w:pStyle w:val="P68B1DB1-Normal12"/>
              <w:spacing w:after="0" w:line="240" w:lineRule="auto"/>
              <w:jc w:val="center"/>
              <w:rPr>
                <w:rFonts w:eastAsia="Times New Roman" w:cs="Times New Roman"/>
                <w:noProof/>
              </w:rPr>
            </w:pPr>
            <w:r>
              <w:rPr>
                <w:noProof/>
              </w:rPr>
              <w:t>3 700</w:t>
            </w:r>
          </w:p>
        </w:tc>
        <w:tc>
          <w:tcPr>
            <w:tcW w:w="365" w:type="dxa"/>
            <w:tcBorders>
              <w:bottom w:val="single" w:sz="4" w:space="0" w:color="auto"/>
            </w:tcBorders>
            <w:shd w:val="clear" w:color="auto" w:fill="C6EFCE"/>
            <w:noWrap/>
          </w:tcPr>
          <w:p w14:paraId="304F4489"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6C050CFD" w14:textId="77777777" w:rsidR="0065073E" w:rsidRDefault="000A0998">
            <w:pPr>
              <w:pStyle w:val="P68B1DB1-Normal12"/>
              <w:spacing w:after="0" w:line="240" w:lineRule="auto"/>
              <w:jc w:val="center"/>
              <w:rPr>
                <w:rFonts w:eastAsia="Times New Roman" w:cs="Times New Roman"/>
                <w:noProof/>
              </w:rPr>
            </w:pPr>
            <w:r>
              <w:rPr>
                <w:noProof/>
              </w:rPr>
              <w:t>2024</w:t>
            </w:r>
          </w:p>
        </w:tc>
        <w:tc>
          <w:tcPr>
            <w:tcW w:w="4820" w:type="dxa"/>
            <w:tcBorders>
              <w:bottom w:val="single" w:sz="4" w:space="0" w:color="auto"/>
            </w:tcBorders>
            <w:shd w:val="clear" w:color="auto" w:fill="C6EFCE"/>
            <w:noWrap/>
          </w:tcPr>
          <w:p w14:paraId="18D04238" w14:textId="77777777" w:rsidR="0065073E" w:rsidRDefault="000A0998">
            <w:pPr>
              <w:pStyle w:val="P68B1DB1-Normal12"/>
              <w:spacing w:after="0" w:line="240" w:lineRule="auto"/>
              <w:rPr>
                <w:rFonts w:eastAsia="Times New Roman" w:cs="Times New Roman"/>
                <w:noProof/>
              </w:rPr>
            </w:pPr>
            <w:r>
              <w:rPr>
                <w:noProof/>
              </w:rPr>
              <w:t xml:space="preserve">Vähintään 3700 (keski- ja korkea) ammattikoulutusjaksoa, jotka on muunnettu kaksikieliseksi tarjonnaksi </w:t>
            </w:r>
          </w:p>
        </w:tc>
      </w:tr>
      <w:tr w:rsidR="0065073E" w14:paraId="79E823D9" w14:textId="77777777">
        <w:trPr>
          <w:trHeight w:val="309"/>
        </w:trPr>
        <w:tc>
          <w:tcPr>
            <w:tcW w:w="851" w:type="dxa"/>
            <w:tcBorders>
              <w:bottom w:val="single" w:sz="4" w:space="0" w:color="auto"/>
            </w:tcBorders>
            <w:shd w:val="clear" w:color="auto" w:fill="C6EFCE"/>
            <w:noWrap/>
          </w:tcPr>
          <w:p w14:paraId="0F776034" w14:textId="77777777" w:rsidR="0065073E" w:rsidRDefault="000A0998">
            <w:pPr>
              <w:pStyle w:val="P68B1DB1-Normal12"/>
              <w:spacing w:after="0" w:line="240" w:lineRule="auto"/>
              <w:jc w:val="center"/>
              <w:rPr>
                <w:rFonts w:eastAsia="Times New Roman" w:cs="Times New Roman"/>
                <w:noProof/>
              </w:rPr>
            </w:pPr>
            <w:r>
              <w:rPr>
                <w:noProof/>
              </w:rPr>
              <w:t>302</w:t>
            </w:r>
          </w:p>
        </w:tc>
        <w:tc>
          <w:tcPr>
            <w:tcW w:w="851" w:type="dxa"/>
            <w:tcBorders>
              <w:bottom w:val="single" w:sz="4" w:space="0" w:color="auto"/>
            </w:tcBorders>
            <w:shd w:val="clear" w:color="auto" w:fill="C6EFCE"/>
            <w:noWrap/>
          </w:tcPr>
          <w:p w14:paraId="71B26183" w14:textId="77777777" w:rsidR="0065073E" w:rsidRDefault="000A0998">
            <w:pPr>
              <w:pStyle w:val="P68B1DB1-Normal12"/>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6353C863" w14:textId="77777777" w:rsidR="0065073E" w:rsidRDefault="000A0998">
            <w:pPr>
              <w:pStyle w:val="P68B1DB1-Normal12"/>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203B6A17" w14:textId="54AEA1C1" w:rsidR="0065073E" w:rsidRDefault="000A0998">
            <w:pPr>
              <w:pStyle w:val="P68B1DB1-Normal12"/>
              <w:spacing w:after="0" w:line="240" w:lineRule="auto"/>
              <w:rPr>
                <w:noProof/>
              </w:rPr>
            </w:pPr>
            <w:r>
              <w:rPr>
                <w:noProof/>
              </w:rPr>
              <w:t>Uudet ammatillisen koulutuksen ryhmät lukuvuoteen 2019/2020 verrattuna.</w:t>
            </w:r>
          </w:p>
        </w:tc>
        <w:tc>
          <w:tcPr>
            <w:tcW w:w="1418" w:type="dxa"/>
            <w:tcBorders>
              <w:bottom w:val="single" w:sz="4" w:space="0" w:color="auto"/>
            </w:tcBorders>
            <w:shd w:val="clear" w:color="auto" w:fill="C6EFCE"/>
            <w:noWrap/>
          </w:tcPr>
          <w:p w14:paraId="2261ABF4" w14:textId="77777777" w:rsidR="0065073E" w:rsidRDefault="000A0998">
            <w:pPr>
              <w:pStyle w:val="P68B1DB1-Normal12"/>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180E80F1"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84" w:type="dxa"/>
            <w:tcBorders>
              <w:bottom w:val="single" w:sz="4" w:space="0" w:color="auto"/>
            </w:tcBorders>
            <w:shd w:val="clear" w:color="auto" w:fill="C6EFCE"/>
            <w:noWrap/>
          </w:tcPr>
          <w:p w14:paraId="7F755418" w14:textId="3907D49C" w:rsidR="0065073E" w:rsidRDefault="000A0998">
            <w:pPr>
              <w:pStyle w:val="P68B1DB1-Normal12"/>
              <w:spacing w:after="0" w:line="240" w:lineRule="auto"/>
              <w:jc w:val="center"/>
              <w:rPr>
                <w:rFonts w:eastAsia="Times New Roman" w:cs="Times New Roman"/>
                <w:noProof/>
              </w:rPr>
            </w:pPr>
            <w:r>
              <w:rPr>
                <w:noProof/>
              </w:rPr>
              <w:t>39 063</w:t>
            </w:r>
          </w:p>
        </w:tc>
        <w:tc>
          <w:tcPr>
            <w:tcW w:w="1040" w:type="dxa"/>
            <w:tcBorders>
              <w:bottom w:val="single" w:sz="4" w:space="0" w:color="auto"/>
            </w:tcBorders>
            <w:shd w:val="clear" w:color="auto" w:fill="C6EFCE"/>
            <w:noWrap/>
          </w:tcPr>
          <w:p w14:paraId="532825E9" w14:textId="129D589E" w:rsidR="0065073E" w:rsidRDefault="000A0998">
            <w:pPr>
              <w:pStyle w:val="P68B1DB1-Normal12"/>
              <w:spacing w:after="0" w:line="240" w:lineRule="auto"/>
              <w:jc w:val="center"/>
              <w:rPr>
                <w:rFonts w:eastAsia="Times New Roman" w:cs="Times New Roman"/>
                <w:noProof/>
              </w:rPr>
            </w:pPr>
            <w:r>
              <w:rPr>
                <w:noProof/>
              </w:rPr>
              <w:t>47 315</w:t>
            </w:r>
          </w:p>
        </w:tc>
        <w:tc>
          <w:tcPr>
            <w:tcW w:w="365" w:type="dxa"/>
            <w:tcBorders>
              <w:bottom w:val="single" w:sz="4" w:space="0" w:color="auto"/>
            </w:tcBorders>
            <w:shd w:val="clear" w:color="auto" w:fill="C6EFCE"/>
            <w:noWrap/>
          </w:tcPr>
          <w:p w14:paraId="46434BF6" w14:textId="77777777" w:rsidR="0065073E" w:rsidRDefault="000A0998">
            <w:pPr>
              <w:pStyle w:val="P68B1DB1-Normal12"/>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1EC600EC" w14:textId="5A9F4250" w:rsidR="0065073E" w:rsidRDefault="000A0998">
            <w:pPr>
              <w:pStyle w:val="P68B1DB1-Normal12"/>
              <w:spacing w:after="0" w:line="240" w:lineRule="auto"/>
              <w:jc w:val="center"/>
              <w:rPr>
                <w:rFonts w:eastAsia="Times New Roman" w:cs="Times New Roman"/>
                <w:noProof/>
              </w:rPr>
            </w:pPr>
            <w:r>
              <w:rPr>
                <w:noProof/>
              </w:rPr>
              <w:t>2025</w:t>
            </w:r>
          </w:p>
        </w:tc>
        <w:tc>
          <w:tcPr>
            <w:tcW w:w="4820" w:type="dxa"/>
            <w:tcBorders>
              <w:bottom w:val="single" w:sz="4" w:space="0" w:color="auto"/>
            </w:tcBorders>
            <w:shd w:val="clear" w:color="auto" w:fill="C6EFCE"/>
            <w:noWrap/>
          </w:tcPr>
          <w:p w14:paraId="2D1E2E6F" w14:textId="547E13B4" w:rsidR="0065073E" w:rsidRDefault="000A0998">
            <w:pPr>
              <w:pStyle w:val="P68B1DB1-Normal12"/>
              <w:spacing w:after="0" w:line="240" w:lineRule="auto"/>
              <w:rPr>
                <w:rFonts w:eastAsia="Times New Roman" w:cs="Times New Roman"/>
                <w:noProof/>
              </w:rPr>
            </w:pPr>
            <w:r>
              <w:rPr>
                <w:noProof/>
              </w:rPr>
              <w:t>Vähintään 8252 uutta</w:t>
            </w:r>
            <w:r>
              <w:rPr>
                <w:noProof/>
                <w:shd w:val="clear" w:color="auto" w:fill="E6E6E6"/>
              </w:rPr>
              <w:t xml:space="preserve"> </w:t>
            </w:r>
            <w:r>
              <w:rPr>
                <w:noProof/>
              </w:rPr>
              <w:t>ammatillisen koulutuksen ryhmää lukuvuoteen 2019/2020 verrattuna. Perustason päivämäärä: Lukuvuosi 2019/2020.</w:t>
            </w:r>
          </w:p>
        </w:tc>
      </w:tr>
    </w:tbl>
    <w:p w14:paraId="7083BF8A" w14:textId="77777777" w:rsidR="0065073E" w:rsidRDefault="0065073E">
      <w:pPr>
        <w:pStyle w:val="Text1"/>
        <w:ind w:left="0"/>
        <w:rPr>
          <w:rFonts w:ascii="Times New Roman" w:hAnsi="Times New Roman" w:cs="Times New Roman"/>
          <w:noProof/>
        </w:rPr>
        <w:sectPr w:rsidR="0065073E" w:rsidSect="00B511EF">
          <w:headerReference w:type="even" r:id="rId457"/>
          <w:headerReference w:type="default" r:id="rId458"/>
          <w:footerReference w:type="even" r:id="rId459"/>
          <w:footerReference w:type="default" r:id="rId460"/>
          <w:headerReference w:type="first" r:id="rId461"/>
          <w:footerReference w:type="first" r:id="rId462"/>
          <w:pgSz w:w="16839" w:h="11907" w:orient="landscape"/>
          <w:pgMar w:top="1134" w:right="1134" w:bottom="1134" w:left="1134" w:header="567" w:footer="567" w:gutter="0"/>
          <w:cols w:space="720"/>
          <w:docGrid w:linePitch="360"/>
        </w:sectPr>
      </w:pPr>
    </w:p>
    <w:p w14:paraId="4232B598" w14:textId="77777777" w:rsidR="0065073E" w:rsidRDefault="000A0998">
      <w:pPr>
        <w:pStyle w:val="P68B1DB1-Heading12"/>
        <w:ind w:left="426" w:firstLine="294"/>
        <w:rPr>
          <w:rFonts w:cs="Times New Roman"/>
          <w:noProof/>
        </w:rPr>
      </w:pPr>
      <w:r>
        <w:rPr>
          <w:noProof/>
        </w:rPr>
        <w:t>U. OSA 21: Koulutuksen nykyaikaistaminen ja digitalisointi, mukaan lukien varhaiskasvatus 0–3</w:t>
      </w:r>
    </w:p>
    <w:p w14:paraId="2E6D50AD" w14:textId="77777777" w:rsidR="0065073E" w:rsidRDefault="000A0998">
      <w:pPr>
        <w:pStyle w:val="P68B1DB1-Normal4"/>
        <w:spacing w:before="120" w:after="120" w:line="240" w:lineRule="auto"/>
        <w:ind w:left="142"/>
        <w:jc w:val="both"/>
        <w:rPr>
          <w:rFonts w:cs="Times New Roman"/>
          <w:noProof/>
        </w:rPr>
      </w:pPr>
      <w:r>
        <w:rPr>
          <w:noProof/>
        </w:rPr>
        <w:t xml:space="preserve">Tässä Espanjan elpymis- ja palautumissuunnitelman osassa keskitytään koulutusjärjestelmän nykyaikaistamiseen ja koulutusinfrastruktuurin parantamiseen. Sen tavoitteena on joustavampi ja osallistavampi järjestelmä, joka räätälöidään paremmin kunkin oppilaan tarpeisiin ja jossa otetaan käyttöön uusia opetus- ja oppimistekniikoita, myös digitaalisia. Kunkin koulutusvaiheen päätavoitteet ovat seuraavat: </w:t>
      </w:r>
    </w:p>
    <w:p w14:paraId="32BCC920" w14:textId="77777777" w:rsidR="0065073E" w:rsidRDefault="000A0998">
      <w:pPr>
        <w:pStyle w:val="P68B1DB1-Normal4"/>
        <w:numPr>
          <w:ilvl w:val="0"/>
          <w:numId w:val="138"/>
        </w:numPr>
        <w:spacing w:before="120" w:after="160" w:line="259" w:lineRule="auto"/>
        <w:contextualSpacing/>
        <w:jc w:val="both"/>
        <w:rPr>
          <w:rFonts w:cs="Times New Roman"/>
          <w:noProof/>
        </w:rPr>
      </w:pPr>
      <w:r>
        <w:rPr>
          <w:noProof/>
          <w:u w:val="single"/>
        </w:rPr>
        <w:t>Varhaiskasvatus (ECEC)</w:t>
      </w:r>
      <w:r>
        <w:rPr>
          <w:noProof/>
        </w:rPr>
        <w:t xml:space="preserve"> Komponentilla pyritään lisäämään varhaiskasvatukseen osallistumista asteittain asettamalla etusijalle uusien julkisten tilojen tarjoaminen lapsille alueilla, joilla köyhyyden tai sosiaalisen syrjäytymisen riski on suurempi, ja maaseudulla. Painopiste on 0–3-vuotiailla lapsilla, ja huomiota on kiinnitettävä sekä saatavuuteen että kohtuuhintaisuuteen, erityisesti naisten työmarkkinoille integroitumisen edistämiseen, koulutustulosten parantamiseen ja koulunkäynnin keskeyttämisen ehkäisemiseen myöhemmässä vaiheessa. </w:t>
      </w:r>
    </w:p>
    <w:p w14:paraId="0F7CA705" w14:textId="77777777" w:rsidR="0065073E" w:rsidRDefault="000A0998">
      <w:pPr>
        <w:pStyle w:val="P68B1DB1-Normal4"/>
        <w:numPr>
          <w:ilvl w:val="0"/>
          <w:numId w:val="138"/>
        </w:numPr>
        <w:spacing w:before="120" w:after="160" w:line="259" w:lineRule="auto"/>
        <w:contextualSpacing/>
        <w:jc w:val="both"/>
        <w:rPr>
          <w:rFonts w:cs="Times New Roman"/>
          <w:noProof/>
        </w:rPr>
      </w:pPr>
      <w:r>
        <w:rPr>
          <w:noProof/>
          <w:u w:val="single"/>
        </w:rPr>
        <w:t>Alemman ja ylemmän perusasteen koulutus</w:t>
      </w:r>
      <w:r>
        <w:rPr>
          <w:noProof/>
        </w:rPr>
        <w:t xml:space="preserve">. Komponentilla pyritään parantamaan koulutustuloksia vähentämällä koulunkäynnin keskeyttämistä ja korkeaa toistuvuutta, antamalla lisätukea heikosti suoriutuville opiskelijoille ja kehittämällä uusi opetussuunnitelma pakollisen perus- ja keskiasteen koulutuksen ja ylioppilastutkinnon avaintaidoille (mukaan lukien digitaaliset taidot). </w:t>
      </w:r>
    </w:p>
    <w:p w14:paraId="3C202EDA" w14:textId="77777777" w:rsidR="0065073E" w:rsidRDefault="000A0998">
      <w:pPr>
        <w:pStyle w:val="P68B1DB1-Normal4"/>
        <w:numPr>
          <w:ilvl w:val="0"/>
          <w:numId w:val="138"/>
        </w:numPr>
        <w:spacing w:before="120" w:after="160" w:line="259" w:lineRule="auto"/>
        <w:contextualSpacing/>
        <w:jc w:val="both"/>
        <w:rPr>
          <w:rFonts w:cs="Times New Roman"/>
          <w:noProof/>
        </w:rPr>
      </w:pPr>
      <w:r>
        <w:rPr>
          <w:noProof/>
          <w:u w:val="single"/>
        </w:rPr>
        <w:t>Yliopistojärjestelmä</w:t>
      </w:r>
      <w:r>
        <w:rPr>
          <w:noProof/>
        </w:rPr>
        <w:t>. Komponentilla pyritään nykyaikaistamaan yliopistojärjestelmää mukauttamalla yliopistojen kurssien järjestämistä nykypäivän yhteiskunnallisiin tarpeisiin, parantamalla korkea-asteen koulutuksen työmarkkinarelevanssia ja tukemalla teknologista muutosta. Sillä pyritään myös parantamaan pääsyä korkea-asteen koulutukseen ja parantamaan sen kohtuuhintaisuutta.</w:t>
      </w:r>
    </w:p>
    <w:p w14:paraId="39B23856" w14:textId="77777777" w:rsidR="0065073E" w:rsidRDefault="000A0998">
      <w:pPr>
        <w:pStyle w:val="P68B1DB1-Normal4"/>
        <w:spacing w:before="120" w:after="120" w:line="240" w:lineRule="auto"/>
        <w:jc w:val="both"/>
        <w:rPr>
          <w:rFonts w:cs="Times New Roman"/>
          <w:noProof/>
        </w:rPr>
      </w:pPr>
      <w:r>
        <w:rPr>
          <w:noProof/>
        </w:rPr>
        <w:t xml:space="preserve">Komponentilla edistetään niiden maakohtaisten suositusten noudattamista, jotka liittyvät koulunkäynnin keskeyttämisen vähentämiseen ja koulutustulosten parantamiseen, kun otetaan huomioon alueelliset erot (maakohtaiset suositukset 2 2019) ja parannetaan digitaalisen oppimisen saatavuutta (maakohtainen suositus 2 2020). Se auttaa myös vastaamaan aiempiin maakohtaisiin suosituksiin, jotka liittyvät opiskelijoiden ja opettajien koulutuksen parempaan tukemiseen sekä perheille annettavaan tukeen (maakohtaiset suositukset 2 2019), mukaan lukien laadukkaan lastenhoidon saatavuus. </w:t>
      </w:r>
    </w:p>
    <w:p w14:paraId="05281E9A"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F2AA7E0"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U.1 </w:t>
      </w:r>
      <w:r>
        <w:rPr>
          <w:noProof/>
        </w:rPr>
        <w:t xml:space="preserve"> </w:t>
      </w:r>
      <w:r>
        <w:rPr>
          <w:rFonts w:ascii="Times New Roman" w:hAnsi="Times New Roman"/>
          <w:b/>
          <w:noProof/>
          <w:sz w:val="24"/>
          <w:u w:val="single"/>
        </w:rPr>
        <w:t>Kuvaus uudistuksista ja investoinneista, joita rahoitetaan rahoitustuella, jota ei makseta takaisin</w:t>
      </w:r>
    </w:p>
    <w:p w14:paraId="5277237A" w14:textId="77777777" w:rsidR="0065073E" w:rsidRDefault="000A0998">
      <w:pPr>
        <w:pStyle w:val="P68B1DB1-Normal22"/>
        <w:spacing w:before="120" w:after="120" w:line="240" w:lineRule="auto"/>
        <w:jc w:val="both"/>
        <w:rPr>
          <w:rFonts w:cs="Times New Roman"/>
          <w:noProof/>
        </w:rPr>
      </w:pPr>
      <w:r>
        <w:rPr>
          <w:noProof/>
        </w:rPr>
        <w:t xml:space="preserve">Uudistus 1 (C21.R1) – Uusi orgaaninen koulutuslaki  </w:t>
      </w:r>
    </w:p>
    <w:p w14:paraId="3F98D6C3" w14:textId="77777777" w:rsidR="0065073E" w:rsidRDefault="000A0998">
      <w:pPr>
        <w:pStyle w:val="P68B1DB1-Normal4"/>
        <w:spacing w:before="120" w:after="120" w:line="240" w:lineRule="auto"/>
        <w:jc w:val="both"/>
        <w:rPr>
          <w:rFonts w:cs="Times New Roman"/>
          <w:noProof/>
        </w:rPr>
      </w:pPr>
      <w:r>
        <w:rPr>
          <w:noProof/>
          <w:shd w:val="clear" w:color="auto" w:fill="FFFFFF"/>
        </w:rPr>
        <w:t>Uudistuksen myötä hyväksytään uusi koulutuslaki, joka kattaa varhaiskasvatuksen</w:t>
      </w:r>
      <w:r>
        <w:rPr>
          <w:noProof/>
        </w:rPr>
        <w:t>, pakollisen perus- ja keskiasteen koulutuksen ja ylioppilastutkinnon. Se luo perustan koko väestön koulutusmahdollisuuksien lisäämiselle muun muassa parantamalla koulutustuloksia ja ongelmien varhaista havaitsemista sekä vahvistamalla koulujen itsenäisyyttä. Siinä keskitytään vähentämään opiskelijoiden taustaan perustuvaa eriytymistä ja parantamaan järjestelmän osallistavia valmiuksia. Lisäksi tavoitteena on vahvistaa digitaalisia taitoja kaikilla koulutustasoilla ja vastata siten yhä digitalisoituneempaan talouteen.  Uusi laki (LOMLOE) hyväksyttiin 29. joulukuuta 2020.</w:t>
      </w:r>
    </w:p>
    <w:p w14:paraId="6573CFB4" w14:textId="77777777" w:rsidR="0065073E" w:rsidRDefault="000A0998">
      <w:pPr>
        <w:pStyle w:val="P68B1DB1-Normal4"/>
        <w:spacing w:before="120" w:after="120" w:line="240" w:lineRule="auto"/>
        <w:jc w:val="both"/>
        <w:rPr>
          <w:rFonts w:cs="Times New Roman"/>
          <w:noProof/>
        </w:rPr>
      </w:pPr>
      <w:r>
        <w:rPr>
          <w:noProof/>
        </w:rPr>
        <w:t xml:space="preserve">Koulutuslain sääntelyn kehittäminen toteutetaan seuraavin keinoin: </w:t>
      </w:r>
    </w:p>
    <w:p w14:paraId="26F41691" w14:textId="77777777" w:rsidR="0065073E" w:rsidRDefault="000A0998">
      <w:pPr>
        <w:pStyle w:val="P68B1DB1-Normal4"/>
        <w:numPr>
          <w:ilvl w:val="0"/>
          <w:numId w:val="139"/>
        </w:numPr>
        <w:spacing w:before="120" w:after="160" w:line="259" w:lineRule="auto"/>
        <w:contextualSpacing/>
        <w:jc w:val="both"/>
        <w:rPr>
          <w:rFonts w:cs="Times New Roman"/>
          <w:noProof/>
        </w:rPr>
      </w:pPr>
      <w:r>
        <w:rPr>
          <w:noProof/>
        </w:rPr>
        <w:t xml:space="preserve">uuden taitoihin perustuvan opetussuunnitelman sääntely; </w:t>
      </w:r>
    </w:p>
    <w:p w14:paraId="7D127AE9" w14:textId="77777777" w:rsidR="0065073E" w:rsidRDefault="000A0998">
      <w:pPr>
        <w:pStyle w:val="P68B1DB1-Normal4"/>
        <w:numPr>
          <w:ilvl w:val="0"/>
          <w:numId w:val="139"/>
        </w:numPr>
        <w:spacing w:before="120" w:after="160" w:line="259" w:lineRule="auto"/>
        <w:contextualSpacing/>
        <w:jc w:val="both"/>
        <w:rPr>
          <w:rFonts w:cs="Times New Roman"/>
          <w:noProof/>
        </w:rPr>
      </w:pPr>
      <w:r>
        <w:rPr>
          <w:noProof/>
        </w:rPr>
        <w:t xml:space="preserve">arviointi, erityisesti koulutusjärjestelmän yleinen arviointi sekä diagnostiset arvioinnit; </w:t>
      </w:r>
    </w:p>
    <w:p w14:paraId="49022C5D" w14:textId="77777777" w:rsidR="0065073E" w:rsidRDefault="000A0998">
      <w:pPr>
        <w:pStyle w:val="P68B1DB1-Normal4"/>
        <w:numPr>
          <w:ilvl w:val="0"/>
          <w:numId w:val="139"/>
        </w:numPr>
        <w:spacing w:before="120" w:after="160" w:line="259" w:lineRule="auto"/>
        <w:contextualSpacing/>
        <w:jc w:val="both"/>
        <w:rPr>
          <w:rFonts w:cs="Times New Roman"/>
          <w:noProof/>
        </w:rPr>
      </w:pPr>
      <w:r>
        <w:rPr>
          <w:noProof/>
        </w:rPr>
        <w:t>opettajan ammatin kehittäminen; ja</w:t>
      </w:r>
    </w:p>
    <w:p w14:paraId="736CBF07" w14:textId="77777777" w:rsidR="0065073E" w:rsidRDefault="000A0998">
      <w:pPr>
        <w:pStyle w:val="P68B1DB1-Normal4"/>
        <w:numPr>
          <w:ilvl w:val="0"/>
          <w:numId w:val="139"/>
        </w:numPr>
        <w:spacing w:before="120" w:after="160" w:line="259" w:lineRule="auto"/>
        <w:contextualSpacing/>
        <w:jc w:val="both"/>
        <w:rPr>
          <w:rFonts w:cs="Times New Roman"/>
          <w:noProof/>
        </w:rPr>
      </w:pPr>
      <w:r>
        <w:rPr>
          <w:noProof/>
        </w:rPr>
        <w:t xml:space="preserve">ulkomaisten tutkintotodistusten ja opintojen tunnustamisen ja validoinnin sääntely. </w:t>
      </w:r>
    </w:p>
    <w:p w14:paraId="2DE9682E" w14:textId="77777777" w:rsidR="0065073E" w:rsidRDefault="000A0998">
      <w:pPr>
        <w:pStyle w:val="P68B1DB1-Normal4"/>
        <w:spacing w:before="120" w:after="120" w:line="240" w:lineRule="auto"/>
        <w:jc w:val="both"/>
        <w:rPr>
          <w:rFonts w:cs="Times New Roman"/>
          <w:noProof/>
          <w:shd w:val="clear" w:color="auto" w:fill="FFFFFF"/>
        </w:rPr>
      </w:pPr>
      <w:r>
        <w:rPr>
          <w:noProof/>
          <w:shd w:val="clear" w:color="auto" w:fill="FFFFFF"/>
        </w:rPr>
        <w:t xml:space="preserve">Näin ollen se luo perustan uudistukselle 2 ja siihen sisältyville eri investoinneille. </w:t>
      </w:r>
    </w:p>
    <w:p w14:paraId="6E4E7145" w14:textId="77777777" w:rsidR="0065073E" w:rsidRDefault="000A0998">
      <w:pPr>
        <w:pStyle w:val="P68B1DB1-Normal4"/>
        <w:spacing w:before="120" w:after="120" w:line="240" w:lineRule="auto"/>
        <w:jc w:val="both"/>
        <w:rPr>
          <w:rFonts w:cs="Times New Roman"/>
          <w:noProof/>
        </w:rPr>
      </w:pPr>
      <w:r>
        <w:rPr>
          <w:noProof/>
        </w:rPr>
        <w:t xml:space="preserve">Uudistuksen odotetaan myös edistävän erityisopetuksen valtavirtaistamista tavanomaisiin kouluihin, ja siihen on liitettävä alueviranomaisten kanssa sovittu 10-vuotinen säännöllisesti päivitettävä suunnitelma, joka tarjoaa lisäresursseja sellaisten koulujen tukemiseksi, joissa on erityistarpeita. </w:t>
      </w:r>
    </w:p>
    <w:p w14:paraId="525C459F"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maaliskuuta 2021 mennessä.</w:t>
      </w:r>
    </w:p>
    <w:p w14:paraId="38E7D1C8" w14:textId="77777777" w:rsidR="0065073E" w:rsidRDefault="000A0998">
      <w:pPr>
        <w:pStyle w:val="P68B1DB1-Normal21"/>
        <w:spacing w:before="120" w:after="120" w:line="240" w:lineRule="auto"/>
        <w:jc w:val="both"/>
        <w:rPr>
          <w:rFonts w:cs="Times New Roman"/>
          <w:noProof/>
        </w:rPr>
      </w:pPr>
      <w:r>
        <w:rPr>
          <w:noProof/>
          <w:u w:val="single"/>
        </w:rPr>
        <w:t>Uudistus 2 (C21.R2) – Uusi opetussuunnitelmamalli avaintaitoja, perusoppimista ja osallistavaa akateemista suunnittelua varten</w:t>
      </w:r>
      <w:r>
        <w:rPr>
          <w:noProof/>
        </w:rPr>
        <w:t xml:space="preserve"> </w:t>
      </w:r>
    </w:p>
    <w:p w14:paraId="3067CA83" w14:textId="77777777" w:rsidR="0065073E" w:rsidRDefault="000A0998">
      <w:pPr>
        <w:pStyle w:val="P68B1DB1-Normal4"/>
        <w:spacing w:before="120" w:after="120" w:line="240" w:lineRule="auto"/>
        <w:jc w:val="both"/>
        <w:rPr>
          <w:rFonts w:cs="Times New Roman"/>
          <w:noProof/>
        </w:rPr>
      </w:pPr>
      <w:r>
        <w:rPr>
          <w:noProof/>
        </w:rPr>
        <w:t>Uudistuksessa 1 tarkoitetun uuden koulutuslain (LOMLOE) hyväksymisen</w:t>
      </w:r>
      <w:r>
        <w:rPr>
          <w:noProof/>
          <w:shd w:val="clear" w:color="auto" w:fill="FFFFFF"/>
        </w:rPr>
        <w:t xml:space="preserve">perusteella tähän uudistukseen sisältyy alemman perusasteen ja keskiasteen koulutuksen ja ylioppilastutkinnon vähimmäisvaatimuksia koskevien lakien hyväksyminen. Siihen sisältyy myös opetusta ja oppimista koskevien metodologisten suuntaviivojen </w:t>
      </w:r>
      <w:r>
        <w:rPr>
          <w:noProof/>
        </w:rPr>
        <w:t>käyttöönotto osaamispohjaisen opetussuunnitelman pohjalta ja ”pehmeät taidot” ottaen huomioon elinikäisen oppimisen avaintaidoista 22 päivänä toukokuuta 2018 annettu neuvoston suositus. Asetuksiin on sisällyttävä arviointikehys, joka on kehitetty opetussuunnitelman mukaisesti ja jossa keskitytään pätevyyden hankkimisen tasoon ja opiskelijoiden edistymistä edistävien toimenpiteiden arviointiin. Tavoitteena on suunnitella joustavampi ja avoimempi koulutusmalli, joka edistää perusteellista oppimista soveltamalla yhteistyömenetelmiä ja parantaa oppimistuloksia. Uudessa opetussuunnitelmassa on kiinnitettävä huomiota kestävää kehitystä ja kansalaisuutta edistävään koulutukseen. Digitaalisten taitojen kehittäminen on otettava huomioon kaikilla tasoilla sekä erityisen sisällön kautta että monialaisesti.</w:t>
      </w:r>
    </w:p>
    <w:p w14:paraId="18D0C9CD" w14:textId="77777777" w:rsidR="0065073E" w:rsidRDefault="000A0998">
      <w:pPr>
        <w:pStyle w:val="P68B1DB1-Text118"/>
        <w:ind w:left="0"/>
        <w:rPr>
          <w:rFonts w:cs="Times New Roman"/>
          <w:noProof/>
        </w:rPr>
      </w:pPr>
      <w:r>
        <w:rPr>
          <w:noProof/>
        </w:rPr>
        <w:t>Tässä uudistuksessa vähintään 100 ulkopuolista asiantuntijaa osallistuu koulutusvaiheiden alojen ja oppiaineiden sekä arviointikehysten opetussuunnitelmien laatimiseen, mikä muodostaa perustan uuden opetussuunnitelman ja yhteisen arviointikehyksen kuninkaallisten asetusten laatimiselle.</w:t>
      </w:r>
    </w:p>
    <w:p w14:paraId="1CDA7885" w14:textId="77777777" w:rsidR="0065073E" w:rsidRDefault="000A0998">
      <w:pPr>
        <w:pStyle w:val="P68B1DB1-Normal4"/>
        <w:spacing w:before="120" w:after="120" w:line="240" w:lineRule="auto"/>
        <w:jc w:val="both"/>
        <w:rPr>
          <w:rFonts w:cs="Times New Roman"/>
          <w:noProof/>
        </w:rPr>
      </w:pPr>
      <w:r>
        <w:rPr>
          <w:noProof/>
        </w:rPr>
        <w:t xml:space="preserve">Uudistukseen sisältyy myös tuki-, ohjaus- ja opetusmateriaalin valmistelu sekä opettajien koulutus sen varmistamiseksi, että he voivat panna uuden opetussuunnitelman tehokkaasti täytäntöön. Aineisto on julkaistava verkossa kaikkien opettajien käyttöön sekä hyvien käytäntöjen levittämiseen. Vähintään 4000 ammattihenkilön on suoritettava koulutus uuden opetussuunnitelman soveltamiseksi. </w:t>
      </w:r>
    </w:p>
    <w:p w14:paraId="044E3EE4" w14:textId="77777777" w:rsidR="0065073E" w:rsidRDefault="000A0998">
      <w:pPr>
        <w:pStyle w:val="P68B1DB1-Normal21"/>
        <w:spacing w:before="120" w:after="120" w:line="240" w:lineRule="auto"/>
        <w:jc w:val="both"/>
        <w:rPr>
          <w:rFonts w:cs="Times New Roman"/>
          <w:noProof/>
        </w:rPr>
      </w:pPr>
      <w:r>
        <w:rPr>
          <w:noProof/>
        </w:rPr>
        <w:t>Uudistuksen suunnittelussa ja täytäntöönpanossa on kuultava koulutuksen neuvoa-antavia elimiä ja asiantuntijoita sekä itsehallintoalueita.</w:t>
      </w:r>
    </w:p>
    <w:p w14:paraId="48CF69A0"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syyskuuta 2024 mennessä.</w:t>
      </w:r>
    </w:p>
    <w:p w14:paraId="26D4B6BB" w14:textId="77777777" w:rsidR="0065073E" w:rsidRDefault="0065073E">
      <w:pPr>
        <w:spacing w:before="120" w:after="120" w:line="240" w:lineRule="auto"/>
        <w:jc w:val="both"/>
        <w:rPr>
          <w:rFonts w:ascii="Times New Roman" w:hAnsi="Times New Roman"/>
          <w:noProof/>
          <w:sz w:val="24"/>
          <w:u w:val="single"/>
          <w:shd w:val="clear" w:color="auto" w:fill="FFFFFF"/>
        </w:rPr>
        <w:sectPr w:rsidR="0065073E" w:rsidSect="00B511EF">
          <w:headerReference w:type="even" r:id="rId463"/>
          <w:headerReference w:type="default" r:id="rId464"/>
          <w:footerReference w:type="even" r:id="rId465"/>
          <w:footerReference w:type="default" r:id="rId466"/>
          <w:headerReference w:type="first" r:id="rId467"/>
          <w:footerReference w:type="first" r:id="rId468"/>
          <w:pgSz w:w="11907" w:h="16839"/>
          <w:pgMar w:top="1134" w:right="1134" w:bottom="1134" w:left="1134" w:header="567" w:footer="567" w:gutter="0"/>
          <w:cols w:space="720"/>
          <w:docGrid w:linePitch="360"/>
        </w:sectPr>
      </w:pPr>
    </w:p>
    <w:p w14:paraId="5813ECD3" w14:textId="77777777" w:rsidR="0065073E" w:rsidRDefault="000A0998">
      <w:pPr>
        <w:pStyle w:val="P68B1DB1-Normal22"/>
        <w:spacing w:before="120" w:after="120" w:line="240" w:lineRule="auto"/>
        <w:jc w:val="both"/>
        <w:rPr>
          <w:rFonts w:cs="Times New Roman"/>
          <w:noProof/>
        </w:rPr>
      </w:pPr>
      <w:r>
        <w:rPr>
          <w:noProof/>
        </w:rPr>
        <w:t xml:space="preserve">Uudistus 3 (C21.R3) – yliopistojärjestelmän kattava uudistus </w:t>
      </w:r>
    </w:p>
    <w:p w14:paraId="0F71425B" w14:textId="77777777" w:rsidR="0065073E" w:rsidRDefault="000A0998">
      <w:pPr>
        <w:pStyle w:val="P68B1DB1-Normal4"/>
        <w:spacing w:before="120" w:after="120" w:line="240" w:lineRule="auto"/>
        <w:jc w:val="both"/>
        <w:rPr>
          <w:rFonts w:cs="Times New Roman"/>
          <w:noProof/>
        </w:rPr>
      </w:pPr>
      <w:r>
        <w:rPr>
          <w:noProof/>
          <w:shd w:val="clear" w:color="auto" w:fill="FFFFFF"/>
        </w:rPr>
        <w:t xml:space="preserve">Uudistuksessa keskitytään yliopistojärjestelmää koskevaan uuteen lakiin, jonka tavoitteena on järjestelmän </w:t>
      </w:r>
      <w:r>
        <w:rPr>
          <w:noProof/>
        </w:rPr>
        <w:t xml:space="preserve">kattava uudistus, joka perustuu </w:t>
      </w:r>
      <w:bookmarkStart w:id="56" w:name="_Hlk65757328"/>
      <w:r>
        <w:rPr>
          <w:noProof/>
        </w:rPr>
        <w:t xml:space="preserve">neljään päätavoitteeseen: </w:t>
      </w:r>
    </w:p>
    <w:bookmarkEnd w:id="56"/>
    <w:p w14:paraId="070B5F86" w14:textId="77777777" w:rsidR="0065073E" w:rsidRDefault="000A0998">
      <w:pPr>
        <w:pStyle w:val="P68B1DB1-Normal21"/>
        <w:numPr>
          <w:ilvl w:val="0"/>
          <w:numId w:val="140"/>
        </w:numPr>
        <w:spacing w:before="120" w:after="120" w:line="240" w:lineRule="auto"/>
        <w:jc w:val="both"/>
        <w:rPr>
          <w:rFonts w:cs="Times New Roman"/>
          <w:noProof/>
        </w:rPr>
      </w:pPr>
      <w:r>
        <w:rPr>
          <w:noProof/>
        </w:rPr>
        <w:t>Korkea-asteen koulutukseen pääsyn edistäminen. Apurahoja lisätään sosioekonomiset olosuhteet huomioon ottaen, ja yhtäläiset mahdollisuudet varmistetaan parantamalla vammaisten opiskelijoiden apurahoja. Apurahajärjestelmää uudistettiin vuonna 2020, mutta sitä kehitetään edelleen vuosina 2021 ja 2022. Myös julkisten yliopistojen maksuja on alennettava muun muassa vahvistamalla kynnysarvot ja vähentämällä suuria alueellisia eroja.</w:t>
      </w:r>
    </w:p>
    <w:p w14:paraId="5A5C4F93" w14:textId="77777777" w:rsidR="0065073E" w:rsidRDefault="000A0998">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 xml:space="preserve">Yliopisto-opintojen järjestäminen. Yliopisto-opintojen järjestämisen uudistamisesta ja niiden laadun ja työmarkkinarelevanssin varmistamisesta annetaan asetus. </w:t>
      </w:r>
      <w:r>
        <w:rPr>
          <w:noProof/>
        </w:rPr>
        <w:t>Tätä varten yliopistojen yhteistyötä korkea-asteen koulutuksen alan yritysten kanssa edistetään sääntelemällä kaksoiskandidaatti- ja maisterintutkintoja, mukaan lukien yliopistojen valvomissa yrityksissä toteutettavat koulutusohjelmat.</w:t>
      </w:r>
      <w:r>
        <w:rPr>
          <w:noProof/>
          <w:shd w:val="clear" w:color="auto" w:fill="FFFFFF"/>
        </w:rPr>
        <w:t xml:space="preserve"> Eurooppalaisen koulutusalueen tavoitteiden mukaisesti on varmistettava tutkintotodistusten automaattinen tunnustaminen. </w:t>
      </w:r>
      <w:r>
        <w:rPr>
          <w:noProof/>
        </w:rPr>
        <w:t xml:space="preserve">Lisäksi on vahvistettava muun kuin lähiopetuksen todentamis-, seuranta- ja akkreditointiprosesseja, joissa yhdistyvät yliopisto-opetuksen laadunvarmistus ja siihen liittyvien menettelyjen byrokratian vähentäminen. Myös innovatiivista opetusta on edistettävä. </w:t>
      </w:r>
    </w:p>
    <w:p w14:paraId="2265A793" w14:textId="77777777" w:rsidR="0065073E" w:rsidRDefault="000A0998">
      <w:pPr>
        <w:pStyle w:val="P68B1DB1-Normal21"/>
        <w:numPr>
          <w:ilvl w:val="0"/>
          <w:numId w:val="140"/>
        </w:numPr>
        <w:spacing w:before="120" w:after="120" w:line="240" w:lineRule="auto"/>
        <w:jc w:val="both"/>
        <w:rPr>
          <w:rFonts w:cs="Times New Roman"/>
          <w:noProof/>
        </w:rPr>
      </w:pPr>
      <w:r>
        <w:rPr>
          <w:noProof/>
        </w:rPr>
        <w:t>Varmistetaan korkeakoulujen hyvä hallinto ja edistetään opetus- ja tutkimushenkilöstön tutkimusta, siirtoa ja liikkuvuutta. Tavoitteena on varmistaa vaikuttavuus, tehokkuus ja yliopistojen itsenäisyys yliopistojen päivittäisessä johtamisessa, lisätä sidosryhmien osallistumista hallintoon ja edistää avoimuutta ja vastuuvelvollisuutta. Sillä on myös varmistettava, että yliopistoissa on korkeasti koulutettuja opettajia, että opetusura on ennustettavampi ja että opetuksen ja tutkimuksen välistä yhteyttä vahvistetaan.</w:t>
      </w:r>
    </w:p>
    <w:p w14:paraId="30DA7ED5" w14:textId="77777777" w:rsidR="0065073E" w:rsidRDefault="000A0998">
      <w:pPr>
        <w:pStyle w:val="P68B1DB1-Normal4"/>
        <w:numPr>
          <w:ilvl w:val="0"/>
          <w:numId w:val="140"/>
        </w:numPr>
        <w:spacing w:before="120" w:after="120" w:line="240" w:lineRule="auto"/>
        <w:jc w:val="both"/>
        <w:rPr>
          <w:rFonts w:cs="Times New Roman"/>
          <w:noProof/>
          <w:shd w:val="clear" w:color="auto" w:fill="FFFFFF"/>
        </w:rPr>
      </w:pPr>
      <w:r>
        <w:rPr>
          <w:noProof/>
        </w:rPr>
        <w:t>Korkeakoulujen laadun</w:t>
      </w:r>
      <w:r>
        <w:rPr>
          <w:noProof/>
          <w:shd w:val="clear" w:color="auto" w:fill="FFFFFF"/>
        </w:rPr>
        <w:t xml:space="preserve">varmistaminen. </w:t>
      </w:r>
      <w:r>
        <w:rPr>
          <w:noProof/>
        </w:rPr>
        <w:t>Annetaan asetus, jossa säädetään yliopistojen ja niihin liittyvien keskusten perustamista, tunnustamista, hyväksymistä ja akkreditointia koskevista akateemisista laatuvaatimuksista, mukaan lukien etäyliopistot ja puoli henkilökohtaiset yliopistot.</w:t>
      </w:r>
      <w:r>
        <w:rPr>
          <w:noProof/>
          <w:shd w:val="clear" w:color="auto" w:fill="FFFFFF"/>
        </w:rPr>
        <w:t xml:space="preserve"> Tavoitteena on, että yliopistoilla </w:t>
      </w:r>
      <w:r>
        <w:rPr>
          <w:noProof/>
        </w:rPr>
        <w:t>on oltava akateeminen vähimmäistarjonta, ja samalla on varmistettava yliopistojen erikoistumismahdollisuus. perustutkinto-opiskelijoiden vähimmäismäärä; osoitettava vähintään 5 prosenttia määrärahoistaan tutkimusohjelmiin; ja niillä on sisäiset laadunvarmistusjärjestelmät.</w:t>
      </w:r>
    </w:p>
    <w:p w14:paraId="49406F58" w14:textId="77777777" w:rsidR="0065073E" w:rsidRDefault="000A0998">
      <w:pPr>
        <w:pStyle w:val="P68B1DB1-Normal21"/>
        <w:spacing w:before="120" w:after="120" w:line="240" w:lineRule="auto"/>
        <w:jc w:val="both"/>
        <w:rPr>
          <w:rFonts w:cs="Times New Roman"/>
          <w:noProof/>
        </w:rPr>
      </w:pPr>
      <w:r>
        <w:rPr>
          <w:noProof/>
        </w:rPr>
        <w:t>Tätä varten uudistuksessa otetaan huomioon Espanjan yliopistojen rehtoreiden konferenssin (CRUE) suositukset. Se auttaa parantamaan korkea-asteen koulutuksen työmarkkinarelevanssia muun muassa edistämällä yhteistyötä yritysten kanssa ja ottamalla käyttöön suoritusperusteisia rahoitusmalleja julkisissa yliopistoissa.</w:t>
      </w:r>
    </w:p>
    <w:p w14:paraId="47FC6520"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kesäkuuta 2023 mennessä.</w:t>
      </w:r>
    </w:p>
    <w:p w14:paraId="4972F648" w14:textId="77777777" w:rsidR="0065073E" w:rsidRDefault="0065073E">
      <w:pPr>
        <w:spacing w:before="120" w:after="120" w:line="240" w:lineRule="auto"/>
        <w:jc w:val="both"/>
        <w:rPr>
          <w:rFonts w:ascii="Times New Roman" w:hAnsi="Times New Roman"/>
          <w:noProof/>
          <w:sz w:val="24"/>
          <w:u w:val="single"/>
          <w:shd w:val="clear" w:color="auto" w:fill="FFFFFF"/>
        </w:rPr>
        <w:sectPr w:rsidR="0065073E" w:rsidSect="00B511EF">
          <w:headerReference w:type="even" r:id="rId469"/>
          <w:headerReference w:type="default" r:id="rId470"/>
          <w:footerReference w:type="even" r:id="rId471"/>
          <w:footerReference w:type="default" r:id="rId472"/>
          <w:headerReference w:type="first" r:id="rId473"/>
          <w:footerReference w:type="first" r:id="rId474"/>
          <w:pgSz w:w="11907" w:h="16839"/>
          <w:pgMar w:top="1134" w:right="1134" w:bottom="1134" w:left="1134" w:header="567" w:footer="567" w:gutter="0"/>
          <w:cols w:space="720"/>
          <w:docGrid w:linePitch="360"/>
        </w:sectPr>
      </w:pPr>
    </w:p>
    <w:p w14:paraId="38C05484" w14:textId="77777777" w:rsidR="0065073E" w:rsidRDefault="000A0998">
      <w:pPr>
        <w:pStyle w:val="P68B1DB1-Normal21"/>
        <w:spacing w:before="120" w:after="120" w:line="240" w:lineRule="auto"/>
        <w:jc w:val="both"/>
        <w:rPr>
          <w:rFonts w:cs="Times New Roman"/>
          <w:noProof/>
          <w:u w:val="single"/>
        </w:rPr>
      </w:pPr>
      <w:r>
        <w:rPr>
          <w:noProof/>
          <w:u w:val="single"/>
        </w:rPr>
        <w:t>Investointi 1 (C21.I1) – Varhaiskasvatuksen edistäminen (ECEC)</w:t>
      </w:r>
      <w:r>
        <w:rPr>
          <w:noProof/>
        </w:rPr>
        <w:t xml:space="preserve"> </w:t>
      </w:r>
    </w:p>
    <w:p w14:paraId="45772844" w14:textId="77777777" w:rsidR="0065073E" w:rsidRDefault="000A0998">
      <w:pPr>
        <w:pStyle w:val="P68B1DB1-Normal4"/>
        <w:spacing w:before="120" w:after="120" w:line="240" w:lineRule="auto"/>
        <w:jc w:val="both"/>
        <w:rPr>
          <w:rFonts w:cs="Times New Roman"/>
          <w:noProof/>
        </w:rPr>
      </w:pPr>
      <w:r>
        <w:rPr>
          <w:noProof/>
          <w:shd w:val="clear" w:color="auto" w:fill="FFFFFF"/>
        </w:rPr>
        <w:t xml:space="preserve">Osana tätä toimenpidettä Espanjan on investoitava uusien varhaiskasvatuslaitosten rakentamiseen, olemassa olevien rakennusten kunnostamiseen ja kunnostamiseen sekä laitteisiin, jotta voidaan perustaa vähintään 60000 uutta julkisessa omistuksessa olevaa varhaiskasvatuspaikkaa alle 3-vuotiaille lapsille. Painopisteenä on tarjota kohtuuhintaisia julkisia paikkoja </w:t>
      </w:r>
      <w:r>
        <w:rPr>
          <w:noProof/>
        </w:rPr>
        <w:t xml:space="preserve">lapsille alueilla, joilla köyhyys- tai syrjäytymisriski on suurempi, ja maaseudulla, erityisesti 1–2-vuotiaille. Rakennukset ovat joko alue- tai paikallisviranomaisten tai Ceutan ja Melillan tapauksessa opetus- ja ammattikoulutusministeriön omistuksessa. </w:t>
      </w:r>
    </w:p>
    <w:p w14:paraId="07508A27" w14:textId="1AEF08E7" w:rsidR="0065073E" w:rsidRDefault="000A0998">
      <w:pPr>
        <w:pStyle w:val="P68B1DB1-Normal4"/>
        <w:spacing w:before="120" w:after="120" w:line="240" w:lineRule="auto"/>
        <w:jc w:val="both"/>
        <w:rPr>
          <w:rFonts w:cs="Times New Roman"/>
          <w:noProof/>
        </w:rPr>
      </w:pPr>
      <w:r>
        <w:rPr>
          <w:noProof/>
        </w:rPr>
        <w:t>Investointi voisi kattaa myös toimintamenot, mukaan lukien opettajien palkat investoinnin käyttöönoton aikana, jotta alue- ja paikallisviranomaisia kannustettaisiin tarjoamaan enintään 40000 uutta koulutuspaikkaa. Espanjan on varmistettava, että toimi on julkisen talouden kannalta kestävä elpymis- ja palautumistukivälineen päättymisen jälkeen, myös käyttämällä muita EU:n rahoituslähteitä.</w:t>
      </w:r>
    </w:p>
    <w:p w14:paraId="37D0BEA7" w14:textId="5F35551E"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31. joulukuuta 2025 mennessä.</w:t>
      </w:r>
    </w:p>
    <w:p w14:paraId="5E2EE741" w14:textId="77777777" w:rsidR="0065073E" w:rsidRDefault="000A0998">
      <w:pPr>
        <w:pStyle w:val="P68B1DB1-Normal22"/>
        <w:spacing w:before="120" w:after="120" w:line="240" w:lineRule="auto"/>
        <w:jc w:val="both"/>
        <w:rPr>
          <w:rFonts w:cs="Times New Roman"/>
          <w:noProof/>
        </w:rPr>
      </w:pPr>
      <w:r>
        <w:rPr>
          <w:noProof/>
        </w:rPr>
        <w:t xml:space="preserve">Investointi 2 (C21.I2): Suuntaamista, edistymistä ja koulutuksen rikastamista koskeva ohjelma (PROA+) </w:t>
      </w:r>
    </w:p>
    <w:p w14:paraId="486A999B" w14:textId="77777777" w:rsidR="0065073E" w:rsidRDefault="000A0998">
      <w:pPr>
        <w:pStyle w:val="P68B1DB1-Normal21"/>
        <w:spacing w:before="120" w:after="120" w:line="240" w:lineRule="auto"/>
        <w:jc w:val="both"/>
        <w:rPr>
          <w:rFonts w:cs="Times New Roman"/>
          <w:noProof/>
        </w:rPr>
      </w:pPr>
      <w:r>
        <w:rPr>
          <w:noProof/>
        </w:rPr>
        <w:t xml:space="preserve">Tukeakseen ja ohjatakseen heikosti suoriutuvia oppilaita ja vähentääkseen koulunkäynnin keskeyttäneiden ja koulunkäynnin keskeyttäneiden määrää Espanjan on investoitava nykyisen ohjaus-, kehitys- ja koulutusrikastusohjelman (PROA+) laajentamiseen. </w:t>
      </w:r>
    </w:p>
    <w:p w14:paraId="3C93A5DA" w14:textId="2C4F27E2" w:rsidR="0065073E" w:rsidRDefault="000A0998">
      <w:pPr>
        <w:pStyle w:val="P68B1DB1-Normal4"/>
        <w:spacing w:before="120" w:after="120" w:line="240" w:lineRule="auto"/>
        <w:jc w:val="both"/>
        <w:rPr>
          <w:rFonts w:cs="Times New Roman"/>
          <w:noProof/>
        </w:rPr>
      </w:pPr>
      <w:r>
        <w:rPr>
          <w:noProof/>
        </w:rPr>
        <w:t xml:space="preserve">Ohjelmassa keskitytään toimiin, joilla varmistetaan kaikkien opiskelijoiden koulutusta koskevat vähimmäisedellytykset, vahvistetaan niitä, joilla on oppimisvaikeuksia pääasiassa perustaitojen osalta, etsitään uusia organisointi- ja johtamismuotoja koulutuskeskuksesta ja tarjotaan lisätukea ja -koulutusta opettajille. Näillä toimilla olisi pyrittävä parantamaan kaikkien oppilaiden menestystä näissä kouluissa. </w:t>
      </w:r>
    </w:p>
    <w:p w14:paraId="074E6E2C" w14:textId="77777777" w:rsidR="0065073E" w:rsidRDefault="000A0998">
      <w:pPr>
        <w:pStyle w:val="P68B1DB1-Normal4"/>
        <w:spacing w:before="120" w:after="120" w:line="240" w:lineRule="auto"/>
        <w:jc w:val="both"/>
        <w:rPr>
          <w:rFonts w:cs="Times New Roman"/>
          <w:noProof/>
          <w:shd w:val="clear" w:color="auto" w:fill="FFFFFF"/>
        </w:rPr>
      </w:pPr>
      <w:r>
        <w:rPr>
          <w:noProof/>
          <w:shd w:val="clear" w:color="auto" w:fill="FFFFFF"/>
        </w:rPr>
        <w:t>Ohjelma on kohdennettava kouluihin, joiden koulutuksellinen monimutkaisuus on erityisen monimutkaista, myös maaseudulla, ja merkittävä prosenttiosuus haavoittuvassa asemassa olevista oppilaista, joilla on oppimisvaikeuksia tavanomaisissa luokkahuoneissa.</w:t>
      </w:r>
      <w:r>
        <w:rPr>
          <w:noProof/>
        </w:rPr>
        <w:t xml:space="preserve"> Koulutuslaitokset valitsevat keskukset. </w:t>
      </w:r>
      <w:r>
        <w:rPr>
          <w:noProof/>
          <w:shd w:val="clear" w:color="auto" w:fill="FFFFFF"/>
        </w:rPr>
        <w:t xml:space="preserve">Kohteena olevat koulut sijaitsevat erityisesti alueilla, joissa on heikosti sosioekonomista ja koulutuksellista taustaa olevia oppilaita ja perheitä. Tukea on saatava yhteensä vähintään 2700 koulua. </w:t>
      </w:r>
    </w:p>
    <w:p w14:paraId="66E53685" w14:textId="77777777" w:rsidR="0065073E" w:rsidRDefault="000A0998">
      <w:pPr>
        <w:pStyle w:val="P68B1DB1-Normal21"/>
        <w:spacing w:before="120" w:after="120" w:line="240" w:lineRule="auto"/>
        <w:jc w:val="both"/>
        <w:rPr>
          <w:rFonts w:cs="Times New Roman"/>
          <w:noProof/>
        </w:rPr>
      </w:pPr>
      <w:r>
        <w:rPr>
          <w:noProof/>
        </w:rPr>
        <w:t xml:space="preserve">Investointia kehitetään yhteistyössä itsehallintoalueiden kanssa alakohtaisten konferenssien puitteissa, ja varojen alueellinen jakautuminen perustuu erityisiin kriteereihin, joista on sovittu tarpeiden huomioon ottamiseksi ja alueellisten erojen vähentämiseksi. </w:t>
      </w:r>
    </w:p>
    <w:p w14:paraId="0269706D"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joulukuuta 2024 mennessä.</w:t>
      </w:r>
    </w:p>
    <w:p w14:paraId="220AAC7D" w14:textId="77777777" w:rsidR="0065073E" w:rsidRDefault="000A0998">
      <w:pPr>
        <w:pStyle w:val="P68B1DB1-Normal21"/>
        <w:spacing w:before="120" w:after="120" w:line="240" w:lineRule="auto"/>
        <w:jc w:val="both"/>
        <w:rPr>
          <w:rFonts w:cs="Times New Roman"/>
          <w:noProof/>
          <w:u w:val="single"/>
        </w:rPr>
      </w:pPr>
      <w:r>
        <w:rPr>
          <w:noProof/>
          <w:u w:val="single"/>
        </w:rPr>
        <w:t>Investointi 3 (C21.I3) – Tuki haavoittuvassa asemassa oleville opiskelijoille ja perheille</w:t>
      </w:r>
      <w:r>
        <w:rPr>
          <w:noProof/>
        </w:rPr>
        <w:t xml:space="preserve"> </w:t>
      </w:r>
    </w:p>
    <w:p w14:paraId="0E87F54E" w14:textId="77777777" w:rsidR="0065073E" w:rsidRDefault="000A0998">
      <w:pPr>
        <w:pStyle w:val="P68B1DB1-Normal21"/>
        <w:spacing w:before="120" w:after="120" w:line="240" w:lineRule="auto"/>
        <w:jc w:val="both"/>
        <w:rPr>
          <w:rFonts w:cs="Times New Roman"/>
          <w:noProof/>
        </w:rPr>
      </w:pPr>
      <w:r>
        <w:rPr>
          <w:noProof/>
        </w:rPr>
        <w:t>Espanjan on investoitava vähintään 1000 haavoittuvassa asemassa olevan opiskelijan tuki-, ohjaus- ja psykopedagogisen palveluyksikön perustamiseen koulualueille. Se helpottaa opiskelijoiden ja heidän perheidensä tukemista, jotta voidaan poistaa koulutukseen liittyvät esteet poissaolojen ja koulunkäynnin keskeyttämisen vähentämiseksi. Yhteistyötä erilaisten oppimiskehysten (sekä virallisten että epävirallisten) kanssa tuetaan keskeisten ihmissuhde-, viestintä- ja kognitiivisten taitojen kehittämisen tehostamiseksi. Investointia kehitetään itsehallintoalueiden kanssa tehtävällä alueellisella yhteistyöllä alakohtaisissa konferensseissa, joissa vahvistetaan varojen alueellista jakautumista koskevat perusteet.</w:t>
      </w:r>
    </w:p>
    <w:p w14:paraId="10DA7D2B"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joulukuuta 2024 mennessä.</w:t>
      </w:r>
    </w:p>
    <w:p w14:paraId="29008735" w14:textId="77777777" w:rsidR="0065073E" w:rsidRDefault="000A0998">
      <w:pPr>
        <w:pStyle w:val="P68B1DB1-Normal21"/>
        <w:spacing w:before="120" w:after="120" w:line="240" w:lineRule="auto"/>
        <w:jc w:val="both"/>
        <w:rPr>
          <w:rFonts w:cs="Times New Roman"/>
          <w:noProof/>
          <w:u w:val="single"/>
        </w:rPr>
      </w:pPr>
      <w:r>
        <w:rPr>
          <w:noProof/>
          <w:u w:val="single"/>
        </w:rPr>
        <w:t>Investointi 4 (C21.I4) – Opetus- ja tutkimushenkilöstön koulutus</w:t>
      </w:r>
      <w:r>
        <w:rPr>
          <w:noProof/>
        </w:rPr>
        <w:t xml:space="preserve"> </w:t>
      </w:r>
    </w:p>
    <w:p w14:paraId="144FB2A8" w14:textId="77777777" w:rsidR="0065073E" w:rsidRDefault="000A0998">
      <w:pPr>
        <w:pStyle w:val="P68B1DB1-Normal4"/>
        <w:spacing w:before="120" w:after="120" w:line="240" w:lineRule="auto"/>
        <w:jc w:val="both"/>
        <w:rPr>
          <w:rFonts w:cs="Times New Roman"/>
          <w:noProof/>
        </w:rPr>
      </w:pPr>
      <w:r>
        <w:rPr>
          <w:noProof/>
          <w:shd w:val="clear" w:color="auto" w:fill="FFFFFF"/>
        </w:rPr>
        <w:t>Tähän toimenpiteeseen sisältyy investointeja julkisille yliopistoille myönnettäviin avustuksiin</w:t>
      </w:r>
      <w:r>
        <w:rPr>
          <w:noProof/>
        </w:rPr>
        <w:t>, joiden tavoitteena on edistää Espanjan yliopistojärjestelmän uudelleenkoulutusta ja sen opetushenkilöstön ammatillista kehittymistä sekä tarjota hiljattain tohtorintutkinnon suorittaneille mahdollisuuksia integroitua korkeakoulujärjestelmään tulevaisuudessa. Avustuksilla rahoitetaan tohtorintutkinnon jälkeistä tutkimusta, jota isännöi arvostetut ulkomaiset yliopistot ja tutkimuskeskukset sekä espanjalaiset yliopistot ja muut Espanjan tiede-, teknologia- ja innovaatiojärjestelmän julkiset toimijat. Tätä varten avustusten odotetaan edistävän kansainvälisten lahjakkuuksien houkuttelemista ja vähentävän espanjalaisten yliopistojen alhaiseen kansainvälistymisasteeseen.</w:t>
      </w:r>
    </w:p>
    <w:p w14:paraId="50858590" w14:textId="77777777" w:rsidR="0065073E" w:rsidRDefault="000A0998">
      <w:pPr>
        <w:pStyle w:val="P68B1DB1-Normal4"/>
        <w:spacing w:before="120" w:after="120" w:line="240" w:lineRule="auto"/>
        <w:jc w:val="both"/>
        <w:rPr>
          <w:rFonts w:cs="Times New Roman"/>
          <w:noProof/>
        </w:rPr>
      </w:pPr>
      <w:r>
        <w:rPr>
          <w:noProof/>
        </w:rPr>
        <w:t>Avustukset myönnetään kolmesta eri ohjelmasta, joissa sovelletaan kohderyhmästä riippuen erityisiä perusteita ja keskitytään i) nuorten tohtorintutkintojen koulutukseen; II) apurahat yliopiston luennoittajille – vakinaisille professoreille ja senioriluennoille vakinaisilla ura-alueilla; ja iii) apurahat, joilla pyritään houkuttelemaan kansainvälisiä lahjakkuuksia, rahoittamalla tohtorintutkinnon jälkeistä koulutusta, jota isännöivät arvostetut espanjalaiset yliopistot ja muut Espanjan tiede-, teknologia- ja innovaatiojärjestelmän julkiset toimijat. Ohjelmien on kestettävä 1–3 vuotta ohjelmasta ja kohderyhmästä riippuen.</w:t>
      </w:r>
    </w:p>
    <w:p w14:paraId="2D61B76F" w14:textId="77777777" w:rsidR="0065073E" w:rsidRDefault="000A0998">
      <w:pPr>
        <w:pStyle w:val="P68B1DB1-Normal4"/>
        <w:spacing w:after="120" w:line="240" w:lineRule="auto"/>
        <w:jc w:val="both"/>
        <w:rPr>
          <w:rFonts w:cs="Times New Roman"/>
          <w:noProof/>
        </w:rPr>
      </w:pPr>
      <w:r>
        <w:rPr>
          <w:noProof/>
        </w:rPr>
        <w:t xml:space="preserve">Kaikki nämä avustukset suoritetaan vuosina 2021–2023, ja niistä hyötyy vähintään 2600 ehdokasta. Kukin yliopisto saa suoraan korkeakouluista määrärahan, joka perustuu objektiivisiin perusteisiin, mukaan lukien opetus- ja tutkimushenkilöstön määrä, sekä PHD-tutkintoon. Hakemusten perusteella ehdokkaat arvioi kunkin yliopiston nimittämä kansainvälinen arvostettu asiantuntijapaneeli, jossa on vähintään kolme jäsentä ja enemmistö ulkoisista asiantuntijoista. </w:t>
      </w:r>
    </w:p>
    <w:p w14:paraId="18C6FA2A" w14:textId="77777777" w:rsidR="0065073E" w:rsidRDefault="000A0998">
      <w:pPr>
        <w:pStyle w:val="P68B1DB1-Normal21"/>
        <w:spacing w:after="120" w:line="240" w:lineRule="auto"/>
        <w:jc w:val="both"/>
        <w:rPr>
          <w:rFonts w:cs="Times New Roman"/>
          <w:noProof/>
        </w:rPr>
      </w:pPr>
      <w:r>
        <w:rPr>
          <w:noProof/>
        </w:rPr>
        <w:t>Toimenpiteen täytäntöönpano on saatettava päätökseen 31 päivään joulukuuta 2023 mennessä.</w:t>
      </w:r>
    </w:p>
    <w:p w14:paraId="2477D2C2" w14:textId="77777777" w:rsidR="0065073E" w:rsidRDefault="000A0998">
      <w:pPr>
        <w:pStyle w:val="P68B1DB1-Normal21"/>
        <w:spacing w:before="120" w:after="120" w:line="240" w:lineRule="auto"/>
        <w:jc w:val="both"/>
        <w:rPr>
          <w:rFonts w:cs="Times New Roman"/>
          <w:noProof/>
          <w:u w:val="single"/>
        </w:rPr>
      </w:pPr>
      <w:r>
        <w:rPr>
          <w:noProof/>
          <w:u w:val="single"/>
        </w:rPr>
        <w:t>Investointi 5 (C21.I5) – Korkeakoulujen digitaalisen infrastruktuurin, laitteiden, teknologian, opetuksen ja arvioinnin parantaminen</w:t>
      </w:r>
      <w:r>
        <w:rPr>
          <w:noProof/>
        </w:rPr>
        <w:t xml:space="preserve"> </w:t>
      </w:r>
    </w:p>
    <w:p w14:paraId="23DD2A7B" w14:textId="77777777" w:rsidR="0065073E" w:rsidRDefault="000A0998">
      <w:pPr>
        <w:pStyle w:val="P68B1DB1-Normal4"/>
        <w:spacing w:before="120" w:after="120" w:line="240" w:lineRule="auto"/>
        <w:jc w:val="both"/>
        <w:rPr>
          <w:rFonts w:cs="Times New Roman"/>
          <w:noProof/>
        </w:rPr>
      </w:pPr>
      <w:r>
        <w:rPr>
          <w:noProof/>
          <w:shd w:val="clear" w:color="auto" w:fill="FFFFFF"/>
        </w:rPr>
        <w:t xml:space="preserve">Investointiin sisältyy </w:t>
      </w:r>
      <w:r>
        <w:rPr>
          <w:noProof/>
        </w:rPr>
        <w:t xml:space="preserve">useita toimenpiteitä, joilla pyritään parantamaan korkeakoulujen teknologisia ja digitaalisia valmiuksia ja taitoja. Näitä ovat investoinnit digitaalisiin opetusresursseihin ja infrastruktuuriin, kuten palvelinten pilvidatantallennusverkkoihin, kyberturvallisuuteen ja verkkokurssien luokkahuoneteknologiaan; ja investoinnit akateemisen henkilöstön ja opiskelijoiden digitaaliseen koulutukseen. </w:t>
      </w:r>
    </w:p>
    <w:p w14:paraId="76B36787" w14:textId="77777777" w:rsidR="0065073E" w:rsidRDefault="000A0998">
      <w:pPr>
        <w:pStyle w:val="P68B1DB1-Normal4"/>
        <w:spacing w:before="120" w:after="120" w:line="240" w:lineRule="auto"/>
        <w:jc w:val="both"/>
        <w:rPr>
          <w:rFonts w:cs="Times New Roman"/>
          <w:noProof/>
        </w:rPr>
      </w:pPr>
      <w:r>
        <w:rPr>
          <w:noProof/>
        </w:rPr>
        <w:t>Investointitoimilla parannetaan teknologista kehitystä ja digitaalisia resursseja digitaalisten opetuspalvelujen tukemiseksi. Tukea annetaan keskitettyihin infrastruktuureihin ja tieto- ja viestintätekniikan palveluihin keskittyen kuituverkkoihin ja TVT-palvelujen tehokkaaseen käyttöönottoon mittakaavaetujen ja yhteentoimivuuden pohjalta. Keskeisenä tavoitteena on ohjata investointeja akateemisen henkilöstön ja opiskelijoiden välisen digitaalisen kuilun kaventamiseen etäopetuksen palvelujen ja laitteiden parantamiseksi. Muita tavoitteita ovat investoinnit yliopistojen välisten digitaalisten innovointihankkeiden edistämiseen, joita voidaan laajentaa ja toistaa laajemmassa mittakaavassa, ja tukea kansallista etäopiskeluyliopistoa (UNED) korkea-asteen koulutusmahdollisuuksien parantamiseksi väestökadosta kärsivillä alueilla.</w:t>
      </w:r>
    </w:p>
    <w:p w14:paraId="5B97A4BF" w14:textId="1C0F3984" w:rsidR="0065073E" w:rsidRDefault="000A0998">
      <w:pPr>
        <w:pStyle w:val="P68B1DB1-Normal4"/>
        <w:spacing w:before="120" w:after="120" w:line="240" w:lineRule="auto"/>
        <w:jc w:val="both"/>
        <w:rPr>
          <w:rFonts w:cs="Times New Roman"/>
          <w:noProof/>
        </w:rPr>
      </w:pPr>
      <w:r>
        <w:rPr>
          <w:noProof/>
        </w:rPr>
        <w:t xml:space="preserve">Tavoitteena on seurata ja levittää yliopistoministeriön verkkosivuston kautta yliopistojen digitaalisen indeksin kehitystä tavoitteena nostaa indeksiä vähintään 10 prosenttia koko yliopistojärjestelmän osalta vuonna 2023 vuoteen 2019 verrattuna. Tämän indeksin on katettava eri ulottuvuudet, mukaan lukien hallinta (esim. digitaaliseen opetukseen käytettävissä olevien luokkahuoneiden määrä, digitaalisia järjestelmiä käyttävien professorien lukumäärä, sähköisten menettelyjen lukumäärä ja kampusten yhteyksien taso jne.); innovointi (kuten yliopistojen väliset digitaaliset sopimukset, oppimisanalytiikkatoimet, multimediavarastot, opetushenkilöstön digitaaliset taidot ja yksilölliset matkareitit jne.) ja hallinto (kuten digitalisaatiosuunnitelma, digitalisaatiohankekokonaisuudet ja digitaalisia taitoja koskevat koulutussuunnitelmat jne.). </w:t>
      </w:r>
    </w:p>
    <w:p w14:paraId="63981338" w14:textId="77777777" w:rsidR="0065073E" w:rsidRDefault="000A0998">
      <w:pPr>
        <w:pStyle w:val="P68B1DB1-Normal4"/>
        <w:spacing w:before="120" w:after="120" w:line="240" w:lineRule="auto"/>
        <w:jc w:val="both"/>
        <w:rPr>
          <w:rFonts w:cs="Times New Roman"/>
          <w:noProof/>
        </w:rPr>
      </w:pPr>
      <w:r>
        <w:rPr>
          <w:noProof/>
        </w:rPr>
        <w:t>Yliopistot toimittavat vuosittain seurantatietoja sertifioimalla sisäisen valvonta-alueensa.</w:t>
      </w:r>
    </w:p>
    <w:p w14:paraId="5C263165"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joulukuuta 2023 mennessä.</w:t>
      </w:r>
    </w:p>
    <w:p w14:paraId="4041D8AB" w14:textId="77777777" w:rsidR="0065073E" w:rsidRDefault="000A0998">
      <w:pPr>
        <w:pStyle w:val="P68B1DB1-Normal5"/>
        <w:spacing w:before="120" w:after="120" w:line="240" w:lineRule="auto"/>
        <w:jc w:val="both"/>
        <w:rPr>
          <w:rFonts w:cs="Times New Roman"/>
          <w:noProof/>
        </w:rPr>
      </w:pPr>
      <w:r>
        <w:rPr>
          <w:noProof/>
        </w:rPr>
        <w:t>Investointi 6 (C21.I6) – Suunnitelma korkeakoulujen mikrotutkintojen kehittämiseksi</w:t>
      </w:r>
    </w:p>
    <w:p w14:paraId="3921DDF4" w14:textId="6B52DAA7" w:rsidR="0065073E" w:rsidRDefault="000A0998">
      <w:pPr>
        <w:pStyle w:val="P68B1DB1-Normal4"/>
        <w:spacing w:before="120" w:after="120" w:line="240" w:lineRule="auto"/>
        <w:jc w:val="both"/>
        <w:rPr>
          <w:rFonts w:cs="Times New Roman"/>
          <w:noProof/>
        </w:rPr>
      </w:pPr>
      <w:r>
        <w:rPr>
          <w:noProof/>
        </w:rPr>
        <w:t>Tällä investoinnilla pyritään kehittämään yliopistojärjestelmän valmiuksia elinikäisen oppimisen instituutioina ja edistämään aikuisten täydennys- ja uudelleenkoulutusta eurooppalaisesta lähestymistavasta pieniin osaamiskokonaisuuksiin elinikäisen oppimisen ja työllistyvyyden edistämiseksi kesäkuussa 2022 annetun neuvoston suosituksen mukaisesti.</w:t>
      </w:r>
    </w:p>
    <w:p w14:paraId="634CBE91" w14:textId="77777777" w:rsidR="0065073E" w:rsidRDefault="000A0998">
      <w:pPr>
        <w:pStyle w:val="P68B1DB1-Normal4"/>
        <w:spacing w:before="120" w:after="120" w:line="240" w:lineRule="auto"/>
        <w:jc w:val="both"/>
        <w:rPr>
          <w:rFonts w:cs="Times New Roman"/>
          <w:noProof/>
        </w:rPr>
      </w:pPr>
      <w:r>
        <w:rPr>
          <w:noProof/>
        </w:rPr>
        <w:t>Tämän toimenpiteen ensimmäinen osa on pienten osaamiskokonaisuuksien kehittämistä koskevan toimintasuunnitelman hyväksyminen, jonka yliopistoministeriö laatii sidosryhmiä kuultuaan ja joka julkaistaan ministeriön verkkosivustolla. Suunnitelma kattaa toimet i) yliopistojen muuttamiseksi elinikäisen oppimisen oppilaitoksiksi; edistää aikuisten ja heidän työnantajiensa kysyntää; III) edistää mikrotutkintojen laatua ja merkityksellisyyttä; IV) saatavuuden tasapuolisuuden tukeminen; ja v) luoda yksilöllisiä ja joustavia koulutusväyliä.</w:t>
      </w:r>
    </w:p>
    <w:p w14:paraId="1237B438" w14:textId="7ED8D155" w:rsidR="0065073E" w:rsidRDefault="000A0998">
      <w:pPr>
        <w:pStyle w:val="P68B1DB1-Normal4"/>
        <w:spacing w:before="120" w:after="120" w:line="240" w:lineRule="auto"/>
        <w:jc w:val="both"/>
        <w:rPr>
          <w:rFonts w:cs="Times New Roman"/>
          <w:noProof/>
        </w:rPr>
      </w:pPr>
      <w:r>
        <w:rPr>
          <w:noProof/>
        </w:rPr>
        <w:t>Tämän toimenpiteen toisena osana on tarjottava vähintään 60000 mikrotutkintoa, jotka kestävät alle 15 ECTS-järjestelmää ja vastaavat vähintään 1000 erilaista koulutustoimea, mukaan lukien mahdollisuus tarjota samalle aikuiselle useampi kuin yksi yksikkö. Koulutustoimilla on tarjottava työmarkkinoilla kysyttäviä erityistietoja ja -taitoja. Toimenpiteeseen sisältyy myös mikrotutkintojen tarjoamista koskevan arviointikertomuksen julkaiseminen yliopistoministeriön verkkosivustolla 31 päivään joulukuuta 2025 saakka.</w:t>
      </w:r>
    </w:p>
    <w:p w14:paraId="7E097F43" w14:textId="77777777" w:rsidR="0065073E" w:rsidRDefault="000A0998">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4D643303"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U.2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805D5BB"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32E52008"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475"/>
          <w:headerReference w:type="default" r:id="rId476"/>
          <w:footerReference w:type="even" r:id="rId477"/>
          <w:footerReference w:type="default" r:id="rId478"/>
          <w:headerReference w:type="first" r:id="rId479"/>
          <w:footerReference w:type="first" r:id="rId480"/>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119"/>
        <w:gridCol w:w="1134"/>
        <w:gridCol w:w="850"/>
        <w:gridCol w:w="709"/>
        <w:gridCol w:w="851"/>
        <w:gridCol w:w="567"/>
        <w:gridCol w:w="708"/>
        <w:gridCol w:w="4962"/>
      </w:tblGrid>
      <w:tr w:rsidR="0065073E" w14:paraId="5BF40099" w14:textId="77777777">
        <w:trPr>
          <w:trHeight w:val="309"/>
          <w:tblHeader/>
        </w:trPr>
        <w:tc>
          <w:tcPr>
            <w:tcW w:w="709" w:type="dxa"/>
            <w:tcBorders>
              <w:bottom w:val="nil"/>
            </w:tcBorders>
            <w:shd w:val="clear" w:color="auto" w:fill="C6D9F1" w:themeFill="text2" w:themeFillTint="33"/>
            <w:noWrap/>
            <w:vAlign w:val="center"/>
          </w:tcPr>
          <w:p w14:paraId="1B0A961F"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02DD41F"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92F46DB"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3119" w:type="dxa"/>
            <w:tcBorders>
              <w:bottom w:val="nil"/>
            </w:tcBorders>
            <w:shd w:val="clear" w:color="auto" w:fill="C6D9F1" w:themeFill="text2" w:themeFillTint="33"/>
            <w:noWrap/>
            <w:vAlign w:val="center"/>
          </w:tcPr>
          <w:p w14:paraId="25BE3619" w14:textId="77777777" w:rsidR="0065073E" w:rsidRDefault="000A0998">
            <w:pPr>
              <w:pStyle w:val="P68B1DB1-Normal8"/>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0D2E2C96"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tcPr>
          <w:p w14:paraId="3F711F41"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275" w:type="dxa"/>
            <w:gridSpan w:val="2"/>
            <w:shd w:val="clear" w:color="auto" w:fill="C6D9F1" w:themeFill="text2" w:themeFillTint="33"/>
            <w:noWrap/>
          </w:tcPr>
          <w:p w14:paraId="71C8D342" w14:textId="77777777" w:rsidR="0065073E" w:rsidRDefault="000A0998">
            <w:pPr>
              <w:pStyle w:val="P68B1DB1-Normal8"/>
              <w:spacing w:after="0" w:line="240" w:lineRule="auto"/>
              <w:jc w:val="center"/>
              <w:rPr>
                <w:rFonts w:cs="Times New Roman"/>
                <w:noProof/>
              </w:rPr>
            </w:pPr>
            <w:r>
              <w:rPr>
                <w:noProof/>
              </w:rPr>
              <w:t>Aika</w:t>
            </w:r>
          </w:p>
        </w:tc>
        <w:tc>
          <w:tcPr>
            <w:tcW w:w="4962" w:type="dxa"/>
            <w:tcBorders>
              <w:bottom w:val="nil"/>
            </w:tcBorders>
            <w:shd w:val="clear" w:color="auto" w:fill="C6D9F1" w:themeFill="text2" w:themeFillTint="33"/>
            <w:noWrap/>
          </w:tcPr>
          <w:p w14:paraId="405D723A"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614FACF3" w14:textId="77777777">
        <w:trPr>
          <w:trHeight w:val="309"/>
          <w:tblHeader/>
        </w:trPr>
        <w:tc>
          <w:tcPr>
            <w:tcW w:w="709" w:type="dxa"/>
            <w:tcBorders>
              <w:top w:val="nil"/>
            </w:tcBorders>
            <w:shd w:val="clear" w:color="auto" w:fill="C6D9F1" w:themeFill="text2" w:themeFillTint="33"/>
            <w:noWrap/>
          </w:tcPr>
          <w:p w14:paraId="3AC7CC24"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1DEF63C3"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3D2EBC9" w14:textId="77777777" w:rsidR="0065073E" w:rsidRDefault="0065073E">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DAC3D7C" w14:textId="77777777" w:rsidR="0065073E" w:rsidRDefault="0065073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77777777" w:rsidR="0065073E" w:rsidRDefault="000A0998">
            <w:pPr>
              <w:pStyle w:val="P68B1DB1-Normal8"/>
              <w:spacing w:after="0" w:line="240" w:lineRule="auto"/>
              <w:jc w:val="center"/>
              <w:rPr>
                <w:rFonts w:cs="Times New Roman"/>
                <w:noProof/>
              </w:rPr>
            </w:pPr>
            <w:r>
              <w:rPr>
                <w:noProof/>
              </w:rPr>
              <w:t>Yksikkö</w:t>
            </w:r>
          </w:p>
        </w:tc>
        <w:tc>
          <w:tcPr>
            <w:tcW w:w="709" w:type="dxa"/>
            <w:shd w:val="clear" w:color="auto" w:fill="C6D9F1" w:themeFill="text2" w:themeFillTint="33"/>
            <w:noWrap/>
          </w:tcPr>
          <w:p w14:paraId="30948B86" w14:textId="77777777" w:rsidR="0065073E" w:rsidRDefault="000A0998">
            <w:pPr>
              <w:pStyle w:val="P68B1DB1-Normal8"/>
              <w:spacing w:after="0" w:line="240" w:lineRule="auto"/>
              <w:jc w:val="center"/>
              <w:rPr>
                <w:rFonts w:cs="Times New Roman"/>
                <w:noProof/>
              </w:rPr>
            </w:pPr>
            <w:r>
              <w:rPr>
                <w:noProof/>
              </w:rPr>
              <w:t>Lähtötaso</w:t>
            </w:r>
          </w:p>
        </w:tc>
        <w:tc>
          <w:tcPr>
            <w:tcW w:w="851" w:type="dxa"/>
            <w:shd w:val="clear" w:color="auto" w:fill="C6D9F1" w:themeFill="text2" w:themeFillTint="33"/>
            <w:noWrap/>
          </w:tcPr>
          <w:p w14:paraId="4DB96B6C" w14:textId="77777777" w:rsidR="0065073E" w:rsidRDefault="000A0998">
            <w:pPr>
              <w:pStyle w:val="P68B1DB1-Normal8"/>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5D5ADC9C" w14:textId="77777777" w:rsidR="0065073E" w:rsidRDefault="000A0998">
            <w:pPr>
              <w:pStyle w:val="P68B1DB1-Normal8"/>
              <w:spacing w:after="0" w:line="240" w:lineRule="auto"/>
              <w:jc w:val="center"/>
              <w:rPr>
                <w:rFonts w:cs="Times New Roman"/>
                <w:noProof/>
              </w:rPr>
            </w:pPr>
            <w:r>
              <w:rPr>
                <w:noProof/>
              </w:rPr>
              <w:t>Q</w:t>
            </w:r>
          </w:p>
        </w:tc>
        <w:tc>
          <w:tcPr>
            <w:tcW w:w="708" w:type="dxa"/>
            <w:shd w:val="clear" w:color="auto" w:fill="C6D9F1" w:themeFill="text2" w:themeFillTint="33"/>
            <w:noWrap/>
          </w:tcPr>
          <w:p w14:paraId="01CE265D" w14:textId="77777777" w:rsidR="0065073E" w:rsidRDefault="000A0998">
            <w:pPr>
              <w:pStyle w:val="P68B1DB1-Normal8"/>
              <w:spacing w:after="0" w:line="240" w:lineRule="auto"/>
              <w:jc w:val="center"/>
              <w:rPr>
                <w:rFonts w:cs="Times New Roman"/>
                <w:noProof/>
              </w:rPr>
            </w:pPr>
            <w:r>
              <w:rPr>
                <w:noProof/>
              </w:rPr>
              <w:t>Vuosi</w:t>
            </w:r>
          </w:p>
        </w:tc>
        <w:tc>
          <w:tcPr>
            <w:tcW w:w="4962" w:type="dxa"/>
            <w:tcBorders>
              <w:top w:val="nil"/>
            </w:tcBorders>
            <w:shd w:val="clear" w:color="auto" w:fill="C6D9F1" w:themeFill="text2" w:themeFillTint="33"/>
            <w:noWrap/>
          </w:tcPr>
          <w:p w14:paraId="5CA28185" w14:textId="77777777" w:rsidR="0065073E" w:rsidRDefault="0065073E">
            <w:pPr>
              <w:spacing w:after="0" w:line="240" w:lineRule="auto"/>
              <w:rPr>
                <w:rFonts w:ascii="Times New Roman" w:hAnsi="Times New Roman" w:cs="Times New Roman"/>
                <w:b/>
                <w:noProof/>
                <w:sz w:val="18"/>
              </w:rPr>
            </w:pPr>
          </w:p>
        </w:tc>
      </w:tr>
      <w:tr w:rsidR="0065073E" w14:paraId="147D6968" w14:textId="77777777">
        <w:trPr>
          <w:trHeight w:val="309"/>
        </w:trPr>
        <w:tc>
          <w:tcPr>
            <w:tcW w:w="709" w:type="dxa"/>
            <w:shd w:val="clear" w:color="auto" w:fill="C6EFCE"/>
            <w:noWrap/>
          </w:tcPr>
          <w:p w14:paraId="48AACAC2" w14:textId="77777777" w:rsidR="0065073E" w:rsidRDefault="000A0998">
            <w:pPr>
              <w:pStyle w:val="P68B1DB1-Normal12"/>
              <w:spacing w:after="0" w:line="240" w:lineRule="auto"/>
              <w:jc w:val="center"/>
              <w:rPr>
                <w:rFonts w:eastAsia="Times New Roman" w:cs="Times New Roman"/>
                <w:noProof/>
              </w:rPr>
            </w:pPr>
            <w:r>
              <w:rPr>
                <w:noProof/>
              </w:rPr>
              <w:t>303</w:t>
            </w:r>
          </w:p>
        </w:tc>
        <w:tc>
          <w:tcPr>
            <w:tcW w:w="851" w:type="dxa"/>
            <w:shd w:val="clear" w:color="auto" w:fill="C6EFCE"/>
            <w:noWrap/>
          </w:tcPr>
          <w:p w14:paraId="5B313E34" w14:textId="77777777" w:rsidR="0065073E" w:rsidRDefault="000A0998">
            <w:pPr>
              <w:pStyle w:val="P68B1DB1-Normal12"/>
              <w:spacing w:after="0" w:line="240" w:lineRule="auto"/>
              <w:jc w:val="center"/>
              <w:rPr>
                <w:rFonts w:eastAsia="Times New Roman" w:cs="Times New Roman"/>
                <w:noProof/>
              </w:rPr>
            </w:pPr>
            <w:r>
              <w:rPr>
                <w:noProof/>
              </w:rPr>
              <w:t>C21.R1</w:t>
            </w:r>
          </w:p>
        </w:tc>
        <w:tc>
          <w:tcPr>
            <w:tcW w:w="850" w:type="dxa"/>
            <w:shd w:val="clear" w:color="auto" w:fill="C6EFCE"/>
            <w:noWrap/>
          </w:tcPr>
          <w:p w14:paraId="0B2C46E8"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CA8E8FB" w14:textId="77777777" w:rsidR="0065073E" w:rsidRDefault="000A0998">
            <w:pPr>
              <w:pStyle w:val="P68B1DB1-Normal12"/>
              <w:spacing w:after="0" w:line="240" w:lineRule="auto"/>
              <w:rPr>
                <w:rFonts w:eastAsia="Times New Roman" w:cs="Times New Roman"/>
                <w:noProof/>
              </w:rPr>
            </w:pPr>
            <w:r>
              <w:rPr>
                <w:noProof/>
              </w:rPr>
              <w:t xml:space="preserve">Koulutusta koskevan orgaanisen lain voimaantulo </w:t>
            </w:r>
          </w:p>
        </w:tc>
        <w:tc>
          <w:tcPr>
            <w:tcW w:w="1134" w:type="dxa"/>
            <w:shd w:val="clear" w:color="auto" w:fill="C6EFCE"/>
            <w:noWrap/>
          </w:tcPr>
          <w:p w14:paraId="36FEAF97" w14:textId="77777777" w:rsidR="0065073E" w:rsidRDefault="000A0998">
            <w:pPr>
              <w:pStyle w:val="P68B1DB1-Normal12"/>
              <w:spacing w:after="0" w:line="240" w:lineRule="auto"/>
              <w:jc w:val="center"/>
              <w:rPr>
                <w:rFonts w:eastAsia="Times New Roman" w:cs="Times New Roman"/>
                <w:noProof/>
              </w:rPr>
            </w:pPr>
            <w:r>
              <w:rPr>
                <w:noProof/>
              </w:rPr>
              <w:t xml:space="preserve">Lain säännös, josta käy ilmi orgaanisen lain voimaantulo </w:t>
            </w:r>
          </w:p>
        </w:tc>
        <w:tc>
          <w:tcPr>
            <w:tcW w:w="850" w:type="dxa"/>
            <w:shd w:val="clear" w:color="auto" w:fill="C6EFCE"/>
            <w:noWrap/>
          </w:tcPr>
          <w:p w14:paraId="63A2F57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7DB0C11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0ED1CF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37C5EBC"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708" w:type="dxa"/>
            <w:shd w:val="clear" w:color="auto" w:fill="C6EFCE"/>
            <w:noWrap/>
          </w:tcPr>
          <w:p w14:paraId="754B1E92" w14:textId="77777777" w:rsidR="0065073E" w:rsidRDefault="000A0998">
            <w:pPr>
              <w:pStyle w:val="P68B1DB1-Normal12"/>
              <w:spacing w:after="0" w:line="240" w:lineRule="auto"/>
              <w:jc w:val="center"/>
              <w:rPr>
                <w:rFonts w:eastAsia="Times New Roman" w:cs="Times New Roman"/>
                <w:noProof/>
              </w:rPr>
            </w:pPr>
            <w:r>
              <w:rPr>
                <w:noProof/>
              </w:rPr>
              <w:t>2021</w:t>
            </w:r>
          </w:p>
        </w:tc>
        <w:tc>
          <w:tcPr>
            <w:tcW w:w="4962" w:type="dxa"/>
            <w:shd w:val="clear" w:color="auto" w:fill="C6EFCE"/>
            <w:noWrap/>
          </w:tcPr>
          <w:p w14:paraId="5DE0CF4B" w14:textId="77777777" w:rsidR="0065073E" w:rsidRDefault="000A0998">
            <w:pPr>
              <w:pStyle w:val="P68B1DB1-Normal12"/>
              <w:spacing w:after="0" w:line="240" w:lineRule="auto"/>
              <w:rPr>
                <w:rFonts w:eastAsia="Times New Roman" w:cs="Times New Roman"/>
                <w:noProof/>
              </w:rPr>
            </w:pPr>
            <w:r>
              <w:rPr>
                <w:noProof/>
              </w:rPr>
              <w:t xml:space="preserve">Orgaanisen koulutuslain (LOMLOE) tavoitteena on luoda uudistettu oikeusjärjestelmä, joka laadun, tasapuolisuuden ja osallisuuden periaatteiden mukaisesti lisää opiskelijoiden koulutusmahdollisuuksia ja edistää oppimistulosten parantamista. </w:t>
            </w:r>
          </w:p>
        </w:tc>
      </w:tr>
      <w:tr w:rsidR="0065073E" w14:paraId="0C0DD3F9" w14:textId="77777777">
        <w:trPr>
          <w:trHeight w:val="309"/>
        </w:trPr>
        <w:tc>
          <w:tcPr>
            <w:tcW w:w="709" w:type="dxa"/>
            <w:shd w:val="clear" w:color="auto" w:fill="C6EFCE"/>
            <w:noWrap/>
          </w:tcPr>
          <w:p w14:paraId="2A41899C" w14:textId="77777777" w:rsidR="0065073E" w:rsidRDefault="000A0998">
            <w:pPr>
              <w:pStyle w:val="P68B1DB1-Normal12"/>
              <w:spacing w:after="0" w:line="240" w:lineRule="auto"/>
              <w:jc w:val="center"/>
              <w:rPr>
                <w:rFonts w:eastAsia="Times New Roman" w:cs="Times New Roman"/>
                <w:noProof/>
              </w:rPr>
            </w:pPr>
            <w:r>
              <w:rPr>
                <w:noProof/>
              </w:rPr>
              <w:t>304</w:t>
            </w:r>
          </w:p>
        </w:tc>
        <w:tc>
          <w:tcPr>
            <w:tcW w:w="851" w:type="dxa"/>
            <w:shd w:val="clear" w:color="auto" w:fill="C6EFCE"/>
            <w:noWrap/>
          </w:tcPr>
          <w:p w14:paraId="2F48DC72" w14:textId="77777777" w:rsidR="0065073E" w:rsidRDefault="000A0998">
            <w:pPr>
              <w:pStyle w:val="P68B1DB1-Normal12"/>
              <w:spacing w:after="0" w:line="240" w:lineRule="auto"/>
              <w:jc w:val="center"/>
              <w:rPr>
                <w:rFonts w:eastAsia="Times New Roman" w:cs="Times New Roman"/>
                <w:noProof/>
              </w:rPr>
            </w:pPr>
            <w:r>
              <w:rPr>
                <w:noProof/>
              </w:rPr>
              <w:t>C21.R2</w:t>
            </w:r>
          </w:p>
        </w:tc>
        <w:tc>
          <w:tcPr>
            <w:tcW w:w="850" w:type="dxa"/>
            <w:shd w:val="clear" w:color="auto" w:fill="C6EFCE"/>
            <w:noWrap/>
          </w:tcPr>
          <w:p w14:paraId="193DD2CA"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73CC4CE5" w14:textId="77777777" w:rsidR="0065073E" w:rsidRDefault="000A0998">
            <w:pPr>
              <w:pStyle w:val="P68B1DB1-Normal12"/>
              <w:spacing w:after="0" w:line="240" w:lineRule="auto"/>
              <w:rPr>
                <w:rFonts w:eastAsia="Times New Roman" w:cs="Times New Roman"/>
                <w:noProof/>
              </w:rPr>
            </w:pPr>
            <w:r>
              <w:rPr>
                <w:noProof/>
              </w:rPr>
              <w:t xml:space="preserve">Opetuksen vähimmäisvaatimuksista annetun kuninkaallisen asetuksen voimaantulo </w:t>
            </w:r>
          </w:p>
        </w:tc>
        <w:tc>
          <w:tcPr>
            <w:tcW w:w="1134" w:type="dxa"/>
            <w:shd w:val="clear" w:color="auto" w:fill="C6EFCE"/>
            <w:noWrap/>
          </w:tcPr>
          <w:p w14:paraId="7FAEF243" w14:textId="77777777" w:rsidR="0065073E" w:rsidRDefault="000A0998">
            <w:pPr>
              <w:pStyle w:val="P68B1DB1-Normal12"/>
              <w:spacing w:after="0" w:line="240" w:lineRule="auto"/>
              <w:jc w:val="center"/>
              <w:rPr>
                <w:rFonts w:eastAsia="Times New Roman" w:cs="Times New Roman"/>
                <w:noProof/>
              </w:rPr>
            </w:pPr>
            <w:r>
              <w:rPr>
                <w:noProof/>
              </w:rPr>
              <w:t>Kuninkaan asetuksen voimaantulon osoittava kuninkaan asetuksen säännös</w:t>
            </w:r>
          </w:p>
        </w:tc>
        <w:tc>
          <w:tcPr>
            <w:tcW w:w="850" w:type="dxa"/>
            <w:shd w:val="clear" w:color="auto" w:fill="C6EFCE"/>
            <w:noWrap/>
          </w:tcPr>
          <w:p w14:paraId="7590E4F4"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2AC652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3AB103B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3E7B9E7"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708" w:type="dxa"/>
            <w:shd w:val="clear" w:color="auto" w:fill="C6EFCE"/>
            <w:noWrap/>
          </w:tcPr>
          <w:p w14:paraId="5BD39E85"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962" w:type="dxa"/>
            <w:shd w:val="clear" w:color="auto" w:fill="C6EFCE"/>
            <w:noWrap/>
          </w:tcPr>
          <w:p w14:paraId="607538B8" w14:textId="77777777" w:rsidR="0065073E" w:rsidRDefault="000A0998">
            <w:pPr>
              <w:pStyle w:val="P68B1DB1-Normal12"/>
              <w:spacing w:after="0" w:line="240" w:lineRule="auto"/>
              <w:rPr>
                <w:rFonts w:eastAsia="Times New Roman" w:cs="Times New Roman"/>
                <w:noProof/>
              </w:rPr>
            </w:pPr>
            <w:r>
              <w:rPr>
                <w:noProof/>
              </w:rPr>
              <w:t xml:space="preserve">Kuninkaallisen asetuksen opetuksen vähimmäisvaatimuksista alemman perusasteen koulutuksessa, keskiasteen koulutuksessa ja ylioppilastutkinnossa on otettava käyttöön opetusta ja oppimista koskevat metodologiset suuntaviivat, jotka perustuvat ”pehmeät taidot” sisältävään opetussuunnitelmaan; pätevyyden hankkimista koskeva arviointikehys; sellaisen joustavamman ja avoimemman mallin suunnittelu, joka edistää syvällistä oppimista; sekä opetusmateriaalin laatiminen, tuki, ohjaus ja koulutus opettajille sen varmistamiseksi, että he voivat panna uuden opetussuunnitelman tehokkaasti täytäntöön. </w:t>
            </w:r>
          </w:p>
        </w:tc>
      </w:tr>
      <w:tr w:rsidR="0065073E" w14:paraId="1C9F393F" w14:textId="77777777">
        <w:trPr>
          <w:trHeight w:val="309"/>
        </w:trPr>
        <w:tc>
          <w:tcPr>
            <w:tcW w:w="709" w:type="dxa"/>
            <w:shd w:val="clear" w:color="auto" w:fill="C6EFCE"/>
            <w:noWrap/>
          </w:tcPr>
          <w:p w14:paraId="0989A4DE" w14:textId="77777777" w:rsidR="0065073E" w:rsidRDefault="000A0998">
            <w:pPr>
              <w:pStyle w:val="P68B1DB1-Normal12"/>
              <w:spacing w:after="0" w:line="240" w:lineRule="auto"/>
              <w:jc w:val="center"/>
              <w:rPr>
                <w:rFonts w:eastAsia="Times New Roman" w:cs="Times New Roman"/>
                <w:noProof/>
              </w:rPr>
            </w:pPr>
            <w:r>
              <w:rPr>
                <w:noProof/>
              </w:rPr>
              <w:t>305</w:t>
            </w:r>
          </w:p>
        </w:tc>
        <w:tc>
          <w:tcPr>
            <w:tcW w:w="851" w:type="dxa"/>
            <w:shd w:val="clear" w:color="auto" w:fill="C6EFCE"/>
            <w:noWrap/>
          </w:tcPr>
          <w:p w14:paraId="00868EFA" w14:textId="77777777" w:rsidR="0065073E" w:rsidRDefault="000A0998">
            <w:pPr>
              <w:pStyle w:val="P68B1DB1-Normal12"/>
              <w:spacing w:after="0" w:line="240" w:lineRule="auto"/>
              <w:jc w:val="center"/>
              <w:rPr>
                <w:rFonts w:eastAsia="Times New Roman" w:cs="Times New Roman"/>
                <w:noProof/>
              </w:rPr>
            </w:pPr>
            <w:r>
              <w:rPr>
                <w:noProof/>
              </w:rPr>
              <w:t>C21.R2</w:t>
            </w:r>
          </w:p>
        </w:tc>
        <w:tc>
          <w:tcPr>
            <w:tcW w:w="850" w:type="dxa"/>
            <w:shd w:val="clear" w:color="auto" w:fill="C6EFCE"/>
            <w:noWrap/>
          </w:tcPr>
          <w:p w14:paraId="4527B462"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1F3FE9D9" w14:textId="77777777" w:rsidR="0065073E" w:rsidRDefault="000A0998">
            <w:pPr>
              <w:pStyle w:val="P68B1DB1-Normal12"/>
              <w:spacing w:after="0" w:line="240" w:lineRule="auto"/>
              <w:rPr>
                <w:rFonts w:eastAsia="Times New Roman" w:cs="Times New Roman"/>
                <w:noProof/>
              </w:rPr>
            </w:pPr>
            <w:r>
              <w:rPr>
                <w:noProof/>
              </w:rPr>
              <w:t xml:space="preserve">Aineisto, joka opastaa ja tukee opettajia uuden opetussuunnitelman täytäntöönpanossa ja ammattilaisten koulutuksessa </w:t>
            </w:r>
          </w:p>
        </w:tc>
        <w:tc>
          <w:tcPr>
            <w:tcW w:w="1134" w:type="dxa"/>
            <w:shd w:val="clear" w:color="auto" w:fill="C6EFCE"/>
            <w:noWrap/>
          </w:tcPr>
          <w:p w14:paraId="71FAEB64" w14:textId="77777777" w:rsidR="0065073E" w:rsidRDefault="000A0998">
            <w:pPr>
              <w:pStyle w:val="P68B1DB1-Normal12"/>
              <w:spacing w:after="0" w:line="240" w:lineRule="auto"/>
              <w:jc w:val="center"/>
              <w:rPr>
                <w:rFonts w:eastAsia="Times New Roman" w:cs="Times New Roman"/>
                <w:noProof/>
              </w:rPr>
            </w:pPr>
            <w:r>
              <w:rPr>
                <w:noProof/>
              </w:rPr>
              <w:t>Todistukset julkaistusta materiaalista ja annetusta koulutuksesta</w:t>
            </w:r>
          </w:p>
        </w:tc>
        <w:tc>
          <w:tcPr>
            <w:tcW w:w="850" w:type="dxa"/>
            <w:shd w:val="clear" w:color="auto" w:fill="C6EFCE"/>
            <w:noWrap/>
          </w:tcPr>
          <w:p w14:paraId="4225590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2DD6667F"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1526EC02"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138C259" w14:textId="77777777" w:rsidR="0065073E" w:rsidRDefault="000A0998">
            <w:pPr>
              <w:pStyle w:val="P68B1DB1-Normal12"/>
              <w:spacing w:after="0" w:line="240" w:lineRule="auto"/>
              <w:jc w:val="center"/>
              <w:rPr>
                <w:rFonts w:eastAsia="Times New Roman" w:cs="Times New Roman"/>
                <w:noProof/>
              </w:rPr>
            </w:pPr>
            <w:r>
              <w:rPr>
                <w:noProof/>
              </w:rPr>
              <w:t>Q3</w:t>
            </w:r>
          </w:p>
        </w:tc>
        <w:tc>
          <w:tcPr>
            <w:tcW w:w="708" w:type="dxa"/>
            <w:shd w:val="clear" w:color="auto" w:fill="C6EFCE"/>
            <w:noWrap/>
          </w:tcPr>
          <w:p w14:paraId="49849DF5" w14:textId="77777777" w:rsidR="0065073E" w:rsidRDefault="000A0998">
            <w:pPr>
              <w:pStyle w:val="P68B1DB1-Normal12"/>
              <w:spacing w:after="0" w:line="240" w:lineRule="auto"/>
              <w:jc w:val="center"/>
              <w:rPr>
                <w:rFonts w:eastAsia="Times New Roman" w:cs="Times New Roman"/>
                <w:noProof/>
              </w:rPr>
            </w:pPr>
            <w:r>
              <w:rPr>
                <w:noProof/>
              </w:rPr>
              <w:t>2024</w:t>
            </w:r>
          </w:p>
        </w:tc>
        <w:tc>
          <w:tcPr>
            <w:tcW w:w="4962" w:type="dxa"/>
            <w:shd w:val="clear" w:color="auto" w:fill="C6EFCE"/>
            <w:noWrap/>
          </w:tcPr>
          <w:p w14:paraId="7FACA0BC" w14:textId="77777777" w:rsidR="0065073E" w:rsidRDefault="000A0998">
            <w:pPr>
              <w:pStyle w:val="P68B1DB1-Normal12"/>
              <w:spacing w:after="0" w:line="240" w:lineRule="auto"/>
              <w:rPr>
                <w:rFonts w:eastAsia="Times New Roman" w:cs="Times New Roman"/>
                <w:noProof/>
              </w:rPr>
            </w:pPr>
            <w:r>
              <w:rPr>
                <w:noProof/>
              </w:rPr>
              <w:t>Tukioppaan ja opetusmateriaalin valmistelu on saatettu päätökseen. Kaikki aineisto on julkaistava verkossa, jotta 100 prosenttia opettajista voi käyttää.  Vähintään 4000 opettajan on täytynyt suorittaa koulutus uuden opetussuunnitelman soveltamiseksi. Vähintään 100 ulkopuolista asiantuntijaa osallistuu koulutusvaiheiden alojen ja oppiaineiden opetussuunnitelmien sekä arviointikehysten laatimiseen, mikä muodostaa perustan uuden opetussuunnitelman ja yhteisen arviointikehyksen kuninkaallisten asetusten laatimiselle.</w:t>
            </w:r>
          </w:p>
        </w:tc>
      </w:tr>
      <w:tr w:rsidR="0065073E" w14:paraId="49971E8F" w14:textId="77777777">
        <w:trPr>
          <w:trHeight w:val="309"/>
        </w:trPr>
        <w:tc>
          <w:tcPr>
            <w:tcW w:w="709" w:type="dxa"/>
            <w:shd w:val="clear" w:color="auto" w:fill="C6EFCE"/>
            <w:noWrap/>
          </w:tcPr>
          <w:p w14:paraId="2363DD8F" w14:textId="77777777" w:rsidR="0065073E" w:rsidRDefault="000A0998">
            <w:pPr>
              <w:pStyle w:val="P68B1DB1-Normal12"/>
              <w:spacing w:after="0" w:line="240" w:lineRule="auto"/>
              <w:jc w:val="center"/>
              <w:rPr>
                <w:rFonts w:eastAsia="Times New Roman" w:cs="Times New Roman"/>
                <w:noProof/>
              </w:rPr>
            </w:pPr>
            <w:r>
              <w:rPr>
                <w:noProof/>
              </w:rPr>
              <w:t>306</w:t>
            </w:r>
          </w:p>
        </w:tc>
        <w:tc>
          <w:tcPr>
            <w:tcW w:w="851" w:type="dxa"/>
            <w:shd w:val="clear" w:color="auto" w:fill="C6EFCE"/>
            <w:noWrap/>
          </w:tcPr>
          <w:p w14:paraId="49378F37" w14:textId="77777777" w:rsidR="0065073E" w:rsidRDefault="000A0998">
            <w:pPr>
              <w:pStyle w:val="P68B1DB1-Normal12"/>
              <w:spacing w:after="0" w:line="240" w:lineRule="auto"/>
              <w:jc w:val="center"/>
              <w:rPr>
                <w:rFonts w:eastAsia="Times New Roman" w:cs="Times New Roman"/>
                <w:noProof/>
              </w:rPr>
            </w:pPr>
            <w:r>
              <w:rPr>
                <w:noProof/>
              </w:rPr>
              <w:t>C21.R3</w:t>
            </w:r>
          </w:p>
        </w:tc>
        <w:tc>
          <w:tcPr>
            <w:tcW w:w="850" w:type="dxa"/>
            <w:shd w:val="clear" w:color="auto" w:fill="C6EFCE"/>
            <w:noWrap/>
          </w:tcPr>
          <w:p w14:paraId="737E09C5"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549ADC5" w14:textId="77777777" w:rsidR="0065073E" w:rsidRDefault="000A0998">
            <w:pPr>
              <w:pStyle w:val="P68B1DB1-Normal12"/>
              <w:spacing w:after="0" w:line="240" w:lineRule="auto"/>
              <w:rPr>
                <w:rFonts w:eastAsia="Times New Roman" w:cs="Times New Roman"/>
                <w:noProof/>
              </w:rPr>
            </w:pPr>
            <w:r>
              <w:rPr>
                <w:noProof/>
              </w:rPr>
              <w:t>Yliopistojen organisaatiota koskevien kuninkaallisten asetusten voimaantulo</w:t>
            </w:r>
          </w:p>
        </w:tc>
        <w:tc>
          <w:tcPr>
            <w:tcW w:w="1134" w:type="dxa"/>
            <w:shd w:val="clear" w:color="auto" w:fill="C6EFCE"/>
            <w:noWrap/>
          </w:tcPr>
          <w:p w14:paraId="369C4B4A" w14:textId="77777777" w:rsidR="0065073E" w:rsidRDefault="000A0998">
            <w:pPr>
              <w:pStyle w:val="P68B1DB1-Normal12"/>
              <w:spacing w:after="0" w:line="240" w:lineRule="auto"/>
              <w:jc w:val="center"/>
              <w:rPr>
                <w:rFonts w:eastAsia="Times New Roman" w:cs="Times New Roman"/>
                <w:noProof/>
              </w:rPr>
            </w:pPr>
            <w:r>
              <w:rPr>
                <w:noProof/>
              </w:rPr>
              <w:t>Kuninkaan asetusten voimaantuloa koskeva säännös</w:t>
            </w:r>
          </w:p>
        </w:tc>
        <w:tc>
          <w:tcPr>
            <w:tcW w:w="850" w:type="dxa"/>
            <w:shd w:val="clear" w:color="auto" w:fill="C6EFCE"/>
            <w:noWrap/>
          </w:tcPr>
          <w:p w14:paraId="25011EDD"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3709DAF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102288B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7E43498" w14:textId="77777777" w:rsidR="0065073E" w:rsidRDefault="000A0998">
            <w:pPr>
              <w:pStyle w:val="P68B1DB1-Normal12"/>
              <w:spacing w:after="0" w:line="240" w:lineRule="auto"/>
              <w:jc w:val="center"/>
              <w:rPr>
                <w:rFonts w:eastAsia="Times New Roman" w:cs="Times New Roman"/>
                <w:noProof/>
              </w:rPr>
            </w:pPr>
            <w:r>
              <w:rPr>
                <w:noProof/>
              </w:rPr>
              <w:t>Q3</w:t>
            </w:r>
          </w:p>
        </w:tc>
        <w:tc>
          <w:tcPr>
            <w:tcW w:w="708" w:type="dxa"/>
            <w:shd w:val="clear" w:color="auto" w:fill="C6EFCE"/>
            <w:noWrap/>
          </w:tcPr>
          <w:p w14:paraId="28C269B6" w14:textId="77777777" w:rsidR="0065073E" w:rsidRDefault="000A0998">
            <w:pPr>
              <w:pStyle w:val="P68B1DB1-Normal12"/>
              <w:spacing w:after="0" w:line="240" w:lineRule="auto"/>
              <w:jc w:val="center"/>
              <w:rPr>
                <w:rFonts w:eastAsia="Times New Roman" w:cs="Times New Roman"/>
                <w:noProof/>
              </w:rPr>
            </w:pPr>
            <w:r>
              <w:rPr>
                <w:noProof/>
              </w:rPr>
              <w:t>2021</w:t>
            </w:r>
          </w:p>
        </w:tc>
        <w:tc>
          <w:tcPr>
            <w:tcW w:w="4962" w:type="dxa"/>
            <w:shd w:val="clear" w:color="auto" w:fill="C6EFCE"/>
            <w:noWrap/>
          </w:tcPr>
          <w:p w14:paraId="455E3153"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Yliopistojen organisaatiota koskevat kaksi kuninkaan asetusta ovat seuraavat:</w:t>
            </w:r>
            <w:r>
              <w:rPr>
                <w:noProof/>
              </w:rPr>
              <w:t xml:space="preserve"> </w:t>
            </w:r>
            <w:r>
              <w:rPr>
                <w:noProof/>
              </w:rPr>
              <w:br/>
            </w:r>
            <w:r>
              <w:rPr>
                <w:rFonts w:ascii="Times New Roman" w:hAnsi="Times New Roman"/>
                <w:noProof/>
                <w:sz w:val="18"/>
              </w:rPr>
              <w:t>Kuninkaan asetus yliopisto-opintojen järjestämisestä ja niiden laadun varmistamismenettelystä</w:t>
            </w:r>
            <w:r>
              <w:rPr>
                <w:noProof/>
              </w:rPr>
              <w:t xml:space="preserve"> </w:t>
            </w:r>
            <w:r>
              <w:rPr>
                <w:noProof/>
              </w:rPr>
              <w:br/>
              <w:t xml:space="preserve"> </w:t>
            </w:r>
            <w:r>
              <w:rPr>
                <w:rFonts w:ascii="Times New Roman" w:hAnsi="Times New Roman"/>
                <w:noProof/>
                <w:sz w:val="18"/>
              </w:rPr>
              <w:t>— Kuninkaallinen asetus yliopistojen ja niihin liittyvien keskusten perustamista, tunnustamista, hyväksymistä ja akkreditointia koskevasta järjestelmästä.</w:t>
            </w:r>
          </w:p>
        </w:tc>
      </w:tr>
      <w:tr w:rsidR="0065073E" w14:paraId="7C45691E" w14:textId="77777777">
        <w:trPr>
          <w:trHeight w:val="309"/>
        </w:trPr>
        <w:tc>
          <w:tcPr>
            <w:tcW w:w="709" w:type="dxa"/>
            <w:shd w:val="clear" w:color="auto" w:fill="C6EFCE"/>
            <w:noWrap/>
          </w:tcPr>
          <w:p w14:paraId="457C32E2" w14:textId="77777777" w:rsidR="0065073E" w:rsidRDefault="000A0998">
            <w:pPr>
              <w:pStyle w:val="P68B1DB1-Normal12"/>
              <w:spacing w:after="0" w:line="240" w:lineRule="auto"/>
              <w:jc w:val="center"/>
              <w:rPr>
                <w:rFonts w:eastAsia="Times New Roman" w:cs="Times New Roman"/>
                <w:noProof/>
              </w:rPr>
            </w:pPr>
            <w:r>
              <w:rPr>
                <w:noProof/>
              </w:rPr>
              <w:t>307</w:t>
            </w:r>
          </w:p>
        </w:tc>
        <w:tc>
          <w:tcPr>
            <w:tcW w:w="851" w:type="dxa"/>
            <w:shd w:val="clear" w:color="auto" w:fill="C6EFCE"/>
            <w:noWrap/>
          </w:tcPr>
          <w:p w14:paraId="48B8E743" w14:textId="77777777" w:rsidR="0065073E" w:rsidRDefault="000A0998">
            <w:pPr>
              <w:pStyle w:val="P68B1DB1-Normal12"/>
              <w:spacing w:after="0" w:line="240" w:lineRule="auto"/>
              <w:jc w:val="center"/>
              <w:rPr>
                <w:rFonts w:eastAsia="Times New Roman" w:cs="Times New Roman"/>
                <w:noProof/>
              </w:rPr>
            </w:pPr>
            <w:r>
              <w:rPr>
                <w:noProof/>
              </w:rPr>
              <w:t>C21.R3</w:t>
            </w:r>
          </w:p>
        </w:tc>
        <w:tc>
          <w:tcPr>
            <w:tcW w:w="850" w:type="dxa"/>
            <w:shd w:val="clear" w:color="auto" w:fill="C6EFCE"/>
            <w:noWrap/>
          </w:tcPr>
          <w:p w14:paraId="788CC30A"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B233E55" w14:textId="77777777" w:rsidR="0065073E" w:rsidRDefault="000A0998">
            <w:pPr>
              <w:pStyle w:val="P68B1DB1-Normal12"/>
              <w:spacing w:after="0" w:line="240" w:lineRule="auto"/>
              <w:rPr>
                <w:rFonts w:eastAsia="Times New Roman" w:cs="Times New Roman"/>
                <w:noProof/>
              </w:rPr>
            </w:pPr>
            <w:r>
              <w:rPr>
                <w:noProof/>
              </w:rPr>
              <w:t>Yliopistojärjestelmää koskevan orgaanisen lain voimaantulo</w:t>
            </w:r>
          </w:p>
        </w:tc>
        <w:tc>
          <w:tcPr>
            <w:tcW w:w="1134" w:type="dxa"/>
            <w:shd w:val="clear" w:color="auto" w:fill="C6EFCE"/>
            <w:noWrap/>
          </w:tcPr>
          <w:p w14:paraId="221B2BB5" w14:textId="77777777" w:rsidR="0065073E" w:rsidRDefault="000A0998">
            <w:pPr>
              <w:pStyle w:val="P68B1DB1-Normal12"/>
              <w:spacing w:after="0" w:line="240" w:lineRule="auto"/>
              <w:jc w:val="center"/>
              <w:rPr>
                <w:rFonts w:eastAsia="Times New Roman" w:cs="Times New Roman"/>
                <w:noProof/>
              </w:rPr>
            </w:pPr>
            <w:r>
              <w:rPr>
                <w:noProof/>
              </w:rPr>
              <w:t>Lain säännös, josta käy ilmi orgaanisen lain voimaantulo</w:t>
            </w:r>
          </w:p>
        </w:tc>
        <w:tc>
          <w:tcPr>
            <w:tcW w:w="850" w:type="dxa"/>
            <w:shd w:val="clear" w:color="auto" w:fill="C6EFCE"/>
            <w:noWrap/>
          </w:tcPr>
          <w:p w14:paraId="076876A7"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4D9CAB7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E6B33C0" w14:textId="77777777" w:rsidR="0065073E" w:rsidRDefault="000A0998">
            <w:pPr>
              <w:pStyle w:val="P68B1DB1-Normal12"/>
              <w:spacing w:after="0" w:line="240" w:lineRule="auto"/>
              <w:rPr>
                <w:rFonts w:eastAsia="Times New Roman" w:cs="Times New Roman"/>
                <w:noProof/>
              </w:rPr>
            </w:pPr>
            <w:r>
              <w:rPr>
                <w:noProof/>
              </w:rPr>
              <w:t xml:space="preserve"> </w:t>
            </w:r>
          </w:p>
        </w:tc>
        <w:tc>
          <w:tcPr>
            <w:tcW w:w="567" w:type="dxa"/>
            <w:shd w:val="clear" w:color="auto" w:fill="C6EFCE"/>
            <w:noWrap/>
          </w:tcPr>
          <w:p w14:paraId="41AD0AB7"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708" w:type="dxa"/>
            <w:shd w:val="clear" w:color="auto" w:fill="C6EFCE"/>
            <w:noWrap/>
          </w:tcPr>
          <w:p w14:paraId="2680F0A3"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962" w:type="dxa"/>
            <w:shd w:val="clear" w:color="auto" w:fill="C6EFCE"/>
            <w:noWrap/>
          </w:tcPr>
          <w:p w14:paraId="3B9C751B" w14:textId="77777777" w:rsidR="0065073E" w:rsidRDefault="000A0998">
            <w:pPr>
              <w:pStyle w:val="P68B1DB1-Normal12"/>
              <w:spacing w:after="0" w:line="240" w:lineRule="auto"/>
              <w:rPr>
                <w:rFonts w:eastAsia="Times New Roman" w:cs="Times New Roman"/>
                <w:noProof/>
              </w:rPr>
            </w:pPr>
            <w:r>
              <w:rPr>
                <w:noProof/>
              </w:rPr>
              <w:t>Uusi orgaaninen laki, jolla pyritään edistämään pääsyä korkea-asteen koulutukseen, mukauttamaan yliopistokurssien järjestämistä, varmistamaan korkeakoulujen hyvä hallinto ja edistämään opetus- ja tutkimushenkilöstön tutkimusta, siirtoa ja liikkuvuutta. Uudistuksella parannetaan korkea-asteen koulutuksen työmarkkinarelevanssia, mukaan lukien yhteistyön edistäminen yksityisen ja kolmannen sektorin laitosten kanssa ja tulosperusteisen rahoituksen käyttöönotto julkisissa yliopistoissa.</w:t>
            </w:r>
          </w:p>
        </w:tc>
      </w:tr>
      <w:tr w:rsidR="0065073E" w14:paraId="6B8EDAEE" w14:textId="77777777">
        <w:trPr>
          <w:trHeight w:val="309"/>
        </w:trPr>
        <w:tc>
          <w:tcPr>
            <w:tcW w:w="709" w:type="dxa"/>
            <w:shd w:val="clear" w:color="auto" w:fill="C6EFCE"/>
            <w:noWrap/>
          </w:tcPr>
          <w:p w14:paraId="0DDE9BB6" w14:textId="77777777" w:rsidR="0065073E" w:rsidRDefault="000A0998">
            <w:pPr>
              <w:pStyle w:val="P68B1DB1-Normal12"/>
              <w:spacing w:after="0" w:line="240" w:lineRule="auto"/>
              <w:jc w:val="center"/>
              <w:rPr>
                <w:rFonts w:eastAsia="Times New Roman" w:cs="Times New Roman"/>
                <w:noProof/>
              </w:rPr>
            </w:pPr>
            <w:r>
              <w:rPr>
                <w:noProof/>
              </w:rPr>
              <w:t>308</w:t>
            </w:r>
          </w:p>
        </w:tc>
        <w:tc>
          <w:tcPr>
            <w:tcW w:w="851" w:type="dxa"/>
            <w:shd w:val="clear" w:color="auto" w:fill="C6EFCE"/>
            <w:noWrap/>
          </w:tcPr>
          <w:p w14:paraId="300859AE" w14:textId="77777777" w:rsidR="0065073E" w:rsidRDefault="000A0998">
            <w:pPr>
              <w:pStyle w:val="P68B1DB1-Normal12"/>
              <w:spacing w:after="0" w:line="240" w:lineRule="auto"/>
              <w:jc w:val="center"/>
              <w:rPr>
                <w:rFonts w:eastAsia="Times New Roman" w:cs="Times New Roman"/>
                <w:noProof/>
              </w:rPr>
            </w:pPr>
            <w:r>
              <w:rPr>
                <w:noProof/>
              </w:rPr>
              <w:t>C21.I1</w:t>
            </w:r>
          </w:p>
        </w:tc>
        <w:tc>
          <w:tcPr>
            <w:tcW w:w="850" w:type="dxa"/>
            <w:shd w:val="clear" w:color="auto" w:fill="C6EFCE"/>
            <w:noWrap/>
          </w:tcPr>
          <w:p w14:paraId="4B652367" w14:textId="77777777" w:rsidR="0065073E" w:rsidRDefault="000A0998">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020C134B" w14:textId="77777777" w:rsidR="0065073E" w:rsidRDefault="000A0998">
            <w:pPr>
              <w:pStyle w:val="P68B1DB1-Normal12"/>
              <w:spacing w:after="0" w:line="240" w:lineRule="auto"/>
              <w:rPr>
                <w:rFonts w:eastAsia="Times New Roman" w:cs="Times New Roman"/>
                <w:noProof/>
              </w:rPr>
            </w:pPr>
            <w:r>
              <w:rPr>
                <w:noProof/>
              </w:rPr>
              <w:t xml:space="preserve">Budjettituki varhaiskasvatuksen ensimmäisen kierroksen edistämiseksi </w:t>
            </w:r>
          </w:p>
        </w:tc>
        <w:tc>
          <w:tcPr>
            <w:tcW w:w="1134" w:type="dxa"/>
            <w:shd w:val="clear" w:color="auto" w:fill="C6EFCE"/>
            <w:noWrap/>
          </w:tcPr>
          <w:p w14:paraId="244CD4CD"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328C8AED" w14:textId="77777777" w:rsidR="0065073E" w:rsidRDefault="000A0998">
            <w:pPr>
              <w:pStyle w:val="P68B1DB1-Normal12"/>
              <w:spacing w:after="0" w:line="240" w:lineRule="auto"/>
              <w:jc w:val="center"/>
              <w:rPr>
                <w:rFonts w:eastAsia="Times New Roman" w:cs="Times New Roman"/>
                <w:noProof/>
              </w:rPr>
            </w:pPr>
            <w:r>
              <w:rPr>
                <w:noProof/>
              </w:rPr>
              <w:t xml:space="preserve"> EUR</w:t>
            </w:r>
          </w:p>
        </w:tc>
        <w:tc>
          <w:tcPr>
            <w:tcW w:w="709" w:type="dxa"/>
            <w:shd w:val="clear" w:color="auto" w:fill="C6EFCE"/>
            <w:noWrap/>
          </w:tcPr>
          <w:p w14:paraId="54BA7765" w14:textId="77777777" w:rsidR="0065073E" w:rsidRDefault="000A0998">
            <w:pPr>
              <w:pStyle w:val="P68B1DB1-Normal12"/>
              <w:spacing w:after="0" w:line="240" w:lineRule="auto"/>
              <w:jc w:val="center"/>
              <w:rPr>
                <w:rFonts w:eastAsia="Times New Roman" w:cs="Times New Roman"/>
                <w:noProof/>
              </w:rPr>
            </w:pPr>
            <w:r>
              <w:rPr>
                <w:noProof/>
              </w:rPr>
              <w:t>0</w:t>
            </w:r>
          </w:p>
        </w:tc>
        <w:tc>
          <w:tcPr>
            <w:tcW w:w="851" w:type="dxa"/>
            <w:shd w:val="clear" w:color="auto" w:fill="C6EFCE"/>
            <w:noWrap/>
          </w:tcPr>
          <w:p w14:paraId="10833A9B" w14:textId="77777777" w:rsidR="0065073E" w:rsidRDefault="000A0998">
            <w:pPr>
              <w:pStyle w:val="P68B1DB1-Normal12"/>
              <w:spacing w:after="0" w:line="240" w:lineRule="auto"/>
              <w:jc w:val="center"/>
              <w:rPr>
                <w:rFonts w:eastAsia="Times New Roman" w:cs="Times New Roman"/>
                <w:noProof/>
              </w:rPr>
            </w:pPr>
            <w:r>
              <w:rPr>
                <w:noProof/>
              </w:rPr>
              <w:t xml:space="preserve">670 990 000 </w:t>
            </w:r>
          </w:p>
        </w:tc>
        <w:tc>
          <w:tcPr>
            <w:tcW w:w="567" w:type="dxa"/>
            <w:shd w:val="clear" w:color="auto" w:fill="C6EFCE"/>
            <w:noWrap/>
          </w:tcPr>
          <w:p w14:paraId="156C08C7"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6C99842B"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962" w:type="dxa"/>
            <w:shd w:val="clear" w:color="auto" w:fill="C6EFCE"/>
            <w:noWrap/>
          </w:tcPr>
          <w:p w14:paraId="58706992" w14:textId="77777777" w:rsidR="0065073E" w:rsidRDefault="000A0998">
            <w:pPr>
              <w:pStyle w:val="P68B1DB1-Normal12"/>
              <w:spacing w:after="0" w:line="240" w:lineRule="auto"/>
              <w:jc w:val="both"/>
              <w:rPr>
                <w:rFonts w:eastAsia="Times New Roman" w:cs="Times New Roman"/>
                <w:noProof/>
              </w:rPr>
            </w:pPr>
            <w:r>
              <w:rPr>
                <w:noProof/>
              </w:rPr>
              <w:t xml:space="preserve">Alueellisille/paikallisille yksiköille myönnettävä 670990000 euron määräraha varhaiskasvatuksen ensimmäisen kierroksen edistämiseen luomalla uusia julkisessa omistuksessa olevia paikkoja. </w:t>
            </w:r>
          </w:p>
        </w:tc>
      </w:tr>
      <w:tr w:rsidR="0065073E" w14:paraId="1340EB0B" w14:textId="77777777">
        <w:trPr>
          <w:trHeight w:val="309"/>
        </w:trPr>
        <w:tc>
          <w:tcPr>
            <w:tcW w:w="709" w:type="dxa"/>
            <w:shd w:val="clear" w:color="auto" w:fill="C6EFCE"/>
            <w:noWrap/>
          </w:tcPr>
          <w:p w14:paraId="6271D4F2" w14:textId="77777777" w:rsidR="0065073E" w:rsidRDefault="000A0998">
            <w:pPr>
              <w:pStyle w:val="P68B1DB1-Normal12"/>
              <w:spacing w:after="0" w:line="240" w:lineRule="auto"/>
              <w:jc w:val="center"/>
              <w:rPr>
                <w:rFonts w:eastAsia="Times New Roman" w:cs="Times New Roman"/>
                <w:noProof/>
              </w:rPr>
            </w:pPr>
            <w:r>
              <w:rPr>
                <w:noProof/>
              </w:rPr>
              <w:t>309</w:t>
            </w:r>
          </w:p>
        </w:tc>
        <w:tc>
          <w:tcPr>
            <w:tcW w:w="851" w:type="dxa"/>
            <w:shd w:val="clear" w:color="auto" w:fill="C6EFCE"/>
            <w:noWrap/>
          </w:tcPr>
          <w:p w14:paraId="440324C0" w14:textId="77777777" w:rsidR="0065073E" w:rsidRDefault="000A0998">
            <w:pPr>
              <w:pStyle w:val="P68B1DB1-Normal12"/>
              <w:spacing w:after="0" w:line="240" w:lineRule="auto"/>
              <w:jc w:val="center"/>
              <w:rPr>
                <w:rFonts w:eastAsia="Times New Roman" w:cs="Times New Roman"/>
                <w:noProof/>
              </w:rPr>
            </w:pPr>
            <w:r>
              <w:rPr>
                <w:noProof/>
              </w:rPr>
              <w:t>C21.I1</w:t>
            </w:r>
          </w:p>
        </w:tc>
        <w:tc>
          <w:tcPr>
            <w:tcW w:w="850" w:type="dxa"/>
            <w:shd w:val="clear" w:color="auto" w:fill="C6EFCE"/>
            <w:noWrap/>
          </w:tcPr>
          <w:p w14:paraId="47A5B59D" w14:textId="77777777" w:rsidR="0065073E" w:rsidRDefault="000A0998">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3B351609" w14:textId="77777777" w:rsidR="0065073E" w:rsidRDefault="000A0998">
            <w:pPr>
              <w:pStyle w:val="P68B1DB1-Normal12"/>
              <w:spacing w:after="0" w:line="240" w:lineRule="auto"/>
              <w:rPr>
                <w:rFonts w:eastAsia="Times New Roman" w:cs="Times New Roman"/>
                <w:noProof/>
              </w:rPr>
            </w:pPr>
            <w:r>
              <w:rPr>
                <w:noProof/>
              </w:rPr>
              <w:t xml:space="preserve">Uusia paikkoja varhaiskasvatuksen ensimmäiselle kierrokselle </w:t>
            </w:r>
          </w:p>
        </w:tc>
        <w:tc>
          <w:tcPr>
            <w:tcW w:w="1134" w:type="dxa"/>
            <w:shd w:val="clear" w:color="auto" w:fill="C6EFCE"/>
            <w:noWrap/>
          </w:tcPr>
          <w:p w14:paraId="7E9B347A" w14:textId="77777777" w:rsidR="0065073E" w:rsidRDefault="000A0998">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23392B07"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709" w:type="dxa"/>
            <w:shd w:val="clear" w:color="auto" w:fill="C6EFCE"/>
            <w:noWrap/>
          </w:tcPr>
          <w:p w14:paraId="63346503" w14:textId="77777777" w:rsidR="0065073E" w:rsidRDefault="000A0998">
            <w:pPr>
              <w:pStyle w:val="P68B1DB1-Normal12"/>
              <w:spacing w:after="0" w:line="240" w:lineRule="auto"/>
              <w:jc w:val="center"/>
              <w:rPr>
                <w:rFonts w:eastAsia="Times New Roman" w:cs="Times New Roman"/>
                <w:noProof/>
                <w:highlight w:val="yellow"/>
              </w:rPr>
            </w:pPr>
            <w:r>
              <w:rPr>
                <w:noProof/>
              </w:rPr>
              <w:t>0</w:t>
            </w:r>
          </w:p>
        </w:tc>
        <w:tc>
          <w:tcPr>
            <w:tcW w:w="851" w:type="dxa"/>
            <w:shd w:val="clear" w:color="auto" w:fill="C6EFCE"/>
            <w:noWrap/>
          </w:tcPr>
          <w:p w14:paraId="6C140A24" w14:textId="77777777" w:rsidR="0065073E" w:rsidRDefault="000A0998">
            <w:pPr>
              <w:pStyle w:val="P68B1DB1-Normal12"/>
              <w:spacing w:after="0" w:line="240" w:lineRule="auto"/>
              <w:jc w:val="center"/>
              <w:rPr>
                <w:rFonts w:eastAsia="Times New Roman" w:cs="Times New Roman"/>
                <w:noProof/>
                <w:highlight w:val="yellow"/>
              </w:rPr>
            </w:pPr>
            <w:r>
              <w:rPr>
                <w:noProof/>
              </w:rPr>
              <w:t>60 000</w:t>
            </w:r>
          </w:p>
        </w:tc>
        <w:tc>
          <w:tcPr>
            <w:tcW w:w="567" w:type="dxa"/>
            <w:shd w:val="clear" w:color="auto" w:fill="C6EFCE"/>
            <w:noWrap/>
          </w:tcPr>
          <w:p w14:paraId="57D5F00D"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45670EFE" w14:textId="0F1E39B9" w:rsidR="0065073E" w:rsidRDefault="000A0998">
            <w:pPr>
              <w:pStyle w:val="P68B1DB1-Normal12"/>
              <w:spacing w:after="0" w:line="240" w:lineRule="auto"/>
              <w:jc w:val="center"/>
              <w:rPr>
                <w:rFonts w:eastAsia="Times New Roman" w:cs="Times New Roman"/>
                <w:noProof/>
              </w:rPr>
            </w:pPr>
            <w:r>
              <w:rPr>
                <w:noProof/>
              </w:rPr>
              <w:t>2025</w:t>
            </w:r>
          </w:p>
        </w:tc>
        <w:tc>
          <w:tcPr>
            <w:tcW w:w="4962" w:type="dxa"/>
            <w:shd w:val="clear" w:color="auto" w:fill="C6EFCE"/>
            <w:noWrap/>
          </w:tcPr>
          <w:p w14:paraId="1DB7122C" w14:textId="77777777" w:rsidR="0065073E" w:rsidRDefault="000A0998">
            <w:pPr>
              <w:pStyle w:val="P68B1DB1-Normal12"/>
              <w:spacing w:after="0" w:line="240" w:lineRule="auto"/>
              <w:rPr>
                <w:rFonts w:eastAsia="Times New Roman" w:cs="Times New Roman"/>
                <w:noProof/>
              </w:rPr>
            </w:pPr>
            <w:r>
              <w:rPr>
                <w:noProof/>
              </w:rPr>
              <w:t>Edistetään varhaiskasvatuksen ensimmäistä vaihetta luomalla uusia julkisessa omistuksessa olevia paikkoja (uusi rakentaminen ja/tai uudistaminen/kunnostaminen ja laitteistot vähintään 60000 paikassa vuoden 2020 loppuun verrattuna ja enintään 40000 paikkaa vuoteen 2025 mennessä).</w:t>
            </w:r>
          </w:p>
        </w:tc>
      </w:tr>
      <w:tr w:rsidR="0065073E" w14:paraId="08AED788" w14:textId="77777777">
        <w:trPr>
          <w:trHeight w:val="309"/>
        </w:trPr>
        <w:tc>
          <w:tcPr>
            <w:tcW w:w="709" w:type="dxa"/>
            <w:shd w:val="clear" w:color="auto" w:fill="C6EFCE"/>
            <w:noWrap/>
          </w:tcPr>
          <w:p w14:paraId="3C85BC4B" w14:textId="77777777" w:rsidR="0065073E" w:rsidRDefault="000A0998">
            <w:pPr>
              <w:pStyle w:val="P68B1DB1-Normal12"/>
              <w:spacing w:after="0" w:line="240" w:lineRule="auto"/>
              <w:jc w:val="center"/>
              <w:rPr>
                <w:rFonts w:eastAsia="Times New Roman" w:cs="Times New Roman"/>
                <w:noProof/>
              </w:rPr>
            </w:pPr>
            <w:r>
              <w:rPr>
                <w:noProof/>
              </w:rPr>
              <w:t>310</w:t>
            </w:r>
          </w:p>
        </w:tc>
        <w:tc>
          <w:tcPr>
            <w:tcW w:w="851" w:type="dxa"/>
            <w:shd w:val="clear" w:color="auto" w:fill="C6EFCE"/>
            <w:noWrap/>
          </w:tcPr>
          <w:p w14:paraId="71956508" w14:textId="77777777" w:rsidR="0065073E" w:rsidRDefault="000A0998">
            <w:pPr>
              <w:pStyle w:val="P68B1DB1-Normal12"/>
              <w:spacing w:after="0" w:line="240" w:lineRule="auto"/>
              <w:jc w:val="center"/>
              <w:rPr>
                <w:rFonts w:eastAsia="Times New Roman" w:cs="Times New Roman"/>
                <w:noProof/>
              </w:rPr>
            </w:pPr>
            <w:r>
              <w:rPr>
                <w:noProof/>
              </w:rPr>
              <w:t>C21.I2</w:t>
            </w:r>
          </w:p>
        </w:tc>
        <w:tc>
          <w:tcPr>
            <w:tcW w:w="850" w:type="dxa"/>
            <w:shd w:val="clear" w:color="auto" w:fill="C6EFCE"/>
            <w:noWrap/>
          </w:tcPr>
          <w:p w14:paraId="0B51D14E" w14:textId="77777777" w:rsidR="0065073E" w:rsidRDefault="000A0998">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5CD7584E" w14:textId="77777777" w:rsidR="0065073E" w:rsidRDefault="000A0998">
            <w:pPr>
              <w:pStyle w:val="P68B1DB1-Normal12"/>
              <w:spacing w:after="0" w:line="240" w:lineRule="auto"/>
              <w:rPr>
                <w:rFonts w:eastAsia="Times New Roman" w:cs="Times New Roman"/>
                <w:noProof/>
              </w:rPr>
            </w:pPr>
            <w:r>
              <w:rPr>
                <w:noProof/>
              </w:rPr>
              <w:t xml:space="preserve">Tuki kouluille PROA±ohjelmasta </w:t>
            </w:r>
          </w:p>
        </w:tc>
        <w:tc>
          <w:tcPr>
            <w:tcW w:w="1134" w:type="dxa"/>
            <w:shd w:val="clear" w:color="auto" w:fill="C6EFCE"/>
            <w:noWrap/>
          </w:tcPr>
          <w:p w14:paraId="4C63804D" w14:textId="77777777" w:rsidR="0065073E" w:rsidRDefault="000A0998">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203DED41"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709" w:type="dxa"/>
            <w:shd w:val="clear" w:color="auto" w:fill="C6EFCE"/>
            <w:noWrap/>
          </w:tcPr>
          <w:p w14:paraId="02C3A3F1" w14:textId="77777777" w:rsidR="0065073E" w:rsidRDefault="000A0998">
            <w:pPr>
              <w:pStyle w:val="P68B1DB1-Normal12"/>
              <w:spacing w:after="0" w:line="240" w:lineRule="auto"/>
              <w:jc w:val="right"/>
              <w:rPr>
                <w:rFonts w:eastAsia="Times New Roman" w:cs="Times New Roman"/>
                <w:noProof/>
              </w:rPr>
            </w:pPr>
            <w:r>
              <w:rPr>
                <w:noProof/>
              </w:rPr>
              <w:t>0</w:t>
            </w:r>
          </w:p>
        </w:tc>
        <w:tc>
          <w:tcPr>
            <w:tcW w:w="851" w:type="dxa"/>
            <w:shd w:val="clear" w:color="auto" w:fill="C6EFCE"/>
            <w:noWrap/>
          </w:tcPr>
          <w:p w14:paraId="26751969" w14:textId="77777777" w:rsidR="0065073E" w:rsidRDefault="000A0998">
            <w:pPr>
              <w:pStyle w:val="P68B1DB1-Normal12"/>
              <w:spacing w:after="0" w:line="240" w:lineRule="auto"/>
              <w:jc w:val="right"/>
              <w:rPr>
                <w:rFonts w:eastAsia="Times New Roman" w:cs="Times New Roman"/>
                <w:noProof/>
              </w:rPr>
            </w:pPr>
            <w:r>
              <w:rPr>
                <w:noProof/>
              </w:rPr>
              <w:t>2 700</w:t>
            </w:r>
          </w:p>
        </w:tc>
        <w:tc>
          <w:tcPr>
            <w:tcW w:w="567" w:type="dxa"/>
            <w:shd w:val="clear" w:color="auto" w:fill="C6EFCE"/>
            <w:noWrap/>
          </w:tcPr>
          <w:p w14:paraId="755CA836"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7EAE1301" w14:textId="77777777" w:rsidR="0065073E" w:rsidRDefault="000A0998">
            <w:pPr>
              <w:pStyle w:val="P68B1DB1-Normal12"/>
              <w:spacing w:after="0" w:line="240" w:lineRule="auto"/>
              <w:jc w:val="center"/>
              <w:rPr>
                <w:rFonts w:eastAsia="Times New Roman" w:cs="Times New Roman"/>
                <w:noProof/>
              </w:rPr>
            </w:pPr>
            <w:r>
              <w:rPr>
                <w:noProof/>
              </w:rPr>
              <w:t>2024</w:t>
            </w:r>
          </w:p>
        </w:tc>
        <w:tc>
          <w:tcPr>
            <w:tcW w:w="4962" w:type="dxa"/>
            <w:shd w:val="clear" w:color="auto" w:fill="C6EFCE"/>
            <w:noWrap/>
          </w:tcPr>
          <w:p w14:paraId="771C0313" w14:textId="77777777" w:rsidR="0065073E" w:rsidRDefault="000A0998">
            <w:pPr>
              <w:pStyle w:val="P68B1DB1-Normal12"/>
              <w:spacing w:after="0" w:line="240" w:lineRule="auto"/>
              <w:rPr>
                <w:rFonts w:eastAsia="Times New Roman" w:cs="Times New Roman"/>
                <w:noProof/>
              </w:rPr>
            </w:pPr>
            <w:r>
              <w:rPr>
                <w:noProof/>
              </w:rPr>
              <w:t xml:space="preserve">Vähintään 2700 koulua, joita tuetaan PROA±ohjelmasta koko maassa ohjelman vaatimusten mukaisesti. </w:t>
            </w:r>
          </w:p>
        </w:tc>
      </w:tr>
      <w:tr w:rsidR="0065073E" w14:paraId="1AFA8AA7" w14:textId="77777777">
        <w:trPr>
          <w:trHeight w:val="309"/>
        </w:trPr>
        <w:tc>
          <w:tcPr>
            <w:tcW w:w="709" w:type="dxa"/>
            <w:shd w:val="clear" w:color="auto" w:fill="C6EFCE"/>
            <w:noWrap/>
          </w:tcPr>
          <w:p w14:paraId="368F37FA" w14:textId="77777777" w:rsidR="0065073E" w:rsidRDefault="000A0998">
            <w:pPr>
              <w:pStyle w:val="P68B1DB1-Normal12"/>
              <w:spacing w:after="0" w:line="240" w:lineRule="auto"/>
              <w:jc w:val="center"/>
              <w:rPr>
                <w:rFonts w:eastAsia="Times New Roman" w:cs="Times New Roman"/>
                <w:noProof/>
              </w:rPr>
            </w:pPr>
            <w:r>
              <w:rPr>
                <w:noProof/>
              </w:rPr>
              <w:t>311</w:t>
            </w:r>
          </w:p>
        </w:tc>
        <w:tc>
          <w:tcPr>
            <w:tcW w:w="851" w:type="dxa"/>
            <w:shd w:val="clear" w:color="auto" w:fill="C6EFCE"/>
            <w:noWrap/>
          </w:tcPr>
          <w:p w14:paraId="2F6334CF" w14:textId="77777777" w:rsidR="0065073E" w:rsidRDefault="000A0998">
            <w:pPr>
              <w:pStyle w:val="P68B1DB1-Normal12"/>
              <w:spacing w:after="0" w:line="240" w:lineRule="auto"/>
              <w:jc w:val="center"/>
              <w:rPr>
                <w:rFonts w:eastAsia="Times New Roman" w:cs="Times New Roman"/>
                <w:noProof/>
              </w:rPr>
            </w:pPr>
            <w:r>
              <w:rPr>
                <w:noProof/>
              </w:rPr>
              <w:t>C21.I3</w:t>
            </w:r>
          </w:p>
        </w:tc>
        <w:tc>
          <w:tcPr>
            <w:tcW w:w="850" w:type="dxa"/>
            <w:shd w:val="clear" w:color="auto" w:fill="C6EFCE"/>
            <w:noWrap/>
          </w:tcPr>
          <w:p w14:paraId="0BEDAB84" w14:textId="77777777" w:rsidR="0065073E" w:rsidRDefault="000A0998">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37D990EA" w14:textId="77777777" w:rsidR="0065073E" w:rsidRDefault="000A0998">
            <w:pPr>
              <w:pStyle w:val="P68B1DB1-Normal12"/>
              <w:spacing w:after="0" w:line="240" w:lineRule="auto"/>
              <w:rPr>
                <w:rFonts w:eastAsia="Times New Roman" w:cs="Times New Roman"/>
                <w:noProof/>
              </w:rPr>
            </w:pPr>
            <w:r>
              <w:rPr>
                <w:noProof/>
              </w:rPr>
              <w:t xml:space="preserve">Haavoittuvassa asemassa olevien opiskelijoiden tuki- ja ohjausyksiköt </w:t>
            </w:r>
          </w:p>
        </w:tc>
        <w:tc>
          <w:tcPr>
            <w:tcW w:w="1134" w:type="dxa"/>
            <w:shd w:val="clear" w:color="auto" w:fill="C6EFCE"/>
            <w:noWrap/>
          </w:tcPr>
          <w:p w14:paraId="3099300F" w14:textId="77777777" w:rsidR="0065073E" w:rsidRDefault="000A0998">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7FD57B2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709" w:type="dxa"/>
            <w:shd w:val="clear" w:color="auto" w:fill="C6EFCE"/>
            <w:noWrap/>
          </w:tcPr>
          <w:p w14:paraId="3BE165FF" w14:textId="77777777" w:rsidR="0065073E" w:rsidRDefault="000A0998">
            <w:pPr>
              <w:pStyle w:val="P68B1DB1-Normal12"/>
              <w:spacing w:after="0" w:line="240" w:lineRule="auto"/>
              <w:jc w:val="right"/>
              <w:rPr>
                <w:rFonts w:eastAsia="Times New Roman" w:cs="Times New Roman"/>
                <w:noProof/>
              </w:rPr>
            </w:pPr>
            <w:r>
              <w:rPr>
                <w:noProof/>
              </w:rPr>
              <w:t>0</w:t>
            </w:r>
          </w:p>
        </w:tc>
        <w:tc>
          <w:tcPr>
            <w:tcW w:w="851" w:type="dxa"/>
            <w:shd w:val="clear" w:color="auto" w:fill="C6EFCE"/>
            <w:noWrap/>
          </w:tcPr>
          <w:p w14:paraId="5112CCB7" w14:textId="77777777" w:rsidR="0065073E" w:rsidRDefault="000A0998">
            <w:pPr>
              <w:pStyle w:val="P68B1DB1-Normal12"/>
              <w:spacing w:after="0" w:line="240" w:lineRule="auto"/>
              <w:jc w:val="right"/>
              <w:rPr>
                <w:rFonts w:eastAsia="Times New Roman" w:cs="Times New Roman"/>
                <w:noProof/>
              </w:rPr>
            </w:pPr>
            <w:r>
              <w:rPr>
                <w:noProof/>
              </w:rPr>
              <w:t>1 000</w:t>
            </w:r>
          </w:p>
        </w:tc>
        <w:tc>
          <w:tcPr>
            <w:tcW w:w="567" w:type="dxa"/>
            <w:shd w:val="clear" w:color="auto" w:fill="C6EFCE"/>
            <w:noWrap/>
          </w:tcPr>
          <w:p w14:paraId="59446398"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2FAD9344" w14:textId="77777777" w:rsidR="0065073E" w:rsidRDefault="000A0998">
            <w:pPr>
              <w:pStyle w:val="P68B1DB1-Normal12"/>
              <w:spacing w:after="0" w:line="240" w:lineRule="auto"/>
              <w:jc w:val="center"/>
              <w:rPr>
                <w:rFonts w:eastAsia="Times New Roman" w:cs="Times New Roman"/>
                <w:noProof/>
              </w:rPr>
            </w:pPr>
            <w:r>
              <w:rPr>
                <w:noProof/>
              </w:rPr>
              <w:t>2024</w:t>
            </w:r>
          </w:p>
        </w:tc>
        <w:tc>
          <w:tcPr>
            <w:tcW w:w="4962" w:type="dxa"/>
            <w:shd w:val="clear" w:color="auto" w:fill="C6EFCE"/>
            <w:noWrap/>
          </w:tcPr>
          <w:p w14:paraId="30F75166" w14:textId="77777777" w:rsidR="0065073E" w:rsidRDefault="000A0998">
            <w:pPr>
              <w:pStyle w:val="P68B1DB1-Normal12"/>
              <w:spacing w:after="0" w:line="240" w:lineRule="auto"/>
              <w:rPr>
                <w:rFonts w:eastAsia="Times New Roman" w:cs="Times New Roman"/>
                <w:noProof/>
              </w:rPr>
            </w:pPr>
            <w:r>
              <w:rPr>
                <w:noProof/>
              </w:rPr>
              <w:t xml:space="preserve">Kaikkialla maassa on oltava toiminnassa vähintään 1000 haavoittuvassa asemassa olevien opiskelijoiden liitännäis- ja ohjausyksikköä. </w:t>
            </w:r>
          </w:p>
        </w:tc>
      </w:tr>
      <w:tr w:rsidR="0065073E" w14:paraId="0F1B7EEB" w14:textId="77777777">
        <w:trPr>
          <w:trHeight w:val="309"/>
        </w:trPr>
        <w:tc>
          <w:tcPr>
            <w:tcW w:w="709" w:type="dxa"/>
            <w:shd w:val="clear" w:color="auto" w:fill="C6EFCE"/>
            <w:noWrap/>
          </w:tcPr>
          <w:p w14:paraId="18A5DEEB" w14:textId="77777777" w:rsidR="0065073E" w:rsidRDefault="000A0998">
            <w:pPr>
              <w:pStyle w:val="P68B1DB1-Normal12"/>
              <w:spacing w:after="0" w:line="240" w:lineRule="auto"/>
              <w:jc w:val="center"/>
              <w:rPr>
                <w:rFonts w:eastAsia="Times New Roman" w:cs="Times New Roman"/>
                <w:noProof/>
              </w:rPr>
            </w:pPr>
            <w:r>
              <w:rPr>
                <w:noProof/>
              </w:rPr>
              <w:t>312</w:t>
            </w:r>
          </w:p>
        </w:tc>
        <w:tc>
          <w:tcPr>
            <w:tcW w:w="851" w:type="dxa"/>
            <w:shd w:val="clear" w:color="auto" w:fill="C6EFCE"/>
            <w:noWrap/>
          </w:tcPr>
          <w:p w14:paraId="2E65A454" w14:textId="77777777" w:rsidR="0065073E" w:rsidRDefault="000A0998">
            <w:pPr>
              <w:pStyle w:val="P68B1DB1-Normal12"/>
              <w:spacing w:after="0" w:line="240" w:lineRule="auto"/>
              <w:jc w:val="center"/>
              <w:rPr>
                <w:rFonts w:eastAsia="Times New Roman" w:cs="Times New Roman"/>
                <w:noProof/>
              </w:rPr>
            </w:pPr>
            <w:r>
              <w:rPr>
                <w:noProof/>
              </w:rPr>
              <w:t>C21.I4</w:t>
            </w:r>
          </w:p>
        </w:tc>
        <w:tc>
          <w:tcPr>
            <w:tcW w:w="850" w:type="dxa"/>
            <w:shd w:val="clear" w:color="auto" w:fill="C6EFCE"/>
            <w:noWrap/>
          </w:tcPr>
          <w:p w14:paraId="0C5E04E2" w14:textId="77777777" w:rsidR="0065073E" w:rsidRDefault="000A0998">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0DEE07D4" w14:textId="77777777" w:rsidR="0065073E" w:rsidRDefault="000A0998">
            <w:pPr>
              <w:pStyle w:val="P68B1DB1-Normal12"/>
              <w:spacing w:after="0" w:line="240" w:lineRule="auto"/>
              <w:rPr>
                <w:rFonts w:eastAsia="Times New Roman" w:cs="Times New Roman"/>
                <w:noProof/>
              </w:rPr>
            </w:pPr>
            <w:r>
              <w:rPr>
                <w:noProof/>
              </w:rPr>
              <w:t>Apurahat ja apurahat tohtorintutkinnon suorittaneille opiskelijoille, apulaisprofessoreille ja tutkijoille</w:t>
            </w:r>
          </w:p>
        </w:tc>
        <w:tc>
          <w:tcPr>
            <w:tcW w:w="1134" w:type="dxa"/>
            <w:shd w:val="clear" w:color="auto" w:fill="C6EFCE"/>
            <w:noWrap/>
          </w:tcPr>
          <w:p w14:paraId="7FAF0C8E" w14:textId="77777777" w:rsidR="0065073E" w:rsidRDefault="000A0998">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79819ACB"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709" w:type="dxa"/>
            <w:shd w:val="clear" w:color="auto" w:fill="C6EFCE"/>
            <w:noWrap/>
          </w:tcPr>
          <w:p w14:paraId="7C1C5DA5" w14:textId="77777777" w:rsidR="0065073E" w:rsidRDefault="000A0998">
            <w:pPr>
              <w:pStyle w:val="P68B1DB1-Normal12"/>
              <w:spacing w:after="0" w:line="240" w:lineRule="auto"/>
              <w:jc w:val="right"/>
              <w:rPr>
                <w:rFonts w:eastAsia="Times New Roman" w:cs="Times New Roman"/>
                <w:noProof/>
              </w:rPr>
            </w:pPr>
            <w:r>
              <w:rPr>
                <w:noProof/>
              </w:rPr>
              <w:t>0</w:t>
            </w:r>
          </w:p>
        </w:tc>
        <w:tc>
          <w:tcPr>
            <w:tcW w:w="851" w:type="dxa"/>
            <w:shd w:val="clear" w:color="auto" w:fill="C6EFCE"/>
            <w:noWrap/>
          </w:tcPr>
          <w:p w14:paraId="6741858A" w14:textId="77777777" w:rsidR="0065073E" w:rsidRDefault="000A0998">
            <w:pPr>
              <w:pStyle w:val="P68B1DB1-Normal12"/>
              <w:spacing w:after="0" w:line="240" w:lineRule="auto"/>
              <w:jc w:val="right"/>
              <w:rPr>
                <w:rFonts w:eastAsia="Times New Roman" w:cs="Times New Roman"/>
                <w:noProof/>
              </w:rPr>
            </w:pPr>
            <w:r>
              <w:rPr>
                <w:noProof/>
              </w:rPr>
              <w:t>2 600</w:t>
            </w:r>
          </w:p>
        </w:tc>
        <w:tc>
          <w:tcPr>
            <w:tcW w:w="567" w:type="dxa"/>
            <w:shd w:val="clear" w:color="auto" w:fill="C6EFCE"/>
            <w:noWrap/>
          </w:tcPr>
          <w:p w14:paraId="57ACF00C"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2081F24C"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962" w:type="dxa"/>
            <w:shd w:val="clear" w:color="auto" w:fill="C6EFCE"/>
            <w:noWrap/>
          </w:tcPr>
          <w:p w14:paraId="343923B4" w14:textId="77777777" w:rsidR="0065073E" w:rsidRDefault="000A0998">
            <w:pPr>
              <w:pStyle w:val="P68B1DB1-Normal12"/>
              <w:spacing w:after="0" w:line="240" w:lineRule="auto"/>
              <w:rPr>
                <w:rFonts w:eastAsia="Times New Roman" w:cs="Times New Roman"/>
                <w:noProof/>
              </w:rPr>
            </w:pPr>
            <w:r>
              <w:rPr>
                <w:noProof/>
              </w:rPr>
              <w:t>Apurahojen ja apurahojen myöntäminen tohtorintutkinnon suorittaneille opiskelijoille, apulaisprofessoreille ja tutkijoille vähintään 2600 hakijalle. Näiden apurahojen tavoitteena on muun muassa edistää sen opetushenkilöstön ammatillista kehitystä, joka voidaan integroida järjestelmään tulevaisuudessa. Avustuksilla rahoitetaan arvostettujen ulkomaisten yliopistojen ja tutkimuskeskusten sekä espanjalaisten yliopistojen ja muiden julkisten toimijoiden isännöimää tutkimustoimintaa. Tätä varten avustuksilla pyritään houkuttelemaan kansainvälisiä lahjakkuuksia. Avustukset myönnetään kolmesta eri ohjelmasta, joissa sovelletaan tavoitteita ja kohderyhmää koskevia erityisiä perusteita, ja niiden kesto on yhdestä kolmeen vuotta ohjelmasta ja kohderyhmästä riippuen.</w:t>
            </w:r>
          </w:p>
        </w:tc>
      </w:tr>
      <w:tr w:rsidR="0065073E" w14:paraId="386FE0FC" w14:textId="77777777">
        <w:trPr>
          <w:trHeight w:val="309"/>
        </w:trPr>
        <w:tc>
          <w:tcPr>
            <w:tcW w:w="709" w:type="dxa"/>
            <w:shd w:val="clear" w:color="auto" w:fill="C6EFCE"/>
            <w:noWrap/>
          </w:tcPr>
          <w:p w14:paraId="2CE0BEA3" w14:textId="77777777" w:rsidR="0065073E" w:rsidRDefault="000A0998">
            <w:pPr>
              <w:pStyle w:val="P68B1DB1-Normal12"/>
              <w:spacing w:after="0" w:line="240" w:lineRule="auto"/>
              <w:jc w:val="center"/>
              <w:rPr>
                <w:rFonts w:eastAsia="Times New Roman" w:cs="Times New Roman"/>
                <w:noProof/>
              </w:rPr>
            </w:pPr>
            <w:r>
              <w:rPr>
                <w:noProof/>
              </w:rPr>
              <w:t>313</w:t>
            </w:r>
          </w:p>
        </w:tc>
        <w:tc>
          <w:tcPr>
            <w:tcW w:w="851" w:type="dxa"/>
            <w:shd w:val="clear" w:color="auto" w:fill="C6EFCE"/>
            <w:noWrap/>
          </w:tcPr>
          <w:p w14:paraId="44FE2EB5" w14:textId="77777777" w:rsidR="0065073E" w:rsidRDefault="000A0998">
            <w:pPr>
              <w:pStyle w:val="P68B1DB1-Normal12"/>
              <w:spacing w:after="0" w:line="240" w:lineRule="auto"/>
              <w:jc w:val="center"/>
              <w:rPr>
                <w:rFonts w:eastAsia="Times New Roman" w:cs="Times New Roman"/>
                <w:noProof/>
              </w:rPr>
            </w:pPr>
            <w:r>
              <w:rPr>
                <w:noProof/>
              </w:rPr>
              <w:t>C21.I5</w:t>
            </w:r>
          </w:p>
        </w:tc>
        <w:tc>
          <w:tcPr>
            <w:tcW w:w="850" w:type="dxa"/>
            <w:shd w:val="clear" w:color="auto" w:fill="C6EFCE"/>
            <w:noWrap/>
          </w:tcPr>
          <w:p w14:paraId="6652B822"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0E6EDD27" w14:textId="77777777" w:rsidR="0065073E" w:rsidRDefault="000A0998">
            <w:pPr>
              <w:pStyle w:val="P68B1DB1-Normal12"/>
              <w:spacing w:after="0" w:line="240" w:lineRule="auto"/>
              <w:rPr>
                <w:rFonts w:eastAsia="Times New Roman" w:cs="Times New Roman"/>
                <w:noProof/>
              </w:rPr>
            </w:pPr>
            <w:r>
              <w:rPr>
                <w:noProof/>
              </w:rPr>
              <w:t xml:space="preserve">Yliopistojen digitaali-indeksin kasvu </w:t>
            </w:r>
          </w:p>
        </w:tc>
        <w:tc>
          <w:tcPr>
            <w:tcW w:w="1134" w:type="dxa"/>
            <w:shd w:val="clear" w:color="auto" w:fill="C6EFCE"/>
            <w:noWrap/>
          </w:tcPr>
          <w:p w14:paraId="4E26CAC1" w14:textId="77777777" w:rsidR="0065073E" w:rsidRDefault="000A0998">
            <w:pPr>
              <w:pStyle w:val="P68B1DB1-Normal12"/>
              <w:spacing w:after="0" w:line="240" w:lineRule="auto"/>
              <w:jc w:val="center"/>
              <w:rPr>
                <w:rFonts w:eastAsia="Times New Roman" w:cs="Times New Roman"/>
                <w:noProof/>
              </w:rPr>
            </w:pPr>
            <w:r>
              <w:rPr>
                <w:noProof/>
              </w:rPr>
              <w:t>Hakemiston julkaiseminen yliopistoministeriön verkkosivustolla</w:t>
            </w:r>
          </w:p>
        </w:tc>
        <w:tc>
          <w:tcPr>
            <w:tcW w:w="850" w:type="dxa"/>
            <w:shd w:val="clear" w:color="auto" w:fill="C6EFCE"/>
            <w:noWrap/>
          </w:tcPr>
          <w:p w14:paraId="413D20A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611BB9D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7FB5F00E"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1C73FB4" w14:textId="77777777" w:rsidR="0065073E" w:rsidRDefault="000A0998">
            <w:pPr>
              <w:pStyle w:val="P68B1DB1-Normal12"/>
              <w:spacing w:after="0" w:line="240" w:lineRule="auto"/>
              <w:jc w:val="center"/>
              <w:rPr>
                <w:rFonts w:eastAsia="Times New Roman" w:cs="Times New Roman"/>
                <w:noProof/>
              </w:rPr>
            </w:pPr>
            <w:r>
              <w:rPr>
                <w:noProof/>
              </w:rPr>
              <w:t>Q4</w:t>
            </w:r>
          </w:p>
        </w:tc>
        <w:tc>
          <w:tcPr>
            <w:tcW w:w="708" w:type="dxa"/>
            <w:shd w:val="clear" w:color="auto" w:fill="C6EFCE"/>
            <w:noWrap/>
          </w:tcPr>
          <w:p w14:paraId="53E37E2F"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962" w:type="dxa"/>
            <w:shd w:val="clear" w:color="auto" w:fill="C6EFCE"/>
            <w:noWrap/>
          </w:tcPr>
          <w:p w14:paraId="596CA7D8" w14:textId="681E6C41" w:rsidR="0065073E" w:rsidRDefault="000A0998">
            <w:pPr>
              <w:pStyle w:val="P68B1DB1-Normal12"/>
              <w:spacing w:after="0" w:line="240" w:lineRule="auto"/>
              <w:rPr>
                <w:rFonts w:eastAsia="Times New Roman" w:cs="Times New Roman"/>
                <w:noProof/>
              </w:rPr>
            </w:pPr>
            <w:r>
              <w:rPr>
                <w:noProof/>
              </w:rPr>
              <w:t>Investointien loppuun saattaminen i) digitaalisiin resursseihin, kuten digitaalisten laitteiden ja infrastruktuurien parantamiseen; II) verkko-opetuksen kyberturvallisuus ja luokkahuoneteknologiat; III) akateemisen henkilöstön ja opiskelijoiden digitaalinen koulutus; ja iv) investoinnit digitaalisten palvelujen alustoihin; yliopistojen digitaali-indeksiä (Digital Index for Universities) on nostettava vähintään 10 prosenttia vuoden 2019 tasoon verrattuna koko yliopistojärjestelmän osalta ja katettava erilaiset kypsyysasteet: Hallinto, innovointi ja hallinto. Tukikelpoiset hankkeet on aloitettava helmikuusta 2020 alkaen. Yliopistojen digitaalinen indeksi on lyhennetty versio ”Digital Maturity Model for Universities” -mallista (MD4U). Kyseessä on indikaattorikehys, jota Crue-TIC (Espanjan yliopistojen liittokanslerien konferenssin IT-alakohtainen tietotekniikka) käyttää vuotuisessa tutkimuksessaan, joka kuvaa espanjalaisten yliopistojen digitalisaatioastetta johtamisen, innovoinnin ja hallinnon aloilla. Yliopistojen digitaali-indeksi on tulostaulu, jolla seurataan yliopistojen digitaalisen tason kehitystä. Ohjelman vaikutusten perustasona ovat yliopistojärjestelmän digitointitason arvot vuonna 2019 ja perustason päivämäärä 31. joulukuuta 2019.</w:t>
            </w:r>
          </w:p>
        </w:tc>
      </w:tr>
      <w:tr w:rsidR="0065073E" w14:paraId="7ABB7475" w14:textId="77777777">
        <w:trPr>
          <w:trHeight w:val="309"/>
        </w:trPr>
        <w:tc>
          <w:tcPr>
            <w:tcW w:w="709" w:type="dxa"/>
            <w:shd w:val="clear" w:color="auto" w:fill="C6EFCE"/>
            <w:noWrap/>
          </w:tcPr>
          <w:p w14:paraId="37170362" w14:textId="0BAB28C8" w:rsidR="0065073E" w:rsidRDefault="000A0998">
            <w:pPr>
              <w:pStyle w:val="P68B1DB1-Normal12"/>
              <w:spacing w:after="0" w:line="240" w:lineRule="auto"/>
              <w:jc w:val="center"/>
              <w:rPr>
                <w:rFonts w:cs="Times New Roman"/>
                <w:noProof/>
              </w:rPr>
            </w:pPr>
            <w:r>
              <w:rPr>
                <w:noProof/>
              </w:rPr>
              <w:t>468</w:t>
            </w:r>
          </w:p>
        </w:tc>
        <w:tc>
          <w:tcPr>
            <w:tcW w:w="851" w:type="dxa"/>
            <w:shd w:val="clear" w:color="auto" w:fill="C6EFCE"/>
            <w:noWrap/>
          </w:tcPr>
          <w:p w14:paraId="08E9864B" w14:textId="77777777" w:rsidR="0065073E" w:rsidRDefault="000A0998">
            <w:pPr>
              <w:pStyle w:val="P68B1DB1-Normal12"/>
              <w:spacing w:after="0" w:line="240" w:lineRule="auto"/>
              <w:jc w:val="center"/>
              <w:rPr>
                <w:rFonts w:cs="Times New Roman"/>
                <w:noProof/>
              </w:rPr>
            </w:pPr>
            <w:r>
              <w:rPr>
                <w:noProof/>
              </w:rPr>
              <w:t>C21.I6</w:t>
            </w:r>
          </w:p>
        </w:tc>
        <w:tc>
          <w:tcPr>
            <w:tcW w:w="850" w:type="dxa"/>
            <w:shd w:val="clear" w:color="auto" w:fill="C6EFCE"/>
            <w:noWrap/>
          </w:tcPr>
          <w:p w14:paraId="01D1ADDD" w14:textId="77777777" w:rsidR="0065073E" w:rsidRDefault="000A0998">
            <w:pPr>
              <w:pStyle w:val="P68B1DB1-Normal12"/>
              <w:spacing w:after="0" w:line="240" w:lineRule="auto"/>
              <w:jc w:val="center"/>
              <w:rPr>
                <w:rFonts w:cs="Times New Roman"/>
                <w:noProof/>
              </w:rPr>
            </w:pPr>
            <w:r>
              <w:rPr>
                <w:noProof/>
              </w:rPr>
              <w:t>M</w:t>
            </w:r>
          </w:p>
        </w:tc>
        <w:tc>
          <w:tcPr>
            <w:tcW w:w="3119" w:type="dxa"/>
            <w:shd w:val="clear" w:color="auto" w:fill="C6EFCE"/>
            <w:noWrap/>
          </w:tcPr>
          <w:p w14:paraId="640796C1" w14:textId="77777777" w:rsidR="0065073E" w:rsidRDefault="000A0998">
            <w:pPr>
              <w:pStyle w:val="P68B1DB1-Normal12"/>
              <w:spacing w:after="0" w:line="240" w:lineRule="auto"/>
              <w:rPr>
                <w:rFonts w:cs="Times New Roman"/>
                <w:noProof/>
              </w:rPr>
            </w:pPr>
            <w:r>
              <w:rPr>
                <w:noProof/>
              </w:rPr>
              <w:t>Korkeakoulujen pienten osaamiskokonaisuuksien kehittämistä koskevan toimintasuunnitelman hyväksyminen</w:t>
            </w:r>
          </w:p>
        </w:tc>
        <w:tc>
          <w:tcPr>
            <w:tcW w:w="1134" w:type="dxa"/>
            <w:shd w:val="clear" w:color="auto" w:fill="C6EFCE"/>
            <w:noWrap/>
          </w:tcPr>
          <w:p w14:paraId="122F4F0C" w14:textId="77777777" w:rsidR="0065073E" w:rsidRDefault="000A0998">
            <w:pPr>
              <w:pStyle w:val="P68B1DB1-Normal12"/>
              <w:spacing w:after="0" w:line="240" w:lineRule="auto"/>
              <w:jc w:val="center"/>
              <w:rPr>
                <w:rFonts w:cs="Times New Roman"/>
                <w:noProof/>
              </w:rPr>
            </w:pPr>
            <w:r>
              <w:rPr>
                <w:noProof/>
              </w:rPr>
              <w:t>Julkaiseminen yliopistoministeriön verkkosivustolla</w:t>
            </w:r>
          </w:p>
        </w:tc>
        <w:tc>
          <w:tcPr>
            <w:tcW w:w="850" w:type="dxa"/>
            <w:shd w:val="clear" w:color="auto" w:fill="C6EFCE"/>
            <w:noWrap/>
          </w:tcPr>
          <w:p w14:paraId="3BF83D2D" w14:textId="77777777" w:rsidR="0065073E" w:rsidRDefault="0065073E">
            <w:pPr>
              <w:spacing w:after="0" w:line="240" w:lineRule="auto"/>
              <w:jc w:val="center"/>
              <w:rPr>
                <w:rFonts w:ascii="Times New Roman" w:hAnsi="Times New Roman" w:cs="Times New Roman"/>
                <w:noProof/>
                <w:sz w:val="18"/>
              </w:rPr>
            </w:pPr>
          </w:p>
        </w:tc>
        <w:tc>
          <w:tcPr>
            <w:tcW w:w="709" w:type="dxa"/>
            <w:shd w:val="clear" w:color="auto" w:fill="C6EFCE"/>
            <w:noWrap/>
          </w:tcPr>
          <w:p w14:paraId="3D4FBB91" w14:textId="77777777" w:rsidR="0065073E" w:rsidRDefault="0065073E">
            <w:pPr>
              <w:spacing w:after="0" w:line="240" w:lineRule="auto"/>
              <w:jc w:val="right"/>
              <w:rPr>
                <w:rFonts w:ascii="Times New Roman" w:hAnsi="Times New Roman" w:cs="Times New Roman"/>
                <w:noProof/>
                <w:sz w:val="18"/>
              </w:rPr>
            </w:pPr>
          </w:p>
        </w:tc>
        <w:tc>
          <w:tcPr>
            <w:tcW w:w="851" w:type="dxa"/>
            <w:shd w:val="clear" w:color="auto" w:fill="C6EFCE"/>
            <w:noWrap/>
          </w:tcPr>
          <w:p w14:paraId="36DB89CF" w14:textId="77777777" w:rsidR="0065073E" w:rsidRDefault="0065073E">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5ADE0254" w14:textId="77777777" w:rsidR="0065073E" w:rsidRDefault="000A0998">
            <w:pPr>
              <w:pStyle w:val="P68B1DB1-Normal12"/>
              <w:spacing w:after="0" w:line="240" w:lineRule="auto"/>
              <w:jc w:val="center"/>
              <w:rPr>
                <w:rFonts w:cs="Times New Roman"/>
                <w:noProof/>
              </w:rPr>
            </w:pPr>
            <w:r>
              <w:rPr>
                <w:noProof/>
              </w:rPr>
              <w:t>2023</w:t>
            </w:r>
          </w:p>
        </w:tc>
        <w:tc>
          <w:tcPr>
            <w:tcW w:w="4962" w:type="dxa"/>
            <w:shd w:val="clear" w:color="auto" w:fill="C6EFCE"/>
            <w:noWrap/>
          </w:tcPr>
          <w:p w14:paraId="120C3E37" w14:textId="77777777" w:rsidR="0065073E" w:rsidRDefault="000A0998">
            <w:pPr>
              <w:pStyle w:val="P68B1DB1-Normal12"/>
              <w:spacing w:after="0" w:line="240" w:lineRule="auto"/>
              <w:rPr>
                <w:rFonts w:cs="Times New Roman"/>
                <w:noProof/>
              </w:rPr>
            </w:pPr>
            <w:r>
              <w:rPr>
                <w:noProof/>
              </w:rPr>
              <w:t>Hyväksytään toimintasuunnitelma puitteiden luomiseksi mikrotutkintojen kehittämistä varten, jonka yliopistoministeriö laatii sidosryhmien kuulemisen jälkeen. Suunnitelma kattaa toimet i) yliopistojen muuttamiseksi elinikäisen oppimisen oppilaitoksiksi; edistää aikuisten ja heidän työnantajiensa kysyntää; III) edistää mikrotutkintojen laatua ja merkityksellisyyttä; IV) saatavuuden tasapuolisuuden tukeminen; ja v) luoda yksilöllisiä ja joustavia koulutusväyliä.</w:t>
            </w:r>
          </w:p>
        </w:tc>
      </w:tr>
      <w:tr w:rsidR="0065073E" w14:paraId="14D987CC" w14:textId="77777777">
        <w:trPr>
          <w:trHeight w:val="309"/>
        </w:trPr>
        <w:tc>
          <w:tcPr>
            <w:tcW w:w="709" w:type="dxa"/>
            <w:shd w:val="clear" w:color="auto" w:fill="C6EFCE"/>
            <w:noWrap/>
          </w:tcPr>
          <w:p w14:paraId="046F9A5A" w14:textId="15ABE94F" w:rsidR="0065073E" w:rsidRDefault="000A0998">
            <w:pPr>
              <w:pStyle w:val="P68B1DB1-Normal12"/>
              <w:spacing w:after="0" w:line="240" w:lineRule="auto"/>
              <w:jc w:val="center"/>
              <w:rPr>
                <w:rFonts w:cs="Times New Roman"/>
                <w:noProof/>
              </w:rPr>
            </w:pPr>
            <w:r>
              <w:rPr>
                <w:noProof/>
              </w:rPr>
              <w:t>469</w:t>
            </w:r>
          </w:p>
        </w:tc>
        <w:tc>
          <w:tcPr>
            <w:tcW w:w="851" w:type="dxa"/>
            <w:shd w:val="clear" w:color="auto" w:fill="C6EFCE"/>
            <w:noWrap/>
          </w:tcPr>
          <w:p w14:paraId="48812D43" w14:textId="77777777" w:rsidR="0065073E" w:rsidRDefault="000A0998">
            <w:pPr>
              <w:pStyle w:val="P68B1DB1-Normal12"/>
              <w:spacing w:after="0" w:line="240" w:lineRule="auto"/>
              <w:jc w:val="center"/>
              <w:rPr>
                <w:rFonts w:cs="Times New Roman"/>
                <w:noProof/>
              </w:rPr>
            </w:pPr>
            <w:r>
              <w:rPr>
                <w:noProof/>
              </w:rPr>
              <w:t>C21.I6</w:t>
            </w:r>
          </w:p>
        </w:tc>
        <w:tc>
          <w:tcPr>
            <w:tcW w:w="850" w:type="dxa"/>
            <w:shd w:val="clear" w:color="auto" w:fill="C6EFCE"/>
            <w:noWrap/>
          </w:tcPr>
          <w:p w14:paraId="1EB23085"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34FC153D" w14:textId="77777777" w:rsidR="0065073E" w:rsidRDefault="000A0998">
            <w:pPr>
              <w:pStyle w:val="P68B1DB1-Normal12"/>
              <w:spacing w:after="0" w:line="240" w:lineRule="auto"/>
              <w:rPr>
                <w:rFonts w:cs="Times New Roman"/>
                <w:noProof/>
              </w:rPr>
            </w:pPr>
            <w:r>
              <w:rPr>
                <w:noProof/>
              </w:rPr>
              <w:t>Aikuisille myönnetyt yliopistojen pienet osaamiskokonaisuudet</w:t>
            </w:r>
          </w:p>
        </w:tc>
        <w:tc>
          <w:tcPr>
            <w:tcW w:w="1134" w:type="dxa"/>
            <w:shd w:val="clear" w:color="auto" w:fill="C6EFCE"/>
            <w:noWrap/>
          </w:tcPr>
          <w:p w14:paraId="45C7A478" w14:textId="77777777" w:rsidR="0065073E" w:rsidRDefault="0065073E">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65073E" w:rsidRDefault="000A0998">
            <w:pPr>
              <w:pStyle w:val="P68B1DB1-Normal12"/>
              <w:spacing w:after="0" w:line="240" w:lineRule="auto"/>
              <w:jc w:val="center"/>
              <w:rPr>
                <w:rFonts w:cs="Times New Roman"/>
                <w:noProof/>
              </w:rPr>
            </w:pPr>
            <w:r>
              <w:rPr>
                <w:noProof/>
              </w:rPr>
              <w:t>Määrä</w:t>
            </w:r>
          </w:p>
        </w:tc>
        <w:tc>
          <w:tcPr>
            <w:tcW w:w="709" w:type="dxa"/>
            <w:shd w:val="clear" w:color="auto" w:fill="C6EFCE"/>
            <w:noWrap/>
          </w:tcPr>
          <w:p w14:paraId="130795E5" w14:textId="77777777" w:rsidR="0065073E" w:rsidRDefault="000A0998">
            <w:pPr>
              <w:pStyle w:val="P68B1DB1-Normal12"/>
              <w:spacing w:after="0" w:line="240" w:lineRule="auto"/>
              <w:jc w:val="right"/>
              <w:rPr>
                <w:rFonts w:cs="Times New Roman"/>
                <w:noProof/>
              </w:rPr>
            </w:pPr>
            <w:r>
              <w:rPr>
                <w:noProof/>
              </w:rPr>
              <w:t>0</w:t>
            </w:r>
          </w:p>
        </w:tc>
        <w:tc>
          <w:tcPr>
            <w:tcW w:w="851" w:type="dxa"/>
            <w:shd w:val="clear" w:color="auto" w:fill="C6EFCE"/>
            <w:noWrap/>
          </w:tcPr>
          <w:p w14:paraId="250E3567" w14:textId="77777777" w:rsidR="0065073E" w:rsidRDefault="000A0998">
            <w:pPr>
              <w:pStyle w:val="P68B1DB1-Normal12"/>
              <w:spacing w:after="0" w:line="240" w:lineRule="auto"/>
              <w:jc w:val="right"/>
              <w:rPr>
                <w:rFonts w:cs="Times New Roman"/>
                <w:noProof/>
              </w:rPr>
            </w:pPr>
            <w:r>
              <w:rPr>
                <w:noProof/>
              </w:rPr>
              <w:t>60.000</w:t>
            </w:r>
          </w:p>
        </w:tc>
        <w:tc>
          <w:tcPr>
            <w:tcW w:w="567" w:type="dxa"/>
            <w:shd w:val="clear" w:color="auto" w:fill="C6EFCE"/>
            <w:noWrap/>
          </w:tcPr>
          <w:p w14:paraId="2D2387A3" w14:textId="77777777" w:rsidR="0065073E" w:rsidRDefault="000A0998">
            <w:pPr>
              <w:pStyle w:val="P68B1DB1-Normal12"/>
              <w:spacing w:after="0" w:line="240" w:lineRule="auto"/>
              <w:jc w:val="center"/>
              <w:rPr>
                <w:rFonts w:cs="Times New Roman"/>
                <w:noProof/>
              </w:rPr>
            </w:pPr>
            <w:r>
              <w:rPr>
                <w:noProof/>
              </w:rPr>
              <w:t>TOINEN VUOSINELJÄNNES</w:t>
            </w:r>
          </w:p>
        </w:tc>
        <w:tc>
          <w:tcPr>
            <w:tcW w:w="708" w:type="dxa"/>
            <w:shd w:val="clear" w:color="auto" w:fill="C6EFCE"/>
            <w:noWrap/>
          </w:tcPr>
          <w:p w14:paraId="47173C2D" w14:textId="0C63013D" w:rsidR="0065073E" w:rsidRDefault="000A0998">
            <w:pPr>
              <w:pStyle w:val="P68B1DB1-Normal12"/>
              <w:spacing w:after="0" w:line="240" w:lineRule="auto"/>
              <w:jc w:val="center"/>
              <w:rPr>
                <w:rFonts w:cs="Times New Roman"/>
                <w:noProof/>
              </w:rPr>
            </w:pPr>
            <w:r>
              <w:rPr>
                <w:noProof/>
              </w:rPr>
              <w:t>2026</w:t>
            </w:r>
          </w:p>
        </w:tc>
        <w:tc>
          <w:tcPr>
            <w:tcW w:w="4962" w:type="dxa"/>
            <w:shd w:val="clear" w:color="auto" w:fill="C6EFCE"/>
            <w:noWrap/>
          </w:tcPr>
          <w:p w14:paraId="616C5A85" w14:textId="77777777" w:rsidR="0065073E" w:rsidRDefault="000A0998">
            <w:pPr>
              <w:pStyle w:val="P68B1DB1-Normal7"/>
              <w:spacing w:after="0" w:line="240" w:lineRule="auto"/>
              <w:rPr>
                <w:rFonts w:cs="Times New Roman"/>
                <w:noProof/>
                <w:sz w:val="18"/>
              </w:rPr>
            </w:pPr>
            <w:r>
              <w:rPr>
                <w:noProof/>
                <w:sz w:val="18"/>
              </w:rPr>
              <w:t>Tarjotaan vähintään 60000 mikrotutkintoa, jotka kestävät alle 15 ECTS-järjestelmää ja vastaavat vähintään 1000 erilaista koulutustoimea, mukaan lukien mahdollisuus tarjota samalle aikuiselle useampi kuin yksi yksikkö. Koulutustoimilla on tarjottava työmarkkinoilla kysyttäviä erityistietoja ja -taitoja.</w:t>
            </w:r>
            <w:r>
              <w:rPr>
                <w:noProof/>
              </w:rPr>
              <w:t xml:space="preserve"> </w:t>
            </w:r>
            <w:r>
              <w:rPr>
                <w:noProof/>
                <w:sz w:val="18"/>
              </w:rPr>
              <w:t>Toimenpiteeseen sisältyy myös mikrotutkintojen tarjoamista koskevan arviointikertomuksen julkaiseminen yliopistoministeriön verkkosivustolla 31 päivään joulukuuta 2025 saakka.</w:t>
            </w:r>
          </w:p>
        </w:tc>
      </w:tr>
    </w:tbl>
    <w:p w14:paraId="783B4AAA" w14:textId="77777777" w:rsidR="0065073E" w:rsidRDefault="0065073E">
      <w:pPr>
        <w:spacing w:before="120" w:after="120" w:line="240" w:lineRule="auto"/>
        <w:jc w:val="both"/>
        <w:rPr>
          <w:rFonts w:ascii="Times New Roman" w:hAnsi="Times New Roman" w:cs="Times New Roman"/>
          <w:noProof/>
          <w:sz w:val="24"/>
          <w:highlight w:val="yellow"/>
          <w:u w:val="single"/>
        </w:rPr>
      </w:pPr>
    </w:p>
    <w:p w14:paraId="15AC4662"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81"/>
          <w:headerReference w:type="default" r:id="rId482"/>
          <w:footerReference w:type="even" r:id="rId483"/>
          <w:footerReference w:type="default" r:id="rId484"/>
          <w:headerReference w:type="first" r:id="rId485"/>
          <w:footerReference w:type="first" r:id="rId486"/>
          <w:pgSz w:w="16839" w:h="11907" w:orient="landscape"/>
          <w:pgMar w:top="1134" w:right="1134" w:bottom="1134" w:left="1134" w:header="567" w:footer="567" w:gutter="0"/>
          <w:cols w:space="720"/>
          <w:docGrid w:linePitch="360"/>
        </w:sectPr>
      </w:pPr>
    </w:p>
    <w:p w14:paraId="0D14E35D" w14:textId="77777777" w:rsidR="0065073E" w:rsidRDefault="000A0998">
      <w:pPr>
        <w:pStyle w:val="P68B1DB1-Heading12"/>
        <w:rPr>
          <w:rFonts w:cs="Times New Roman"/>
          <w:noProof/>
        </w:rPr>
      </w:pPr>
      <w:r>
        <w:rPr>
          <w:noProof/>
        </w:rPr>
        <w:t>V OSA 22: Hoivataloutta koskeva toimintasuunnitelma, tasa-arvo- ja osallisuuspolitiikkojen vahvistaminen</w:t>
      </w:r>
    </w:p>
    <w:p w14:paraId="75631E61" w14:textId="77777777" w:rsidR="0065073E" w:rsidRDefault="000A0998">
      <w:pPr>
        <w:pStyle w:val="P68B1DB1-Normal4"/>
        <w:spacing w:before="120" w:after="0" w:line="240" w:lineRule="auto"/>
        <w:jc w:val="both"/>
        <w:textAlignment w:val="baseline"/>
        <w:rPr>
          <w:rFonts w:eastAsia="Times New Roman" w:cs="Times New Roman"/>
          <w:noProof/>
        </w:rPr>
      </w:pPr>
      <w:r>
        <w:rPr>
          <w:noProof/>
        </w:rPr>
        <w:t xml:space="preserve">Espanjan elpymis- ja palautumissuunnitelman tämän komponentin päätavoitteena on sosiaalipalvelujen ja sosiaalista osallisuutta koskevien politiikkojen nykyaikaistaminen ja vahvistaminen. Siinä keskitytään erityisesti pitkäaikaishoidon malliin, jonka tavoitteena on vastata pitkäaikaishoidon palvelujen kasvavaan kysyntään väestön ikääntymisen vuoksi, edistää innovointia ja ihmiskeskeistä hoitomallia, jossa keskitytään laitoshoidosta luopumista koskevaan strategiaan. </w:t>
      </w:r>
    </w:p>
    <w:p w14:paraId="769166E5" w14:textId="77777777" w:rsidR="0065073E" w:rsidRDefault="000A0998">
      <w:pPr>
        <w:pStyle w:val="P68B1DB1-Normal7"/>
        <w:spacing w:before="120" w:after="0" w:line="240" w:lineRule="auto"/>
        <w:jc w:val="both"/>
        <w:rPr>
          <w:rFonts w:eastAsia="Times New Roman" w:cs="Times New Roman"/>
          <w:noProof/>
          <w:sz w:val="24"/>
        </w:rPr>
      </w:pPr>
      <w:r>
        <w:rPr>
          <w:noProof/>
        </w:rPr>
        <w:t>Muiden sosiaalipalvelujen ja sosiaalisen osallisuuden</w:t>
      </w:r>
      <w:r>
        <w:rPr>
          <w:noProof/>
          <w:sz w:val="24"/>
        </w:rPr>
        <w:t>alalla tavoitteisiin kuuluu sosiaalipalvelujen nykyaikaistaminen ja vahvistaminen edistämällä innovointia ja uutta teknologiaa, jotta voidaan varmistaa tarjonta koko alueella, tunnistaa paremmin tarpeet ja parantaa niiden laatua. Perheille annettavan tuen alalla toimilla pyritään parantamaan perheiden oikeussuojaa ja aineellista tukea (rahana ja luontoissuorituksina) lapsiköyhyyden vähentämiseksi.  Osa-alueen toisena tavoitteena on nykyaikaistaa muita maksuihin perustumattomia sosiaalietuuksia niiden suojelu- ja aktivointiroolien parantamiseksi.</w:t>
      </w:r>
      <w:r>
        <w:rPr>
          <w:noProof/>
        </w:rPr>
        <w:t xml:space="preserve"> </w:t>
      </w:r>
      <w:r>
        <w:rPr>
          <w:noProof/>
          <w:sz w:val="24"/>
        </w:rPr>
        <w:t>Kohdennetuilla erityistoimilla pyritään tukemaan sukupuoleen perustuvan väkivallan uhreja, edistämään julkisten palvelujen saatavuutta ja parantamaan kansainvälistä suojelua hakevien vastaanottojärjestelmän valmiuksia.</w:t>
      </w:r>
    </w:p>
    <w:p w14:paraId="4325628A" w14:textId="77777777" w:rsidR="0065073E" w:rsidRDefault="000A0998">
      <w:pPr>
        <w:pStyle w:val="P68B1DB1-Normal4"/>
        <w:spacing w:before="120" w:after="120" w:line="240" w:lineRule="auto"/>
        <w:jc w:val="both"/>
        <w:rPr>
          <w:rFonts w:cs="Times New Roman"/>
          <w:noProof/>
        </w:rPr>
      </w:pPr>
      <w:r>
        <w:rPr>
          <w:noProof/>
        </w:rPr>
        <w:t>Komponentilla edistetään niiden maakohtaisten suositusten noudattamista, jotka liittyvät sen varmistamiseen, että työllisyys- ja sosiaalipalveluilla on valmiudet tarjota tehokasta tukea (maakohtainen suositus 2 2019); perheille annettavan tuen parantaminen (maakohtainen suositus 2 2019); vähennetään kansallisen työttömyystukijärjestelmän hajanaisuutta ja korjataan puutteita alueellisten vähimmäistoimeentulojärjestelmien kattavuudessa (maakohtainen suositus 2 2019); sekä vähimmäistulo- ja perhetukijärjestelmien kattavuuden ja riittävyyden parantaminen (maakohtainen suositus 2/2020).</w:t>
      </w:r>
    </w:p>
    <w:p w14:paraId="0C423203"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2854374"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V.1 </w:t>
      </w:r>
      <w:r>
        <w:rPr>
          <w:noProof/>
        </w:rPr>
        <w:t xml:space="preserve"> </w:t>
      </w:r>
      <w:r>
        <w:rPr>
          <w:rFonts w:ascii="Times New Roman" w:hAnsi="Times New Roman"/>
          <w:b/>
          <w:noProof/>
          <w:sz w:val="24"/>
          <w:u w:val="single"/>
        </w:rPr>
        <w:t>Kuvaus uudistuksista ja investoinneista, joita rahoitetaan rahoitustuella, jota ei makseta takaisin</w:t>
      </w:r>
    </w:p>
    <w:p w14:paraId="2D7992FB" w14:textId="77777777" w:rsidR="0065073E" w:rsidRDefault="000A0998">
      <w:pPr>
        <w:pStyle w:val="P68B1DB1-Normal5"/>
        <w:spacing w:before="120" w:after="120" w:line="240" w:lineRule="auto"/>
        <w:jc w:val="both"/>
        <w:rPr>
          <w:rFonts w:cs="Times New Roman"/>
          <w:noProof/>
        </w:rPr>
      </w:pPr>
      <w:r>
        <w:rPr>
          <w:noProof/>
          <w:shd w:val="clear" w:color="auto" w:fill="FFFFFF"/>
        </w:rPr>
        <w:t>Uudistus 1 (C22.R1) –</w:t>
      </w:r>
      <w:r>
        <w:rPr>
          <w:noProof/>
        </w:rPr>
        <w:t xml:space="preserve"> Pitkäaikaishoidon vahvistaminen ja tuen ja pitkäaikaishoidon mallin muutoksen edistäminen</w:t>
      </w:r>
    </w:p>
    <w:p w14:paraId="2C0878DB" w14:textId="77777777" w:rsidR="0065073E" w:rsidRDefault="000A0998">
      <w:pPr>
        <w:pStyle w:val="P68B1DB1-Normal4"/>
        <w:spacing w:before="120" w:after="120" w:line="240" w:lineRule="auto"/>
        <w:jc w:val="both"/>
        <w:rPr>
          <w:rFonts w:cs="Times New Roman"/>
          <w:noProof/>
        </w:rPr>
      </w:pPr>
      <w:r>
        <w:rPr>
          <w:noProof/>
        </w:rPr>
        <w:t xml:space="preserve">Uudistuksella pyritään ihmiskeskeiseen ja oikeuksiin perustuvaan tukimalliin. Autonomy and Dependency Care -järjestelmää (SAAD) on tarkoitus parantaa ottamalla käyttöön uudistuksia, joilla yksinkertaistetaan hallinnollisia menettelyjä, nopeutetaan hakemusten käsittelyä ja vähennetään sellaisten huollettavien jonotuslistoja, jotka eivät saa palveluja, joihin heillä on oikeus, sekä vähentämällä eroja eri puolilla aluetta. Siinä keskitytään myös asiantuntijapalvelujen laadun parantamiseen, työolojen parantamiseen ja erilaisten taloudellisten etujen kattavuuden lisäämiseen. Keskipitkällä aikavälillä uudistuksessa keskitytään panemaan täytäntöön laitoshoidosta luopumista koskeva kansallinen strategia. Kyseessä on yhteisöhoitomalli, joka vastaa tukea tarvitsevien ihmisten tarpeita ja mieltymyksiä ja varmistaa samalla kustannustehokkuuden ja tukee heitä hoitavia perheitä. </w:t>
      </w:r>
    </w:p>
    <w:p w14:paraId="5C1142F2" w14:textId="77777777" w:rsidR="0065073E" w:rsidRDefault="000A0998">
      <w:pPr>
        <w:pStyle w:val="P68B1DB1-Normal4"/>
        <w:spacing w:before="120" w:after="120" w:line="240" w:lineRule="auto"/>
        <w:jc w:val="both"/>
        <w:rPr>
          <w:rFonts w:cs="Times New Roman"/>
          <w:noProof/>
        </w:rPr>
      </w:pPr>
      <w:r>
        <w:rPr>
          <w:noProof/>
        </w:rPr>
        <w:t xml:space="preserve">Pitkäaikaishoidon uudistuksen perustan on perustuttava SAADin arviointiin vuoden 2021 aikana, jotta saadaan perusteellinen käsitys vuonna 2020 käynnistetyn pitkäaikaishoidon uudistusprosessin edistymisestä ja sen vaikutuksista. Arvioinnin päätelmät esitetään alueneuvostolle vuoden 2022 alkupuoliskolla. </w:t>
      </w:r>
    </w:p>
    <w:p w14:paraId="1D423281"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kesäkuuta 2022 mennessä.</w:t>
      </w:r>
    </w:p>
    <w:p w14:paraId="0F984A9E" w14:textId="77777777" w:rsidR="0065073E" w:rsidRDefault="000A0998">
      <w:pPr>
        <w:pStyle w:val="P68B1DB1-Normal5"/>
        <w:spacing w:before="120" w:after="120" w:line="240" w:lineRule="auto"/>
        <w:jc w:val="both"/>
        <w:rPr>
          <w:rFonts w:cs="Times New Roman"/>
          <w:noProof/>
        </w:rPr>
      </w:pPr>
      <w:r>
        <w:rPr>
          <w:noProof/>
          <w:shd w:val="clear" w:color="auto" w:fill="FFFFFF"/>
        </w:rPr>
        <w:t xml:space="preserve">Uudistus 2 (C22.R2) – </w:t>
      </w:r>
      <w:r>
        <w:rPr>
          <w:noProof/>
        </w:rPr>
        <w:t>Julkisten sosiaalipalvelujen nykyaikaistaminen ja uuden sääntelykehyksen luominen</w:t>
      </w:r>
    </w:p>
    <w:p w14:paraId="60735B60" w14:textId="77777777" w:rsidR="0065073E" w:rsidRDefault="000A0998">
      <w:pPr>
        <w:pStyle w:val="P68B1DB1-Normal4"/>
        <w:spacing w:before="120" w:after="120" w:line="240" w:lineRule="auto"/>
        <w:jc w:val="both"/>
        <w:rPr>
          <w:rFonts w:cs="Times New Roman"/>
          <w:noProof/>
        </w:rPr>
      </w:pPr>
      <w:r>
        <w:rPr>
          <w:noProof/>
        </w:rPr>
        <w:t xml:space="preserve">Uudistuksella pyritään vahvistamaan julkista sosiaalipalvelujärjestelmää antamalla lainsäädäntöä, jolla taataan yhteinen vähimmäispalveluvalikoima ja yhteiset normit palvelujen tarjoamiselle koko alueella ja taataan Espanjan perustuslain 149 §:n 1 momentin mukaisesti kaikkien espanjalaisten tasavertainen kohtelu heidän käyttäessään oikeuksiaan. Tätä varten se auttaa vähentämään tarjottavien palvelujen tyyppiin, tasoon ja laatuun liittyviä eroja ja eriarvoisuutta. Sääntelykehyksestä sovitaan alueiden ja paikallisyhteisöjen kanssa, ja se kattaa myös julkisen järjestelmän organisoinnin, mukaan lukien sen sisäinen koordinointi ja koordinointi muiden sosiaalisen suojelun järjestelmien kanssa (koulutus, terveys, oikeus, asuminen ja kaupunkisuunnittelu, työllisyys jne.). yhteiskunnallisten yritysten osallistuminen sosiaalipalvelujen tarjoamiseen; toimivalta- ja rahoitusjärjestelmä. Lisäksi sen tavoitteena on edistää innovointia, parantaa sosiaalipalvelujen työntekijöiden taitoja ja perustaa uusi sosiaalipalveluja koskeva tietojärjestelmä. </w:t>
      </w:r>
    </w:p>
    <w:p w14:paraId="448552C2"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kesäkuuta 2023 mennessä.</w:t>
      </w:r>
    </w:p>
    <w:p w14:paraId="49C4B0FF" w14:textId="77777777" w:rsidR="0065073E" w:rsidRDefault="000A0998">
      <w:pPr>
        <w:pStyle w:val="P68B1DB1-Normal4"/>
        <w:spacing w:before="120" w:after="120" w:line="240" w:lineRule="auto"/>
        <w:jc w:val="both"/>
        <w:rPr>
          <w:rFonts w:cs="Times New Roman"/>
          <w:noProof/>
        </w:rPr>
      </w:pPr>
      <w:r>
        <w:rPr>
          <w:noProof/>
          <w:u w:val="single"/>
          <w:shd w:val="clear" w:color="auto" w:fill="FFFFFF"/>
        </w:rPr>
        <w:t xml:space="preserve">Uudistus 3 (C22.R3) – </w:t>
      </w:r>
      <w:r>
        <w:rPr>
          <w:noProof/>
          <w:u w:val="single"/>
        </w:rPr>
        <w:t>hyväksytään uusi laki perheiden suojelusta ja niiden hajanaisuuden</w:t>
      </w:r>
      <w:r>
        <w:rPr>
          <w:noProof/>
        </w:rPr>
        <w:t>tunnustamisesta</w:t>
      </w:r>
    </w:p>
    <w:p w14:paraId="19C6FC48" w14:textId="77777777" w:rsidR="0065073E" w:rsidRDefault="000A0998">
      <w:pPr>
        <w:pStyle w:val="P68B1DB1-Normal4"/>
        <w:spacing w:before="120" w:after="120" w:line="240" w:lineRule="auto"/>
        <w:jc w:val="both"/>
        <w:rPr>
          <w:rFonts w:cs="Times New Roman"/>
          <w:noProof/>
        </w:rPr>
      </w:pPr>
      <w:r>
        <w:rPr>
          <w:noProof/>
        </w:rPr>
        <w:t>On hyväksyttävä</w:t>
      </w:r>
      <w:r>
        <w:rPr>
          <w:noProof/>
          <w:shd w:val="clear" w:color="auto" w:fill="FFFFFF"/>
        </w:rPr>
        <w:t xml:space="preserve">uusi laki perheiden suojelusta ja niiden monimuotoisuuden tunnustamisesta, jotta voidaan vastata viime vuosikymmenten aikana tapahtuneisiin väestörakenteen muutoksiin ja yhteiskunnallisiin muutoksiin. Tämän uuden lain tarkoituksena on tunnustaa oikeudellisesti erilaiset perherakenteet ja määrittää etuudet ja palvelut, joihin heillä on oikeus niiden ominaispiirteiden ja tulotason mukaan. </w:t>
      </w:r>
      <w:r>
        <w:rPr>
          <w:noProof/>
        </w:rPr>
        <w:t xml:space="preserve">Tätä varten uudistuksiin on sisällyttävä oikeudellisen kehyksen systematisointi, päivittäminen ja parantaminen sekä valtionhallinnon perheille tunnustamat suojelutoimet, joissa otetaan huomioon perheiden moninaisuus sekä sosiaalisen suojelun (etuudet, sosiaalipalvelut) että oikeudellisen (yksityisoikeuden uudistukset tiettyjen ryhmien osalta: naimattomat pariskunnat, entiset perheet ja talouselämä (verotus, avustukset jne.). </w:t>
      </w:r>
      <w:r>
        <w:rPr>
          <w:noProof/>
          <w:shd w:val="clear" w:color="auto" w:fill="FFFFFF"/>
        </w:rPr>
        <w:t>Siihen sisältyy myös suuria perheitä koskevan lain tarkistaminen</w:t>
      </w:r>
      <w:r>
        <w:rPr>
          <w:noProof/>
        </w:rPr>
        <w:t xml:space="preserve">. </w:t>
      </w:r>
    </w:p>
    <w:p w14:paraId="01C9213D" w14:textId="77777777" w:rsidR="0065073E" w:rsidRDefault="000A0998">
      <w:pPr>
        <w:pStyle w:val="P68B1DB1-Normal21"/>
        <w:spacing w:before="120" w:after="120" w:line="240" w:lineRule="auto"/>
        <w:jc w:val="both"/>
        <w:rPr>
          <w:rFonts w:cs="Times New Roman"/>
          <w:noProof/>
        </w:rPr>
      </w:pPr>
      <w:r>
        <w:rPr>
          <w:noProof/>
        </w:rPr>
        <w:t xml:space="preserve">Uudistuksen yleisenä tavoitteena on vähentää lasten köyhyyttä. Sen vuoksi on kiinnitettävä erityistä huomiota eriarvoisuuden vähentämiseen tarjoamalla suojelua perheille, joilla on erityistarpeita tai jotka ovat haavoittuvassa asemassa, kuten yksinhuoltajatalouksille tai köyhyys- tai syrjäytymisvaarassa oleville perheille. Lisäksi laissa vahvistetaan yhteiset periaatteet ja tavoitteet, joilla varmistetaan johdonmukaisuus ja täydentävyys muiden julkisten politiikkojen, myös verotuksen, kanssa ja parannetaan subjektiivisiin oikeuksiin perustuvaa suojelua.   </w:t>
      </w:r>
    </w:p>
    <w:p w14:paraId="1C0CD4CA"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30 päivään kesäkuuta 2023 mennessä.</w:t>
      </w:r>
    </w:p>
    <w:p w14:paraId="334C02A2" w14:textId="77777777" w:rsidR="0065073E" w:rsidRDefault="000A0998">
      <w:pPr>
        <w:pStyle w:val="P68B1DB1-Normal5"/>
        <w:spacing w:before="120" w:after="120" w:line="240" w:lineRule="auto"/>
        <w:jc w:val="both"/>
        <w:rPr>
          <w:rFonts w:cs="Times New Roman"/>
          <w:noProof/>
        </w:rPr>
      </w:pPr>
      <w:r>
        <w:rPr>
          <w:noProof/>
          <w:shd w:val="clear" w:color="auto" w:fill="FFFFFF"/>
        </w:rPr>
        <w:t xml:space="preserve">Uudistus 4 (C22.R4) – </w:t>
      </w:r>
      <w:r>
        <w:rPr>
          <w:noProof/>
        </w:rPr>
        <w:t xml:space="preserve">Muuttajien ja kansainvälistä suojelua hakevien henkilöiden vastaanottojärjestelmän uudistaminen </w:t>
      </w:r>
    </w:p>
    <w:p w14:paraId="060DC2A4" w14:textId="77777777" w:rsidR="0065073E" w:rsidRDefault="000A0998">
      <w:pPr>
        <w:pStyle w:val="P68B1DB1-Normal4"/>
        <w:spacing w:before="120" w:after="120" w:line="240" w:lineRule="auto"/>
        <w:jc w:val="both"/>
        <w:rPr>
          <w:rFonts w:cs="Times New Roman"/>
          <w:noProof/>
        </w:rPr>
      </w:pPr>
      <w:r>
        <w:rPr>
          <w:noProof/>
        </w:rPr>
        <w:t>Espanjan nykyistä muuttajien ja kansainvälistä suojelua hakevien vastaanottojärjestelmää on vahvistettava sen valmiuksien parantamiseksi, jotta sitä voidaan mukauttaa nykyisiin ja arvioituihin tuleviin tarpeisiin ja tehostaa sitä. Painopisteenä on erityisesti kansainvälistä suojelua hakevien pitkien odotusaikojen lyhentäminen ja alhaisen hyväksymisasteen lyhentäminen. Kun järjestelmä on vakaampi ja toimivampi, tulevien muuttoliikekriisien hallinnan odotetaan olevan sujuvampaa.</w:t>
      </w:r>
    </w:p>
    <w:p w14:paraId="58F0D37C" w14:textId="77777777" w:rsidR="0065073E" w:rsidRDefault="000A0998">
      <w:pPr>
        <w:pStyle w:val="P68B1DB1-Normal4"/>
        <w:spacing w:before="120" w:after="120" w:line="240" w:lineRule="auto"/>
        <w:jc w:val="both"/>
        <w:rPr>
          <w:rFonts w:cs="Times New Roman"/>
          <w:noProof/>
        </w:rPr>
      </w:pPr>
      <w:r>
        <w:rPr>
          <w:noProof/>
        </w:rPr>
        <w:t xml:space="preserve">Vastaanottopolitiikka on räätälöitävä haavoittuvassa asemassa olevien henkilöiden ja turvapaikanhakijoiden tarpeisiin ja EU:n kotouttamistavoitteisiin, mikä parantaa koko järjestelmän häiriönsietokykyä. Siinä on myös vahvistettava peruspalvelujen taso sellaisille hakijoille, joilla ei ole taloudellisia resursseja, ja heikommassa asemassa oleville hakijoille, jotka tarvitsevat parempaa suojelua, ja pyrittävä minimoimaan vastaanotto-olosuhteiden tarjoaminen taloudellisten etujen muodossa. Lisäksi on mukautettava liitännäispalveluja ja -väyliä koskevaa järjestelmää. Siinä käsitellään alueelliselta kannalta vastaanottojärjestelmän organisointia, jonka tarkoituksena on nopeuttaa itsehallintoalueiden valtaa oikeuskäytännön mukaisesti muutaman pilottihankkeen avulla. Lisäksi yhteistyössä toimivien hakijoiden alueellista jakautumista koskevista parametreista sovitaan itsehallintoalueiden kanssa. </w:t>
      </w:r>
    </w:p>
    <w:p w14:paraId="29EE27F2" w14:textId="77777777" w:rsidR="0065073E" w:rsidRDefault="000A0998">
      <w:pPr>
        <w:pStyle w:val="P68B1DB1-Normal7"/>
        <w:spacing w:before="120" w:after="120" w:line="240" w:lineRule="auto"/>
        <w:jc w:val="both"/>
        <w:rPr>
          <w:rFonts w:cs="Times New Roman"/>
          <w:noProof/>
          <w:sz w:val="24"/>
        </w:rPr>
      </w:pPr>
      <w:r>
        <w:rPr>
          <w:noProof/>
          <w:sz w:val="24"/>
        </w:rPr>
        <w:t>Täytäntöönpanon varmistamiseksi on käytettävä indikaattorijärjestelmää, joka sisältää sellaisia tekijöitä kuin kansalaisuus, sukupuoli, etninen alkuperä, haavoittuvuus, alkuperämaan olosuhteet jne., käyttäen painotettua kaavaa, joka mahdollistaa suojelun myöntämisen todennäköisyyden objektiivisen laskennan. Hakemusten käsittelyn aikana vastaanottamisesta vastaavat viranomaiset voivat kaavan perusteella</w:t>
      </w:r>
      <w:r>
        <w:rPr>
          <w:noProof/>
        </w:rPr>
        <w:t xml:space="preserve"> </w:t>
      </w:r>
      <w:r>
        <w:rPr>
          <w:noProof/>
          <w:sz w:val="24"/>
        </w:rPr>
        <w:t>ohjata hakijat kohti perus- tai tehostettua vastaanottoreittiä. Tätä sovelletaan myös vastaaviin etuuksiin. Tämä mahdollistaa perusvastaanotto-olosuhteiden soveltamisen kaikkiin turvapaikanhakijoihin ja paremmat vastaanotto-olosuhteet niille, joiden tunnustaminen on erittäin todennäköistä.</w:t>
      </w:r>
    </w:p>
    <w:p w14:paraId="307F37F8"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maaliskuuta 2022 mennessä.</w:t>
      </w:r>
    </w:p>
    <w:p w14:paraId="1B9302C2" w14:textId="77777777" w:rsidR="0065073E" w:rsidRDefault="000A0998">
      <w:pPr>
        <w:pStyle w:val="P68B1DB1-Normal5"/>
        <w:spacing w:before="120" w:after="120" w:line="240" w:lineRule="auto"/>
        <w:jc w:val="both"/>
        <w:rPr>
          <w:rFonts w:cs="Times New Roman"/>
          <w:noProof/>
        </w:rPr>
      </w:pPr>
      <w:r>
        <w:rPr>
          <w:noProof/>
          <w:shd w:val="clear" w:color="auto" w:fill="FFFFFF"/>
        </w:rPr>
        <w:t xml:space="preserve">Uudistus 5 (C22.R5) – </w:t>
      </w:r>
      <w:r>
        <w:rPr>
          <w:noProof/>
        </w:rPr>
        <w:t>Valtionhallinnon maksuihin perustumattomien taloudellisten etuuksien järjestelmän parantaminen</w:t>
      </w:r>
    </w:p>
    <w:p w14:paraId="71DD81E6" w14:textId="77777777" w:rsidR="0065073E" w:rsidRDefault="000A0998">
      <w:pPr>
        <w:pStyle w:val="P68B1DB1-Normal4"/>
        <w:spacing w:before="120" w:after="120" w:line="240" w:lineRule="auto"/>
        <w:jc w:val="both"/>
        <w:rPr>
          <w:rFonts w:cs="Times New Roman"/>
          <w:noProof/>
        </w:rPr>
      </w:pPr>
      <w:r>
        <w:rPr>
          <w:noProof/>
        </w:rPr>
        <w:t xml:space="preserve">Uudistukseen sisältyy uuden vähimmäistoimeentulojärjestelmän hyväksyminen toukokuussa 2020, yhden kansallisen järjestelmän perustaminen maksuihin perustumattomia taloudellisia etuuksia varten ja maksuihin perustumattomien taloudellisten etuuksien vähimmäistaso kaikkein heikoimmassa asemassa oleville kotitalouksille. </w:t>
      </w:r>
    </w:p>
    <w:p w14:paraId="59CD41F3" w14:textId="77777777" w:rsidR="0065073E" w:rsidRDefault="000A0998">
      <w:pPr>
        <w:pStyle w:val="P68B1DB1-Normal4"/>
        <w:spacing w:before="120" w:after="120" w:line="240" w:lineRule="auto"/>
        <w:jc w:val="both"/>
        <w:rPr>
          <w:rFonts w:cs="Times New Roman"/>
          <w:noProof/>
        </w:rPr>
      </w:pPr>
      <w:r>
        <w:rPr>
          <w:noProof/>
        </w:rPr>
        <w:t xml:space="preserve">Kun lähtökohdaksi otetaan MVI-järjestelmä, on hyväksyttävä suunnitelma valtionhallinnon maksuihin perustumattomien taloudellisten etuuksien järjestelmän uudelleenorganisoimiseksi ja yksinkertaistamiseksi. Suunnitelman tavoitteena on yhdistää maksuihin perustumattomat etuudet ja järkeistää niitä MVI-järjestelmän pohjalta, jotta voidaan parantaa julkisten varojen vaikuttavuutta ja tehokkuutta ja keskittää ne haavoittuvassa asemassa oleviin ja köyhyyden tai sosiaalisen syrjäytymisen vaarassa oleviin ihmisiin. Painopisteenä on oltava asianmukaisen kattavuuden varmistaminen haavoittuvuuteen johtavista olosuhteista riippuen ja riittävän toimeentulotuen varmistaminen, millä edistetään köyhyyden vähentämistä. Tätä varten siinä otetaan huomioon kotitalouksien, erityisesti lapsiperheiden ja vammaisten henkilöiden, rakenteelliset tarpeet. Lisäksi siinä yhdistetään toimeentulotuki aktiiviseen työnhakuun, jotta voidaan edistää sosioekonomista integroitumista ja välttää köyhyysloukkuja. </w:t>
      </w:r>
    </w:p>
    <w:p w14:paraId="3267E89C" w14:textId="7777777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joulukuuta 2023 mennessä.</w:t>
      </w:r>
    </w:p>
    <w:p w14:paraId="397AD07F" w14:textId="77777777" w:rsidR="0065073E" w:rsidRDefault="000A0998">
      <w:pPr>
        <w:pStyle w:val="P68B1DB1-Normal4"/>
        <w:spacing w:before="120" w:after="120" w:line="240" w:lineRule="auto"/>
        <w:jc w:val="both"/>
        <w:rPr>
          <w:rFonts w:cs="Times New Roman"/>
          <w:noProof/>
          <w:u w:val="single"/>
        </w:rPr>
      </w:pPr>
      <w:r>
        <w:rPr>
          <w:noProof/>
          <w:u w:val="single"/>
        </w:rPr>
        <w:t xml:space="preserve">Investointi 1 </w:t>
      </w:r>
      <w:r>
        <w:rPr>
          <w:noProof/>
          <w:u w:val="single"/>
          <w:shd w:val="clear" w:color="auto" w:fill="FFFFFF"/>
        </w:rPr>
        <w:t>(C22.I1)</w:t>
      </w:r>
      <w:r>
        <w:rPr>
          <w:noProof/>
          <w:u w:val="single"/>
        </w:rPr>
        <w:t>: Pitkäaikaishoito- ja tukisuunnitelma: laitoshoidosta luopuminen, laitteet ja teknologia</w:t>
      </w:r>
      <w:r>
        <w:rPr>
          <w:noProof/>
        </w:rPr>
        <w:t xml:space="preserve"> </w:t>
      </w:r>
    </w:p>
    <w:p w14:paraId="379D6577" w14:textId="77777777" w:rsidR="0065073E" w:rsidRDefault="000A0998">
      <w:pPr>
        <w:pStyle w:val="P68B1DB1-Normal4"/>
        <w:spacing w:before="120" w:after="120" w:line="240" w:lineRule="auto"/>
        <w:jc w:val="both"/>
        <w:rPr>
          <w:rFonts w:cs="Times New Roman"/>
          <w:noProof/>
        </w:rPr>
      </w:pPr>
      <w:r>
        <w:rPr>
          <w:noProof/>
        </w:rPr>
        <w:t xml:space="preserve">Tämän osa-alueen uudistuksen 1 mukaisesti Espanjan on investoitava kuuteen toiminta-alaan. </w:t>
      </w:r>
    </w:p>
    <w:p w14:paraId="2C4A4B17" w14:textId="77777777" w:rsidR="0065073E" w:rsidRDefault="000A0998">
      <w:pPr>
        <w:pStyle w:val="P68B1DB1-Normal4"/>
        <w:numPr>
          <w:ilvl w:val="0"/>
          <w:numId w:val="141"/>
        </w:numPr>
        <w:spacing w:before="120" w:after="160" w:line="240" w:lineRule="auto"/>
        <w:contextualSpacing/>
        <w:jc w:val="both"/>
        <w:rPr>
          <w:rFonts w:cs="Times New Roman"/>
          <w:noProof/>
        </w:rPr>
      </w:pPr>
      <w:r>
        <w:rPr>
          <w:noProof/>
        </w:rPr>
        <w:t xml:space="preserve">Pitkän aikavälin tukisuunnitelma, jossa analysoidaan hoitopolitiikan nykytilannetta ja pyritään tunnistamaan parannustarpeet ja tekemään ehdotus henkilökohtaisesta itsenäisyydestä ja huollettavana olevien henkilöiden hoidosta annetun nykyisen lain uudistamiseksi. Se arvioi myös tilannetta ja käynnissä olevia hankkeita eri alueilla; </w:t>
      </w:r>
    </w:p>
    <w:p w14:paraId="392F886C" w14:textId="77777777" w:rsidR="0065073E" w:rsidRDefault="000A0998">
      <w:pPr>
        <w:pStyle w:val="P68B1DB1-Normal4"/>
        <w:numPr>
          <w:ilvl w:val="0"/>
          <w:numId w:val="141"/>
        </w:numPr>
        <w:spacing w:before="120" w:after="160" w:line="240" w:lineRule="auto"/>
        <w:contextualSpacing/>
        <w:jc w:val="both"/>
        <w:rPr>
          <w:rFonts w:cs="Times New Roman"/>
          <w:noProof/>
        </w:rPr>
      </w:pPr>
      <w:r>
        <w:rPr>
          <w:noProof/>
        </w:rPr>
        <w:t xml:space="preserve">Laitoshoidosta luopumista koskeva kansallinen strategia, johon sisältyy valistus- ja tiedonlevityskampanjoiden toteuttaminen; </w:t>
      </w:r>
    </w:p>
    <w:p w14:paraId="6F91739E" w14:textId="77777777" w:rsidR="0065073E" w:rsidRDefault="000A0998">
      <w:pPr>
        <w:pStyle w:val="P68B1DB1-Normal7"/>
        <w:numPr>
          <w:ilvl w:val="0"/>
          <w:numId w:val="141"/>
        </w:numPr>
        <w:spacing w:before="120" w:after="160" w:line="240" w:lineRule="auto"/>
        <w:contextualSpacing/>
        <w:jc w:val="both"/>
        <w:rPr>
          <w:rFonts w:cs="Times New Roman"/>
          <w:noProof/>
          <w:sz w:val="24"/>
        </w:rPr>
      </w:pPr>
      <w:r>
        <w:rPr>
          <w:noProof/>
          <w:sz w:val="24"/>
        </w:rPr>
        <w:t>Neljä pilottihanketta, joilla pyritään edistämään laitoshoidosta luopumista ja hyödyntämään kokemuksia tuen ja pitkäaikaishoidon muuttamiseksi, mukaan lukien kehitysvammaisten henkilöiden tukeminen ja pitkäaikaishoito;</w:t>
      </w:r>
      <w:r>
        <w:rPr>
          <w:noProof/>
        </w:rPr>
        <w:t xml:space="preserve"> </w:t>
      </w:r>
    </w:p>
    <w:p w14:paraId="3A0D732E" w14:textId="77777777" w:rsidR="0065073E" w:rsidRDefault="000A0998">
      <w:pPr>
        <w:pStyle w:val="P68B1DB1-Normal4"/>
        <w:numPr>
          <w:ilvl w:val="0"/>
          <w:numId w:val="141"/>
        </w:numPr>
        <w:spacing w:before="120" w:after="160" w:line="240" w:lineRule="auto"/>
        <w:contextualSpacing/>
        <w:jc w:val="both"/>
        <w:rPr>
          <w:rFonts w:cs="Times New Roman"/>
          <w:noProof/>
        </w:rPr>
      </w:pPr>
      <w:r>
        <w:rPr>
          <w:noProof/>
        </w:rPr>
        <w:t>Asunto-, muiden kuin asuin- ja päiväkotien sekä investointivälineiden rakentaminen ja kunnostaminen hoitopalvelujen laadun parantamiseksi. Autonomiset alueet toteuttavat nämä investointihankkeet alueellisten tarpeiden arvioinnin perusteella; ja sen varmistaminen, että uudet ja kunnostetut asuinpaikat mukautetaan vammaisten henkilöiden oikeuksia koskevaan YK:n yleissopimukseen.</w:t>
      </w:r>
    </w:p>
    <w:p w14:paraId="31086C13" w14:textId="5332CBC9" w:rsidR="0065073E" w:rsidRDefault="000A0998">
      <w:pPr>
        <w:pStyle w:val="P68B1DB1-Normal4"/>
        <w:numPr>
          <w:ilvl w:val="0"/>
          <w:numId w:val="141"/>
        </w:numPr>
        <w:spacing w:before="120" w:after="160" w:line="240" w:lineRule="auto"/>
        <w:contextualSpacing/>
        <w:jc w:val="both"/>
        <w:rPr>
          <w:rFonts w:cs="Times New Roman"/>
          <w:noProof/>
        </w:rPr>
      </w:pPr>
      <w:r>
        <w:rPr>
          <w:noProof/>
        </w:rPr>
        <w:t>Yhteiskunnallisista oikeuksista ja Agenda 2030 -toimintaohjelmasta vastaavan IMSERSOn (Instituto de Mayores y Servicios Social</w:t>
      </w:r>
      <w:r>
        <w:rPr>
          <w:i/>
          <w:noProof/>
        </w:rPr>
        <w:t>Instituto de Mayores y Servicios Social</w:t>
      </w:r>
      <w:r>
        <w:rPr>
          <w:noProof/>
        </w:rPr>
        <w:t xml:space="preserve">) johdolla toimivien yhteisöllisten päiväkotien uudistus, myös maaseudulla. 1100 paikkaa on uudistettava ja mukautettava uuteen </w:t>
      </w:r>
      <w:bookmarkStart w:id="57" w:name="_Hlk141885579"/>
      <w:r>
        <w:rPr>
          <w:noProof/>
        </w:rPr>
        <w:t>pitkäaikaishoidon malliin, jossa keskitytään fyysisesti vammaisiin henkilöihin. Investoinnit on kohdennettava myös innovatiivisiin hankkeisiin samoissa keskuksissa; ja</w:t>
      </w:r>
    </w:p>
    <w:p w14:paraId="2B26EFDE" w14:textId="2E94BF3B" w:rsidR="0065073E" w:rsidRDefault="000A0998">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Pr>
          <w:noProof/>
        </w:rPr>
        <w:t>Uudet etähoitopalvelut, joilla siirrytään ennakoivaan ja yksilölliseen hoitoon, joka edistää hoidon tarpeessa olevien henkilöiden henkilökohtaista itsemääräämisoikeutta ja ylläpitoa kodeissaan</w:t>
      </w:r>
      <w:r>
        <w:rPr>
          <w:noProof/>
          <w:shd w:val="clear" w:color="auto" w:fill="E6E6E6"/>
        </w:rPr>
        <w:t>.</w:t>
      </w:r>
    </w:p>
    <w:p w14:paraId="0FCCDEC2" w14:textId="05B34300" w:rsidR="0065073E" w:rsidRDefault="000A0998">
      <w:pPr>
        <w:pStyle w:val="P68B1DB1-Normal21"/>
        <w:keepNext/>
        <w:tabs>
          <w:tab w:val="left" w:pos="709"/>
        </w:tabs>
        <w:spacing w:before="120" w:after="120" w:line="240" w:lineRule="auto"/>
        <w:jc w:val="both"/>
        <w:rPr>
          <w:rFonts w:cs="Times New Roman"/>
          <w:noProof/>
          <w:u w:val="single"/>
        </w:rPr>
      </w:pPr>
      <w:r>
        <w:rPr>
          <w:noProof/>
        </w:rPr>
        <w:t>Toimenpiteen täytäntöönpano on määrä saattaa päätökseen 30. kesäkuuta 2026 mennessä.</w:t>
      </w:r>
    </w:p>
    <w:bookmarkEnd w:id="57"/>
    <w:p w14:paraId="418A7A6A" w14:textId="77777777" w:rsidR="0065073E" w:rsidRDefault="000A0998">
      <w:pPr>
        <w:pStyle w:val="P68B1DB1-Normal4"/>
        <w:keepNext/>
        <w:tabs>
          <w:tab w:val="left" w:pos="709"/>
        </w:tabs>
        <w:spacing w:before="120" w:after="120" w:line="240" w:lineRule="auto"/>
        <w:jc w:val="both"/>
        <w:rPr>
          <w:rFonts w:cs="Times New Roman"/>
          <w:noProof/>
          <w:u w:val="single"/>
        </w:rPr>
      </w:pPr>
      <w:r>
        <w:rPr>
          <w:noProof/>
          <w:u w:val="single"/>
        </w:rPr>
        <w:t xml:space="preserve">Investointi 2 </w:t>
      </w:r>
      <w:r>
        <w:rPr>
          <w:noProof/>
          <w:u w:val="single"/>
          <w:shd w:val="clear" w:color="auto" w:fill="FFFFFF"/>
        </w:rPr>
        <w:t>(C22.I2)</w:t>
      </w:r>
      <w:r>
        <w:rPr>
          <w:noProof/>
          <w:u w:val="single"/>
        </w:rPr>
        <w:t>: Sosiaalipalvelujen nykyaikaistamissuunnitelma – Teknologinen muutos, innovointi, koulutus ja lastenhoitopalvelujen vahvistaminen</w:t>
      </w:r>
      <w:r>
        <w:rPr>
          <w:noProof/>
        </w:rPr>
        <w:t xml:space="preserve"> </w:t>
      </w:r>
    </w:p>
    <w:p w14:paraId="78870859" w14:textId="77777777" w:rsidR="0065073E" w:rsidRDefault="000A0998">
      <w:pPr>
        <w:pStyle w:val="P68B1DB1-Normal4"/>
        <w:keepNext/>
        <w:spacing w:before="120" w:after="120" w:line="240" w:lineRule="auto"/>
        <w:jc w:val="both"/>
        <w:rPr>
          <w:rFonts w:cs="Times New Roman"/>
          <w:noProof/>
        </w:rPr>
      </w:pPr>
      <w:r>
        <w:rPr>
          <w:noProof/>
        </w:rPr>
        <w:t xml:space="preserve">Tämän osa-alueen uudistuksen 2 mukaisesti Espanjan on investoitava viiteen toiminta-alaan. </w:t>
      </w:r>
    </w:p>
    <w:p w14:paraId="6F584859" w14:textId="77777777" w:rsidR="0065073E" w:rsidRDefault="000A0998">
      <w:pPr>
        <w:pStyle w:val="P68B1DB1-Normal4"/>
        <w:keepNext/>
        <w:numPr>
          <w:ilvl w:val="0"/>
          <w:numId w:val="142"/>
        </w:numPr>
        <w:spacing w:before="120" w:after="160" w:line="240" w:lineRule="auto"/>
        <w:contextualSpacing/>
        <w:jc w:val="both"/>
        <w:rPr>
          <w:rFonts w:cs="Times New Roman"/>
          <w:noProof/>
        </w:rPr>
      </w:pPr>
      <w:r>
        <w:rPr>
          <w:noProof/>
        </w:rPr>
        <w:t xml:space="preserve">Uudet teknologiat, joilla parannetaan sosiaalipalvelujen tehokkuutta (lyheämmät odotusajat) ja niiden laatua (sosiaalisten toimien parempi tulos), mukaan lukien integroidun hoidon edistäminen. </w:t>
      </w:r>
    </w:p>
    <w:p w14:paraId="28DC6EA7" w14:textId="77777777" w:rsidR="0065073E" w:rsidRDefault="000A0998">
      <w:pPr>
        <w:pStyle w:val="P68B1DB1-Normal4"/>
        <w:numPr>
          <w:ilvl w:val="0"/>
          <w:numId w:val="142"/>
        </w:numPr>
        <w:spacing w:before="120" w:after="160" w:line="240" w:lineRule="auto"/>
        <w:contextualSpacing/>
        <w:jc w:val="both"/>
        <w:rPr>
          <w:rFonts w:cs="Times New Roman"/>
          <w:noProof/>
        </w:rPr>
      </w:pPr>
      <w:r>
        <w:rPr>
          <w:noProof/>
        </w:rPr>
        <w:t>Tekniset välineet sosiaalipalvelujen hallinto- ja tietojärjestelmien parantamiseksi, mukaan lukien verkkofoorumi kansallisten ja alueellisten hallintojen saatavilla olevien tietojen keskittämiseksi. Tähän sisältyy erityisesti Espanjan sosiaalipalvelujen tietojärjestelmän (SIESS) täysimääräinen täytäntöönpano.  Tämän uuden tietojärjestelmän odotetaan mahdollistavan myös yhteentoimivuuden muiden järjestelmien (työllisyys, terveys, kolmas sektori) kanssa. Se sisältää myös verkkotyökalun, jolla analysoidaan kolmannen sektorin organisaatioiden kehittämiä hankkeita, hallinnoidaan erilaisia talousarvio-ohjelmia, jotka liittyvät sosiaalipalveluihin ja perheiden, lasten ja tiettyjen haavoittuvassa asemassa olevien ryhmien hoitoon, sekä verkkofoorumi, jolla keskitetään valtionhallinnon ja itsehallintoalueiden saatavilla olevia hoitotietoja.</w:t>
      </w:r>
    </w:p>
    <w:p w14:paraId="2B8DBAEF" w14:textId="77777777" w:rsidR="0065073E" w:rsidRDefault="000A0998">
      <w:pPr>
        <w:pStyle w:val="P68B1DB1-Normal4"/>
        <w:numPr>
          <w:ilvl w:val="0"/>
          <w:numId w:val="142"/>
        </w:numPr>
        <w:spacing w:before="120" w:after="160" w:line="240" w:lineRule="auto"/>
        <w:contextualSpacing/>
        <w:jc w:val="both"/>
        <w:rPr>
          <w:rFonts w:cs="Times New Roman"/>
          <w:noProof/>
        </w:rPr>
      </w:pPr>
      <w:r>
        <w:rPr>
          <w:noProof/>
        </w:rPr>
        <w:t xml:space="preserve">Pilottihankkeet, joilla edistetään innovointia sosiaalipalvelujen alalla. </w:t>
      </w:r>
    </w:p>
    <w:p w14:paraId="77493A7D" w14:textId="77777777" w:rsidR="0065073E" w:rsidRDefault="000A0998">
      <w:pPr>
        <w:pStyle w:val="P68B1DB1-Normal4"/>
        <w:numPr>
          <w:ilvl w:val="0"/>
          <w:numId w:val="142"/>
        </w:numPr>
        <w:spacing w:before="120" w:after="160" w:line="240" w:lineRule="auto"/>
        <w:contextualSpacing/>
        <w:jc w:val="both"/>
        <w:rPr>
          <w:rFonts w:cs="Times New Roman"/>
          <w:noProof/>
        </w:rPr>
      </w:pPr>
      <w:r>
        <w:rPr>
          <w:noProof/>
        </w:rPr>
        <w:t>Koulutetaan julkisen sosiaalipalvelujärjestelmän henkilöstöä, joka osallistuu uuden pitkäaikaishoidon mallin täytäntöönpanoon ja tukemiseen</w:t>
      </w:r>
      <w:r>
        <w:rPr>
          <w:noProof/>
          <w:shd w:val="clear" w:color="auto" w:fill="E6E6E6"/>
        </w:rPr>
        <w:t>.</w:t>
      </w:r>
    </w:p>
    <w:p w14:paraId="4F55BB2E" w14:textId="77777777" w:rsidR="0065073E" w:rsidRDefault="000A0998">
      <w:pPr>
        <w:pStyle w:val="P68B1DB1-Normal4"/>
        <w:numPr>
          <w:ilvl w:val="0"/>
          <w:numId w:val="142"/>
        </w:numPr>
        <w:spacing w:before="120" w:after="160" w:line="240" w:lineRule="auto"/>
        <w:contextualSpacing/>
        <w:jc w:val="both"/>
        <w:rPr>
          <w:rFonts w:cs="Times New Roman"/>
          <w:noProof/>
        </w:rPr>
      </w:pPr>
      <w:r>
        <w:rPr>
          <w:noProof/>
        </w:rPr>
        <w:t xml:space="preserve">Parannetaan hoitoinfrastruktuuria ja muita lasten- ja nuorten hoitokeskuksiin liittyviä näkökohtia ja vastataan paremmin emotionaalisiin, henkilökohtaisiin ja koulutuksellisiin/ammattikohtaisiin tarpeisiin. </w:t>
      </w:r>
    </w:p>
    <w:p w14:paraId="26FAB199" w14:textId="77777777" w:rsidR="0065073E" w:rsidRDefault="000A0998">
      <w:pPr>
        <w:pStyle w:val="P68B1DB1-Normal4"/>
        <w:spacing w:before="120" w:after="120" w:line="240" w:lineRule="auto"/>
        <w:jc w:val="both"/>
        <w:rPr>
          <w:rFonts w:cs="Times New Roman"/>
          <w:noProof/>
        </w:rPr>
      </w:pPr>
      <w:r>
        <w:rPr>
          <w:noProof/>
        </w:rPr>
        <w:t xml:space="preserve">Suurin osa investoinnista koostuu aluehallintojen toteuttamista hankkeista, jotka koskevat sosiaalipalvelujen teknologista muutosta sekä asuin- ja sijaisperheiden suojeluun liittyvän infrastruktuurin ja palvelujen nykyaikaistamista.  </w:t>
      </w:r>
    </w:p>
    <w:p w14:paraId="7A7C04E8" w14:textId="33506554"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31. joulukuuta 2025 mennessä.</w:t>
      </w:r>
    </w:p>
    <w:p w14:paraId="02D53FAE" w14:textId="77777777" w:rsidR="0065073E" w:rsidRDefault="000A0998">
      <w:pPr>
        <w:pStyle w:val="P68B1DB1-Normal5"/>
        <w:spacing w:before="120" w:after="120" w:line="240" w:lineRule="auto"/>
        <w:jc w:val="both"/>
        <w:rPr>
          <w:rFonts w:cs="Times New Roman"/>
          <w:noProof/>
        </w:rPr>
      </w:pPr>
      <w:r>
        <w:rPr>
          <w:noProof/>
        </w:rPr>
        <w:t xml:space="preserve">Investointi 3 </w:t>
      </w:r>
      <w:r>
        <w:rPr>
          <w:noProof/>
          <w:shd w:val="clear" w:color="auto" w:fill="FFFFFF"/>
        </w:rPr>
        <w:t>(C22.I3)</w:t>
      </w:r>
      <w:r>
        <w:rPr>
          <w:noProof/>
        </w:rPr>
        <w:t xml:space="preserve">: Espanjan esteetön maasuunnitelma </w:t>
      </w:r>
    </w:p>
    <w:p w14:paraId="49F8B261" w14:textId="77777777" w:rsidR="0065073E" w:rsidRDefault="000A0998">
      <w:pPr>
        <w:pStyle w:val="P68B1DB1-Normal4"/>
        <w:spacing w:before="120" w:after="120" w:line="240" w:lineRule="auto"/>
        <w:jc w:val="both"/>
        <w:rPr>
          <w:rFonts w:cs="Times New Roman"/>
          <w:noProof/>
        </w:rPr>
      </w:pPr>
      <w:r>
        <w:rPr>
          <w:noProof/>
        </w:rPr>
        <w:t>Espanjan on investoitava vammaisten henkilöiden julkisten palvelujen esteettömyyden parantamiseen keskittyen kognitiivisen esteettömyyden parantamiseen viestinnässä viranomaisten (myös verkkosivustojen) kanssa sekä fyysisen pääsyn julkisiin rakennuksiin ja julkisiin tiloihin; terveyspalvelujen fyysisten tilojen soveltuvuus; saavutettavuus koulutuskeskuksissa; sekä julkisen liikenteen majoitus, mukaan lukien kaupunki- ja maaseutualueiden välinen saavutettavuus. Kunnille annetaan taloudellista tukea rakennustöiden toteuttamiseen ja laitteiden hankintaan erityisesti maaseutualueilla. Investoinnit kohdennetaan myös viestintä- ja valistuskampanjoihin sekä tutkimus-, kehitys- ja innovointihankkeisiin kognitiivisen esteettömyyden alalla.</w:t>
      </w:r>
    </w:p>
    <w:p w14:paraId="64E0079C" w14:textId="2E4C1A17" w:rsidR="0065073E" w:rsidRDefault="000A0998">
      <w:pPr>
        <w:pStyle w:val="P68B1DB1-Normal21"/>
        <w:spacing w:before="120" w:after="120" w:line="240" w:lineRule="auto"/>
        <w:jc w:val="both"/>
        <w:rPr>
          <w:rFonts w:cs="Times New Roman"/>
          <w:noProof/>
        </w:rPr>
      </w:pPr>
      <w:r>
        <w:rPr>
          <w:noProof/>
        </w:rPr>
        <w:t>Toimenpiteen täytäntöönpano on saatettava päätökseen 31 päivään maaliskuuta 2024 mennessä.</w:t>
      </w:r>
    </w:p>
    <w:p w14:paraId="2AB0DBDB" w14:textId="77777777" w:rsidR="0065073E" w:rsidRDefault="000A0998">
      <w:pPr>
        <w:pStyle w:val="P68B1DB1-Normal4"/>
        <w:spacing w:before="120" w:after="120" w:line="240" w:lineRule="auto"/>
        <w:jc w:val="both"/>
        <w:rPr>
          <w:rFonts w:cs="Times New Roman"/>
          <w:noProof/>
          <w:u w:val="single"/>
        </w:rPr>
      </w:pPr>
      <w:r>
        <w:rPr>
          <w:noProof/>
          <w:u w:val="single"/>
        </w:rPr>
        <w:t xml:space="preserve">Investointi 4 </w:t>
      </w:r>
      <w:r>
        <w:rPr>
          <w:noProof/>
          <w:u w:val="single"/>
          <w:shd w:val="clear" w:color="auto" w:fill="FFFFFF"/>
        </w:rPr>
        <w:t>(C22.I4)</w:t>
      </w:r>
      <w:r>
        <w:rPr>
          <w:noProof/>
          <w:u w:val="single"/>
        </w:rPr>
        <w:t>: Suunnitellaan Espanjaa sukupuoleen perustuvalta väkivallalta</w:t>
      </w:r>
      <w:r>
        <w:rPr>
          <w:noProof/>
        </w:rPr>
        <w:t xml:space="preserve"> </w:t>
      </w:r>
    </w:p>
    <w:p w14:paraId="5DEF3A9F" w14:textId="4571CCEE" w:rsidR="0065073E" w:rsidRDefault="000A0998">
      <w:pPr>
        <w:pStyle w:val="P68B1DB1-Normal4"/>
        <w:spacing w:before="120" w:after="120" w:line="240" w:lineRule="auto"/>
        <w:jc w:val="both"/>
        <w:rPr>
          <w:rFonts w:cs="Times New Roman"/>
          <w:noProof/>
        </w:rPr>
      </w:pPr>
      <w:r>
        <w:rPr>
          <w:noProof/>
        </w:rPr>
        <w:t xml:space="preserve">Espanjan on investoitava puhelin- ja verkkopalveluihin, joilla tuetaan naisiin kohdistuvan väkivallan uhreja, mukaan lukien ihmiskaupan ja seksuaalisen hyväksikäytön uhrit. Siihen kuuluu ympärivuorokautisia kriisiapukeskuksia kaikissa provinsseissa, myös Ceutassa ja Melillassa, ottaen huomioon anonymiteetin ja demografisten näkökohtien varmistamiseen liittyvät haasteet. Näiden keskusten perustaminen on osa Espanjan sitoutumista naisiin kohdistuvan väkivallan ja perheväkivallan ehkäisemistä ja torjumista koskevaan Euroopan neuvoston yleissopimukseen, jonka Espanja ratifioi vuonna 2014. Investoinnilla </w:t>
      </w:r>
      <w:r>
        <w:rPr>
          <w:noProof/>
          <w:shd w:val="clear" w:color="auto" w:fill="FFFFFF"/>
        </w:rPr>
        <w:t>perustetaan myös uusi sosiaali- ja työllisyysohjauspalvelu, joka tarjoaa</w:t>
      </w:r>
      <w:r>
        <w:rPr>
          <w:noProof/>
        </w:rPr>
        <w:t xml:space="preserve"> erityyppisiä palveluja, kuten oikeudellista neuvontaa, psykologista ja emotionaalista tukea sekä </w:t>
      </w:r>
      <w:r>
        <w:rPr>
          <w:noProof/>
          <w:shd w:val="clear" w:color="auto" w:fill="FFFFFF"/>
        </w:rPr>
        <w:t>apua työmarkkinoille</w:t>
      </w:r>
      <w:r>
        <w:rPr>
          <w:noProof/>
        </w:rPr>
        <w:t xml:space="preserve"> integroitumisessa. Etäapuun kuuluu myös uhrien suojelu, mukaan lukien laitteet, joilla seurataan lähikontaktien välttämistä. </w:t>
      </w:r>
    </w:p>
    <w:p w14:paraId="3DA8D7D7" w14:textId="54B650C1"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31. joulukuuta 2025 mennessä.</w:t>
      </w:r>
    </w:p>
    <w:p w14:paraId="116D2ED2" w14:textId="77777777" w:rsidR="0065073E" w:rsidRDefault="000A0998">
      <w:pPr>
        <w:pStyle w:val="P68B1DB1-Normal4"/>
        <w:spacing w:before="120" w:after="120" w:line="240" w:lineRule="auto"/>
        <w:jc w:val="both"/>
        <w:rPr>
          <w:rFonts w:cs="Times New Roman"/>
          <w:noProof/>
        </w:rPr>
      </w:pPr>
      <w:r>
        <w:rPr>
          <w:noProof/>
          <w:u w:val="single"/>
        </w:rPr>
        <w:t xml:space="preserve">Investointi 5 </w:t>
      </w:r>
      <w:r>
        <w:rPr>
          <w:noProof/>
          <w:u w:val="single"/>
          <w:shd w:val="clear" w:color="auto" w:fill="FFFFFF"/>
        </w:rPr>
        <w:t>(C22.I5)</w:t>
      </w:r>
      <w:r>
        <w:rPr>
          <w:noProof/>
          <w:u w:val="single"/>
        </w:rPr>
        <w:t>: Muuttajien ja kansainvälistä suojelua hakevien vastaanottojärjestelmän kapasiteetin ja tehokkuuden lisääminen</w:t>
      </w:r>
      <w:r>
        <w:rPr>
          <w:noProof/>
        </w:rPr>
        <w:t xml:space="preserve"> </w:t>
      </w:r>
    </w:p>
    <w:p w14:paraId="24A9EE5B" w14:textId="77777777" w:rsidR="0065073E" w:rsidRDefault="000A0998">
      <w:pPr>
        <w:pStyle w:val="P68B1DB1-Normal4"/>
        <w:spacing w:before="120" w:after="120" w:line="240" w:lineRule="auto"/>
        <w:jc w:val="both"/>
        <w:rPr>
          <w:rFonts w:cs="Times New Roman"/>
          <w:noProof/>
        </w:rPr>
      </w:pPr>
      <w:r>
        <w:rPr>
          <w:noProof/>
        </w:rPr>
        <w:t xml:space="preserve">Espanjan on investoitava vastaanottojärjestelmän kapasiteetin lisäämiseen lisäämällä valtion suoraa osallistumista vastaanottoverkoston resursseihin. Tämä auttaa varmistamaan majoituksen ja tarjottavien vastaanottopalvelujen vakauden. Investointiin sisältyy järjestelmän tarpeiden arviointi seuraavien kolmen vuoden aikana, tuki olemassa olevien keskusten kunnostamiseen ja kunnostamiseen sekä hallinnolliset menettelyt uusien rakennusten hankintaa, rakentamista ja olemassa olevien rakennusten mahdollista kunnostamista varten energiatehokkuuden varmistamiseksi. Hyvien käytäntöjen arvioinnin perusteella Espanjan on myös määriteltävä, miten kolmannet osapuolet hallinnoivat vastaanottokeskuksia. Investointi kattaa myös keskusten digitalisoinnin ja uuden digitaalisen arkkitehtuurin kehittämisen niiden hallinnoinnin parantamiseksi ja hakijoiden paikkojen jakamisen helpottamiseksi itsehallintoalueiden välillä. </w:t>
      </w:r>
    </w:p>
    <w:p w14:paraId="2629D826" w14:textId="41C66B3A" w:rsidR="0065073E" w:rsidRDefault="000A0998">
      <w:pPr>
        <w:pStyle w:val="P68B1DB1-Normal21"/>
        <w:spacing w:before="120" w:after="120" w:line="240" w:lineRule="auto"/>
        <w:jc w:val="both"/>
        <w:rPr>
          <w:rFonts w:cs="Times New Roman"/>
          <w:noProof/>
        </w:rPr>
      </w:pPr>
      <w:r>
        <w:rPr>
          <w:noProof/>
        </w:rPr>
        <w:t>Toimenpiteen täytäntöönpano on määrä saattaa päätökseen 30. kesäkuuta 2026 mennessä.</w:t>
      </w:r>
    </w:p>
    <w:p w14:paraId="2E560166"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V.2.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3480667E"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3CE8D1B5"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87"/>
          <w:headerReference w:type="default" r:id="rId488"/>
          <w:footerReference w:type="even" r:id="rId489"/>
          <w:footerReference w:type="default" r:id="rId490"/>
          <w:headerReference w:type="first" r:id="rId491"/>
          <w:footerReference w:type="first" r:id="rId492"/>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992"/>
        <w:gridCol w:w="3119"/>
        <w:gridCol w:w="992"/>
        <w:gridCol w:w="850"/>
        <w:gridCol w:w="851"/>
        <w:gridCol w:w="709"/>
        <w:gridCol w:w="567"/>
        <w:gridCol w:w="810"/>
        <w:gridCol w:w="4860"/>
      </w:tblGrid>
      <w:tr w:rsidR="0065073E" w14:paraId="18B741AF" w14:textId="77777777">
        <w:trPr>
          <w:trHeight w:val="309"/>
          <w:tblHeader/>
        </w:trPr>
        <w:tc>
          <w:tcPr>
            <w:tcW w:w="709" w:type="dxa"/>
            <w:tcBorders>
              <w:bottom w:val="nil"/>
            </w:tcBorders>
            <w:shd w:val="clear" w:color="auto" w:fill="C6D9F1" w:themeFill="text2" w:themeFillTint="33"/>
            <w:noWrap/>
            <w:vAlign w:val="center"/>
          </w:tcPr>
          <w:p w14:paraId="4AC1CFBD" w14:textId="77777777" w:rsidR="0065073E" w:rsidRDefault="000A0998">
            <w:pPr>
              <w:pStyle w:val="P68B1DB1-Normal8"/>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84B6E57" w14:textId="77777777" w:rsidR="0065073E" w:rsidRDefault="000A0998">
            <w:pPr>
              <w:pStyle w:val="P68B1DB1-Normal8"/>
              <w:spacing w:after="0" w:line="240" w:lineRule="auto"/>
              <w:jc w:val="center"/>
              <w:rPr>
                <w:rFonts w:cs="Times New Roman"/>
                <w:noProof/>
              </w:rPr>
            </w:pPr>
            <w:r>
              <w:rPr>
                <w:noProof/>
              </w:rPr>
              <w:t>Toimenpide</w:t>
            </w:r>
          </w:p>
        </w:tc>
        <w:tc>
          <w:tcPr>
            <w:tcW w:w="992" w:type="dxa"/>
            <w:tcBorders>
              <w:bottom w:val="nil"/>
            </w:tcBorders>
            <w:shd w:val="clear" w:color="auto" w:fill="C6D9F1" w:themeFill="text2" w:themeFillTint="33"/>
            <w:noWrap/>
            <w:vAlign w:val="center"/>
          </w:tcPr>
          <w:p w14:paraId="50D4A991"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3119" w:type="dxa"/>
            <w:tcBorders>
              <w:bottom w:val="nil"/>
            </w:tcBorders>
            <w:shd w:val="clear" w:color="auto" w:fill="C6D9F1" w:themeFill="text2" w:themeFillTint="33"/>
            <w:noWrap/>
            <w:vAlign w:val="center"/>
          </w:tcPr>
          <w:p w14:paraId="0979EEBB" w14:textId="77777777" w:rsidR="0065073E" w:rsidRDefault="000A0998">
            <w:pPr>
              <w:pStyle w:val="P68B1DB1-Normal8"/>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25C82140"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vAlign w:val="center"/>
          </w:tcPr>
          <w:p w14:paraId="09B05943"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377" w:type="dxa"/>
            <w:gridSpan w:val="2"/>
            <w:shd w:val="clear" w:color="auto" w:fill="C6D9F1" w:themeFill="text2" w:themeFillTint="33"/>
            <w:noWrap/>
            <w:vAlign w:val="center"/>
          </w:tcPr>
          <w:p w14:paraId="4D5D1DFB" w14:textId="77777777" w:rsidR="0065073E" w:rsidRDefault="000A0998">
            <w:pPr>
              <w:pStyle w:val="P68B1DB1-Normal8"/>
              <w:spacing w:after="0" w:line="240" w:lineRule="auto"/>
              <w:jc w:val="center"/>
              <w:rPr>
                <w:rFonts w:cs="Times New Roman"/>
                <w:noProof/>
              </w:rPr>
            </w:pPr>
            <w:r>
              <w:rPr>
                <w:noProof/>
              </w:rPr>
              <w:t>Aika</w:t>
            </w:r>
          </w:p>
        </w:tc>
        <w:tc>
          <w:tcPr>
            <w:tcW w:w="4860" w:type="dxa"/>
            <w:tcBorders>
              <w:bottom w:val="nil"/>
            </w:tcBorders>
            <w:shd w:val="clear" w:color="auto" w:fill="C6D9F1" w:themeFill="text2" w:themeFillTint="33"/>
            <w:noWrap/>
            <w:vAlign w:val="center"/>
          </w:tcPr>
          <w:p w14:paraId="0853FA55"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10375DAF" w14:textId="77777777">
        <w:trPr>
          <w:trHeight w:val="309"/>
          <w:tblHeader/>
        </w:trPr>
        <w:tc>
          <w:tcPr>
            <w:tcW w:w="709" w:type="dxa"/>
            <w:tcBorders>
              <w:top w:val="nil"/>
            </w:tcBorders>
            <w:shd w:val="clear" w:color="auto" w:fill="C6D9F1" w:themeFill="text2" w:themeFillTint="33"/>
            <w:noWrap/>
          </w:tcPr>
          <w:p w14:paraId="495F8FE5"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2201C4E" w14:textId="77777777" w:rsidR="0065073E" w:rsidRDefault="0065073E">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4EACD8D" w14:textId="77777777" w:rsidR="0065073E" w:rsidRDefault="0065073E">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EDC85BF" w14:textId="77777777" w:rsidR="0065073E" w:rsidRDefault="0065073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D03BCF6" w14:textId="77777777" w:rsidR="0065073E" w:rsidRDefault="0065073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77777777" w:rsidR="0065073E" w:rsidRDefault="000A0998">
            <w:pPr>
              <w:pStyle w:val="P68B1DB1-Normal8"/>
              <w:spacing w:after="0" w:line="240" w:lineRule="auto"/>
              <w:jc w:val="center"/>
              <w:rPr>
                <w:rFonts w:cs="Times New Roman"/>
                <w:noProof/>
              </w:rPr>
            </w:pPr>
            <w:r>
              <w:rPr>
                <w:noProof/>
              </w:rPr>
              <w:t>Yksikkö</w:t>
            </w:r>
          </w:p>
        </w:tc>
        <w:tc>
          <w:tcPr>
            <w:tcW w:w="851" w:type="dxa"/>
            <w:shd w:val="clear" w:color="auto" w:fill="C6D9F1" w:themeFill="text2" w:themeFillTint="33"/>
            <w:noWrap/>
          </w:tcPr>
          <w:p w14:paraId="0EB1EFD8" w14:textId="77777777" w:rsidR="0065073E" w:rsidRDefault="000A0998">
            <w:pPr>
              <w:pStyle w:val="P68B1DB1-Normal8"/>
              <w:spacing w:after="0" w:line="240" w:lineRule="auto"/>
              <w:jc w:val="center"/>
              <w:rPr>
                <w:rFonts w:cs="Times New Roman"/>
                <w:noProof/>
              </w:rPr>
            </w:pPr>
            <w:r>
              <w:rPr>
                <w:noProof/>
              </w:rPr>
              <w:t>Lähtötaso</w:t>
            </w:r>
          </w:p>
        </w:tc>
        <w:tc>
          <w:tcPr>
            <w:tcW w:w="709" w:type="dxa"/>
            <w:shd w:val="clear" w:color="auto" w:fill="C6D9F1" w:themeFill="text2" w:themeFillTint="33"/>
            <w:noWrap/>
          </w:tcPr>
          <w:p w14:paraId="5B4AEAB6" w14:textId="77777777" w:rsidR="0065073E" w:rsidRDefault="000A0998">
            <w:pPr>
              <w:pStyle w:val="P68B1DB1-Normal8"/>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641B3FA0" w14:textId="77777777" w:rsidR="0065073E" w:rsidRDefault="000A0998">
            <w:pPr>
              <w:pStyle w:val="P68B1DB1-Normal8"/>
              <w:spacing w:after="0" w:line="240" w:lineRule="auto"/>
              <w:jc w:val="center"/>
              <w:rPr>
                <w:rFonts w:cs="Times New Roman"/>
                <w:noProof/>
              </w:rPr>
            </w:pPr>
            <w:r>
              <w:rPr>
                <w:noProof/>
              </w:rPr>
              <w:t>Q</w:t>
            </w:r>
          </w:p>
        </w:tc>
        <w:tc>
          <w:tcPr>
            <w:tcW w:w="810" w:type="dxa"/>
            <w:shd w:val="clear" w:color="auto" w:fill="C6D9F1" w:themeFill="text2" w:themeFillTint="33"/>
            <w:noWrap/>
          </w:tcPr>
          <w:p w14:paraId="0464D277" w14:textId="77777777" w:rsidR="0065073E" w:rsidRDefault="000A0998">
            <w:pPr>
              <w:pStyle w:val="P68B1DB1-Normal8"/>
              <w:spacing w:after="0" w:line="240" w:lineRule="auto"/>
              <w:jc w:val="center"/>
              <w:rPr>
                <w:rFonts w:cs="Times New Roman"/>
                <w:noProof/>
              </w:rPr>
            </w:pPr>
            <w:r>
              <w:rPr>
                <w:noProof/>
              </w:rPr>
              <w:t>Vuosi</w:t>
            </w:r>
          </w:p>
        </w:tc>
        <w:tc>
          <w:tcPr>
            <w:tcW w:w="4860" w:type="dxa"/>
            <w:tcBorders>
              <w:top w:val="nil"/>
            </w:tcBorders>
            <w:shd w:val="clear" w:color="auto" w:fill="C6D9F1" w:themeFill="text2" w:themeFillTint="33"/>
            <w:noWrap/>
            <w:vAlign w:val="center"/>
          </w:tcPr>
          <w:p w14:paraId="2AEAE3F1" w14:textId="77777777" w:rsidR="0065073E" w:rsidRDefault="0065073E">
            <w:pPr>
              <w:spacing w:after="0" w:line="240" w:lineRule="auto"/>
              <w:rPr>
                <w:rFonts w:ascii="Times New Roman" w:hAnsi="Times New Roman" w:cs="Times New Roman"/>
                <w:b/>
                <w:noProof/>
                <w:sz w:val="18"/>
              </w:rPr>
            </w:pPr>
          </w:p>
        </w:tc>
      </w:tr>
      <w:tr w:rsidR="0065073E" w14:paraId="3AA48DBB" w14:textId="77777777">
        <w:trPr>
          <w:trHeight w:val="309"/>
        </w:trPr>
        <w:tc>
          <w:tcPr>
            <w:tcW w:w="709" w:type="dxa"/>
            <w:shd w:val="clear" w:color="auto" w:fill="C6EFCE"/>
            <w:noWrap/>
          </w:tcPr>
          <w:p w14:paraId="3711C0D7" w14:textId="77777777" w:rsidR="0065073E" w:rsidRDefault="000A0998">
            <w:pPr>
              <w:pStyle w:val="P68B1DB1-Normal12"/>
              <w:spacing w:after="0" w:line="240" w:lineRule="auto"/>
              <w:jc w:val="center"/>
              <w:rPr>
                <w:rFonts w:eastAsia="Times New Roman" w:cs="Times New Roman"/>
                <w:noProof/>
              </w:rPr>
            </w:pPr>
            <w:r>
              <w:rPr>
                <w:noProof/>
              </w:rPr>
              <w:t>314</w:t>
            </w:r>
          </w:p>
        </w:tc>
        <w:tc>
          <w:tcPr>
            <w:tcW w:w="851" w:type="dxa"/>
            <w:shd w:val="clear" w:color="auto" w:fill="C6EFCE"/>
            <w:noWrap/>
          </w:tcPr>
          <w:p w14:paraId="3F1FCFC6" w14:textId="77777777" w:rsidR="0065073E" w:rsidRDefault="000A0998">
            <w:pPr>
              <w:pStyle w:val="P68B1DB1-Normal12"/>
              <w:spacing w:after="0" w:line="240" w:lineRule="auto"/>
              <w:jc w:val="center"/>
              <w:rPr>
                <w:rFonts w:eastAsia="Times New Roman" w:cs="Times New Roman"/>
                <w:noProof/>
              </w:rPr>
            </w:pPr>
            <w:r>
              <w:rPr>
                <w:noProof/>
              </w:rPr>
              <w:t>C22.R1</w:t>
            </w:r>
          </w:p>
        </w:tc>
        <w:tc>
          <w:tcPr>
            <w:tcW w:w="992" w:type="dxa"/>
            <w:shd w:val="clear" w:color="auto" w:fill="C6EFCE"/>
            <w:noWrap/>
          </w:tcPr>
          <w:p w14:paraId="4272A656"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3640F0D" w14:textId="77777777" w:rsidR="0065073E" w:rsidRDefault="000A0998">
            <w:pPr>
              <w:pStyle w:val="P68B1DB1-Normal12"/>
              <w:spacing w:after="0" w:line="240" w:lineRule="auto"/>
              <w:rPr>
                <w:rFonts w:eastAsia="Times New Roman" w:cs="Times New Roman"/>
                <w:noProof/>
              </w:rPr>
            </w:pPr>
            <w:r>
              <w:rPr>
                <w:noProof/>
              </w:rPr>
              <w:t xml:space="preserve">Alueneuvosto hyväksyy itsenäisyys- ja riippuvuushoitojärjestelmän (SAAD) arvioinnin. </w:t>
            </w:r>
          </w:p>
        </w:tc>
        <w:tc>
          <w:tcPr>
            <w:tcW w:w="992" w:type="dxa"/>
            <w:shd w:val="clear" w:color="auto" w:fill="C6EFCE"/>
            <w:noWrap/>
          </w:tcPr>
          <w:p w14:paraId="70A24F72" w14:textId="77777777" w:rsidR="0065073E" w:rsidRDefault="000A0998">
            <w:pPr>
              <w:pStyle w:val="P68B1DB1-Normal12"/>
              <w:spacing w:after="0" w:line="240" w:lineRule="auto"/>
              <w:jc w:val="center"/>
              <w:rPr>
                <w:rFonts w:eastAsia="Times New Roman" w:cs="Times New Roman"/>
                <w:noProof/>
              </w:rPr>
            </w:pPr>
            <w:r>
              <w:rPr>
                <w:noProof/>
              </w:rPr>
              <w:t xml:space="preserve">Arvioinnin julkaiseminen </w:t>
            </w:r>
          </w:p>
        </w:tc>
        <w:tc>
          <w:tcPr>
            <w:tcW w:w="850" w:type="dxa"/>
            <w:shd w:val="clear" w:color="auto" w:fill="C6EFCE"/>
            <w:noWrap/>
          </w:tcPr>
          <w:p w14:paraId="1DCEAD9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CE575E9"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29E9242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01C5144"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10" w:type="dxa"/>
            <w:shd w:val="clear" w:color="auto" w:fill="C6EFCE"/>
            <w:noWrap/>
          </w:tcPr>
          <w:p w14:paraId="096695E4"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3F910CCB" w14:textId="77777777" w:rsidR="0065073E" w:rsidRDefault="000A0998">
            <w:pPr>
              <w:pStyle w:val="P68B1DB1-Normal12"/>
              <w:spacing w:after="0" w:line="240" w:lineRule="auto"/>
              <w:rPr>
                <w:rFonts w:eastAsia="Times New Roman" w:cs="Times New Roman"/>
                <w:noProof/>
              </w:rPr>
            </w:pPr>
            <w:r>
              <w:rPr>
                <w:noProof/>
              </w:rPr>
              <w:t xml:space="preserve">Arviointi tehdään vuoden 2021 aikana, jotta saadaan perusteellinen käsitys vuonna 2020 käynnistetyn pitkäaikaishoidon uudistusprosessin edistymisestä ja sen vaikutuksista. Arvioinnin päätelmät esitetään alueneuvostolle vuoden 2022 alkupuoliskolla. </w:t>
            </w:r>
          </w:p>
        </w:tc>
      </w:tr>
      <w:tr w:rsidR="0065073E" w14:paraId="09934F86" w14:textId="77777777">
        <w:trPr>
          <w:trHeight w:val="309"/>
        </w:trPr>
        <w:tc>
          <w:tcPr>
            <w:tcW w:w="709" w:type="dxa"/>
            <w:shd w:val="clear" w:color="auto" w:fill="C6EFCE"/>
            <w:noWrap/>
          </w:tcPr>
          <w:p w14:paraId="55DE0B6F" w14:textId="77777777" w:rsidR="0065073E" w:rsidRDefault="000A0998">
            <w:pPr>
              <w:pStyle w:val="P68B1DB1-Normal12"/>
              <w:spacing w:after="0" w:line="240" w:lineRule="auto"/>
              <w:jc w:val="center"/>
              <w:rPr>
                <w:rFonts w:eastAsia="Times New Roman" w:cs="Times New Roman"/>
                <w:noProof/>
              </w:rPr>
            </w:pPr>
            <w:r>
              <w:rPr>
                <w:noProof/>
              </w:rPr>
              <w:t>315</w:t>
            </w:r>
          </w:p>
        </w:tc>
        <w:tc>
          <w:tcPr>
            <w:tcW w:w="851" w:type="dxa"/>
            <w:shd w:val="clear" w:color="auto" w:fill="C6EFCE"/>
            <w:noWrap/>
          </w:tcPr>
          <w:p w14:paraId="42698C9F" w14:textId="77777777" w:rsidR="0065073E" w:rsidRDefault="000A0998">
            <w:pPr>
              <w:pStyle w:val="P68B1DB1-Normal12"/>
              <w:spacing w:after="0" w:line="240" w:lineRule="auto"/>
              <w:jc w:val="center"/>
              <w:rPr>
                <w:rFonts w:eastAsia="Times New Roman" w:cs="Times New Roman"/>
                <w:noProof/>
              </w:rPr>
            </w:pPr>
            <w:r>
              <w:rPr>
                <w:noProof/>
              </w:rPr>
              <w:t>C22.R2</w:t>
            </w:r>
          </w:p>
        </w:tc>
        <w:tc>
          <w:tcPr>
            <w:tcW w:w="992" w:type="dxa"/>
            <w:shd w:val="clear" w:color="auto" w:fill="C6EFCE"/>
            <w:noWrap/>
          </w:tcPr>
          <w:p w14:paraId="66448DCB"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6F00A35F" w14:textId="77777777" w:rsidR="0065073E" w:rsidRDefault="000A0998">
            <w:pPr>
              <w:pStyle w:val="P68B1DB1-Normal12"/>
              <w:spacing w:after="0" w:line="240" w:lineRule="auto"/>
              <w:rPr>
                <w:rFonts w:eastAsia="Times New Roman" w:cs="Times New Roman"/>
                <w:noProof/>
              </w:rPr>
            </w:pPr>
            <w:r>
              <w:rPr>
                <w:noProof/>
              </w:rPr>
              <w:t>Sosiaalipalvelulain ja ministeriön asetusten voimaantulo</w:t>
            </w:r>
          </w:p>
        </w:tc>
        <w:tc>
          <w:tcPr>
            <w:tcW w:w="992" w:type="dxa"/>
            <w:shd w:val="clear" w:color="auto" w:fill="C6EFCE"/>
            <w:noWrap/>
          </w:tcPr>
          <w:p w14:paraId="068872AB" w14:textId="77777777" w:rsidR="0065073E" w:rsidRDefault="000A0998">
            <w:pPr>
              <w:pStyle w:val="P68B1DB1-Normal12"/>
              <w:spacing w:after="0" w:line="240" w:lineRule="auto"/>
              <w:jc w:val="center"/>
              <w:rPr>
                <w:rFonts w:eastAsia="Times New Roman" w:cs="Times New Roman"/>
                <w:noProof/>
              </w:rPr>
            </w:pPr>
            <w:r>
              <w:rPr>
                <w:noProof/>
              </w:rPr>
              <w:t>Lain ja ministeriön asetusten säännös,</w:t>
            </w:r>
            <w:r>
              <w:rPr>
                <w:noProof/>
                <w:highlight w:val="cyan"/>
              </w:rPr>
              <w:t xml:space="preserve"> </w:t>
            </w:r>
            <w:r>
              <w:rPr>
                <w:noProof/>
              </w:rPr>
              <w:t xml:space="preserve">josta käy ilmi niiden voimaantulo </w:t>
            </w:r>
          </w:p>
        </w:tc>
        <w:tc>
          <w:tcPr>
            <w:tcW w:w="850" w:type="dxa"/>
            <w:shd w:val="clear" w:color="auto" w:fill="C6EFCE"/>
            <w:noWrap/>
          </w:tcPr>
          <w:p w14:paraId="3BA3C70A"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51797F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52D7D3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D29F122"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10" w:type="dxa"/>
            <w:shd w:val="clear" w:color="auto" w:fill="C6EFCE"/>
            <w:noWrap/>
          </w:tcPr>
          <w:p w14:paraId="4D14A81A"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2C81C5F0" w14:textId="77777777" w:rsidR="0065073E" w:rsidRDefault="000A0998">
            <w:pPr>
              <w:pStyle w:val="P68B1DB1-Normal12"/>
              <w:spacing w:after="0" w:line="240" w:lineRule="auto"/>
              <w:rPr>
                <w:rFonts w:eastAsia="Times New Roman" w:cs="Times New Roman"/>
                <w:noProof/>
              </w:rPr>
            </w:pPr>
            <w:r>
              <w:rPr>
                <w:noProof/>
              </w:rPr>
              <w:t xml:space="preserve">Sosiaalipalvelulain antamisen jälkeen annetaan tarvittavat ministeriön asetukset. Lain tavoitteena on parantaa nykyistä tarjontajärjestelmää ja säännellä sosiaalipalvelujen tarjoamisen perusedellytyksiä Espanjassa. </w:t>
            </w:r>
          </w:p>
        </w:tc>
      </w:tr>
      <w:tr w:rsidR="0065073E" w14:paraId="1E7CFC65" w14:textId="77777777">
        <w:trPr>
          <w:trHeight w:val="309"/>
        </w:trPr>
        <w:tc>
          <w:tcPr>
            <w:tcW w:w="709" w:type="dxa"/>
            <w:shd w:val="clear" w:color="auto" w:fill="C6EFCE"/>
            <w:noWrap/>
          </w:tcPr>
          <w:p w14:paraId="735E7828" w14:textId="77777777" w:rsidR="0065073E" w:rsidRDefault="000A0998">
            <w:pPr>
              <w:pStyle w:val="P68B1DB1-Normal12"/>
              <w:spacing w:after="0" w:line="240" w:lineRule="auto"/>
              <w:jc w:val="center"/>
              <w:rPr>
                <w:rFonts w:eastAsia="Times New Roman" w:cs="Times New Roman"/>
                <w:noProof/>
              </w:rPr>
            </w:pPr>
            <w:r>
              <w:rPr>
                <w:noProof/>
              </w:rPr>
              <w:t>316</w:t>
            </w:r>
          </w:p>
        </w:tc>
        <w:tc>
          <w:tcPr>
            <w:tcW w:w="851" w:type="dxa"/>
            <w:shd w:val="clear" w:color="auto" w:fill="C6EFCE"/>
            <w:noWrap/>
          </w:tcPr>
          <w:p w14:paraId="0A348461" w14:textId="77777777" w:rsidR="0065073E" w:rsidRDefault="000A0998">
            <w:pPr>
              <w:pStyle w:val="P68B1DB1-Normal12"/>
              <w:spacing w:after="0" w:line="240" w:lineRule="auto"/>
              <w:jc w:val="center"/>
              <w:rPr>
                <w:rFonts w:eastAsia="Times New Roman" w:cs="Times New Roman"/>
                <w:noProof/>
              </w:rPr>
            </w:pPr>
            <w:r>
              <w:rPr>
                <w:noProof/>
              </w:rPr>
              <w:t>C22.R3</w:t>
            </w:r>
          </w:p>
        </w:tc>
        <w:tc>
          <w:tcPr>
            <w:tcW w:w="992" w:type="dxa"/>
            <w:shd w:val="clear" w:color="auto" w:fill="C6EFCE"/>
            <w:noWrap/>
          </w:tcPr>
          <w:p w14:paraId="1BC73BCE"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54E1B03" w14:textId="77777777" w:rsidR="0065073E" w:rsidRDefault="000A0998">
            <w:pPr>
              <w:pStyle w:val="P68B1DB1-Normal12"/>
              <w:spacing w:after="0" w:line="240" w:lineRule="auto"/>
              <w:rPr>
                <w:rFonts w:eastAsia="Times New Roman" w:cs="Times New Roman"/>
                <w:noProof/>
              </w:rPr>
            </w:pPr>
            <w:r>
              <w:rPr>
                <w:noProof/>
              </w:rPr>
              <w:t>Perheen moninaisuutta koskevan lain voimaantulo</w:t>
            </w:r>
          </w:p>
        </w:tc>
        <w:tc>
          <w:tcPr>
            <w:tcW w:w="992" w:type="dxa"/>
            <w:shd w:val="clear" w:color="auto" w:fill="C6EFCE"/>
            <w:noWrap/>
          </w:tcPr>
          <w:p w14:paraId="606F1F60" w14:textId="77777777" w:rsidR="0065073E" w:rsidRDefault="000A0998">
            <w:pPr>
              <w:pStyle w:val="P68B1DB1-Normal12"/>
              <w:spacing w:after="0" w:line="240" w:lineRule="auto"/>
              <w:jc w:val="center"/>
              <w:rPr>
                <w:rFonts w:eastAsia="Times New Roman" w:cs="Times New Roman"/>
                <w:noProof/>
              </w:rPr>
            </w:pPr>
            <w:r>
              <w:rPr>
                <w:noProof/>
              </w:rPr>
              <w:t>Lain säännös, josta ilmenee lain voimaantulo</w:t>
            </w:r>
          </w:p>
        </w:tc>
        <w:tc>
          <w:tcPr>
            <w:tcW w:w="850" w:type="dxa"/>
            <w:shd w:val="clear" w:color="auto" w:fill="C6EFCE"/>
            <w:noWrap/>
          </w:tcPr>
          <w:p w14:paraId="22138530"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61E937B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B0B209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4ED90FB"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10" w:type="dxa"/>
            <w:shd w:val="clear" w:color="auto" w:fill="C6EFCE"/>
            <w:noWrap/>
          </w:tcPr>
          <w:p w14:paraId="28DF9E0A"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25BEA998" w14:textId="77777777" w:rsidR="0065073E" w:rsidRDefault="000A0998">
            <w:pPr>
              <w:pStyle w:val="P68B1DB1-Normal12"/>
              <w:spacing w:after="0" w:line="240" w:lineRule="auto"/>
              <w:rPr>
                <w:rFonts w:eastAsia="Times New Roman" w:cs="Times New Roman"/>
                <w:noProof/>
              </w:rPr>
            </w:pPr>
            <w:r>
              <w:rPr>
                <w:noProof/>
              </w:rPr>
              <w:t>Perheen moninaisuutta koskevan lain tavoitteena on i) käytössä olevien erilaisten perherakenteiden oikeudellinen tunnustaminen, niiden etuuksien ja palvelujen määrittäminen, joihin heillä on oikeus ominaisuuksiensa ja tulotasonsa perusteella; ja iii) lapsiköyhyyden vähentäminen ottaen huomioon uudelleenjakoa koskevan vaikutustenarvioinnin tulokset.</w:t>
            </w:r>
          </w:p>
        </w:tc>
      </w:tr>
      <w:tr w:rsidR="0065073E" w14:paraId="5411D44F" w14:textId="77777777">
        <w:trPr>
          <w:trHeight w:val="309"/>
        </w:trPr>
        <w:tc>
          <w:tcPr>
            <w:tcW w:w="709" w:type="dxa"/>
            <w:shd w:val="clear" w:color="auto" w:fill="C6EFCE"/>
            <w:noWrap/>
          </w:tcPr>
          <w:p w14:paraId="3BEB6FCE" w14:textId="77777777" w:rsidR="0065073E" w:rsidRDefault="000A0998">
            <w:pPr>
              <w:pStyle w:val="P68B1DB1-Normal12"/>
              <w:spacing w:after="0" w:line="240" w:lineRule="auto"/>
              <w:jc w:val="center"/>
              <w:rPr>
                <w:rFonts w:eastAsia="Times New Roman" w:cs="Times New Roman"/>
                <w:noProof/>
              </w:rPr>
            </w:pPr>
            <w:r>
              <w:rPr>
                <w:noProof/>
              </w:rPr>
              <w:t>317</w:t>
            </w:r>
          </w:p>
        </w:tc>
        <w:tc>
          <w:tcPr>
            <w:tcW w:w="851" w:type="dxa"/>
            <w:shd w:val="clear" w:color="auto" w:fill="C6EFCE"/>
            <w:noWrap/>
          </w:tcPr>
          <w:p w14:paraId="522D05C1" w14:textId="77777777" w:rsidR="0065073E" w:rsidRDefault="000A0998">
            <w:pPr>
              <w:pStyle w:val="P68B1DB1-Normal12"/>
              <w:spacing w:after="0" w:line="240" w:lineRule="auto"/>
              <w:jc w:val="center"/>
              <w:rPr>
                <w:rFonts w:eastAsia="Times New Roman" w:cs="Times New Roman"/>
                <w:noProof/>
              </w:rPr>
            </w:pPr>
            <w:r>
              <w:rPr>
                <w:noProof/>
              </w:rPr>
              <w:t>C22.R4</w:t>
            </w:r>
          </w:p>
        </w:tc>
        <w:tc>
          <w:tcPr>
            <w:tcW w:w="992" w:type="dxa"/>
            <w:shd w:val="clear" w:color="auto" w:fill="C6EFCE"/>
            <w:noWrap/>
          </w:tcPr>
          <w:p w14:paraId="2442A7BD"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2C29C358" w14:textId="77777777" w:rsidR="0065073E" w:rsidRDefault="000A0998">
            <w:pPr>
              <w:pStyle w:val="P68B1DB1-Normal12"/>
              <w:spacing w:after="0" w:line="240" w:lineRule="auto"/>
              <w:rPr>
                <w:rFonts w:eastAsia="Times New Roman" w:cs="Times New Roman"/>
                <w:noProof/>
              </w:rPr>
            </w:pPr>
            <w:r>
              <w:rPr>
                <w:noProof/>
              </w:rPr>
              <w:t xml:space="preserve">Maahantulijoiden ja kansainvälistä suojelua hakevien henkilöiden vastaanottojärjestelmää koskevan lainsäädäntöuudistuksen voimaantulo Espanjassa </w:t>
            </w:r>
          </w:p>
        </w:tc>
        <w:tc>
          <w:tcPr>
            <w:tcW w:w="992" w:type="dxa"/>
            <w:shd w:val="clear" w:color="auto" w:fill="C6EFCE"/>
            <w:noWrap/>
          </w:tcPr>
          <w:p w14:paraId="5937DDF6" w14:textId="77777777" w:rsidR="0065073E" w:rsidRDefault="000A0998">
            <w:pPr>
              <w:pStyle w:val="P68B1DB1-Normal12"/>
              <w:spacing w:after="0" w:line="240" w:lineRule="auto"/>
              <w:jc w:val="center"/>
              <w:rPr>
                <w:rFonts w:eastAsia="Times New Roman" w:cs="Times New Roman"/>
                <w:noProof/>
              </w:rPr>
            </w:pPr>
            <w:r>
              <w:rPr>
                <w:noProof/>
              </w:rPr>
              <w:t>Määräys määräyksen voimaantulosta</w:t>
            </w:r>
          </w:p>
        </w:tc>
        <w:tc>
          <w:tcPr>
            <w:tcW w:w="850" w:type="dxa"/>
            <w:shd w:val="clear" w:color="auto" w:fill="C6EFCE"/>
            <w:noWrap/>
          </w:tcPr>
          <w:p w14:paraId="4F4AFBC9"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AAA2A8F"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3D2F6FF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E628AC"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810" w:type="dxa"/>
            <w:shd w:val="clear" w:color="auto" w:fill="C6EFCE"/>
            <w:noWrap/>
          </w:tcPr>
          <w:p w14:paraId="1BB32A33"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4366A697" w14:textId="77777777" w:rsidR="0065073E" w:rsidRDefault="000A0998">
            <w:pPr>
              <w:pStyle w:val="P68B1DB1-Normal12"/>
              <w:spacing w:after="0" w:line="240" w:lineRule="auto"/>
              <w:rPr>
                <w:rFonts w:eastAsia="Times New Roman" w:cs="Times New Roman"/>
                <w:noProof/>
              </w:rPr>
            </w:pPr>
            <w:r>
              <w:rPr>
                <w:noProof/>
              </w:rPr>
              <w:t>Ministeriön päätöksellä uudistetaan osallisuutta, sosiaaliturvaa ja maahanmuuttoa käsittelevän ministeriön hyväksymä maahanmuuttajien ja kansainvälistä suojelua hakevien henkilöiden vastaanottojärjestelmä Espanjassa. Uudistuksen tavoitteena on kehittää uusia vastaanottomenettelyjä kaikille vastaanottoverkoston keskuksille ja tunnustaa kaikkien turvapaikanhakijoiden vastaanotto-olosuhteet ja paremmat vastaanotto-olosuhteet niille, joiden tunnustaminen on erittäin todennäköistä.</w:t>
            </w:r>
          </w:p>
        </w:tc>
      </w:tr>
      <w:tr w:rsidR="0065073E" w14:paraId="327E6794" w14:textId="77777777">
        <w:trPr>
          <w:trHeight w:val="309"/>
        </w:trPr>
        <w:tc>
          <w:tcPr>
            <w:tcW w:w="709" w:type="dxa"/>
            <w:shd w:val="clear" w:color="auto" w:fill="C6EFCE"/>
            <w:noWrap/>
          </w:tcPr>
          <w:p w14:paraId="4B0AB24A" w14:textId="77777777" w:rsidR="0065073E" w:rsidRDefault="000A0998">
            <w:pPr>
              <w:pStyle w:val="P68B1DB1-Normal12"/>
              <w:spacing w:after="0" w:line="240" w:lineRule="auto"/>
              <w:jc w:val="center"/>
              <w:rPr>
                <w:rFonts w:eastAsia="Times New Roman" w:cs="Times New Roman"/>
                <w:noProof/>
              </w:rPr>
            </w:pPr>
            <w:r>
              <w:rPr>
                <w:noProof/>
              </w:rPr>
              <w:t>318</w:t>
            </w:r>
          </w:p>
        </w:tc>
        <w:tc>
          <w:tcPr>
            <w:tcW w:w="851" w:type="dxa"/>
            <w:shd w:val="clear" w:color="auto" w:fill="C6EFCE"/>
            <w:noWrap/>
          </w:tcPr>
          <w:p w14:paraId="7466A7AE" w14:textId="77777777" w:rsidR="0065073E" w:rsidRDefault="000A0998">
            <w:pPr>
              <w:pStyle w:val="P68B1DB1-Normal12"/>
              <w:spacing w:after="0" w:line="240" w:lineRule="auto"/>
              <w:jc w:val="center"/>
              <w:rPr>
                <w:rFonts w:eastAsia="Times New Roman" w:cs="Times New Roman"/>
                <w:noProof/>
              </w:rPr>
            </w:pPr>
            <w:r>
              <w:rPr>
                <w:noProof/>
              </w:rPr>
              <w:t>C22.R5</w:t>
            </w:r>
          </w:p>
        </w:tc>
        <w:tc>
          <w:tcPr>
            <w:tcW w:w="992" w:type="dxa"/>
            <w:shd w:val="clear" w:color="auto" w:fill="C6EFCE"/>
            <w:noWrap/>
          </w:tcPr>
          <w:p w14:paraId="213BC682"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0D3B2C4A" w14:textId="366FC9C9" w:rsidR="0065073E" w:rsidRDefault="000A0998">
            <w:pPr>
              <w:pStyle w:val="P68B1DB1-Normal12"/>
              <w:spacing w:after="0" w:line="240" w:lineRule="auto"/>
              <w:rPr>
                <w:rFonts w:eastAsia="Times New Roman" w:cs="Times New Roman"/>
                <w:noProof/>
              </w:rPr>
            </w:pPr>
            <w:r>
              <w:rPr>
                <w:noProof/>
              </w:rPr>
              <w:t>Elintärkeän vähimmäistulon hyväksymisestä 29. toukokuuta annetun kuninkaallisen asetuksen 20/2020 voimaantulo</w:t>
            </w:r>
          </w:p>
        </w:tc>
        <w:tc>
          <w:tcPr>
            <w:tcW w:w="992" w:type="dxa"/>
            <w:shd w:val="clear" w:color="auto" w:fill="C6EFCE"/>
            <w:noWrap/>
          </w:tcPr>
          <w:p w14:paraId="321EDC2A" w14:textId="77777777" w:rsidR="0065073E" w:rsidRDefault="000A0998">
            <w:pPr>
              <w:pStyle w:val="P68B1DB1-Normal12"/>
              <w:spacing w:after="0" w:line="240" w:lineRule="auto"/>
              <w:jc w:val="center"/>
              <w:rPr>
                <w:rFonts w:eastAsia="Times New Roman" w:cs="Times New Roman"/>
                <w:noProof/>
              </w:rPr>
            </w:pPr>
            <w:r>
              <w:rPr>
                <w:noProof/>
              </w:rPr>
              <w:t xml:space="preserve">Lain säännös, josta ilmenee lain voimaantulo </w:t>
            </w:r>
          </w:p>
        </w:tc>
        <w:tc>
          <w:tcPr>
            <w:tcW w:w="850" w:type="dxa"/>
            <w:shd w:val="clear" w:color="auto" w:fill="C6EFCE"/>
            <w:noWrap/>
          </w:tcPr>
          <w:p w14:paraId="64F1037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D1E954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9522666" w14:textId="77777777" w:rsidR="0065073E" w:rsidRDefault="000A0998">
            <w:pPr>
              <w:pStyle w:val="P68B1DB1-Normal12"/>
              <w:spacing w:after="0" w:line="240" w:lineRule="auto"/>
              <w:rPr>
                <w:rFonts w:eastAsia="Times New Roman" w:cs="Times New Roman"/>
                <w:noProof/>
              </w:rPr>
            </w:pPr>
            <w:r>
              <w:rPr>
                <w:noProof/>
              </w:rPr>
              <w:t xml:space="preserve"> </w:t>
            </w:r>
          </w:p>
        </w:tc>
        <w:tc>
          <w:tcPr>
            <w:tcW w:w="567" w:type="dxa"/>
            <w:shd w:val="clear" w:color="auto" w:fill="C6EFCE"/>
            <w:noWrap/>
          </w:tcPr>
          <w:p w14:paraId="0F981430"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810" w:type="dxa"/>
            <w:shd w:val="clear" w:color="auto" w:fill="C6EFCE"/>
            <w:noWrap/>
          </w:tcPr>
          <w:p w14:paraId="584B35F3" w14:textId="77777777" w:rsidR="0065073E" w:rsidRDefault="000A0998">
            <w:pPr>
              <w:pStyle w:val="P68B1DB1-Normal12"/>
              <w:spacing w:after="0" w:line="240" w:lineRule="auto"/>
              <w:jc w:val="center"/>
              <w:rPr>
                <w:rFonts w:eastAsia="Times New Roman" w:cs="Times New Roman"/>
                <w:noProof/>
              </w:rPr>
            </w:pPr>
            <w:r>
              <w:rPr>
                <w:noProof/>
              </w:rPr>
              <w:t>2020</w:t>
            </w:r>
          </w:p>
        </w:tc>
        <w:tc>
          <w:tcPr>
            <w:tcW w:w="4860" w:type="dxa"/>
            <w:shd w:val="clear" w:color="auto" w:fill="C6EFCE"/>
            <w:noWrap/>
          </w:tcPr>
          <w:p w14:paraId="5861942D" w14:textId="77777777" w:rsidR="0065073E" w:rsidRDefault="000A0998">
            <w:pPr>
              <w:pStyle w:val="P68B1DB1-Normal12"/>
              <w:spacing w:after="0" w:line="240" w:lineRule="auto"/>
              <w:rPr>
                <w:rFonts w:eastAsia="Times New Roman" w:cs="Times New Roman"/>
                <w:noProof/>
              </w:rPr>
            </w:pPr>
            <w:r>
              <w:rPr>
                <w:noProof/>
              </w:rPr>
              <w:t>Vähimmäistulon voimaantulo (29. toukokuuta annettu kuninkaan asetus 20/2020).</w:t>
            </w:r>
          </w:p>
        </w:tc>
      </w:tr>
      <w:tr w:rsidR="0065073E" w14:paraId="3DF3AD97" w14:textId="77777777">
        <w:trPr>
          <w:trHeight w:val="309"/>
        </w:trPr>
        <w:tc>
          <w:tcPr>
            <w:tcW w:w="709" w:type="dxa"/>
            <w:shd w:val="clear" w:color="auto" w:fill="C6EFCE"/>
            <w:noWrap/>
          </w:tcPr>
          <w:p w14:paraId="36585B74" w14:textId="77777777" w:rsidR="0065073E" w:rsidRDefault="000A0998">
            <w:pPr>
              <w:pStyle w:val="P68B1DB1-Normal12"/>
              <w:spacing w:after="0" w:line="240" w:lineRule="auto"/>
              <w:jc w:val="center"/>
              <w:rPr>
                <w:rFonts w:eastAsia="Times New Roman" w:cs="Times New Roman"/>
                <w:noProof/>
              </w:rPr>
            </w:pPr>
            <w:r>
              <w:rPr>
                <w:noProof/>
              </w:rPr>
              <w:t>319</w:t>
            </w:r>
          </w:p>
        </w:tc>
        <w:tc>
          <w:tcPr>
            <w:tcW w:w="851" w:type="dxa"/>
            <w:shd w:val="clear" w:color="auto" w:fill="C6EFCE"/>
            <w:noWrap/>
          </w:tcPr>
          <w:p w14:paraId="76B93DF0" w14:textId="77777777" w:rsidR="0065073E" w:rsidRDefault="000A0998">
            <w:pPr>
              <w:pStyle w:val="P68B1DB1-Normal12"/>
              <w:spacing w:after="0" w:line="240" w:lineRule="auto"/>
              <w:jc w:val="center"/>
              <w:rPr>
                <w:rFonts w:eastAsia="Times New Roman" w:cs="Times New Roman"/>
                <w:noProof/>
              </w:rPr>
            </w:pPr>
            <w:r>
              <w:rPr>
                <w:noProof/>
              </w:rPr>
              <w:t>C22.R5</w:t>
            </w:r>
          </w:p>
        </w:tc>
        <w:tc>
          <w:tcPr>
            <w:tcW w:w="992" w:type="dxa"/>
            <w:shd w:val="clear" w:color="auto" w:fill="C6EFCE"/>
            <w:noWrap/>
          </w:tcPr>
          <w:p w14:paraId="3B8A275C"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E14C1F9" w14:textId="77777777" w:rsidR="0065073E" w:rsidRDefault="000A0998">
            <w:pPr>
              <w:pStyle w:val="P68B1DB1-Normal12"/>
              <w:spacing w:after="0" w:line="240" w:lineRule="auto"/>
              <w:rPr>
                <w:rFonts w:eastAsia="Times New Roman" w:cs="Times New Roman"/>
                <w:noProof/>
              </w:rPr>
            </w:pPr>
            <w:r>
              <w:rPr>
                <w:noProof/>
              </w:rPr>
              <w:t>Valtionhallinnon maksuihin perustumattomien taloudellisten etuuksien järjestelmän uudelleenorganisointia ja yksinkertaistamista koskevan suunnitelman julkaiseminen.</w:t>
            </w:r>
          </w:p>
        </w:tc>
        <w:tc>
          <w:tcPr>
            <w:tcW w:w="992" w:type="dxa"/>
            <w:shd w:val="clear" w:color="auto" w:fill="C6EFCE"/>
            <w:noWrap/>
          </w:tcPr>
          <w:p w14:paraId="3D624739" w14:textId="77777777" w:rsidR="0065073E" w:rsidRDefault="000A0998">
            <w:pPr>
              <w:pStyle w:val="P68B1DB1-Normal12"/>
              <w:spacing w:after="0" w:line="240" w:lineRule="auto"/>
              <w:jc w:val="center"/>
              <w:rPr>
                <w:rFonts w:eastAsia="Times New Roman" w:cs="Times New Roman"/>
                <w:noProof/>
              </w:rPr>
            </w:pPr>
            <w:r>
              <w:rPr>
                <w:noProof/>
              </w:rPr>
              <w:t>Suunnitelman julkaiseminen Euroopan unionin virallisessa lehdessä</w:t>
            </w:r>
          </w:p>
        </w:tc>
        <w:tc>
          <w:tcPr>
            <w:tcW w:w="850" w:type="dxa"/>
            <w:shd w:val="clear" w:color="auto" w:fill="C6EFCE"/>
            <w:noWrap/>
          </w:tcPr>
          <w:p w14:paraId="7E532068"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560F39A7"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2123AFE2"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11F405F" w14:textId="77777777" w:rsidR="0065073E" w:rsidRDefault="000A0998">
            <w:pPr>
              <w:pStyle w:val="P68B1DB1-Normal12"/>
              <w:spacing w:after="0" w:line="240" w:lineRule="auto"/>
              <w:jc w:val="center"/>
              <w:rPr>
                <w:rFonts w:eastAsia="Times New Roman" w:cs="Times New Roman"/>
                <w:noProof/>
              </w:rPr>
            </w:pPr>
            <w:r>
              <w:rPr>
                <w:noProof/>
              </w:rPr>
              <w:t>Q3</w:t>
            </w:r>
          </w:p>
        </w:tc>
        <w:tc>
          <w:tcPr>
            <w:tcW w:w="810" w:type="dxa"/>
            <w:shd w:val="clear" w:color="auto" w:fill="C6EFCE"/>
            <w:noWrap/>
          </w:tcPr>
          <w:p w14:paraId="56F58375" w14:textId="77777777" w:rsidR="0065073E" w:rsidRDefault="000A0998">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23C0FE97" w14:textId="77777777" w:rsidR="0065073E" w:rsidRDefault="000A0998">
            <w:pPr>
              <w:pStyle w:val="P68B1DB1-Normal12"/>
              <w:spacing w:after="0" w:line="240" w:lineRule="auto"/>
              <w:rPr>
                <w:rFonts w:eastAsia="Times New Roman" w:cs="Times New Roman"/>
                <w:noProof/>
              </w:rPr>
            </w:pPr>
            <w:r>
              <w:rPr>
                <w:noProof/>
              </w:rPr>
              <w:t xml:space="preserve">Hyväksytään suunnitelma valtionhallinnon maksuihin perustumattomien taloudellisten etujen järjestelmän uudelleenorganisoimiseksi ja yksinkertaistamiseksi (julkaistu Euroopan unionin virallisessa lehdessä). Suunnitelman tavoitteena on integroida maksuihin perustumattomat etuudet tuloturvavälineen ympärille, jotta voidaan parantaa julkisten varojen vaikuttavuutta ja tehokkuutta ja keskittää ne haavoittuvassa asemassa oleviin tai sosiaalisen syrjäytymisen vaarassa oleviin ihmisiin. Suunnitelmassa on keskityttävä ihmisten haavoittuvuuteen johtavien erilaisten olosuhteiden asianmukaiseen kattamiseen sekä toimeentulotuen riittävyyteen. Tätä varten siinä otetaan huomioon rakenteelliset tarpeet, kuten kotitaloudet, joissa on lapsia ja vammaisia, ja toisaalta kytketään toimeentulotuki aktiiviseen työhön, joka etsitään osallisuutta edistävää työtä, ja vältetään ”köyhyysloukkuja”. Suunnitelmassa on tarkasteltava kaikkia olemassa olevia maksuihin perustumattomia tekijöitä, jotta ne voidaan integroida asteittain ja ajan mittaan yhteen kansalliseen järjestelmään sen varmistamiseksi, että suunnitelman tavoite saavutetaan täysimääräisesti. </w:t>
            </w:r>
          </w:p>
        </w:tc>
      </w:tr>
      <w:tr w:rsidR="0065073E" w14:paraId="6C6E9BC7" w14:textId="77777777">
        <w:trPr>
          <w:trHeight w:val="309"/>
        </w:trPr>
        <w:tc>
          <w:tcPr>
            <w:tcW w:w="709" w:type="dxa"/>
            <w:shd w:val="clear" w:color="auto" w:fill="C6EFCE"/>
            <w:noWrap/>
          </w:tcPr>
          <w:p w14:paraId="48573F50" w14:textId="77777777" w:rsidR="0065073E" w:rsidRDefault="000A0998">
            <w:pPr>
              <w:pStyle w:val="P68B1DB1-Normal12"/>
              <w:spacing w:after="0" w:line="240" w:lineRule="auto"/>
              <w:jc w:val="center"/>
              <w:rPr>
                <w:rFonts w:eastAsia="Times New Roman" w:cs="Times New Roman"/>
                <w:noProof/>
              </w:rPr>
            </w:pPr>
            <w:r>
              <w:rPr>
                <w:noProof/>
              </w:rPr>
              <w:t>320</w:t>
            </w:r>
          </w:p>
        </w:tc>
        <w:tc>
          <w:tcPr>
            <w:tcW w:w="851" w:type="dxa"/>
            <w:shd w:val="clear" w:color="auto" w:fill="C6EFCE"/>
            <w:noWrap/>
          </w:tcPr>
          <w:p w14:paraId="5624C883" w14:textId="77777777" w:rsidR="0065073E" w:rsidRDefault="000A0998">
            <w:pPr>
              <w:pStyle w:val="P68B1DB1-Normal12"/>
              <w:spacing w:after="0" w:line="240" w:lineRule="auto"/>
              <w:jc w:val="center"/>
              <w:rPr>
                <w:rFonts w:eastAsia="Times New Roman" w:cs="Times New Roman"/>
                <w:noProof/>
              </w:rPr>
            </w:pPr>
            <w:r>
              <w:rPr>
                <w:noProof/>
              </w:rPr>
              <w:t>C22.R5</w:t>
            </w:r>
          </w:p>
        </w:tc>
        <w:tc>
          <w:tcPr>
            <w:tcW w:w="992" w:type="dxa"/>
            <w:shd w:val="clear" w:color="auto" w:fill="C6EFCE"/>
            <w:noWrap/>
          </w:tcPr>
          <w:p w14:paraId="5C2D2B5F"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BE5B6ED" w14:textId="77777777" w:rsidR="0065073E" w:rsidRDefault="000A0998">
            <w:pPr>
              <w:pStyle w:val="P68B1DB1-Normal12"/>
              <w:spacing w:after="0" w:line="240" w:lineRule="auto"/>
              <w:rPr>
                <w:rFonts w:eastAsia="Times New Roman" w:cs="Times New Roman"/>
                <w:noProof/>
              </w:rPr>
            </w:pPr>
            <w:r>
              <w:rPr>
                <w:noProof/>
              </w:rPr>
              <w:t>Maksuihin perustumattomien taloudellisten etuuksien järjestelmän uudelleenorganisointia ja yksinkertaistamista koskevan lainsäädännön voimaantulo</w:t>
            </w:r>
          </w:p>
        </w:tc>
        <w:tc>
          <w:tcPr>
            <w:tcW w:w="992" w:type="dxa"/>
            <w:shd w:val="clear" w:color="auto" w:fill="C6EFCE"/>
            <w:noWrap/>
          </w:tcPr>
          <w:p w14:paraId="46A76CA7" w14:textId="77777777" w:rsidR="0065073E" w:rsidRDefault="000A0998">
            <w:pPr>
              <w:pStyle w:val="P68B1DB1-Normal12"/>
              <w:spacing w:after="0" w:line="240" w:lineRule="auto"/>
              <w:jc w:val="center"/>
              <w:rPr>
                <w:rFonts w:eastAsia="Times New Roman" w:cs="Times New Roman"/>
                <w:noProof/>
              </w:rPr>
            </w:pPr>
            <w:r>
              <w:rPr>
                <w:noProof/>
              </w:rPr>
              <w:t xml:space="preserve">Lain säännös, josta ilmenee lain voimaantulo </w:t>
            </w:r>
          </w:p>
        </w:tc>
        <w:tc>
          <w:tcPr>
            <w:tcW w:w="850" w:type="dxa"/>
            <w:shd w:val="clear" w:color="auto" w:fill="C6EFCE"/>
            <w:noWrap/>
          </w:tcPr>
          <w:p w14:paraId="2000123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3DC8AA9E"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6463DE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C26E5C" w14:textId="77777777" w:rsidR="0065073E" w:rsidRDefault="000A0998">
            <w:pPr>
              <w:pStyle w:val="P68B1DB1-Normal12"/>
              <w:spacing w:after="0" w:line="240" w:lineRule="auto"/>
              <w:jc w:val="center"/>
              <w:rPr>
                <w:rFonts w:eastAsia="Times New Roman" w:cs="Times New Roman"/>
                <w:noProof/>
              </w:rPr>
            </w:pPr>
            <w:r>
              <w:rPr>
                <w:noProof/>
              </w:rPr>
              <w:t>Q4</w:t>
            </w:r>
          </w:p>
        </w:tc>
        <w:tc>
          <w:tcPr>
            <w:tcW w:w="810" w:type="dxa"/>
            <w:shd w:val="clear" w:color="auto" w:fill="C6EFCE"/>
            <w:noWrap/>
          </w:tcPr>
          <w:p w14:paraId="4110A147"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3608032D" w14:textId="77777777" w:rsidR="0065073E" w:rsidRDefault="000A0998">
            <w:pPr>
              <w:pStyle w:val="P68B1DB1-Normal12"/>
              <w:spacing w:after="0" w:line="240" w:lineRule="auto"/>
              <w:rPr>
                <w:rFonts w:eastAsia="Times New Roman" w:cs="Times New Roman"/>
                <w:noProof/>
              </w:rPr>
            </w:pPr>
            <w:r>
              <w:rPr>
                <w:noProof/>
              </w:rPr>
              <w:t>Uudistuksella jäsennetään ja yksinkertaistetaan maksuihin perustumattomien rahaetuuksien järjestelmää. Uudistuksen tavoitteena on sisällyttää elintärkeiden vähimmäistulojen järjestelmään (IMV) tärkeimmät valtionhallinnon myöntämät maksuihin perustumattomat etuudet, jotta maksuihin perustumattomien taloudellisten etuuksien järjestelmä voidaan organisoida uudelleen ja yksinkertaistaa valtionhallinnon maksuihin perustumattomien taloudellisten etuuksien järjestelmän uudelleenorganisointia ja yksinkertaistamista koskevien tavoitteiden mukaisesti.</w:t>
            </w:r>
          </w:p>
        </w:tc>
      </w:tr>
      <w:tr w:rsidR="0065073E" w14:paraId="26922172" w14:textId="77777777">
        <w:trPr>
          <w:trHeight w:val="309"/>
        </w:trPr>
        <w:tc>
          <w:tcPr>
            <w:tcW w:w="709" w:type="dxa"/>
            <w:shd w:val="clear" w:color="auto" w:fill="C6EFCE"/>
            <w:noWrap/>
          </w:tcPr>
          <w:p w14:paraId="6A5B179A" w14:textId="77777777" w:rsidR="0065073E" w:rsidRDefault="000A0998">
            <w:pPr>
              <w:pStyle w:val="P68B1DB1-Normal12"/>
              <w:spacing w:after="0" w:line="240" w:lineRule="auto"/>
              <w:jc w:val="center"/>
              <w:rPr>
                <w:rFonts w:cs="Times New Roman"/>
                <w:noProof/>
              </w:rPr>
            </w:pPr>
            <w:r>
              <w:rPr>
                <w:noProof/>
              </w:rPr>
              <w:t>321</w:t>
            </w:r>
          </w:p>
        </w:tc>
        <w:tc>
          <w:tcPr>
            <w:tcW w:w="851" w:type="dxa"/>
            <w:shd w:val="clear" w:color="auto" w:fill="C6EFCE"/>
            <w:noWrap/>
          </w:tcPr>
          <w:p w14:paraId="43A567F4" w14:textId="77777777" w:rsidR="0065073E" w:rsidRDefault="000A0998">
            <w:pPr>
              <w:pStyle w:val="P68B1DB1-Normal12"/>
              <w:spacing w:after="0" w:line="240" w:lineRule="auto"/>
              <w:jc w:val="center"/>
              <w:rPr>
                <w:rFonts w:cs="Times New Roman"/>
                <w:noProof/>
              </w:rPr>
            </w:pPr>
            <w:r>
              <w:rPr>
                <w:noProof/>
              </w:rPr>
              <w:t>C22.I1</w:t>
            </w:r>
          </w:p>
        </w:tc>
        <w:tc>
          <w:tcPr>
            <w:tcW w:w="992" w:type="dxa"/>
            <w:shd w:val="clear" w:color="auto" w:fill="C6EFCE"/>
            <w:noWrap/>
          </w:tcPr>
          <w:p w14:paraId="3B91E2E4"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66BA2A34" w14:textId="77777777" w:rsidR="0065073E" w:rsidRDefault="000A0998">
            <w:pPr>
              <w:pStyle w:val="P68B1DB1-Normal12"/>
              <w:spacing w:after="0" w:line="240" w:lineRule="auto"/>
              <w:rPr>
                <w:rFonts w:cs="Times New Roman"/>
                <w:noProof/>
              </w:rPr>
            </w:pPr>
            <w:r>
              <w:rPr>
                <w:noProof/>
              </w:rPr>
              <w:t>Sosiaalisten oikeuksien ministeriön ja Agenda 2030 -toimintaohjelman toteuttamat hankkeet</w:t>
            </w:r>
          </w:p>
        </w:tc>
        <w:tc>
          <w:tcPr>
            <w:tcW w:w="992" w:type="dxa"/>
            <w:shd w:val="clear" w:color="auto" w:fill="C6EFCE"/>
            <w:noWrap/>
          </w:tcPr>
          <w:p w14:paraId="0EF203E1"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758B934B" w14:textId="77777777" w:rsidR="0065073E" w:rsidRDefault="000A0998">
            <w:pPr>
              <w:pStyle w:val="P68B1DB1-Normal12"/>
              <w:spacing w:after="0" w:line="240" w:lineRule="auto"/>
              <w:jc w:val="center"/>
              <w:rPr>
                <w:rFonts w:cs="Times New Roman"/>
                <w:noProof/>
              </w:rPr>
            </w:pPr>
            <w:r>
              <w:rPr>
                <w:noProof/>
              </w:rPr>
              <w:t>Määrä</w:t>
            </w:r>
          </w:p>
        </w:tc>
        <w:tc>
          <w:tcPr>
            <w:tcW w:w="851" w:type="dxa"/>
            <w:shd w:val="clear" w:color="auto" w:fill="C6EFCE"/>
            <w:noWrap/>
          </w:tcPr>
          <w:p w14:paraId="069EAC2B" w14:textId="77777777" w:rsidR="0065073E" w:rsidRDefault="000A0998">
            <w:pPr>
              <w:pStyle w:val="P68B1DB1-Normal12"/>
              <w:spacing w:after="0" w:line="240" w:lineRule="auto"/>
              <w:jc w:val="center"/>
              <w:rPr>
                <w:rFonts w:cs="Times New Roman"/>
                <w:noProof/>
              </w:rPr>
            </w:pPr>
            <w:r>
              <w:rPr>
                <w:noProof/>
              </w:rPr>
              <w:t>0</w:t>
            </w:r>
          </w:p>
        </w:tc>
        <w:tc>
          <w:tcPr>
            <w:tcW w:w="709" w:type="dxa"/>
            <w:shd w:val="clear" w:color="auto" w:fill="C6EFCE"/>
            <w:noWrap/>
          </w:tcPr>
          <w:p w14:paraId="103FB448" w14:textId="77777777" w:rsidR="0065073E" w:rsidRDefault="000A0998">
            <w:pPr>
              <w:pStyle w:val="P68B1DB1-Normal12"/>
              <w:spacing w:after="0" w:line="240" w:lineRule="auto"/>
              <w:jc w:val="center"/>
              <w:rPr>
                <w:rFonts w:cs="Times New Roman"/>
                <w:noProof/>
              </w:rPr>
            </w:pPr>
            <w:r>
              <w:rPr>
                <w:noProof/>
              </w:rPr>
              <w:t>4</w:t>
            </w:r>
          </w:p>
        </w:tc>
        <w:tc>
          <w:tcPr>
            <w:tcW w:w="567" w:type="dxa"/>
            <w:shd w:val="clear" w:color="auto" w:fill="C6EFCE"/>
            <w:noWrap/>
          </w:tcPr>
          <w:p w14:paraId="76F3ECA5" w14:textId="77777777" w:rsidR="0065073E" w:rsidRDefault="000A0998">
            <w:pPr>
              <w:pStyle w:val="P68B1DB1-Normal12"/>
              <w:spacing w:after="0" w:line="240" w:lineRule="auto"/>
              <w:jc w:val="center"/>
              <w:rPr>
                <w:rFonts w:cs="Times New Roman"/>
                <w:noProof/>
              </w:rPr>
            </w:pPr>
            <w:r>
              <w:rPr>
                <w:noProof/>
              </w:rPr>
              <w:t>TOINEN VUOSINELJÄNNES</w:t>
            </w:r>
          </w:p>
        </w:tc>
        <w:tc>
          <w:tcPr>
            <w:tcW w:w="810" w:type="dxa"/>
            <w:shd w:val="clear" w:color="auto" w:fill="C6EFCE"/>
            <w:noWrap/>
          </w:tcPr>
          <w:p w14:paraId="06CA6284" w14:textId="77777777" w:rsidR="0065073E" w:rsidRDefault="000A0998">
            <w:pPr>
              <w:pStyle w:val="P68B1DB1-Normal12"/>
              <w:spacing w:after="0" w:line="240" w:lineRule="auto"/>
              <w:jc w:val="center"/>
              <w:rPr>
                <w:rFonts w:cs="Times New Roman"/>
                <w:noProof/>
              </w:rPr>
            </w:pPr>
            <w:r>
              <w:rPr>
                <w:noProof/>
              </w:rPr>
              <w:t>2023</w:t>
            </w:r>
          </w:p>
        </w:tc>
        <w:tc>
          <w:tcPr>
            <w:tcW w:w="4860" w:type="dxa"/>
            <w:shd w:val="clear" w:color="auto" w:fill="C6EFCE"/>
            <w:noWrap/>
          </w:tcPr>
          <w:p w14:paraId="1D321D13" w14:textId="7144CD1C" w:rsidR="0065073E" w:rsidRDefault="000A0998">
            <w:pPr>
              <w:pStyle w:val="P68B1DB1-Normal12"/>
              <w:spacing w:after="0" w:line="240" w:lineRule="auto"/>
              <w:rPr>
                <w:rFonts w:cs="Times New Roman"/>
                <w:noProof/>
              </w:rPr>
            </w:pPr>
            <w:r>
              <w:rPr>
                <w:noProof/>
              </w:rPr>
              <w:t>Saatetaan päätökseen neljä pilottihanketta, jotka koskevat laitoshoidosta luopumista ja joista yksi keskittyy kehitysvammaisten tukemiseen ja hoitoon, sekä vähintään 1100 IMSERSOn paikkaa vastaavien keskusten uudistaminen.</w:t>
            </w:r>
          </w:p>
        </w:tc>
      </w:tr>
      <w:tr w:rsidR="0065073E" w14:paraId="20858E97" w14:textId="77777777">
        <w:trPr>
          <w:trHeight w:val="309"/>
        </w:trPr>
        <w:tc>
          <w:tcPr>
            <w:tcW w:w="709" w:type="dxa"/>
            <w:shd w:val="clear" w:color="auto" w:fill="C6EFCE"/>
            <w:noWrap/>
          </w:tcPr>
          <w:p w14:paraId="5D7EDB91" w14:textId="78295F2D" w:rsidR="0065073E" w:rsidRDefault="000A0998">
            <w:pPr>
              <w:pStyle w:val="P68B1DB1-Normal12"/>
              <w:spacing w:after="0" w:line="240" w:lineRule="auto"/>
              <w:jc w:val="center"/>
              <w:rPr>
                <w:rFonts w:cs="Times New Roman"/>
                <w:noProof/>
              </w:rPr>
            </w:pPr>
            <w:r>
              <w:rPr>
                <w:noProof/>
              </w:rPr>
              <w:t>470</w:t>
            </w:r>
          </w:p>
        </w:tc>
        <w:tc>
          <w:tcPr>
            <w:tcW w:w="851" w:type="dxa"/>
            <w:shd w:val="clear" w:color="auto" w:fill="C6EFCE"/>
            <w:noWrap/>
          </w:tcPr>
          <w:p w14:paraId="66BA266F" w14:textId="66352BF8" w:rsidR="0065073E" w:rsidRDefault="000A0998">
            <w:pPr>
              <w:pStyle w:val="P68B1DB1-Normal12"/>
              <w:spacing w:after="0" w:line="240" w:lineRule="auto"/>
              <w:jc w:val="center"/>
              <w:rPr>
                <w:rFonts w:cs="Times New Roman"/>
                <w:noProof/>
              </w:rPr>
            </w:pPr>
            <w:r>
              <w:rPr>
                <w:noProof/>
              </w:rPr>
              <w:t>C22.I1</w:t>
            </w:r>
          </w:p>
        </w:tc>
        <w:tc>
          <w:tcPr>
            <w:tcW w:w="992" w:type="dxa"/>
            <w:shd w:val="clear" w:color="auto" w:fill="C6EFCE"/>
            <w:noWrap/>
          </w:tcPr>
          <w:p w14:paraId="0E616B96" w14:textId="20E4B538"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4A690540" w14:textId="0108DCF2" w:rsidR="0065073E" w:rsidRDefault="000A0998">
            <w:pPr>
              <w:pStyle w:val="P68B1DB1-Normal12"/>
              <w:spacing w:after="0" w:line="240" w:lineRule="auto"/>
              <w:rPr>
                <w:rFonts w:cs="Times New Roman"/>
                <w:noProof/>
              </w:rPr>
            </w:pPr>
            <w:r>
              <w:rPr>
                <w:noProof/>
              </w:rPr>
              <w:t xml:space="preserve">Asunto-, muut kuin asuin- ja päivähoitopaikat.  </w:t>
            </w:r>
          </w:p>
        </w:tc>
        <w:tc>
          <w:tcPr>
            <w:tcW w:w="992" w:type="dxa"/>
            <w:shd w:val="clear" w:color="auto" w:fill="C6EFCE"/>
            <w:noWrap/>
          </w:tcPr>
          <w:p w14:paraId="39FB4516" w14:textId="77777777" w:rsidR="0065073E" w:rsidRDefault="0065073E">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65073E" w:rsidRDefault="000A0998">
            <w:pPr>
              <w:pStyle w:val="P68B1DB1-Normal12"/>
              <w:spacing w:after="0" w:line="240" w:lineRule="auto"/>
              <w:jc w:val="center"/>
              <w:rPr>
                <w:rFonts w:cs="Times New Roman"/>
                <w:noProof/>
              </w:rPr>
            </w:pPr>
            <w:r>
              <w:rPr>
                <w:noProof/>
              </w:rPr>
              <w:t>Miljoonaa euroa</w:t>
            </w:r>
          </w:p>
        </w:tc>
        <w:tc>
          <w:tcPr>
            <w:tcW w:w="851" w:type="dxa"/>
            <w:shd w:val="clear" w:color="auto" w:fill="C6EFCE"/>
            <w:noWrap/>
          </w:tcPr>
          <w:p w14:paraId="590FF78F" w14:textId="3DA893BF" w:rsidR="0065073E" w:rsidRDefault="000A0998">
            <w:pPr>
              <w:pStyle w:val="P68B1DB1-Normal12"/>
              <w:spacing w:after="0" w:line="240" w:lineRule="auto"/>
              <w:jc w:val="center"/>
              <w:rPr>
                <w:rFonts w:cs="Times New Roman"/>
                <w:noProof/>
              </w:rPr>
            </w:pPr>
            <w:r>
              <w:rPr>
                <w:noProof/>
              </w:rPr>
              <w:t>0</w:t>
            </w:r>
          </w:p>
        </w:tc>
        <w:tc>
          <w:tcPr>
            <w:tcW w:w="709" w:type="dxa"/>
            <w:shd w:val="clear" w:color="auto" w:fill="C6EFCE"/>
            <w:noWrap/>
          </w:tcPr>
          <w:p w14:paraId="5499063C" w14:textId="0738CE52" w:rsidR="0065073E" w:rsidRDefault="000A0998">
            <w:pPr>
              <w:pStyle w:val="P68B1DB1-Normal12"/>
              <w:spacing w:after="0" w:line="240" w:lineRule="auto"/>
              <w:jc w:val="center"/>
              <w:rPr>
                <w:rFonts w:cs="Times New Roman"/>
                <w:noProof/>
              </w:rPr>
            </w:pPr>
            <w:r>
              <w:rPr>
                <w:noProof/>
              </w:rPr>
              <w:t>1 355</w:t>
            </w:r>
          </w:p>
        </w:tc>
        <w:tc>
          <w:tcPr>
            <w:tcW w:w="567" w:type="dxa"/>
            <w:shd w:val="clear" w:color="auto" w:fill="C6EFCE"/>
            <w:noWrap/>
          </w:tcPr>
          <w:p w14:paraId="0D910B1C" w14:textId="294FE1A7" w:rsidR="0065073E" w:rsidRDefault="000A0998">
            <w:pPr>
              <w:pStyle w:val="P68B1DB1-Normal12"/>
              <w:spacing w:after="0" w:line="240" w:lineRule="auto"/>
              <w:jc w:val="center"/>
              <w:rPr>
                <w:rFonts w:cs="Times New Roman"/>
                <w:noProof/>
              </w:rPr>
            </w:pPr>
            <w:r>
              <w:rPr>
                <w:noProof/>
              </w:rPr>
              <w:t>TOINEN VUOSINELJÄNNES</w:t>
            </w:r>
          </w:p>
        </w:tc>
        <w:tc>
          <w:tcPr>
            <w:tcW w:w="810" w:type="dxa"/>
            <w:shd w:val="clear" w:color="auto" w:fill="C6EFCE"/>
            <w:noWrap/>
          </w:tcPr>
          <w:p w14:paraId="1063E673" w14:textId="7890908B" w:rsidR="0065073E" w:rsidRDefault="000A0998">
            <w:pPr>
              <w:pStyle w:val="P68B1DB1-Normal12"/>
              <w:spacing w:after="0" w:line="240" w:lineRule="auto"/>
              <w:jc w:val="center"/>
              <w:rPr>
                <w:rFonts w:cs="Times New Roman"/>
                <w:noProof/>
              </w:rPr>
            </w:pPr>
            <w:r>
              <w:rPr>
                <w:noProof/>
              </w:rPr>
              <w:t>2024</w:t>
            </w:r>
          </w:p>
        </w:tc>
        <w:tc>
          <w:tcPr>
            <w:tcW w:w="4860" w:type="dxa"/>
            <w:shd w:val="clear" w:color="auto" w:fill="C6EFCE"/>
            <w:noWrap/>
          </w:tcPr>
          <w:p w14:paraId="638C82DF" w14:textId="5D060C45" w:rsidR="0065073E" w:rsidRDefault="000A0998">
            <w:pPr>
              <w:pStyle w:val="P68B1DB1-Normal12"/>
              <w:spacing w:after="0" w:line="240" w:lineRule="auto"/>
              <w:rPr>
                <w:rFonts w:cs="Times New Roman"/>
                <w:noProof/>
              </w:rPr>
            </w:pPr>
            <w:r>
              <w:rPr>
                <w:noProof/>
              </w:rPr>
              <w:t xml:space="preserve">Julkaistaan Euroopan unionin virallisessa lehdessä tai julkisten hankintojen foorumissa vähintään 1355000000 euron suuruinen sopimus asuin-, muiden kuin asuin- ja päivähoitokeskusten kunnostamisesta ja rakentamisesta niiden mukauttamiseksi uuteen pitkäaikaishoitomalliin. </w:t>
            </w:r>
          </w:p>
        </w:tc>
      </w:tr>
      <w:tr w:rsidR="0065073E" w14:paraId="008805E7" w14:textId="77777777">
        <w:trPr>
          <w:trHeight w:val="309"/>
        </w:trPr>
        <w:tc>
          <w:tcPr>
            <w:tcW w:w="709" w:type="dxa"/>
            <w:shd w:val="clear" w:color="auto" w:fill="C6EFCE"/>
            <w:noWrap/>
          </w:tcPr>
          <w:p w14:paraId="4F19C717" w14:textId="77777777" w:rsidR="0065073E" w:rsidRDefault="000A0998">
            <w:pPr>
              <w:pStyle w:val="P68B1DB1-Normal12"/>
              <w:spacing w:after="0" w:line="240" w:lineRule="auto"/>
              <w:jc w:val="center"/>
              <w:rPr>
                <w:rFonts w:cs="Times New Roman"/>
                <w:noProof/>
              </w:rPr>
            </w:pPr>
            <w:r>
              <w:rPr>
                <w:noProof/>
              </w:rPr>
              <w:t>322</w:t>
            </w:r>
          </w:p>
        </w:tc>
        <w:tc>
          <w:tcPr>
            <w:tcW w:w="851" w:type="dxa"/>
            <w:shd w:val="clear" w:color="auto" w:fill="C6EFCE"/>
            <w:noWrap/>
          </w:tcPr>
          <w:p w14:paraId="2AF78B6F" w14:textId="77777777" w:rsidR="0065073E" w:rsidRDefault="000A0998">
            <w:pPr>
              <w:pStyle w:val="P68B1DB1-Normal12"/>
              <w:spacing w:after="0" w:line="240" w:lineRule="auto"/>
              <w:jc w:val="center"/>
              <w:rPr>
                <w:rFonts w:cs="Times New Roman"/>
                <w:noProof/>
              </w:rPr>
            </w:pPr>
            <w:r>
              <w:rPr>
                <w:noProof/>
              </w:rPr>
              <w:t>C22.I1</w:t>
            </w:r>
          </w:p>
        </w:tc>
        <w:tc>
          <w:tcPr>
            <w:tcW w:w="992" w:type="dxa"/>
            <w:shd w:val="clear" w:color="auto" w:fill="C6EFCE"/>
            <w:noWrap/>
          </w:tcPr>
          <w:p w14:paraId="75ACDF23"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03F93C4D" w14:textId="77777777" w:rsidR="0065073E" w:rsidRDefault="000A0998">
            <w:pPr>
              <w:pStyle w:val="P68B1DB1-Normal12"/>
              <w:spacing w:after="0" w:line="240" w:lineRule="auto"/>
              <w:rPr>
                <w:rFonts w:cs="Times New Roman"/>
                <w:noProof/>
              </w:rPr>
            </w:pPr>
            <w:r>
              <w:rPr>
                <w:noProof/>
              </w:rPr>
              <w:t xml:space="preserve">Etähoitopalvelut itsenäisyys- ja hoitojärjestelmässä (SAAD) </w:t>
            </w:r>
          </w:p>
        </w:tc>
        <w:tc>
          <w:tcPr>
            <w:tcW w:w="992" w:type="dxa"/>
            <w:shd w:val="clear" w:color="auto" w:fill="C6EFCE"/>
            <w:noWrap/>
          </w:tcPr>
          <w:p w14:paraId="0B8B0FB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70E7C795" w14:textId="18C9BE08" w:rsidR="0065073E" w:rsidRDefault="000A0998">
            <w:pPr>
              <w:pStyle w:val="P68B1DB1-Normal12"/>
              <w:spacing w:after="0" w:line="240" w:lineRule="auto"/>
              <w:jc w:val="center"/>
              <w:rPr>
                <w:rFonts w:cs="Times New Roman"/>
                <w:noProof/>
              </w:rPr>
            </w:pPr>
            <w:r>
              <w:rPr>
                <w:noProof/>
              </w:rPr>
              <w:t>Miljoonaa euroa</w:t>
            </w:r>
          </w:p>
        </w:tc>
        <w:tc>
          <w:tcPr>
            <w:tcW w:w="851" w:type="dxa"/>
            <w:shd w:val="clear" w:color="auto" w:fill="C6EFCE"/>
            <w:noWrap/>
          </w:tcPr>
          <w:p w14:paraId="06E09DFC" w14:textId="0E8BE617" w:rsidR="0065073E" w:rsidRDefault="000A0998">
            <w:pPr>
              <w:pStyle w:val="P68B1DB1-Normal12"/>
              <w:spacing w:after="0" w:line="240" w:lineRule="auto"/>
              <w:jc w:val="center"/>
              <w:rPr>
                <w:rFonts w:cs="Times New Roman"/>
                <w:noProof/>
              </w:rPr>
            </w:pPr>
            <w:r>
              <w:rPr>
                <w:noProof/>
              </w:rPr>
              <w:t>0</w:t>
            </w:r>
          </w:p>
        </w:tc>
        <w:tc>
          <w:tcPr>
            <w:tcW w:w="709" w:type="dxa"/>
            <w:shd w:val="clear" w:color="auto" w:fill="C6EFCE"/>
            <w:noWrap/>
          </w:tcPr>
          <w:p w14:paraId="721993F3" w14:textId="4751187B" w:rsidR="0065073E" w:rsidRDefault="000A0998">
            <w:pPr>
              <w:pStyle w:val="P68B1DB1-Normal12"/>
              <w:spacing w:after="0" w:line="240" w:lineRule="auto"/>
              <w:jc w:val="center"/>
              <w:rPr>
                <w:rFonts w:cs="Times New Roman"/>
                <w:noProof/>
              </w:rPr>
            </w:pPr>
            <w:r>
              <w:rPr>
                <w:noProof/>
              </w:rPr>
              <w:t>304</w:t>
            </w:r>
          </w:p>
        </w:tc>
        <w:tc>
          <w:tcPr>
            <w:tcW w:w="567" w:type="dxa"/>
            <w:shd w:val="clear" w:color="auto" w:fill="C6EFCE"/>
            <w:noWrap/>
          </w:tcPr>
          <w:p w14:paraId="5A4DD573" w14:textId="0D250DB7" w:rsidR="0065073E" w:rsidRDefault="000A0998">
            <w:pPr>
              <w:pStyle w:val="P68B1DB1-Normal12"/>
              <w:spacing w:after="0" w:line="240" w:lineRule="auto"/>
              <w:jc w:val="center"/>
              <w:rPr>
                <w:rFonts w:cs="Times New Roman"/>
                <w:noProof/>
              </w:rPr>
            </w:pPr>
            <w:r>
              <w:rPr>
                <w:noProof/>
              </w:rPr>
              <w:t>ENSIMMÄINEN VUOSINELJÄNNES</w:t>
            </w:r>
          </w:p>
        </w:tc>
        <w:tc>
          <w:tcPr>
            <w:tcW w:w="810" w:type="dxa"/>
            <w:shd w:val="clear" w:color="auto" w:fill="C6EFCE"/>
            <w:noWrap/>
          </w:tcPr>
          <w:p w14:paraId="77028680" w14:textId="618BCF97" w:rsidR="0065073E" w:rsidRDefault="000A0998">
            <w:pPr>
              <w:pStyle w:val="P68B1DB1-Normal12"/>
              <w:spacing w:after="0" w:line="240" w:lineRule="auto"/>
              <w:jc w:val="center"/>
              <w:rPr>
                <w:rFonts w:cs="Times New Roman"/>
                <w:noProof/>
              </w:rPr>
            </w:pPr>
            <w:r>
              <w:rPr>
                <w:noProof/>
              </w:rPr>
              <w:t>2025</w:t>
            </w:r>
          </w:p>
        </w:tc>
        <w:tc>
          <w:tcPr>
            <w:tcW w:w="4860" w:type="dxa"/>
            <w:shd w:val="clear" w:color="auto" w:fill="C6EFCE"/>
            <w:noWrap/>
          </w:tcPr>
          <w:p w14:paraId="36EEC1A7" w14:textId="5179343A" w:rsidR="0065073E" w:rsidRDefault="000A0998">
            <w:pPr>
              <w:pStyle w:val="P68B1DB1-Normal12"/>
              <w:spacing w:after="0" w:line="240" w:lineRule="auto"/>
              <w:rPr>
                <w:rFonts w:cs="Times New Roman"/>
                <w:noProof/>
              </w:rPr>
            </w:pPr>
            <w:r>
              <w:rPr>
                <w:noProof/>
              </w:rPr>
              <w:t>Uudet etähoitopalvelut otettu käyttöön vähintään 304000000 euron perustason ajan: Maaliskuuta 2020.</w:t>
            </w:r>
          </w:p>
        </w:tc>
      </w:tr>
      <w:tr w:rsidR="0065073E" w14:paraId="05E33DE8" w14:textId="77777777">
        <w:trPr>
          <w:trHeight w:val="309"/>
        </w:trPr>
        <w:tc>
          <w:tcPr>
            <w:tcW w:w="709" w:type="dxa"/>
            <w:shd w:val="clear" w:color="auto" w:fill="C6EFCE"/>
            <w:noWrap/>
          </w:tcPr>
          <w:p w14:paraId="2FD3EAD3" w14:textId="77777777" w:rsidR="0065073E" w:rsidRDefault="000A0998">
            <w:pPr>
              <w:pStyle w:val="P68B1DB1-Normal12"/>
              <w:spacing w:after="0" w:line="240" w:lineRule="auto"/>
              <w:jc w:val="center"/>
              <w:rPr>
                <w:rFonts w:cs="Times New Roman"/>
                <w:noProof/>
              </w:rPr>
            </w:pPr>
            <w:r>
              <w:rPr>
                <w:noProof/>
              </w:rPr>
              <w:t>323</w:t>
            </w:r>
          </w:p>
        </w:tc>
        <w:tc>
          <w:tcPr>
            <w:tcW w:w="851" w:type="dxa"/>
            <w:shd w:val="clear" w:color="auto" w:fill="C6EFCE"/>
            <w:noWrap/>
          </w:tcPr>
          <w:p w14:paraId="6FE46AD4" w14:textId="77777777" w:rsidR="0065073E" w:rsidRDefault="000A0998">
            <w:pPr>
              <w:pStyle w:val="P68B1DB1-Normal12"/>
              <w:spacing w:after="0" w:line="240" w:lineRule="auto"/>
              <w:jc w:val="center"/>
              <w:rPr>
                <w:rFonts w:cs="Times New Roman"/>
                <w:noProof/>
              </w:rPr>
            </w:pPr>
            <w:r>
              <w:rPr>
                <w:noProof/>
              </w:rPr>
              <w:t>C22.I1</w:t>
            </w:r>
          </w:p>
        </w:tc>
        <w:tc>
          <w:tcPr>
            <w:tcW w:w="992" w:type="dxa"/>
            <w:shd w:val="clear" w:color="auto" w:fill="C6EFCE"/>
            <w:noWrap/>
          </w:tcPr>
          <w:p w14:paraId="28E3407A"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312D4CBB" w14:textId="77777777" w:rsidR="0065073E" w:rsidRDefault="000A0998">
            <w:pPr>
              <w:pStyle w:val="P68B1DB1-Normal12"/>
              <w:spacing w:after="0" w:line="240" w:lineRule="auto"/>
              <w:rPr>
                <w:rFonts w:cs="Times New Roman"/>
                <w:noProof/>
              </w:rPr>
            </w:pPr>
            <w:r>
              <w:rPr>
                <w:noProof/>
              </w:rPr>
              <w:t xml:space="preserve">Asunto-, muut kuin asuin- ja päivähoitopaikat.  </w:t>
            </w:r>
          </w:p>
        </w:tc>
        <w:tc>
          <w:tcPr>
            <w:tcW w:w="992" w:type="dxa"/>
            <w:shd w:val="clear" w:color="auto" w:fill="C6EFCE"/>
            <w:noWrap/>
          </w:tcPr>
          <w:p w14:paraId="31E5758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4ADB9756" w14:textId="77777777" w:rsidR="0065073E" w:rsidRDefault="000A0998">
            <w:pPr>
              <w:pStyle w:val="P68B1DB1-Normal12"/>
              <w:spacing w:after="0" w:line="240" w:lineRule="auto"/>
              <w:jc w:val="center"/>
              <w:rPr>
                <w:rFonts w:cs="Times New Roman"/>
                <w:noProof/>
              </w:rPr>
            </w:pPr>
            <w:r>
              <w:rPr>
                <w:noProof/>
              </w:rPr>
              <w:t>Määrä</w:t>
            </w:r>
          </w:p>
        </w:tc>
        <w:tc>
          <w:tcPr>
            <w:tcW w:w="851" w:type="dxa"/>
            <w:shd w:val="clear" w:color="auto" w:fill="C6EFCE"/>
            <w:noWrap/>
          </w:tcPr>
          <w:p w14:paraId="65499468" w14:textId="77777777" w:rsidR="0065073E" w:rsidRDefault="000A0998">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52CF55A3" w14:textId="277B85C5" w:rsidR="0065073E" w:rsidRDefault="000A0998">
            <w:pPr>
              <w:pStyle w:val="P68B1DB1-Normal12"/>
              <w:spacing w:after="0" w:line="240" w:lineRule="auto"/>
              <w:jc w:val="center"/>
              <w:rPr>
                <w:rFonts w:cs="Times New Roman"/>
                <w:noProof/>
              </w:rPr>
            </w:pPr>
            <w:r>
              <w:rPr>
                <w:noProof/>
              </w:rPr>
              <w:t>15 200</w:t>
            </w:r>
          </w:p>
        </w:tc>
        <w:tc>
          <w:tcPr>
            <w:tcW w:w="567" w:type="dxa"/>
            <w:shd w:val="clear" w:color="auto" w:fill="C6EFCE"/>
            <w:noWrap/>
          </w:tcPr>
          <w:p w14:paraId="771531B7" w14:textId="48C794FB" w:rsidR="0065073E" w:rsidRDefault="000A0998">
            <w:pPr>
              <w:pStyle w:val="P68B1DB1-Normal12"/>
              <w:spacing w:after="0" w:line="240" w:lineRule="auto"/>
              <w:jc w:val="center"/>
              <w:rPr>
                <w:rFonts w:cs="Times New Roman"/>
                <w:noProof/>
              </w:rPr>
            </w:pPr>
            <w:r>
              <w:rPr>
                <w:noProof/>
              </w:rPr>
              <w:t>TOINEN VUOSINELJÄNNES</w:t>
            </w:r>
          </w:p>
        </w:tc>
        <w:tc>
          <w:tcPr>
            <w:tcW w:w="810" w:type="dxa"/>
            <w:shd w:val="clear" w:color="auto" w:fill="C6EFCE"/>
            <w:noWrap/>
          </w:tcPr>
          <w:p w14:paraId="03214214" w14:textId="2BAB46CA" w:rsidR="0065073E" w:rsidRDefault="000A0998">
            <w:pPr>
              <w:pStyle w:val="P68B1DB1-Normal12"/>
              <w:spacing w:after="0" w:line="240" w:lineRule="auto"/>
              <w:jc w:val="center"/>
              <w:rPr>
                <w:rFonts w:cs="Times New Roman"/>
                <w:noProof/>
              </w:rPr>
            </w:pPr>
            <w:r>
              <w:rPr>
                <w:noProof/>
              </w:rPr>
              <w:t>2026</w:t>
            </w:r>
          </w:p>
        </w:tc>
        <w:tc>
          <w:tcPr>
            <w:tcW w:w="4860" w:type="dxa"/>
            <w:shd w:val="clear" w:color="auto" w:fill="C6EFCE"/>
            <w:noWrap/>
          </w:tcPr>
          <w:p w14:paraId="2DF0B1D7" w14:textId="3042FD88" w:rsidR="0065073E" w:rsidRDefault="000A0998">
            <w:pPr>
              <w:pStyle w:val="P68B1DB1-Normal12"/>
              <w:spacing w:after="0" w:line="240" w:lineRule="auto"/>
              <w:rPr>
                <w:rFonts w:cs="Times New Roman"/>
                <w:noProof/>
                <w:highlight w:val="yellow"/>
              </w:rPr>
            </w:pPr>
            <w:r>
              <w:rPr>
                <w:noProof/>
              </w:rPr>
              <w:t xml:space="preserve">Kunnostetut ja/tai rakennetut asuin-, muut kuin asuin- ja päivähoitokeskukset, jotta vähintään 15200 paikkaa voidaan mukauttaa uuteen pitkäaikaishoitomalliin. </w:t>
            </w:r>
          </w:p>
        </w:tc>
      </w:tr>
      <w:tr w:rsidR="0065073E" w14:paraId="0D5EA232" w14:textId="77777777">
        <w:trPr>
          <w:trHeight w:val="309"/>
        </w:trPr>
        <w:tc>
          <w:tcPr>
            <w:tcW w:w="709" w:type="dxa"/>
            <w:shd w:val="clear" w:color="auto" w:fill="C6EFCE"/>
            <w:noWrap/>
          </w:tcPr>
          <w:p w14:paraId="79CAAB9E" w14:textId="77777777" w:rsidR="0065073E" w:rsidRDefault="000A0998">
            <w:pPr>
              <w:pStyle w:val="P68B1DB1-Normal12"/>
              <w:spacing w:after="0" w:line="240" w:lineRule="auto"/>
              <w:jc w:val="center"/>
              <w:rPr>
                <w:rFonts w:eastAsia="Times New Roman" w:cs="Times New Roman"/>
                <w:noProof/>
              </w:rPr>
            </w:pPr>
            <w:r>
              <w:rPr>
                <w:noProof/>
              </w:rPr>
              <w:t>324</w:t>
            </w:r>
          </w:p>
        </w:tc>
        <w:tc>
          <w:tcPr>
            <w:tcW w:w="851" w:type="dxa"/>
            <w:shd w:val="clear" w:color="auto" w:fill="C6EFCE"/>
            <w:noWrap/>
          </w:tcPr>
          <w:p w14:paraId="6F26D165" w14:textId="77777777" w:rsidR="0065073E" w:rsidRDefault="000A0998">
            <w:pPr>
              <w:pStyle w:val="P68B1DB1-Normal12"/>
              <w:spacing w:after="0" w:line="240" w:lineRule="auto"/>
              <w:jc w:val="center"/>
              <w:rPr>
                <w:rFonts w:eastAsia="Times New Roman" w:cs="Times New Roman"/>
                <w:noProof/>
              </w:rPr>
            </w:pPr>
            <w:r>
              <w:rPr>
                <w:noProof/>
              </w:rPr>
              <w:t>C22.I2</w:t>
            </w:r>
          </w:p>
        </w:tc>
        <w:tc>
          <w:tcPr>
            <w:tcW w:w="992" w:type="dxa"/>
            <w:shd w:val="clear" w:color="auto" w:fill="C6EFCE"/>
            <w:noWrap/>
          </w:tcPr>
          <w:p w14:paraId="3F3BF96A"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7ADC3CBC" w14:textId="77777777" w:rsidR="0065073E" w:rsidRDefault="000A0998">
            <w:pPr>
              <w:pStyle w:val="P68B1DB1-Normal12"/>
              <w:spacing w:after="0" w:line="240" w:lineRule="auto"/>
              <w:rPr>
                <w:rFonts w:eastAsia="Times New Roman" w:cs="Times New Roman"/>
                <w:noProof/>
              </w:rPr>
            </w:pPr>
            <w:r>
              <w:rPr>
                <w:noProof/>
              </w:rPr>
              <w:t>Erityisten teknologisten välineiden käyttöönotto sosiaalipalvelujen tieto- ja hallintajärjestelmien parantamiseksi.</w:t>
            </w:r>
          </w:p>
        </w:tc>
        <w:tc>
          <w:tcPr>
            <w:tcW w:w="992" w:type="dxa"/>
            <w:shd w:val="clear" w:color="auto" w:fill="C6EFCE"/>
            <w:noWrap/>
          </w:tcPr>
          <w:p w14:paraId="6E12E158" w14:textId="77777777" w:rsidR="0065073E" w:rsidRDefault="000A0998">
            <w:pPr>
              <w:pStyle w:val="P68B1DB1-Normal12"/>
              <w:spacing w:after="0" w:line="240" w:lineRule="auto"/>
              <w:jc w:val="center"/>
              <w:rPr>
                <w:rFonts w:eastAsia="Times New Roman" w:cs="Times New Roman"/>
                <w:noProof/>
              </w:rPr>
            </w:pPr>
            <w:r>
              <w:rPr>
                <w:noProof/>
              </w:rPr>
              <w:t>Hankkeen kaikkien vaiheiden ja lopullisten tulosten ulkoinen arviointi.</w:t>
            </w:r>
          </w:p>
        </w:tc>
        <w:tc>
          <w:tcPr>
            <w:tcW w:w="850" w:type="dxa"/>
            <w:shd w:val="clear" w:color="auto" w:fill="C6EFCE"/>
            <w:noWrap/>
          </w:tcPr>
          <w:p w14:paraId="655BE048"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0B818F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01A2FB1A"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6487C479" w14:textId="77777777" w:rsidR="0065073E" w:rsidRDefault="000A0998">
            <w:pPr>
              <w:pStyle w:val="P68B1DB1-Normal12"/>
              <w:spacing w:after="0" w:line="240" w:lineRule="auto"/>
              <w:jc w:val="center"/>
              <w:rPr>
                <w:rFonts w:eastAsia="Times New Roman" w:cs="Times New Roman"/>
                <w:noProof/>
              </w:rPr>
            </w:pPr>
            <w:r>
              <w:rPr>
                <w:noProof/>
              </w:rPr>
              <w:t xml:space="preserve">Q3 </w:t>
            </w:r>
          </w:p>
        </w:tc>
        <w:tc>
          <w:tcPr>
            <w:tcW w:w="810" w:type="dxa"/>
            <w:shd w:val="clear" w:color="auto" w:fill="C6EFCE"/>
            <w:noWrap/>
          </w:tcPr>
          <w:p w14:paraId="4789405B" w14:textId="77777777" w:rsidR="0065073E" w:rsidRDefault="000A0998">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7776C5A9" w14:textId="77777777" w:rsidR="0065073E" w:rsidRDefault="000A0998">
            <w:pPr>
              <w:pStyle w:val="P68B1DB1-Normal12"/>
              <w:spacing w:after="0" w:line="240" w:lineRule="auto"/>
              <w:rPr>
                <w:rFonts w:cs="Times New Roman"/>
                <w:noProof/>
              </w:rPr>
            </w:pPr>
            <w:r>
              <w:rPr>
                <w:noProof/>
              </w:rPr>
              <w:t xml:space="preserve">Erityisten teknologisten välineiden kehittäminen ja käyttöönotto sosiaalipalvelujen tieto- ja hallintojärjestelmien parantamiseksi kattaa seuraavat: </w:t>
            </w:r>
          </w:p>
          <w:p w14:paraId="2289E619" w14:textId="150509E0" w:rsidR="0065073E" w:rsidRDefault="000A0998">
            <w:pPr>
              <w:pStyle w:val="P68B1DB1-ListParagraph13"/>
              <w:numPr>
                <w:ilvl w:val="0"/>
                <w:numId w:val="715"/>
              </w:numPr>
              <w:spacing w:after="0" w:line="240" w:lineRule="auto"/>
              <w:rPr>
                <w:rFonts w:cs="Times New Roman"/>
                <w:noProof/>
              </w:rPr>
            </w:pPr>
            <w:r>
              <w:rPr>
                <w:noProof/>
              </w:rPr>
              <w:t xml:space="preserve">Espanjan sosiaalipalvelujen tietojärjestelmä (SIESS) </w:t>
            </w:r>
          </w:p>
          <w:p w14:paraId="1F4D10BF" w14:textId="7D588414" w:rsidR="0065073E" w:rsidRDefault="000A0998">
            <w:pPr>
              <w:pStyle w:val="P68B1DB1-ListParagraph13"/>
              <w:numPr>
                <w:ilvl w:val="0"/>
                <w:numId w:val="715"/>
              </w:numPr>
              <w:spacing w:after="0" w:line="240" w:lineRule="auto"/>
              <w:rPr>
                <w:rFonts w:cs="Times New Roman"/>
                <w:noProof/>
              </w:rPr>
            </w:pPr>
            <w:r>
              <w:rPr>
                <w:noProof/>
              </w:rPr>
              <w:t xml:space="preserve">sähköinen väline kolmannen sektorin toimijoiden kehittämien hankkeiden analysointia varten; </w:t>
            </w:r>
          </w:p>
          <w:p w14:paraId="6A8823AF" w14:textId="47CFEBD3" w:rsidR="0065073E" w:rsidRDefault="000A0998">
            <w:pPr>
              <w:pStyle w:val="P68B1DB1-ListParagraph13"/>
              <w:numPr>
                <w:ilvl w:val="0"/>
                <w:numId w:val="715"/>
              </w:numPr>
              <w:spacing w:after="0" w:line="240" w:lineRule="auto"/>
              <w:rPr>
                <w:rFonts w:cs="Times New Roman"/>
                <w:noProof/>
              </w:rPr>
            </w:pPr>
            <w:r>
              <w:rPr>
                <w:noProof/>
              </w:rPr>
              <w:t xml:space="preserve">tietotekniset välineet sosiaalipalveluihin ja perheiden, lasten ja tiettyjen heikossa asemassa olevien ryhmien hoitoon liittyvien talousarvio-ohjelmien hallinnointia varten; ja </w:t>
            </w:r>
          </w:p>
          <w:p w14:paraId="03CDE88A" w14:textId="0E96E189" w:rsidR="0065073E" w:rsidRDefault="000A0998">
            <w:pPr>
              <w:pStyle w:val="P68B1DB1-ListParagraph13"/>
              <w:numPr>
                <w:ilvl w:val="0"/>
                <w:numId w:val="715"/>
              </w:numPr>
              <w:spacing w:after="0" w:line="240" w:lineRule="auto"/>
              <w:rPr>
                <w:rFonts w:cs="Times New Roman"/>
                <w:noProof/>
              </w:rPr>
            </w:pPr>
            <w:r>
              <w:rPr>
                <w:noProof/>
              </w:rPr>
              <w:t>verkkoalusta, jolla keskitetään maassa saatavilla olevat hoitoa koskevat tiedot.</w:t>
            </w:r>
            <w:r>
              <w:rPr>
                <w:noProof/>
                <w:shd w:val="clear" w:color="auto" w:fill="E6E6E6"/>
              </w:rPr>
              <w:t xml:space="preserve"> </w:t>
            </w:r>
          </w:p>
        </w:tc>
      </w:tr>
      <w:tr w:rsidR="0065073E" w14:paraId="40273E43" w14:textId="77777777">
        <w:trPr>
          <w:trHeight w:val="309"/>
        </w:trPr>
        <w:tc>
          <w:tcPr>
            <w:tcW w:w="709" w:type="dxa"/>
            <w:shd w:val="clear" w:color="auto" w:fill="C6EFCE"/>
            <w:noWrap/>
          </w:tcPr>
          <w:p w14:paraId="02810427" w14:textId="77777777" w:rsidR="0065073E" w:rsidRDefault="000A0998">
            <w:pPr>
              <w:pStyle w:val="P68B1DB1-Normal12"/>
              <w:spacing w:after="0" w:line="240" w:lineRule="auto"/>
              <w:jc w:val="center"/>
              <w:rPr>
                <w:rFonts w:eastAsia="Times New Roman" w:cs="Times New Roman"/>
                <w:noProof/>
              </w:rPr>
            </w:pPr>
            <w:r>
              <w:rPr>
                <w:noProof/>
              </w:rPr>
              <w:t>325</w:t>
            </w:r>
          </w:p>
        </w:tc>
        <w:tc>
          <w:tcPr>
            <w:tcW w:w="851" w:type="dxa"/>
            <w:shd w:val="clear" w:color="auto" w:fill="C6EFCE"/>
            <w:noWrap/>
          </w:tcPr>
          <w:p w14:paraId="2A88F12F" w14:textId="77777777" w:rsidR="0065073E" w:rsidRDefault="000A0998">
            <w:pPr>
              <w:pStyle w:val="P68B1DB1-Normal12"/>
              <w:spacing w:after="0" w:line="240" w:lineRule="auto"/>
              <w:jc w:val="center"/>
              <w:rPr>
                <w:rFonts w:eastAsia="Times New Roman" w:cs="Times New Roman"/>
                <w:noProof/>
              </w:rPr>
            </w:pPr>
            <w:r>
              <w:rPr>
                <w:noProof/>
              </w:rPr>
              <w:t>C22.I2</w:t>
            </w:r>
          </w:p>
        </w:tc>
        <w:tc>
          <w:tcPr>
            <w:tcW w:w="992" w:type="dxa"/>
            <w:shd w:val="clear" w:color="auto" w:fill="C6EFCE"/>
            <w:noWrap/>
          </w:tcPr>
          <w:p w14:paraId="62996793" w14:textId="77777777" w:rsidR="0065073E" w:rsidRDefault="000A0998">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2275888" w14:textId="77777777" w:rsidR="0065073E" w:rsidRDefault="000A0998">
            <w:pPr>
              <w:pStyle w:val="P68B1DB1-Normal12"/>
              <w:spacing w:after="0" w:line="240" w:lineRule="auto"/>
              <w:rPr>
                <w:rFonts w:eastAsia="Times New Roman" w:cs="Times New Roman"/>
                <w:noProof/>
              </w:rPr>
            </w:pPr>
            <w:r>
              <w:rPr>
                <w:noProof/>
              </w:rPr>
              <w:t xml:space="preserve">Sosiaalipalvelujen teknologista muutosta sekä asuin- ja sijaisperheiden infrastruktuurin ja palvelujen nykyaikaistamista koskevien hankkeiden loppuun saattaminen </w:t>
            </w:r>
          </w:p>
        </w:tc>
        <w:tc>
          <w:tcPr>
            <w:tcW w:w="992" w:type="dxa"/>
            <w:shd w:val="clear" w:color="auto" w:fill="C6EFCE"/>
            <w:noWrap/>
          </w:tcPr>
          <w:p w14:paraId="2A7C22FD" w14:textId="77777777" w:rsidR="0065073E" w:rsidRDefault="000A0998">
            <w:pPr>
              <w:pStyle w:val="P68B1DB1-Normal12"/>
              <w:spacing w:after="0" w:line="240" w:lineRule="auto"/>
              <w:jc w:val="center"/>
              <w:rPr>
                <w:rFonts w:eastAsia="Times New Roman" w:cs="Times New Roman"/>
                <w:noProof/>
              </w:rPr>
            </w:pPr>
            <w:r>
              <w:rPr>
                <w:noProof/>
              </w:rPr>
              <w:t>Kunkin autonomisen alueen kanssa tehtyjen sopimusten valvonta</w:t>
            </w:r>
          </w:p>
        </w:tc>
        <w:tc>
          <w:tcPr>
            <w:tcW w:w="850" w:type="dxa"/>
            <w:shd w:val="clear" w:color="auto" w:fill="C6EFCE"/>
            <w:noWrap/>
          </w:tcPr>
          <w:p w14:paraId="7757059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607F8A1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7E077D5" w14:textId="77777777" w:rsidR="0065073E" w:rsidRDefault="0065073E">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1961EF10" w14:textId="77777777" w:rsidR="0065073E" w:rsidRDefault="000A0998">
            <w:pPr>
              <w:pStyle w:val="P68B1DB1-Normal12"/>
              <w:spacing w:after="0" w:line="240" w:lineRule="auto"/>
              <w:jc w:val="center"/>
              <w:rPr>
                <w:rFonts w:eastAsia="Times New Roman" w:cs="Times New Roman"/>
                <w:noProof/>
              </w:rPr>
            </w:pPr>
            <w:r>
              <w:rPr>
                <w:noProof/>
              </w:rPr>
              <w:t>Q4</w:t>
            </w:r>
          </w:p>
        </w:tc>
        <w:tc>
          <w:tcPr>
            <w:tcW w:w="810" w:type="dxa"/>
            <w:shd w:val="clear" w:color="auto" w:fill="C6EFCE"/>
            <w:noWrap/>
          </w:tcPr>
          <w:p w14:paraId="5D1CF3A1" w14:textId="4D56FD1D" w:rsidR="0065073E" w:rsidRDefault="000A0998">
            <w:pPr>
              <w:pStyle w:val="P68B1DB1-Normal12"/>
              <w:spacing w:after="0" w:line="240" w:lineRule="auto"/>
              <w:jc w:val="center"/>
              <w:rPr>
                <w:rFonts w:cs="Times New Roman"/>
                <w:noProof/>
              </w:rPr>
            </w:pPr>
            <w:r>
              <w:rPr>
                <w:noProof/>
              </w:rPr>
              <w:t>2025</w:t>
            </w:r>
          </w:p>
        </w:tc>
        <w:tc>
          <w:tcPr>
            <w:tcW w:w="4860" w:type="dxa"/>
            <w:shd w:val="clear" w:color="auto" w:fill="C6EFCE"/>
            <w:noWrap/>
          </w:tcPr>
          <w:p w14:paraId="3ABB57E2" w14:textId="77777777" w:rsidR="0065073E" w:rsidRDefault="000A0998">
            <w:pPr>
              <w:pStyle w:val="P68B1DB1-Normal12"/>
              <w:spacing w:after="0" w:line="240" w:lineRule="auto"/>
              <w:rPr>
                <w:rFonts w:eastAsia="Times New Roman" w:cs="Times New Roman"/>
                <w:noProof/>
              </w:rPr>
            </w:pPr>
            <w:r>
              <w:rPr>
                <w:noProof/>
              </w:rPr>
              <w:t xml:space="preserve">Aluehallintojen on saatettava päätökseen sosiaalipalvelujen teknologinen muutos, joka mahdollistaa yhteentoimivuuden muiden sosiaalipalvelujen (työllisyys, terveydenhuolto, kolmas sektori) kanssa vuorovaikutuksessa olevien järjestelmien kanssa sekä lasten ja nuorten hoitolaitosten suojeluun liittyvän infrastruktuurin ja palvelujen nykyaikaistaminen muun muassa vastaamalla paremmin yksilöllisiin tukitarpeisiin (myös emotionaalisiin ja koulutuksellisiin/ammattimaisiin) ja sijaisperheisiin. Kokonaisbudjetti on vähintään 450000000 euroa. </w:t>
            </w:r>
          </w:p>
        </w:tc>
      </w:tr>
      <w:tr w:rsidR="0065073E" w14:paraId="57CF3CD7" w14:textId="77777777">
        <w:trPr>
          <w:trHeight w:val="309"/>
        </w:trPr>
        <w:tc>
          <w:tcPr>
            <w:tcW w:w="709" w:type="dxa"/>
            <w:shd w:val="clear" w:color="auto" w:fill="C6EFCE"/>
            <w:noWrap/>
          </w:tcPr>
          <w:p w14:paraId="3C8C5CEB" w14:textId="78E55719" w:rsidR="0065073E" w:rsidRDefault="000A0998">
            <w:pPr>
              <w:pStyle w:val="P68B1DB1-Normal12"/>
              <w:spacing w:after="0" w:line="240" w:lineRule="auto"/>
              <w:jc w:val="center"/>
              <w:rPr>
                <w:rFonts w:cs="Times New Roman"/>
                <w:noProof/>
              </w:rPr>
            </w:pPr>
            <w:r>
              <w:rPr>
                <w:noProof/>
              </w:rPr>
              <w:t>471</w:t>
            </w:r>
          </w:p>
        </w:tc>
        <w:tc>
          <w:tcPr>
            <w:tcW w:w="851" w:type="dxa"/>
            <w:shd w:val="clear" w:color="auto" w:fill="C6EFCE"/>
            <w:noWrap/>
          </w:tcPr>
          <w:p w14:paraId="6FD56F45" w14:textId="77777777" w:rsidR="0065073E" w:rsidRDefault="000A0998">
            <w:pPr>
              <w:pStyle w:val="P68B1DB1-Normal12"/>
              <w:spacing w:after="0" w:line="240" w:lineRule="auto"/>
              <w:jc w:val="center"/>
              <w:rPr>
                <w:rFonts w:cs="Times New Roman"/>
                <w:noProof/>
              </w:rPr>
            </w:pPr>
            <w:r>
              <w:rPr>
                <w:noProof/>
              </w:rPr>
              <w:t>C22.I2</w:t>
            </w:r>
          </w:p>
        </w:tc>
        <w:tc>
          <w:tcPr>
            <w:tcW w:w="992" w:type="dxa"/>
            <w:shd w:val="clear" w:color="auto" w:fill="C6EFCE"/>
            <w:noWrap/>
          </w:tcPr>
          <w:p w14:paraId="6A1AAA57"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1C05CA9D" w14:textId="77777777" w:rsidR="0065073E" w:rsidRDefault="000A0998">
            <w:pPr>
              <w:pStyle w:val="P68B1DB1-Normal12"/>
              <w:spacing w:after="0" w:line="240" w:lineRule="auto"/>
              <w:rPr>
                <w:rFonts w:cs="Times New Roman"/>
                <w:noProof/>
              </w:rPr>
            </w:pPr>
            <w:r>
              <w:rPr>
                <w:noProof/>
              </w:rPr>
              <w:t>Pilottihankkeiden toteuttaminen</w:t>
            </w:r>
          </w:p>
        </w:tc>
        <w:tc>
          <w:tcPr>
            <w:tcW w:w="992" w:type="dxa"/>
            <w:shd w:val="clear" w:color="auto" w:fill="C6EFCE"/>
            <w:noWrap/>
          </w:tcPr>
          <w:p w14:paraId="253A97F1" w14:textId="77777777" w:rsidR="0065073E" w:rsidRDefault="0065073E">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65073E" w:rsidRDefault="000A0998">
            <w:pPr>
              <w:pStyle w:val="P68B1DB1-Normal12"/>
              <w:spacing w:after="0" w:line="240" w:lineRule="auto"/>
              <w:jc w:val="center"/>
              <w:rPr>
                <w:rFonts w:cs="Times New Roman"/>
                <w:noProof/>
              </w:rPr>
            </w:pPr>
            <w:r>
              <w:rPr>
                <w:noProof/>
              </w:rPr>
              <w:t>Määrä</w:t>
            </w:r>
          </w:p>
        </w:tc>
        <w:tc>
          <w:tcPr>
            <w:tcW w:w="851" w:type="dxa"/>
            <w:shd w:val="clear" w:color="auto" w:fill="C6EFCE"/>
            <w:noWrap/>
          </w:tcPr>
          <w:p w14:paraId="645BEB66" w14:textId="77777777"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356285CA" w14:textId="77777777" w:rsidR="0065073E" w:rsidRDefault="000A0998">
            <w:pPr>
              <w:pStyle w:val="P68B1DB1-Normal12"/>
              <w:spacing w:after="0" w:line="240" w:lineRule="auto"/>
              <w:jc w:val="center"/>
              <w:rPr>
                <w:rFonts w:cs="Times New Roman"/>
                <w:noProof/>
              </w:rPr>
            </w:pPr>
            <w:r>
              <w:rPr>
                <w:noProof/>
              </w:rPr>
              <w:t>19</w:t>
            </w:r>
          </w:p>
        </w:tc>
        <w:tc>
          <w:tcPr>
            <w:tcW w:w="567" w:type="dxa"/>
            <w:shd w:val="clear" w:color="auto" w:fill="C6EFCE"/>
            <w:noWrap/>
          </w:tcPr>
          <w:p w14:paraId="1FB37924" w14:textId="77777777" w:rsidR="0065073E" w:rsidRDefault="000A0998">
            <w:pPr>
              <w:pStyle w:val="P68B1DB1-Normal12"/>
              <w:spacing w:after="0" w:line="240" w:lineRule="auto"/>
              <w:jc w:val="center"/>
              <w:rPr>
                <w:rFonts w:cs="Times New Roman"/>
                <w:noProof/>
              </w:rPr>
            </w:pPr>
            <w:r>
              <w:rPr>
                <w:noProof/>
              </w:rPr>
              <w:t>Q4</w:t>
            </w:r>
          </w:p>
        </w:tc>
        <w:tc>
          <w:tcPr>
            <w:tcW w:w="810" w:type="dxa"/>
            <w:shd w:val="clear" w:color="auto" w:fill="C6EFCE"/>
            <w:noWrap/>
          </w:tcPr>
          <w:p w14:paraId="433B1CFD" w14:textId="77777777" w:rsidR="0065073E" w:rsidRDefault="000A0998">
            <w:pPr>
              <w:pStyle w:val="P68B1DB1-Normal12"/>
              <w:spacing w:after="0" w:line="240" w:lineRule="auto"/>
              <w:jc w:val="center"/>
              <w:rPr>
                <w:rFonts w:cs="Times New Roman"/>
                <w:noProof/>
              </w:rPr>
            </w:pPr>
            <w:r>
              <w:rPr>
                <w:noProof/>
              </w:rPr>
              <w:t>2025</w:t>
            </w:r>
          </w:p>
        </w:tc>
        <w:tc>
          <w:tcPr>
            <w:tcW w:w="4860" w:type="dxa"/>
            <w:shd w:val="clear" w:color="auto" w:fill="C6EFCE"/>
            <w:noWrap/>
          </w:tcPr>
          <w:p w14:paraId="4DD3F79E" w14:textId="5557DB0B" w:rsidR="0065073E" w:rsidRDefault="000A0998">
            <w:pPr>
              <w:pStyle w:val="P68B1DB1-Normal12"/>
              <w:spacing w:after="0" w:line="240" w:lineRule="auto"/>
              <w:rPr>
                <w:rFonts w:cs="Times New Roman"/>
                <w:noProof/>
              </w:rPr>
            </w:pPr>
            <w:r>
              <w:rPr>
                <w:noProof/>
              </w:rPr>
              <w:t>Saatetaan päätökseen vähintään 19 pilottihanketta, joilla pyritään edistämään innovointia sosiaalipalvelujen alalla.</w:t>
            </w:r>
          </w:p>
        </w:tc>
      </w:tr>
      <w:tr w:rsidR="0065073E" w14:paraId="6F8A3C56" w14:textId="77777777">
        <w:trPr>
          <w:trHeight w:val="309"/>
        </w:trPr>
        <w:tc>
          <w:tcPr>
            <w:tcW w:w="709" w:type="dxa"/>
            <w:shd w:val="clear" w:color="auto" w:fill="C6EFCE"/>
            <w:noWrap/>
          </w:tcPr>
          <w:p w14:paraId="445DF925" w14:textId="77777777" w:rsidR="0065073E" w:rsidRDefault="000A0998">
            <w:pPr>
              <w:pStyle w:val="P68B1DB1-Normal12"/>
              <w:spacing w:after="0" w:line="240" w:lineRule="auto"/>
              <w:jc w:val="center"/>
              <w:rPr>
                <w:rFonts w:cs="Times New Roman"/>
                <w:noProof/>
              </w:rPr>
            </w:pPr>
            <w:r>
              <w:rPr>
                <w:noProof/>
              </w:rPr>
              <w:t>326</w:t>
            </w:r>
          </w:p>
        </w:tc>
        <w:tc>
          <w:tcPr>
            <w:tcW w:w="851" w:type="dxa"/>
            <w:shd w:val="clear" w:color="auto" w:fill="C6EFCE"/>
            <w:noWrap/>
          </w:tcPr>
          <w:p w14:paraId="642BCFA4" w14:textId="77777777" w:rsidR="0065073E" w:rsidRDefault="000A0998">
            <w:pPr>
              <w:pStyle w:val="P68B1DB1-Normal12"/>
              <w:spacing w:after="0" w:line="240" w:lineRule="auto"/>
              <w:jc w:val="center"/>
              <w:rPr>
                <w:rFonts w:cs="Times New Roman"/>
                <w:noProof/>
              </w:rPr>
            </w:pPr>
            <w:r>
              <w:rPr>
                <w:noProof/>
              </w:rPr>
              <w:t>C22.I3</w:t>
            </w:r>
          </w:p>
        </w:tc>
        <w:tc>
          <w:tcPr>
            <w:tcW w:w="992" w:type="dxa"/>
            <w:shd w:val="clear" w:color="auto" w:fill="C6EFCE"/>
            <w:noWrap/>
          </w:tcPr>
          <w:p w14:paraId="7FC9A030"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75135AEE" w14:textId="77777777" w:rsidR="0065073E" w:rsidRDefault="000A0998">
            <w:pPr>
              <w:pStyle w:val="P68B1DB1-Normal12"/>
              <w:spacing w:after="0" w:line="240" w:lineRule="auto"/>
              <w:rPr>
                <w:rFonts w:cs="Times New Roman"/>
                <w:noProof/>
              </w:rPr>
            </w:pPr>
            <w:r>
              <w:rPr>
                <w:noProof/>
              </w:rPr>
              <w:t>Saavutettavuuden parantamista koskevat hankkeet</w:t>
            </w:r>
          </w:p>
        </w:tc>
        <w:tc>
          <w:tcPr>
            <w:tcW w:w="992" w:type="dxa"/>
            <w:shd w:val="clear" w:color="auto" w:fill="C6EFCE"/>
            <w:noWrap/>
          </w:tcPr>
          <w:p w14:paraId="0294424B"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38C216B6" w14:textId="77777777" w:rsidR="0065073E" w:rsidRDefault="000A0998">
            <w:pPr>
              <w:pStyle w:val="P68B1DB1-Normal12"/>
              <w:spacing w:after="0" w:line="240" w:lineRule="auto"/>
              <w:jc w:val="center"/>
              <w:rPr>
                <w:rFonts w:cs="Times New Roman"/>
                <w:noProof/>
              </w:rPr>
            </w:pPr>
            <w:r>
              <w:rPr>
                <w:noProof/>
              </w:rPr>
              <w:t>Miljoonaa euroa</w:t>
            </w:r>
          </w:p>
        </w:tc>
        <w:tc>
          <w:tcPr>
            <w:tcW w:w="851" w:type="dxa"/>
            <w:shd w:val="clear" w:color="auto" w:fill="C6EFCE"/>
            <w:noWrap/>
          </w:tcPr>
          <w:p w14:paraId="08EE146F" w14:textId="77777777"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3092A617" w14:textId="311EAA03" w:rsidR="0065073E" w:rsidRDefault="000A0998">
            <w:pPr>
              <w:pStyle w:val="P68B1DB1-Normal12"/>
              <w:spacing w:after="0" w:line="240" w:lineRule="auto"/>
              <w:jc w:val="center"/>
              <w:rPr>
                <w:rFonts w:cs="Times New Roman"/>
                <w:noProof/>
              </w:rPr>
            </w:pPr>
            <w:r>
              <w:rPr>
                <w:noProof/>
              </w:rPr>
              <w:t>178</w:t>
            </w:r>
          </w:p>
        </w:tc>
        <w:tc>
          <w:tcPr>
            <w:tcW w:w="567" w:type="dxa"/>
            <w:shd w:val="clear" w:color="auto" w:fill="C6EFCE"/>
            <w:noWrap/>
          </w:tcPr>
          <w:p w14:paraId="04FA89F0" w14:textId="77777777" w:rsidR="0065073E" w:rsidRDefault="000A0998">
            <w:pPr>
              <w:pStyle w:val="P68B1DB1-Normal12"/>
              <w:spacing w:after="0" w:line="240" w:lineRule="auto"/>
              <w:jc w:val="center"/>
              <w:rPr>
                <w:rFonts w:cs="Times New Roman"/>
                <w:noProof/>
              </w:rPr>
            </w:pPr>
            <w:r>
              <w:rPr>
                <w:noProof/>
              </w:rPr>
              <w:t>ENSIMMÄINEN VUOSINELJÄNNES</w:t>
            </w:r>
          </w:p>
        </w:tc>
        <w:tc>
          <w:tcPr>
            <w:tcW w:w="810" w:type="dxa"/>
            <w:shd w:val="clear" w:color="auto" w:fill="C6EFCE"/>
            <w:noWrap/>
          </w:tcPr>
          <w:p w14:paraId="1A8A7DE7" w14:textId="006D021F" w:rsidR="0065073E" w:rsidRDefault="000A0998">
            <w:pPr>
              <w:pStyle w:val="P68B1DB1-Normal12"/>
              <w:spacing w:after="0" w:line="240" w:lineRule="auto"/>
              <w:jc w:val="center"/>
              <w:rPr>
                <w:rFonts w:cs="Times New Roman"/>
                <w:noProof/>
              </w:rPr>
            </w:pPr>
            <w:r>
              <w:rPr>
                <w:noProof/>
              </w:rPr>
              <w:t>2024</w:t>
            </w:r>
          </w:p>
        </w:tc>
        <w:tc>
          <w:tcPr>
            <w:tcW w:w="4860" w:type="dxa"/>
            <w:shd w:val="clear" w:color="auto" w:fill="C6EFCE"/>
            <w:noWrap/>
          </w:tcPr>
          <w:p w14:paraId="4E0CC5DB" w14:textId="22176A94" w:rsidR="0065073E" w:rsidRDefault="000A0998">
            <w:pPr>
              <w:pStyle w:val="P68B1DB1-Normal12"/>
              <w:rPr>
                <w:rFonts w:cs="Times New Roman"/>
                <w:noProof/>
              </w:rPr>
            </w:pPr>
            <w:r>
              <w:rPr>
                <w:noProof/>
              </w:rPr>
              <w:t>Kuntien, aluehallinnon ja keskushallinnon investointien loppuun saattaminen esteettömyyden parantamiseksi ja esteiden poistamiseksi. Kokonaisbudjetti on vähintään 178 miljoonaa euroa, joka olisi keskitettävä</w:t>
            </w:r>
          </w:p>
          <w:p w14:paraId="5B0F5293" w14:textId="77777777" w:rsidR="0065073E" w:rsidRDefault="000A0998">
            <w:pPr>
              <w:pStyle w:val="P68B1DB1-Normal12"/>
              <w:numPr>
                <w:ilvl w:val="0"/>
                <w:numId w:val="633"/>
              </w:numPr>
              <w:spacing w:after="0" w:line="240" w:lineRule="auto"/>
              <w:contextualSpacing/>
              <w:rPr>
                <w:rFonts w:cs="Times New Roman"/>
                <w:noProof/>
              </w:rPr>
            </w:pPr>
            <w:r>
              <w:rPr>
                <w:noProof/>
              </w:rPr>
              <w:t>kognitiivisen saavutettavuuden parantaminen viestinnässä viranomaisten kanssa (mukaan lukien verkkosivut)</w:t>
            </w:r>
          </w:p>
          <w:p w14:paraId="75DFC071" w14:textId="77777777" w:rsidR="0065073E" w:rsidRDefault="000A0998">
            <w:pPr>
              <w:pStyle w:val="P68B1DB1-Normal12"/>
              <w:numPr>
                <w:ilvl w:val="0"/>
                <w:numId w:val="633"/>
              </w:numPr>
              <w:spacing w:after="0" w:line="240" w:lineRule="auto"/>
              <w:contextualSpacing/>
              <w:rPr>
                <w:rFonts w:cs="Times New Roman"/>
                <w:noProof/>
              </w:rPr>
            </w:pPr>
            <w:r>
              <w:rPr>
                <w:noProof/>
              </w:rPr>
              <w:t>parannetaan fyysistä pääsyä julkisiin rakennuksiin ja julkisiin tiloihin, mukaan lukien terveyspalvelut ja koulutuskeskukset;</w:t>
            </w:r>
          </w:p>
          <w:p w14:paraId="23E6B699" w14:textId="77777777" w:rsidR="0065073E" w:rsidRDefault="000A0998">
            <w:pPr>
              <w:pStyle w:val="P68B1DB1-Normal12"/>
              <w:numPr>
                <w:ilvl w:val="0"/>
                <w:numId w:val="633"/>
              </w:numPr>
              <w:spacing w:after="0" w:line="240" w:lineRule="auto"/>
              <w:contextualSpacing/>
              <w:rPr>
                <w:rFonts w:cs="Times New Roman"/>
                <w:noProof/>
              </w:rPr>
            </w:pPr>
            <w:r>
              <w:rPr>
                <w:noProof/>
              </w:rPr>
              <w:t>julkisen liikenteen saavutettavuuden parantaminen;</w:t>
            </w:r>
          </w:p>
          <w:p w14:paraId="12CD8D11" w14:textId="70F7083F" w:rsidR="0065073E" w:rsidRDefault="000A0998">
            <w:pPr>
              <w:pStyle w:val="P68B1DB1-Normal12"/>
              <w:numPr>
                <w:ilvl w:val="0"/>
                <w:numId w:val="633"/>
              </w:numPr>
              <w:spacing w:after="0" w:line="240" w:lineRule="auto"/>
              <w:contextualSpacing/>
              <w:rPr>
                <w:rFonts w:cs="Times New Roman"/>
                <w:noProof/>
              </w:rPr>
            </w:pPr>
            <w:r>
              <w:rPr>
                <w:noProof/>
              </w:rPr>
              <w:t>kunnostustöiden toteuttaminen ja laitteiden hankinta kunnissa, erityisesti maaseutualueilla.</w:t>
            </w:r>
          </w:p>
          <w:p w14:paraId="6DAB4C20" w14:textId="50044070" w:rsidR="0065073E" w:rsidRDefault="000A0998">
            <w:pPr>
              <w:pStyle w:val="P68B1DB1-Normal12"/>
              <w:numPr>
                <w:ilvl w:val="0"/>
                <w:numId w:val="633"/>
              </w:numPr>
              <w:spacing w:after="0" w:line="240" w:lineRule="auto"/>
              <w:contextualSpacing/>
              <w:rPr>
                <w:rFonts w:cs="Times New Roman"/>
                <w:noProof/>
              </w:rPr>
            </w:pPr>
            <w:r>
              <w:rPr>
                <w:noProof/>
              </w:rPr>
              <w:t>Viestintä- ja valistuskampanjat,</w:t>
            </w:r>
          </w:p>
          <w:p w14:paraId="17A6A810" w14:textId="5D88BBD2" w:rsidR="0065073E" w:rsidRDefault="000A0998">
            <w:pPr>
              <w:pStyle w:val="P68B1DB1-Normal12"/>
              <w:numPr>
                <w:ilvl w:val="0"/>
                <w:numId w:val="633"/>
              </w:numPr>
              <w:spacing w:after="0" w:line="240" w:lineRule="auto"/>
              <w:contextualSpacing/>
              <w:rPr>
                <w:rFonts w:cs="Times New Roman"/>
                <w:noProof/>
              </w:rPr>
            </w:pPr>
            <w:r>
              <w:rPr>
                <w:noProof/>
              </w:rPr>
              <w:t>Kognitiivisen saavutettavuuden alan T &amp; K &amp; K &amp; I-tutkimushankkeet.</w:t>
            </w:r>
          </w:p>
        </w:tc>
      </w:tr>
      <w:tr w:rsidR="0065073E" w14:paraId="02D47B8A" w14:textId="77777777">
        <w:trPr>
          <w:trHeight w:val="309"/>
        </w:trPr>
        <w:tc>
          <w:tcPr>
            <w:tcW w:w="709" w:type="dxa"/>
            <w:shd w:val="clear" w:color="auto" w:fill="C6EFCE"/>
            <w:noWrap/>
          </w:tcPr>
          <w:p w14:paraId="7F60B7F6" w14:textId="4090B231" w:rsidR="0065073E" w:rsidRDefault="000A0998">
            <w:pPr>
              <w:pStyle w:val="P68B1DB1-Normal12"/>
              <w:spacing w:after="0" w:line="240" w:lineRule="auto"/>
              <w:jc w:val="center"/>
              <w:rPr>
                <w:rFonts w:cs="Times New Roman"/>
                <w:noProof/>
              </w:rPr>
            </w:pPr>
            <w:r>
              <w:rPr>
                <w:noProof/>
              </w:rPr>
              <w:t>473</w:t>
            </w:r>
          </w:p>
        </w:tc>
        <w:tc>
          <w:tcPr>
            <w:tcW w:w="851" w:type="dxa"/>
            <w:shd w:val="clear" w:color="auto" w:fill="C6EFCE"/>
            <w:noWrap/>
          </w:tcPr>
          <w:p w14:paraId="3C7E4AB5" w14:textId="0A10C876" w:rsidR="0065073E" w:rsidRDefault="000A0998">
            <w:pPr>
              <w:pStyle w:val="P68B1DB1-Normal12"/>
              <w:spacing w:after="0" w:line="240" w:lineRule="auto"/>
              <w:jc w:val="center"/>
              <w:rPr>
                <w:rFonts w:cs="Times New Roman"/>
                <w:noProof/>
              </w:rPr>
            </w:pPr>
            <w:r>
              <w:rPr>
                <w:noProof/>
              </w:rPr>
              <w:t>C22.I4</w:t>
            </w:r>
          </w:p>
        </w:tc>
        <w:tc>
          <w:tcPr>
            <w:tcW w:w="992" w:type="dxa"/>
            <w:shd w:val="clear" w:color="auto" w:fill="C6EFCE"/>
            <w:noWrap/>
          </w:tcPr>
          <w:p w14:paraId="5404E2C9" w14:textId="40E7155C" w:rsidR="0065073E" w:rsidRDefault="000A0998">
            <w:pPr>
              <w:pStyle w:val="P68B1DB1-Normal12"/>
              <w:spacing w:after="0" w:line="240" w:lineRule="auto"/>
              <w:jc w:val="center"/>
              <w:rPr>
                <w:rFonts w:cs="Times New Roman"/>
                <w:noProof/>
              </w:rPr>
            </w:pPr>
            <w:r>
              <w:rPr>
                <w:noProof/>
              </w:rPr>
              <w:t>M</w:t>
            </w:r>
          </w:p>
        </w:tc>
        <w:tc>
          <w:tcPr>
            <w:tcW w:w="3119" w:type="dxa"/>
            <w:shd w:val="clear" w:color="auto" w:fill="C6EFCE"/>
            <w:noWrap/>
          </w:tcPr>
          <w:p w14:paraId="5A7D1B79" w14:textId="777D9292" w:rsidR="0065073E" w:rsidRDefault="000A0998">
            <w:pPr>
              <w:pStyle w:val="P68B1DB1-Normal12"/>
              <w:spacing w:after="0" w:line="240" w:lineRule="auto"/>
              <w:rPr>
                <w:rFonts w:cs="Times New Roman"/>
                <w:noProof/>
              </w:rPr>
            </w:pPr>
            <w:r>
              <w:rPr>
                <w:noProof/>
              </w:rPr>
              <w:t>Perustetaan erilaisia palveluja seksuaalisen väkivallan uhreille.</w:t>
            </w:r>
          </w:p>
        </w:tc>
        <w:tc>
          <w:tcPr>
            <w:tcW w:w="992" w:type="dxa"/>
            <w:shd w:val="clear" w:color="auto" w:fill="C6EFCE"/>
            <w:noWrap/>
          </w:tcPr>
          <w:p w14:paraId="0C93E4BA" w14:textId="1FF571E6" w:rsidR="0065073E" w:rsidRDefault="000A0998">
            <w:pPr>
              <w:pStyle w:val="P68B1DB1-Normal12"/>
              <w:spacing w:after="0" w:line="240" w:lineRule="auto"/>
              <w:jc w:val="center"/>
              <w:rPr>
                <w:rFonts w:cs="Times New Roman"/>
                <w:noProof/>
              </w:rPr>
            </w:pPr>
            <w:r>
              <w:rPr>
                <w:noProof/>
              </w:rPr>
              <w:t>Lainsäädännön voimaantulo</w:t>
            </w:r>
          </w:p>
        </w:tc>
        <w:tc>
          <w:tcPr>
            <w:tcW w:w="850" w:type="dxa"/>
            <w:shd w:val="clear" w:color="auto" w:fill="C6EFCE"/>
            <w:noWrap/>
          </w:tcPr>
          <w:p w14:paraId="20BA5909" w14:textId="77777777" w:rsidR="0065073E" w:rsidRDefault="0065073E">
            <w:pPr>
              <w:spacing w:after="0" w:line="240" w:lineRule="auto"/>
              <w:jc w:val="center"/>
              <w:rPr>
                <w:rFonts w:ascii="Times New Roman" w:hAnsi="Times New Roman" w:cs="Times New Roman"/>
                <w:noProof/>
                <w:sz w:val="18"/>
              </w:rPr>
            </w:pPr>
          </w:p>
        </w:tc>
        <w:tc>
          <w:tcPr>
            <w:tcW w:w="851" w:type="dxa"/>
            <w:shd w:val="clear" w:color="auto" w:fill="C6EFCE"/>
            <w:noWrap/>
          </w:tcPr>
          <w:p w14:paraId="27F68138" w14:textId="77777777"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65073E" w:rsidRDefault="0065073E">
            <w:pPr>
              <w:spacing w:after="0" w:line="240" w:lineRule="auto"/>
              <w:jc w:val="center"/>
              <w:rPr>
                <w:rFonts w:ascii="Times New Roman" w:hAnsi="Times New Roman" w:cs="Times New Roman"/>
                <w:noProof/>
                <w:sz w:val="18"/>
              </w:rPr>
            </w:pPr>
          </w:p>
        </w:tc>
        <w:tc>
          <w:tcPr>
            <w:tcW w:w="567" w:type="dxa"/>
            <w:shd w:val="clear" w:color="auto" w:fill="C6EFCE"/>
            <w:noWrap/>
          </w:tcPr>
          <w:p w14:paraId="307808EB" w14:textId="261F3D21" w:rsidR="0065073E" w:rsidRDefault="000A0998">
            <w:pPr>
              <w:pStyle w:val="P68B1DB1-Normal12"/>
              <w:spacing w:after="0" w:line="240" w:lineRule="auto"/>
              <w:jc w:val="center"/>
              <w:rPr>
                <w:rFonts w:cs="Times New Roman"/>
                <w:noProof/>
              </w:rPr>
            </w:pPr>
            <w:r>
              <w:rPr>
                <w:noProof/>
              </w:rPr>
              <w:t>ENSIMMÄINEN VUOSINELJÄNNES</w:t>
            </w:r>
          </w:p>
        </w:tc>
        <w:tc>
          <w:tcPr>
            <w:tcW w:w="810" w:type="dxa"/>
            <w:shd w:val="clear" w:color="auto" w:fill="C6EFCE"/>
            <w:noWrap/>
          </w:tcPr>
          <w:p w14:paraId="07FAF17F" w14:textId="1778D3C9" w:rsidR="0065073E" w:rsidRDefault="000A0998">
            <w:pPr>
              <w:pStyle w:val="P68B1DB1-Normal12"/>
              <w:spacing w:after="0" w:line="240" w:lineRule="auto"/>
              <w:jc w:val="center"/>
              <w:rPr>
                <w:rFonts w:cs="Times New Roman"/>
                <w:noProof/>
              </w:rPr>
            </w:pPr>
            <w:r>
              <w:rPr>
                <w:noProof/>
              </w:rPr>
              <w:t>2023</w:t>
            </w:r>
          </w:p>
        </w:tc>
        <w:tc>
          <w:tcPr>
            <w:tcW w:w="4860" w:type="dxa"/>
            <w:shd w:val="clear" w:color="auto" w:fill="C6EFCE"/>
            <w:noWrap/>
          </w:tcPr>
          <w:p w14:paraId="410F4B9C" w14:textId="001E2D21" w:rsidR="0065073E" w:rsidRDefault="000A0998">
            <w:pPr>
              <w:pStyle w:val="P68B1DB1-Normal12"/>
              <w:rPr>
                <w:rFonts w:cs="Times New Roman"/>
                <w:noProof/>
              </w:rPr>
            </w:pPr>
            <w:r>
              <w:rPr>
                <w:noProof/>
              </w:rPr>
              <w:t>Sellaisen lainsäädännön voimaantulo, jolla perustetaan uusi sosiaali- ja työllisyysohjauspalvelu seksuaalisen väkivallan uhreille ja joka tarjoaa erilaisia palveluja, kuten oikeudellista neuvontaa, psykologista ja emotionaalista tukea sekä apua työmarkkinoille integroitumisessa.</w:t>
            </w:r>
          </w:p>
        </w:tc>
      </w:tr>
      <w:tr w:rsidR="0065073E" w14:paraId="247C6EA5" w14:textId="77777777">
        <w:trPr>
          <w:trHeight w:val="309"/>
        </w:trPr>
        <w:tc>
          <w:tcPr>
            <w:tcW w:w="709" w:type="dxa"/>
            <w:shd w:val="clear" w:color="auto" w:fill="C6EFCE"/>
            <w:noWrap/>
          </w:tcPr>
          <w:p w14:paraId="480918FD" w14:textId="6F4DAF9F" w:rsidR="0065073E" w:rsidRDefault="000A0998">
            <w:pPr>
              <w:pStyle w:val="P68B1DB1-Normal12"/>
              <w:spacing w:after="0" w:line="240" w:lineRule="auto"/>
              <w:jc w:val="center"/>
              <w:rPr>
                <w:rFonts w:cs="Times New Roman"/>
                <w:noProof/>
              </w:rPr>
            </w:pPr>
            <w:r>
              <w:rPr>
                <w:noProof/>
              </w:rPr>
              <w:t>472</w:t>
            </w:r>
          </w:p>
        </w:tc>
        <w:tc>
          <w:tcPr>
            <w:tcW w:w="851" w:type="dxa"/>
            <w:shd w:val="clear" w:color="auto" w:fill="C6EFCE"/>
            <w:noWrap/>
          </w:tcPr>
          <w:p w14:paraId="20107D1A" w14:textId="77777777" w:rsidR="0065073E" w:rsidRDefault="000A0998">
            <w:pPr>
              <w:pStyle w:val="P68B1DB1-Normal12"/>
              <w:spacing w:after="0" w:line="240" w:lineRule="auto"/>
              <w:jc w:val="center"/>
              <w:rPr>
                <w:rFonts w:cs="Times New Roman"/>
                <w:noProof/>
              </w:rPr>
            </w:pPr>
            <w:r>
              <w:rPr>
                <w:noProof/>
              </w:rPr>
              <w:t>C22.I4</w:t>
            </w:r>
          </w:p>
        </w:tc>
        <w:tc>
          <w:tcPr>
            <w:tcW w:w="992" w:type="dxa"/>
            <w:shd w:val="clear" w:color="auto" w:fill="C6EFCE"/>
            <w:noWrap/>
          </w:tcPr>
          <w:p w14:paraId="339C0418" w14:textId="65A7BFD2" w:rsidR="0065073E" w:rsidRDefault="000A0998">
            <w:pPr>
              <w:pStyle w:val="P68B1DB1-Normal12"/>
              <w:spacing w:after="0" w:line="240" w:lineRule="auto"/>
              <w:jc w:val="center"/>
              <w:rPr>
                <w:rFonts w:cs="Times New Roman"/>
                <w:noProof/>
              </w:rPr>
            </w:pPr>
            <w:r>
              <w:rPr>
                <w:noProof/>
              </w:rPr>
              <w:t>M</w:t>
            </w:r>
          </w:p>
        </w:tc>
        <w:tc>
          <w:tcPr>
            <w:tcW w:w="3119" w:type="dxa"/>
            <w:shd w:val="clear" w:color="auto" w:fill="C6EFCE"/>
            <w:noWrap/>
          </w:tcPr>
          <w:p w14:paraId="0355E8A9" w14:textId="0CABE7C4" w:rsidR="0065073E" w:rsidRDefault="000A0998">
            <w:pPr>
              <w:pStyle w:val="P68B1DB1-Normal12"/>
              <w:spacing w:after="0" w:line="240" w:lineRule="auto"/>
              <w:rPr>
                <w:rFonts w:cs="Times New Roman"/>
                <w:noProof/>
              </w:rPr>
            </w:pPr>
            <w:r>
              <w:rPr>
                <w:noProof/>
              </w:rPr>
              <w:t>Investoinnit puhelin- ja verkkopalveluihin naisiin kohdistuvan väkivallan uhrien tukemiseksi</w:t>
            </w:r>
          </w:p>
        </w:tc>
        <w:tc>
          <w:tcPr>
            <w:tcW w:w="992" w:type="dxa"/>
            <w:shd w:val="clear" w:color="auto" w:fill="C6EFCE"/>
            <w:noWrap/>
          </w:tcPr>
          <w:p w14:paraId="11CB4A01" w14:textId="77777777" w:rsidR="0065073E" w:rsidRDefault="0065073E">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65073E" w:rsidRDefault="0065073E">
            <w:pPr>
              <w:spacing w:after="0" w:line="240" w:lineRule="auto"/>
              <w:jc w:val="center"/>
              <w:rPr>
                <w:rFonts w:ascii="Times New Roman" w:hAnsi="Times New Roman" w:cs="Times New Roman"/>
                <w:noProof/>
                <w:sz w:val="18"/>
              </w:rPr>
            </w:pPr>
          </w:p>
        </w:tc>
        <w:tc>
          <w:tcPr>
            <w:tcW w:w="851" w:type="dxa"/>
            <w:shd w:val="clear" w:color="auto" w:fill="C6EFCE"/>
            <w:noWrap/>
          </w:tcPr>
          <w:p w14:paraId="1B303A13" w14:textId="2F906B70"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65073E" w:rsidRDefault="000A0998">
            <w:pPr>
              <w:pStyle w:val="P68B1DB1-Normal12"/>
              <w:spacing w:after="0" w:line="240" w:lineRule="auto"/>
              <w:jc w:val="center"/>
              <w:rPr>
                <w:rFonts w:cs="Times New Roman"/>
                <w:noProof/>
              </w:rPr>
            </w:pPr>
            <w:r>
              <w:rPr>
                <w:noProof/>
              </w:rPr>
              <w:t xml:space="preserve"> </w:t>
            </w:r>
          </w:p>
        </w:tc>
        <w:tc>
          <w:tcPr>
            <w:tcW w:w="567" w:type="dxa"/>
            <w:shd w:val="clear" w:color="auto" w:fill="C6EFCE"/>
            <w:noWrap/>
          </w:tcPr>
          <w:p w14:paraId="7894BCC5" w14:textId="7C8419F6" w:rsidR="0065073E" w:rsidRDefault="000A0998">
            <w:pPr>
              <w:pStyle w:val="P68B1DB1-Normal12"/>
              <w:spacing w:after="0" w:line="240" w:lineRule="auto"/>
              <w:jc w:val="center"/>
              <w:rPr>
                <w:rFonts w:cs="Times New Roman"/>
                <w:noProof/>
              </w:rPr>
            </w:pPr>
            <w:r>
              <w:rPr>
                <w:noProof/>
              </w:rPr>
              <w:t>Q4</w:t>
            </w:r>
          </w:p>
        </w:tc>
        <w:tc>
          <w:tcPr>
            <w:tcW w:w="810" w:type="dxa"/>
            <w:shd w:val="clear" w:color="auto" w:fill="C6EFCE"/>
            <w:noWrap/>
          </w:tcPr>
          <w:p w14:paraId="7D1AC088" w14:textId="72E4F03E" w:rsidR="0065073E" w:rsidRDefault="000A0998">
            <w:pPr>
              <w:pStyle w:val="P68B1DB1-Normal12"/>
              <w:spacing w:after="0" w:line="240" w:lineRule="auto"/>
              <w:jc w:val="center"/>
              <w:rPr>
                <w:rFonts w:cs="Times New Roman"/>
                <w:noProof/>
              </w:rPr>
            </w:pPr>
            <w:r>
              <w:rPr>
                <w:noProof/>
              </w:rPr>
              <w:t>2025</w:t>
            </w:r>
          </w:p>
        </w:tc>
        <w:tc>
          <w:tcPr>
            <w:tcW w:w="4860" w:type="dxa"/>
            <w:shd w:val="clear" w:color="auto" w:fill="C6EFCE"/>
            <w:noWrap/>
          </w:tcPr>
          <w:p w14:paraId="06592210" w14:textId="48D7211D" w:rsidR="0065073E" w:rsidRDefault="000A0998">
            <w:pPr>
              <w:pStyle w:val="P68B1DB1-Normal12"/>
              <w:spacing w:after="0" w:line="240" w:lineRule="auto"/>
              <w:jc w:val="both"/>
              <w:rPr>
                <w:rFonts w:cs="Times New Roman"/>
                <w:noProof/>
              </w:rPr>
            </w:pPr>
            <w:r>
              <w:rPr>
                <w:noProof/>
              </w:rPr>
              <w:t xml:space="preserve">Tarjotaan vähintään 30.000 lähikontaktien seurantalaitetta, uusi sovellus uhreille ja uusi massadata- ja tekoälyalusta naisiin kohdistuvan väkivallan uhrien, myös ihmiskaupan ja seksuaalisen hyväksikäytön uhrien, tukemiseksi. Lähtötilanne: 1 päivänä helmikuuta 2020. </w:t>
            </w:r>
          </w:p>
        </w:tc>
      </w:tr>
      <w:tr w:rsidR="0065073E" w14:paraId="6D94727D" w14:textId="77777777">
        <w:trPr>
          <w:trHeight w:val="309"/>
        </w:trPr>
        <w:tc>
          <w:tcPr>
            <w:tcW w:w="709" w:type="dxa"/>
            <w:shd w:val="clear" w:color="auto" w:fill="C6EFCE"/>
            <w:noWrap/>
          </w:tcPr>
          <w:p w14:paraId="54AD7792" w14:textId="49F5FF86" w:rsidR="0065073E" w:rsidRDefault="000A0998">
            <w:pPr>
              <w:pStyle w:val="P68B1DB1-Normal12"/>
              <w:spacing w:after="0" w:line="240" w:lineRule="auto"/>
              <w:jc w:val="center"/>
              <w:rPr>
                <w:rFonts w:cs="Times New Roman"/>
                <w:noProof/>
              </w:rPr>
            </w:pPr>
            <w:r>
              <w:rPr>
                <w:noProof/>
              </w:rPr>
              <w:t>327</w:t>
            </w:r>
          </w:p>
        </w:tc>
        <w:tc>
          <w:tcPr>
            <w:tcW w:w="851" w:type="dxa"/>
            <w:shd w:val="clear" w:color="auto" w:fill="C6EFCE"/>
            <w:noWrap/>
          </w:tcPr>
          <w:p w14:paraId="1DD10EC2" w14:textId="7D588441" w:rsidR="0065073E" w:rsidRDefault="000A0998">
            <w:pPr>
              <w:pStyle w:val="P68B1DB1-Normal12"/>
              <w:spacing w:after="0" w:line="240" w:lineRule="auto"/>
              <w:jc w:val="center"/>
              <w:rPr>
                <w:rFonts w:cs="Times New Roman"/>
                <w:noProof/>
              </w:rPr>
            </w:pPr>
            <w:r>
              <w:rPr>
                <w:noProof/>
              </w:rPr>
              <w:t>C22.I4</w:t>
            </w:r>
          </w:p>
        </w:tc>
        <w:tc>
          <w:tcPr>
            <w:tcW w:w="992" w:type="dxa"/>
            <w:shd w:val="clear" w:color="auto" w:fill="C6EFCE"/>
            <w:noWrap/>
          </w:tcPr>
          <w:p w14:paraId="782FDF79" w14:textId="47D6A3E1"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5F9D0B3C" w14:textId="1059C8BB" w:rsidR="0065073E" w:rsidRDefault="000A0998">
            <w:pPr>
              <w:pStyle w:val="P68B1DB1-Normal12"/>
              <w:spacing w:after="0" w:line="240" w:lineRule="auto"/>
              <w:rPr>
                <w:rFonts w:cs="Times New Roman"/>
                <w:noProof/>
              </w:rPr>
            </w:pPr>
            <w:r>
              <w:rPr>
                <w:noProof/>
              </w:rPr>
              <w:t>Seksuaalisen väkivallan uhreille tarkoitetut keskukset.</w:t>
            </w:r>
          </w:p>
        </w:tc>
        <w:tc>
          <w:tcPr>
            <w:tcW w:w="992" w:type="dxa"/>
            <w:shd w:val="clear" w:color="auto" w:fill="C6EFCE"/>
            <w:noWrap/>
          </w:tcPr>
          <w:p w14:paraId="26C4D464" w14:textId="5F76672D"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6814C0C4" w14:textId="5C6120DB" w:rsidR="0065073E" w:rsidRDefault="000A0998">
            <w:pPr>
              <w:pStyle w:val="P68B1DB1-Normal12"/>
              <w:spacing w:after="0" w:line="240" w:lineRule="auto"/>
              <w:jc w:val="center"/>
              <w:rPr>
                <w:rFonts w:cs="Times New Roman"/>
                <w:noProof/>
              </w:rPr>
            </w:pPr>
            <w:r>
              <w:rPr>
                <w:noProof/>
              </w:rPr>
              <w:t>Määrä</w:t>
            </w:r>
          </w:p>
        </w:tc>
        <w:tc>
          <w:tcPr>
            <w:tcW w:w="851" w:type="dxa"/>
            <w:shd w:val="clear" w:color="auto" w:fill="C6EFCE"/>
            <w:noWrap/>
          </w:tcPr>
          <w:p w14:paraId="7F340122" w14:textId="153666E6" w:rsidR="0065073E" w:rsidRDefault="000A0998">
            <w:pPr>
              <w:pStyle w:val="P68B1DB1-Normal12"/>
              <w:spacing w:after="0" w:line="240" w:lineRule="auto"/>
              <w:jc w:val="right"/>
              <w:rPr>
                <w:rFonts w:cs="Times New Roman"/>
                <w:noProof/>
              </w:rPr>
            </w:pPr>
            <w:r>
              <w:rPr>
                <w:noProof/>
              </w:rPr>
              <w:t>19</w:t>
            </w:r>
          </w:p>
        </w:tc>
        <w:tc>
          <w:tcPr>
            <w:tcW w:w="709" w:type="dxa"/>
            <w:shd w:val="clear" w:color="auto" w:fill="C6EFCE"/>
            <w:noWrap/>
          </w:tcPr>
          <w:p w14:paraId="091C5EB4" w14:textId="63164A43" w:rsidR="0065073E" w:rsidRDefault="000A0998">
            <w:pPr>
              <w:pStyle w:val="P68B1DB1-Normal12"/>
              <w:spacing w:after="0" w:line="240" w:lineRule="auto"/>
              <w:jc w:val="center"/>
              <w:rPr>
                <w:rFonts w:cs="Times New Roman"/>
                <w:noProof/>
              </w:rPr>
            </w:pPr>
            <w:r>
              <w:rPr>
                <w:noProof/>
              </w:rPr>
              <w:t>52</w:t>
            </w:r>
          </w:p>
        </w:tc>
        <w:tc>
          <w:tcPr>
            <w:tcW w:w="567" w:type="dxa"/>
            <w:shd w:val="clear" w:color="auto" w:fill="C6EFCE"/>
            <w:noWrap/>
          </w:tcPr>
          <w:p w14:paraId="2069E1DB" w14:textId="692BDBD5" w:rsidR="0065073E" w:rsidRDefault="000A0998">
            <w:pPr>
              <w:pStyle w:val="P68B1DB1-Normal12"/>
              <w:spacing w:after="0" w:line="240" w:lineRule="auto"/>
              <w:jc w:val="center"/>
              <w:rPr>
                <w:rFonts w:cs="Times New Roman"/>
                <w:noProof/>
              </w:rPr>
            </w:pPr>
            <w:r>
              <w:rPr>
                <w:noProof/>
              </w:rPr>
              <w:t>Q4</w:t>
            </w:r>
          </w:p>
        </w:tc>
        <w:tc>
          <w:tcPr>
            <w:tcW w:w="810" w:type="dxa"/>
            <w:shd w:val="clear" w:color="auto" w:fill="C6EFCE"/>
            <w:noWrap/>
          </w:tcPr>
          <w:p w14:paraId="190A4675" w14:textId="529D5F02" w:rsidR="0065073E" w:rsidRDefault="000A0998">
            <w:pPr>
              <w:pStyle w:val="P68B1DB1-Normal12"/>
              <w:spacing w:after="0" w:line="240" w:lineRule="auto"/>
              <w:jc w:val="center"/>
              <w:rPr>
                <w:rFonts w:cs="Times New Roman"/>
                <w:noProof/>
              </w:rPr>
            </w:pPr>
            <w:r>
              <w:rPr>
                <w:noProof/>
              </w:rPr>
              <w:t>2024</w:t>
            </w:r>
          </w:p>
        </w:tc>
        <w:tc>
          <w:tcPr>
            <w:tcW w:w="4860" w:type="dxa"/>
            <w:shd w:val="clear" w:color="auto" w:fill="C6EFCE"/>
            <w:noWrap/>
          </w:tcPr>
          <w:p w14:paraId="3A3DBD50" w14:textId="7A52A764" w:rsidR="0065073E" w:rsidRDefault="000A0998">
            <w:pPr>
              <w:pStyle w:val="P68B1DB1-Normal12"/>
              <w:spacing w:after="0" w:line="240" w:lineRule="auto"/>
              <w:rPr>
                <w:rFonts w:cs="Times New Roman"/>
                <w:noProof/>
              </w:rPr>
            </w:pPr>
            <w:r>
              <w:rPr>
                <w:noProof/>
              </w:rPr>
              <w:t>Vähintään yksi kattava seksuaalisen väkivallan uhrien hoitokeskus kussakin maakunnassa ja yksi Espanjan autonomisissa kaupungeissa Ceutassa ja Melillassa. Lähtötilanne: 1 päivänä helmikuuta 2020.</w:t>
            </w:r>
          </w:p>
        </w:tc>
      </w:tr>
      <w:tr w:rsidR="0065073E" w14:paraId="2D552F17" w14:textId="77777777">
        <w:trPr>
          <w:trHeight w:val="309"/>
        </w:trPr>
        <w:tc>
          <w:tcPr>
            <w:tcW w:w="709" w:type="dxa"/>
            <w:shd w:val="clear" w:color="auto" w:fill="C6EFCE"/>
            <w:noWrap/>
          </w:tcPr>
          <w:p w14:paraId="72F909BD" w14:textId="77777777" w:rsidR="0065073E" w:rsidRDefault="000A0998">
            <w:pPr>
              <w:pStyle w:val="P68B1DB1-Normal12"/>
              <w:spacing w:after="0" w:line="240" w:lineRule="auto"/>
              <w:jc w:val="center"/>
              <w:rPr>
                <w:rFonts w:cs="Times New Roman"/>
                <w:noProof/>
              </w:rPr>
            </w:pPr>
            <w:r>
              <w:rPr>
                <w:noProof/>
              </w:rPr>
              <w:t>328</w:t>
            </w:r>
          </w:p>
        </w:tc>
        <w:tc>
          <w:tcPr>
            <w:tcW w:w="851" w:type="dxa"/>
            <w:shd w:val="clear" w:color="auto" w:fill="C6EFCE"/>
            <w:noWrap/>
          </w:tcPr>
          <w:p w14:paraId="56F779E4" w14:textId="77777777" w:rsidR="0065073E" w:rsidRDefault="000A0998">
            <w:pPr>
              <w:pStyle w:val="P68B1DB1-Normal12"/>
              <w:spacing w:after="0" w:line="240" w:lineRule="auto"/>
              <w:jc w:val="center"/>
              <w:rPr>
                <w:rFonts w:cs="Times New Roman"/>
                <w:noProof/>
              </w:rPr>
            </w:pPr>
            <w:r>
              <w:rPr>
                <w:noProof/>
              </w:rPr>
              <w:t>C22.I5</w:t>
            </w:r>
          </w:p>
        </w:tc>
        <w:tc>
          <w:tcPr>
            <w:tcW w:w="992" w:type="dxa"/>
            <w:shd w:val="clear" w:color="auto" w:fill="C6EFCE"/>
            <w:noWrap/>
          </w:tcPr>
          <w:p w14:paraId="6F0BFEC2" w14:textId="77777777" w:rsidR="0065073E" w:rsidRDefault="000A0998">
            <w:pPr>
              <w:pStyle w:val="P68B1DB1-Normal12"/>
              <w:spacing w:after="0" w:line="240" w:lineRule="auto"/>
              <w:jc w:val="center"/>
              <w:rPr>
                <w:rFonts w:cs="Times New Roman"/>
                <w:noProof/>
              </w:rPr>
            </w:pPr>
            <w:r>
              <w:rPr>
                <w:noProof/>
              </w:rPr>
              <w:t>T</w:t>
            </w:r>
          </w:p>
        </w:tc>
        <w:tc>
          <w:tcPr>
            <w:tcW w:w="3119" w:type="dxa"/>
            <w:shd w:val="clear" w:color="auto" w:fill="C6EFCE"/>
            <w:noWrap/>
          </w:tcPr>
          <w:p w14:paraId="3A395E00" w14:textId="77777777" w:rsidR="0065073E" w:rsidRDefault="000A0998">
            <w:pPr>
              <w:pStyle w:val="P68B1DB1-Normal12"/>
              <w:spacing w:after="0" w:line="240" w:lineRule="auto"/>
              <w:rPr>
                <w:rFonts w:cs="Times New Roman"/>
                <w:noProof/>
              </w:rPr>
            </w:pPr>
            <w:r>
              <w:rPr>
                <w:noProof/>
              </w:rPr>
              <w:t xml:space="preserve">Muuttajien ja kansainvälistä suojelua hakevien vastaanottojärjestelmän kapasiteetti </w:t>
            </w:r>
          </w:p>
        </w:tc>
        <w:tc>
          <w:tcPr>
            <w:tcW w:w="992" w:type="dxa"/>
            <w:shd w:val="clear" w:color="auto" w:fill="C6EFCE"/>
            <w:noWrap/>
          </w:tcPr>
          <w:p w14:paraId="45D7F3DA" w14:textId="77777777" w:rsidR="0065073E" w:rsidRDefault="000A0998">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08B2C179" w14:textId="77777777" w:rsidR="0065073E" w:rsidRDefault="000A0998">
            <w:pPr>
              <w:pStyle w:val="P68B1DB1-Normal12"/>
              <w:spacing w:after="0" w:line="240" w:lineRule="auto"/>
              <w:jc w:val="center"/>
              <w:rPr>
                <w:rFonts w:cs="Times New Roman"/>
                <w:noProof/>
              </w:rPr>
            </w:pPr>
            <w:r>
              <w:rPr>
                <w:noProof/>
              </w:rPr>
              <w:t>Määrä</w:t>
            </w:r>
          </w:p>
        </w:tc>
        <w:tc>
          <w:tcPr>
            <w:tcW w:w="851" w:type="dxa"/>
            <w:shd w:val="clear" w:color="auto" w:fill="C6EFCE"/>
            <w:noWrap/>
          </w:tcPr>
          <w:p w14:paraId="4CB4F92D" w14:textId="77777777" w:rsidR="0065073E" w:rsidRDefault="000A0998">
            <w:pPr>
              <w:pStyle w:val="P68B1DB1-Normal12"/>
              <w:spacing w:after="0" w:line="240" w:lineRule="auto"/>
              <w:jc w:val="right"/>
              <w:rPr>
                <w:rFonts w:cs="Times New Roman"/>
                <w:noProof/>
              </w:rPr>
            </w:pPr>
            <w:r>
              <w:rPr>
                <w:noProof/>
              </w:rPr>
              <w:t>400</w:t>
            </w:r>
          </w:p>
        </w:tc>
        <w:tc>
          <w:tcPr>
            <w:tcW w:w="709" w:type="dxa"/>
            <w:shd w:val="clear" w:color="auto" w:fill="C6EFCE"/>
            <w:noWrap/>
          </w:tcPr>
          <w:p w14:paraId="55C8125B" w14:textId="77777777" w:rsidR="0065073E" w:rsidRDefault="000A0998">
            <w:pPr>
              <w:pStyle w:val="P68B1DB1-Normal12"/>
              <w:spacing w:after="0" w:line="240" w:lineRule="auto"/>
              <w:jc w:val="center"/>
              <w:rPr>
                <w:rFonts w:cs="Times New Roman"/>
                <w:noProof/>
              </w:rPr>
            </w:pPr>
            <w:r>
              <w:rPr>
                <w:noProof/>
              </w:rPr>
              <w:t>6 100</w:t>
            </w:r>
          </w:p>
        </w:tc>
        <w:tc>
          <w:tcPr>
            <w:tcW w:w="567" w:type="dxa"/>
            <w:shd w:val="clear" w:color="auto" w:fill="C6EFCE"/>
            <w:noWrap/>
          </w:tcPr>
          <w:p w14:paraId="7775132F" w14:textId="79873534" w:rsidR="0065073E" w:rsidRDefault="000A0998">
            <w:pPr>
              <w:pStyle w:val="P68B1DB1-Normal12"/>
              <w:spacing w:after="0" w:line="240" w:lineRule="auto"/>
              <w:jc w:val="center"/>
              <w:rPr>
                <w:rFonts w:cs="Times New Roman"/>
                <w:noProof/>
              </w:rPr>
            </w:pPr>
            <w:r>
              <w:rPr>
                <w:noProof/>
              </w:rPr>
              <w:t>TOINEN VUOSINELJÄNNES</w:t>
            </w:r>
          </w:p>
        </w:tc>
        <w:tc>
          <w:tcPr>
            <w:tcW w:w="810" w:type="dxa"/>
            <w:shd w:val="clear" w:color="auto" w:fill="C6EFCE"/>
            <w:noWrap/>
          </w:tcPr>
          <w:p w14:paraId="616DE204" w14:textId="5311080C" w:rsidR="0065073E" w:rsidRDefault="000A0998">
            <w:pPr>
              <w:pStyle w:val="P68B1DB1-Normal12"/>
              <w:spacing w:after="0" w:line="240" w:lineRule="auto"/>
              <w:jc w:val="center"/>
              <w:rPr>
                <w:rFonts w:cs="Times New Roman"/>
                <w:noProof/>
              </w:rPr>
            </w:pPr>
            <w:r>
              <w:rPr>
                <w:noProof/>
              </w:rPr>
              <w:t>2026</w:t>
            </w:r>
          </w:p>
        </w:tc>
        <w:tc>
          <w:tcPr>
            <w:tcW w:w="4860" w:type="dxa"/>
            <w:shd w:val="clear" w:color="auto" w:fill="C6EFCE"/>
            <w:noWrap/>
          </w:tcPr>
          <w:p w14:paraId="4F849BAE" w14:textId="77777777" w:rsidR="0065073E" w:rsidRDefault="000A0998">
            <w:pPr>
              <w:pStyle w:val="P68B1DB1-Normal12"/>
              <w:spacing w:after="0" w:line="240" w:lineRule="auto"/>
              <w:rPr>
                <w:rFonts w:cs="Times New Roman"/>
                <w:noProof/>
              </w:rPr>
            </w:pPr>
            <w:r>
              <w:rPr>
                <w:noProof/>
              </w:rPr>
              <w:t>Lisätään kansainvälistä suojelua hakevien henkilöiden vastaanottojärjestelmän vastaanottokapasiteettia osallisuus-, sosiaaliturva- ja maahanmuuttoministeriön keskuksissa vähintään 5700 paikkaa vuoteen 2019 verrattuna. Vähintään 176000000 euroa käytetään rakennusten rakentamiseen ja kunnostamiseen energiatehokkuuden varmistamiseksi. Perustason päivämäärä: Joulukuuta 2019.</w:t>
            </w:r>
          </w:p>
        </w:tc>
      </w:tr>
    </w:tbl>
    <w:p w14:paraId="37FC46C5"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493"/>
          <w:headerReference w:type="default" r:id="rId494"/>
          <w:footerReference w:type="even" r:id="rId495"/>
          <w:footerReference w:type="default" r:id="rId496"/>
          <w:headerReference w:type="first" r:id="rId497"/>
          <w:footerReference w:type="first" r:id="rId498"/>
          <w:pgSz w:w="16839" w:h="11907" w:orient="landscape"/>
          <w:pgMar w:top="1134" w:right="1134" w:bottom="1134" w:left="1134" w:header="567" w:footer="567" w:gutter="0"/>
          <w:cols w:space="720"/>
          <w:docGrid w:linePitch="360"/>
        </w:sectPr>
      </w:pPr>
    </w:p>
    <w:p w14:paraId="2FE65CC7" w14:textId="7A1D4C05"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V.3. </w:t>
      </w:r>
      <w:r>
        <w:rPr>
          <w:noProof/>
        </w:rPr>
        <w:t></w:t>
      </w:r>
      <w:r>
        <w:rPr>
          <w:rFonts w:ascii="Times New Roman" w:hAnsi="Times New Roman"/>
          <w:b/>
          <w:noProof/>
          <w:u w:val="single"/>
        </w:rPr>
        <w:t>Lainatukeen liittyvien uudistusten ja investointien kuvaus</w:t>
      </w:r>
    </w:p>
    <w:p w14:paraId="1E18E23A" w14:textId="55FBC13B" w:rsidR="0065073E" w:rsidRDefault="000A0998">
      <w:pPr>
        <w:pStyle w:val="P68B1DB1-P68B1DB1-Normal334"/>
        <w:spacing w:line="240" w:lineRule="auto"/>
        <w:jc w:val="both"/>
        <w:rPr>
          <w:b/>
          <w:noProof/>
        </w:rPr>
      </w:pPr>
      <w:r>
        <w:rPr>
          <w:noProof/>
          <w:u w:val="single"/>
        </w:rPr>
        <w:t>Uudistus 6 (C22.R6): Vahvistetaan takuumekanismeja, jotta voidaan varmistaa oikeuksien parempi suoja tietyissä tapauksissa, joissa kuluttajaan kohdistuu erityinen sosiaalinen ja taloudellinen haavoittuvuus</w:t>
      </w:r>
      <w:r>
        <w:rPr>
          <w:b/>
          <w:noProof/>
        </w:rPr>
        <w:t xml:space="preserve">. </w:t>
      </w:r>
    </w:p>
    <w:p w14:paraId="3BAB9ACB" w14:textId="44A022E1" w:rsidR="0065073E" w:rsidRDefault="000A0998">
      <w:pPr>
        <w:pStyle w:val="P68B1DB1-P68B1DB1-Normal334"/>
        <w:spacing w:line="240" w:lineRule="auto"/>
        <w:jc w:val="both"/>
        <w:rPr>
          <w:noProof/>
        </w:rPr>
      </w:pPr>
      <w:r>
        <w:rPr>
          <w:noProof/>
        </w:rPr>
        <w:t>Uudistuksen tavoitteena on toteuttaa erilaisia toimenpiteitä kuluttajien ja käyttäjien suojelemiseksi yhteiskunnalliselta ja taloudelliselta haavoittuvuudelta.</w:t>
      </w:r>
      <w:r>
        <w:rPr>
          <w:noProof/>
          <w:shd w:val="clear" w:color="auto" w:fill="E6E6E6"/>
        </w:rPr>
        <w:t xml:space="preserve"> </w:t>
      </w:r>
    </w:p>
    <w:p w14:paraId="415E41C7" w14:textId="3912AC4D" w:rsidR="0065073E" w:rsidRDefault="000A0998">
      <w:pPr>
        <w:pStyle w:val="P68B1DB1-P68B1DB1-Normal334"/>
        <w:spacing w:line="240" w:lineRule="auto"/>
        <w:jc w:val="both"/>
        <w:rPr>
          <w:noProof/>
        </w:rPr>
      </w:pPr>
      <w:r>
        <w:rPr>
          <w:noProof/>
        </w:rPr>
        <w:t>Uudistukseen on sisällyttävä ainakin kirjainkirjoitusaakkosten ja muiden muotojen merkintöjä koskevan lainsäädännön hyväksyminen, jotta voidaan taata kulutustavaroiden ja tuotteiden yleinen saatavuus, jotka ovat erityisen tärkeitä turvallisuuden, koskemattomuuden ja elämänlaadun suojelemiseksi, erityisesti sokeiden ja heikkonäköisten henkilöiden kannalta haavoittuvassa asemassa olevina kuluttajina. Lisäksi uudistuksella muutetaan lainsäädäntöä sen varmistamiseksi, että maksupalveluissa tarjotaan pyynnöstä yksilöllistä kohtelua haavoittuvassa asemassa oleville kuluttajille ja käyttäjille, jotta vältetään ”digitaaliseen kuiluun” perustuva syrjintä.</w:t>
      </w:r>
    </w:p>
    <w:p w14:paraId="580E3593" w14:textId="72E27816" w:rsidR="0065073E" w:rsidRDefault="000A0998">
      <w:pPr>
        <w:pStyle w:val="P68B1DB1-P68B1DB1-Normal334"/>
        <w:spacing w:line="240" w:lineRule="auto"/>
        <w:jc w:val="both"/>
        <w:rPr>
          <w:noProof/>
        </w:rPr>
      </w:pPr>
      <w:r>
        <w:rPr>
          <w:noProof/>
        </w:rPr>
        <w:t xml:space="preserve">Toimenpiteen täytäntöönpano on määrä saattaa päätökseen 31. joulukuuta 2025 mennessä. </w:t>
      </w:r>
    </w:p>
    <w:p w14:paraId="6FDD9A91" w14:textId="3630CAD4" w:rsidR="0065073E" w:rsidRDefault="000A0998">
      <w:pPr>
        <w:pStyle w:val="P68B1DB1-Normal5"/>
        <w:rPr>
          <w:rFonts w:eastAsiaTheme="minorEastAsia" w:cs="Times New Roman"/>
          <w:noProof/>
        </w:rPr>
      </w:pPr>
      <w:r>
        <w:rPr>
          <w:noProof/>
        </w:rPr>
        <w:t>Investointi 6 (C22.I6): Sosiaalivaikutteinen rahasto (FIS)</w:t>
      </w:r>
    </w:p>
    <w:p w14:paraId="237F961A" w14:textId="6F017C68" w:rsidR="0065073E" w:rsidRDefault="000A0998">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rPr>
        <w:t>Tämä toimenpide koostuu julkisesta investoinnista tukivälineeseen eli sosiaalivaikutteiseen rahastoon yksityisten investointien kannustamiseksi ja</w:t>
      </w:r>
      <w:r>
        <w:rPr>
          <w:rStyle w:val="normaltextrun"/>
          <w:rFonts w:ascii="Times New Roman" w:hAnsi="Times New Roman"/>
          <w:noProof/>
          <w:sz w:val="24"/>
          <w:shd w:val="clear" w:color="auto" w:fill="FFFFFF"/>
        </w:rPr>
        <w:t xml:space="preserve"> rahoituksen saannin parantamiseksi Espanjan sosiaalisten </w:t>
      </w:r>
      <w:r>
        <w:rPr>
          <w:rFonts w:ascii="Times New Roman" w:hAnsi="Times New Roman"/>
          <w:noProof/>
          <w:sz w:val="24"/>
        </w:rPr>
        <w:t>vaikutusten alalla, erityisesti hankkeisiin, joilla edistetään sosiaalisia ja ympäristöön liittyviä ratkaisuja, ottaen huomioon teollisuuden parhaiden käytäntöjen (GIIN ja muut) laatimat vaikutusten mittaus- ja hallintamenettelyt, sekä pääomamarkkinoiden kehittämiseksi näillä aloilla. Lainajärjestelyn on toimittava tarjoamalla</w:t>
      </w:r>
      <w:r>
        <w:rPr>
          <w:rStyle w:val="normaltextrun"/>
          <w:rFonts w:ascii="Times New Roman" w:hAnsi="Times New Roman"/>
          <w:noProof/>
          <w:sz w:val="24"/>
          <w:shd w:val="clear" w:color="auto" w:fill="FFFFFF"/>
        </w:rPr>
        <w:t xml:space="preserve"> </w:t>
      </w:r>
      <w:r>
        <w:rPr>
          <w:rStyle w:val="normaltextrun"/>
          <w:rFonts w:ascii="Times New Roman" w:hAnsi="Times New Roman"/>
          <w:noProof/>
          <w:sz w:val="24"/>
        </w:rPr>
        <w:t>lainoja, oman pääoman</w:t>
      </w:r>
      <w:r>
        <w:rPr>
          <w:rStyle w:val="normaltextrun"/>
          <w:rFonts w:ascii="Times New Roman" w:hAnsi="Times New Roman"/>
          <w:noProof/>
          <w:sz w:val="24"/>
          <w:shd w:val="clear" w:color="auto" w:fill="FFFFFF"/>
        </w:rPr>
        <w:t>ehtoisia ja oman pääoman luonteisia sijoituksia suoraan tai välittäjien kautta yksityiselle</w:t>
      </w:r>
      <w:r>
        <w:rPr>
          <w:rStyle w:val="normaltextrun"/>
          <w:rFonts w:ascii="Times New Roman" w:hAnsi="Times New Roman"/>
          <w:noProof/>
          <w:sz w:val="24"/>
        </w:rPr>
        <w:t xml:space="preserve"> sektorille sekä vastaavaa toimintaa harjoittaville julkisyhteisöille ja julkisoikeudellisille laitoksille.</w:t>
      </w:r>
      <w:r>
        <w:rPr>
          <w:rStyle w:val="normaltextrun"/>
          <w:rFonts w:ascii="Times New Roman" w:hAnsi="Times New Roman"/>
          <w:noProof/>
          <w:sz w:val="24"/>
          <w:shd w:val="clear" w:color="auto" w:fill="FFFFFF"/>
        </w:rPr>
        <w:t xml:space="preserve"> Elpymis- ja palautumistukivälineen investointien perusteella tukivälineestä on alun perin tarkoitus myöntää rahoitusta vähintään 400000000 euroa.  </w:t>
      </w:r>
    </w:p>
    <w:p w14:paraId="70AE2CCC" w14:textId="6DF9170E" w:rsidR="0065073E" w:rsidRDefault="000A0998">
      <w:pPr>
        <w:spacing w:line="240" w:lineRule="auto"/>
        <w:jc w:val="both"/>
        <w:rPr>
          <w:rFonts w:ascii="Times New Roman" w:eastAsiaTheme="minorEastAsia" w:hAnsi="Times New Roman" w:cs="Times New Roman"/>
          <w:noProof/>
          <w:sz w:val="24"/>
        </w:rPr>
      </w:pPr>
      <w:r>
        <w:rPr>
          <w:rStyle w:val="normaltextrun"/>
          <w:rFonts w:ascii="Times New Roman" w:hAnsi="Times New Roman"/>
          <w:noProof/>
          <w:sz w:val="24"/>
          <w:shd w:val="clear" w:color="auto" w:fill="FFFFFF"/>
        </w:rPr>
        <w:t xml:space="preserve">Välinettä hallinnoi toteutuskumppanina Compañía Española de Financiación del Desarrollo (COFIDES). Tukivälineessä on oltava seuraavat kolme tuotelinjaa: </w:t>
      </w:r>
    </w:p>
    <w:p w14:paraId="64F987A4" w14:textId="7452E1ED" w:rsidR="0065073E" w:rsidRDefault="000A0998">
      <w:pPr>
        <w:pStyle w:val="P68B1DB1-ListParagraph6"/>
        <w:numPr>
          <w:ilvl w:val="0"/>
          <w:numId w:val="690"/>
        </w:numPr>
        <w:jc w:val="both"/>
        <w:rPr>
          <w:rFonts w:eastAsiaTheme="minorEastAsia" w:cs="Times New Roman"/>
          <w:noProof/>
        </w:rPr>
      </w:pPr>
      <w:r>
        <w:rPr>
          <w:noProof/>
        </w:rPr>
        <w:t xml:space="preserve">Yhteiskunnallisesti vaikuttavien sijoitusrahastojen osakkeiden merkitseminen. Tästä budjettikohdasta on ostettava yksityisten rahoitushoitajien hallinnoimien sijoitusvälineiden osakkeita, joiden tarkoituksena on investoida sosiaalisiin ja ympäristöhankkeisiin kaikissa kypsyysvaiheissa. Osto saa olla enintään 25 prosenttia kunkin rahaston kokonaisosuudesta, lukuun ottamatta asianmukaisesti perusteltuja tapauksia, joissa kyseinen prosenttiosuus voi nousta, mutta se saa olla enintään 49 prosenttia. Investointikehys ei myöskään saa ostaa osakkeita useammasta kuin kahdesta saman varainhoitajan hallinnoimasta rahastosta, paitsi jos toinen näistä on luovutusaikana ja on sijoittanut vähintään 50 prosenttia hoidettavina olevista varoista. </w:t>
      </w:r>
    </w:p>
    <w:p w14:paraId="53D59065" w14:textId="3E28993E" w:rsidR="0065073E" w:rsidRDefault="000A0998">
      <w:pPr>
        <w:pStyle w:val="P68B1DB1-ListParagraph6"/>
        <w:numPr>
          <w:ilvl w:val="0"/>
          <w:numId w:val="690"/>
        </w:numPr>
        <w:jc w:val="both"/>
        <w:rPr>
          <w:rFonts w:eastAsiaTheme="minorEastAsia" w:cs="Times New Roman"/>
          <w:noProof/>
        </w:rPr>
      </w:pPr>
      <w:r>
        <w:rPr>
          <w:noProof/>
        </w:rPr>
        <w:t xml:space="preserve">Yhteisinvestoinnit tai yhteisrahoitus oman pääoman ehtoisten tai muiden vieraan pääoman ehtoisten välineiden kautta hankkeisiin, joilla on mitattavissa olevia sosiaalisia tai ympäristövaikutuksia, tai yrityksiin, jotka ovat sitoutuneet toteuttamaan uusia hankkeita, joilla on nämä ominaisuudet.  Tästä budjettikohdasta investoidaan tai yhteisrahoitetaan hankkeita muiden julkisten tai yksityisten varojen kanssa, mahdollisesti myös niiden kanssa, joista investointikehys on ostanut osakkeita. </w:t>
      </w:r>
    </w:p>
    <w:p w14:paraId="43114929" w14:textId="164340FA" w:rsidR="0065073E" w:rsidRDefault="000A0998">
      <w:pPr>
        <w:pStyle w:val="P68B1DB1-ListParagraph6"/>
        <w:numPr>
          <w:ilvl w:val="0"/>
          <w:numId w:val="690"/>
        </w:numPr>
        <w:jc w:val="both"/>
        <w:rPr>
          <w:rFonts w:eastAsiaTheme="minorEastAsia" w:cs="Times New Roman"/>
          <w:noProof/>
        </w:rPr>
      </w:pPr>
      <w:r>
        <w:rPr>
          <w:noProof/>
        </w:rPr>
        <w:t>Suorat lainat ja osallistavat lainat yrityksille, joiden on toteutettava hankkeita, joilla on mitattavissa olevia sosiaalisia tai ympäristövaikutuksia.</w:t>
      </w:r>
    </w:p>
    <w:p w14:paraId="093074E7" w14:textId="4DE221FE" w:rsidR="0065073E" w:rsidRDefault="000A0998">
      <w:pPr>
        <w:pStyle w:val="P68B1DB1-Normal4"/>
        <w:jc w:val="both"/>
        <w:rPr>
          <w:rFonts w:eastAsia="Times New Roman" w:cs="Times New Roman"/>
          <w:noProof/>
          <w:u w:val="single"/>
        </w:rPr>
      </w:pPr>
      <w:r>
        <w:rPr>
          <w:noProof/>
        </w:rPr>
        <w:t>Investointi kattaa myös teknisen avun välineen, jonka tarkoituksena on parantaa tuensaajien valmiuksia hallinnoida ja mitata investointihankkeidensa vaikutuksia. Sillä tuetaan myös tukivälineen moitteetonta varainhoitoa. TAF-järjestelmää hallinnoi COFIDES, ja sille osoitetaan alustavasti enintään 8 miljoonaa euroa.</w:t>
      </w:r>
    </w:p>
    <w:p w14:paraId="00E54E3E" w14:textId="0E7E5167" w:rsidR="0065073E" w:rsidRDefault="000A0998">
      <w:pPr>
        <w:pStyle w:val="P68B1DB1-Normal4"/>
        <w:spacing w:line="240" w:lineRule="auto"/>
        <w:jc w:val="both"/>
        <w:rPr>
          <w:rFonts w:eastAsia="Times New Roman" w:cs="Times New Roman"/>
          <w:noProof/>
        </w:rPr>
      </w:pPr>
      <w:r>
        <w:rPr>
          <w:noProof/>
        </w:rPr>
        <w:t xml:space="preserve">Investointivälineeseen tehtävän investoinnin toteuttamiseksi Espanjan on hyväksyttävä tukivälineen perustamista ja hallinnointia koskeva asetus ja kaikki siihen liittyvät asiakirjat, joiden sisältö on seuraava: </w:t>
      </w:r>
    </w:p>
    <w:p w14:paraId="77F76082" w14:textId="77D13859" w:rsidR="0065073E" w:rsidRDefault="000A0998">
      <w:pPr>
        <w:pStyle w:val="P68B1DB1-ListParagraph6"/>
        <w:numPr>
          <w:ilvl w:val="0"/>
          <w:numId w:val="764"/>
        </w:numPr>
        <w:spacing w:line="240" w:lineRule="auto"/>
        <w:contextualSpacing w:val="0"/>
        <w:jc w:val="both"/>
        <w:rPr>
          <w:rFonts w:eastAsia="Times New Roman" w:cs="Times New Roman"/>
          <w:noProof/>
        </w:rPr>
      </w:pPr>
      <w:r>
        <w:rPr>
          <w:noProof/>
        </w:rPr>
        <w:t>Tukivälineen päätöksentekoprosessin kuvaus:  Investointikehyksen alkuperäisen investointipäätöksen tekee investointikomitea tai muu vastaava hallintoelin, ja se hyväksytään Espanjan hallituksesta riippumattomien jäsenten äänten enemmistöllä. Investointikehyksen lopullinen investointipäätös rajoittuu investointikomitean tai vastaavan hallintoelimen ehdottaman investointipäätöksen hyväksymiseen (ilman muutoksia) tai veto-oikeuden käyttämiseen. Välitettyjen sijoitusten osalta välittäjien on tehtävä lopullinen sijoituspäätös.</w:t>
      </w:r>
    </w:p>
    <w:p w14:paraId="683E6013" w14:textId="77777777" w:rsidR="0065073E" w:rsidRDefault="000A0998">
      <w:pPr>
        <w:pStyle w:val="P68B1DB1-ListParagraph6"/>
        <w:numPr>
          <w:ilvl w:val="0"/>
          <w:numId w:val="764"/>
        </w:numPr>
        <w:spacing w:line="240" w:lineRule="auto"/>
        <w:jc w:val="both"/>
        <w:rPr>
          <w:rFonts w:eastAsia="Times New Roman" w:cs="Times New Roman"/>
          <w:noProof/>
        </w:rPr>
      </w:pPr>
      <w:r>
        <w:rPr>
          <w:noProof/>
        </w:rPr>
        <w:t>Asiaan liittyvän sijoituspolitiikan keskeiset vaatimukset, joihin on sisällyttävä</w:t>
      </w:r>
    </w:p>
    <w:p w14:paraId="3BF8A03B" w14:textId="18B537C3" w:rsidR="0065073E" w:rsidRDefault="000A0998">
      <w:pPr>
        <w:pStyle w:val="P68B1DB1-ListParagraph6"/>
        <w:numPr>
          <w:ilvl w:val="1"/>
          <w:numId w:val="764"/>
        </w:numPr>
        <w:spacing w:line="240" w:lineRule="auto"/>
        <w:jc w:val="both"/>
        <w:rPr>
          <w:rFonts w:eastAsia="Times New Roman" w:cs="Times New Roman"/>
          <w:noProof/>
        </w:rPr>
      </w:pPr>
      <w:r>
        <w:rPr>
          <w:noProof/>
        </w:rPr>
        <w:t>Kuvaus rahoitustuotteista ja tukikelpoisista lopullisista tuensaajista toimenpiteen kuvauksen mukaisesti.</w:t>
      </w:r>
    </w:p>
    <w:p w14:paraId="4C27BD6B" w14:textId="77777777" w:rsidR="0065073E" w:rsidRDefault="000A0998">
      <w:pPr>
        <w:pStyle w:val="P68B1DB1-ListParagraph6"/>
        <w:numPr>
          <w:ilvl w:val="1"/>
          <w:numId w:val="764"/>
        </w:numPr>
        <w:spacing w:line="240" w:lineRule="auto"/>
        <w:jc w:val="both"/>
        <w:rPr>
          <w:rFonts w:eastAsia="Times New Roman" w:cs="Times New Roman"/>
          <w:noProof/>
        </w:rPr>
      </w:pPr>
      <w:r>
        <w:rPr>
          <w:noProof/>
        </w:rPr>
        <w:t>Vaatimus, jonka mukaan kaikkien tuettujen investointien on oltava taloudellisesti kannattavia.</w:t>
      </w:r>
    </w:p>
    <w:p w14:paraId="2B9A7E60" w14:textId="77777777" w:rsidR="0065073E" w:rsidRDefault="000A0998">
      <w:pPr>
        <w:pStyle w:val="P68B1DB1-ListParagraph6"/>
        <w:numPr>
          <w:ilvl w:val="1"/>
          <w:numId w:val="764"/>
        </w:numPr>
        <w:spacing w:line="240" w:lineRule="auto"/>
        <w:jc w:val="both"/>
        <w:rPr>
          <w:rFonts w:eastAsia="Times New Roman" w:cs="Times New Roman"/>
          <w:noProof/>
        </w:rPr>
      </w:pPr>
      <w:r>
        <w:rPr>
          <w:noProof/>
        </w:rPr>
        <w:t xml:space="preserve">Kielto jälleenrahoittaa kaikkia jäljellä olevia lainoja.  </w:t>
      </w:r>
    </w:p>
    <w:p w14:paraId="60EEEDCF" w14:textId="77777777" w:rsidR="0065073E" w:rsidRDefault="000A0998">
      <w:pPr>
        <w:pStyle w:val="P68B1DB1-ListParagraph6"/>
        <w:numPr>
          <w:ilvl w:val="1"/>
          <w:numId w:val="764"/>
        </w:numPr>
        <w:spacing w:line="240" w:lineRule="auto"/>
        <w:jc w:val="both"/>
        <w:rPr>
          <w:rFonts w:eastAsia="Times New Roman" w:cs="Times New Roman"/>
          <w:noProof/>
        </w:rPr>
      </w:pPr>
      <w:r>
        <w:rPr>
          <w:noProof/>
        </w:rPr>
        <w:t xml:space="preserve">Vaatimus noudattaa ”ei merkittävää haittaa” -periaatetta, sellaisena kuin se on vahvistettu ”ei merkittävää haittaa” -periaatetta (2021/C58/01), erityisesti: </w:t>
      </w:r>
    </w:p>
    <w:p w14:paraId="4925FC3C" w14:textId="4249AA29" w:rsidR="0065073E" w:rsidRDefault="000A0998">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sijoituspolitiikassa ei oteta huomioon seuraavaa luetteloa toiminnoista ja omaisuuseristä: I) fossiilisiin polttoaineisiin liittyvät toiminnot ja omaisuuserät, mukaan lukien loppupään käyttö,</w:t>
      </w:r>
      <w:r>
        <w:rPr>
          <w:rStyle w:val="FootnoteReference"/>
          <w:rFonts w:ascii="Times New Roman" w:eastAsia="Times New Roman" w:hAnsi="Times New Roman" w:cs="Times New Roman"/>
          <w:noProof/>
          <w:sz w:val="24"/>
        </w:rPr>
        <w:footnoteReference w:id="191"/>
      </w:r>
      <w:r>
        <w:rPr>
          <w:rFonts w:ascii="Times New Roman" w:hAnsi="Times New Roman"/>
          <w:noProof/>
          <w:sz w:val="24"/>
        </w:rPr>
        <w:t>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92"/>
      </w:r>
      <w:r>
        <w:rPr>
          <w:rFonts w:ascii="Times New Roman" w:hAnsi="Times New Roman"/>
          <w:noProof/>
          <w:sz w:val="24"/>
        </w:rPr>
        <w:t xml:space="preserve">iii) jätteen kaatopaikkoihin, polttolaitoksiin ja mekaanisiin biologisiin käsittelylaitoksiin liittyvät toiminnot ja omaisuuserät. </w:t>
      </w:r>
    </w:p>
    <w:p w14:paraId="514A6210" w14:textId="77777777" w:rsidR="0065073E" w:rsidRDefault="000A0998">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Oman pääoman ehtoisten, oman pääoman luonteisten, yritysten joukkovelkakirjalainojen tai vastaavien instrumenttien osalta:  investointipolitiikan ulkopuolelle on jätettävä yritykset,</w:t>
      </w:r>
      <w:r>
        <w:rPr>
          <w:rStyle w:val="FootnoteReference"/>
          <w:rFonts w:ascii="Times New Roman" w:eastAsia="Times New Roman" w:hAnsi="Times New Roman" w:cs="Times New Roman"/>
          <w:noProof/>
          <w:sz w:val="24"/>
        </w:rPr>
        <w:footnoteReference w:id="193"/>
      </w:r>
      <w:r>
        <w:rPr>
          <w:rFonts w:ascii="Times New Roman" w:hAnsi="Times New Roman"/>
          <w:noProof/>
          <w:sz w:val="24"/>
        </w:rPr>
        <w:t xml:space="preserve"> jotka keskittyvät erityisesti seuraaviin aloihin: I) fossiilisiin polttoaineisiin perustuva energiantuotanto ja siihen liittyvä toiminta</w:t>
      </w:r>
      <w:r>
        <w:rPr>
          <w:rStyle w:val="FootnoteReference"/>
          <w:rFonts w:ascii="Times New Roman" w:eastAsia="Times New Roman" w:hAnsi="Times New Roman" w:cs="Times New Roman"/>
          <w:noProof/>
          <w:sz w:val="24"/>
        </w:rPr>
        <w:footnoteReference w:id="194"/>
      </w:r>
      <w:r>
        <w:rPr>
          <w:rFonts w:ascii="Times New Roman" w:hAnsi="Times New Roman"/>
          <w:noProof/>
          <w:sz w:val="24"/>
        </w:rPr>
        <w:t>; II) energiaintensiiviset ja/tai paljon hiilidioksidipäästöjä aiheuttavat teollisuudenalat</w:t>
      </w:r>
      <w:r>
        <w:rPr>
          <w:rStyle w:val="FootnoteReference"/>
          <w:rFonts w:ascii="Times New Roman" w:eastAsia="Times New Roman" w:hAnsi="Times New Roman" w:cs="Times New Roman"/>
          <w:noProof/>
          <w:sz w:val="24"/>
        </w:rPr>
        <w:footnoteReference w:id="195"/>
      </w:r>
      <w:r>
        <w:rPr>
          <w:rFonts w:ascii="Times New Roman" w:hAnsi="Times New Roman"/>
          <w:noProof/>
          <w:sz w:val="24"/>
        </w:rPr>
        <w:t>; saastuttavien ajoneuvojen tuotanto, vuokraus tai myynti</w:t>
      </w:r>
      <w:r>
        <w:rPr>
          <w:rStyle w:val="FootnoteReference"/>
          <w:rFonts w:ascii="Times New Roman" w:eastAsia="Times New Roman" w:hAnsi="Times New Roman" w:cs="Times New Roman"/>
          <w:noProof/>
          <w:sz w:val="24"/>
        </w:rPr>
        <w:footnoteReference w:id="196"/>
      </w:r>
      <w:r>
        <w:rPr>
          <w:rFonts w:ascii="Times New Roman" w:hAnsi="Times New Roman"/>
          <w:noProof/>
          <w:sz w:val="24"/>
        </w:rPr>
        <w:t>; IV) jätteiden keruu, käsittely ja</w:t>
      </w:r>
      <w:r>
        <w:rPr>
          <w:rStyle w:val="FootnoteReference"/>
          <w:rFonts w:ascii="Times New Roman" w:eastAsia="Times New Roman" w:hAnsi="Times New Roman" w:cs="Times New Roman"/>
          <w:noProof/>
          <w:sz w:val="24"/>
        </w:rPr>
        <w:footnoteReference w:id="197"/>
      </w:r>
      <w:r>
        <w:rPr>
          <w:rFonts w:ascii="Times New Roman" w:hAnsi="Times New Roman"/>
          <w:noProof/>
          <w:sz w:val="24"/>
        </w:rPr>
        <w:t>loppusijoitus, v) ydinpolttoaineen käsittely, ydinenergian tuotanto</w:t>
      </w:r>
    </w:p>
    <w:p w14:paraId="2DA0D89B" w14:textId="77777777" w:rsidR="0065073E" w:rsidRDefault="000A0998">
      <w:pPr>
        <w:pStyle w:val="P68B1DB1-ListParagraph6"/>
        <w:numPr>
          <w:ilvl w:val="2"/>
          <w:numId w:val="764"/>
        </w:numPr>
        <w:jc w:val="both"/>
        <w:rPr>
          <w:rFonts w:eastAsia="Times New Roman" w:cs="Times New Roman"/>
          <w:noProof/>
        </w:rPr>
      </w:pPr>
      <w:r>
        <w:rPr>
          <w:noProof/>
        </w:rPr>
        <w:t>Lisäksi investointipolitiikassa on edellytettävä, että tukivälineen lopulliset edunsaajat noudattavat asiaankuuluvaa EU:n ja kansallista ympäristölainsäädäntöä.</w:t>
      </w:r>
    </w:p>
    <w:p w14:paraId="0EA26F27" w14:textId="77777777" w:rsidR="0065073E" w:rsidRDefault="000A0998">
      <w:pPr>
        <w:pStyle w:val="P68B1DB1-ListParagraph6"/>
        <w:numPr>
          <w:ilvl w:val="1"/>
          <w:numId w:val="764"/>
        </w:numPr>
        <w:jc w:val="both"/>
        <w:rPr>
          <w:rFonts w:eastAsia="Times New Roman" w:cs="Times New Roman"/>
          <w:noProof/>
        </w:rPr>
      </w:pPr>
      <w:r>
        <w:rPr>
          <w:noProof/>
        </w:rPr>
        <w:t>Vaatimus, jonka mukaan lainajärjestelyn lopulliset edunsaajat eivät saa saada tukea muista unionin välineistä samojen kustannusten kattamiseksi.</w:t>
      </w:r>
    </w:p>
    <w:p w14:paraId="088EF188" w14:textId="306B991B" w:rsidR="0065073E" w:rsidRDefault="000A0998">
      <w:pPr>
        <w:pStyle w:val="P68B1DB1-ListParagraph6"/>
        <w:numPr>
          <w:ilvl w:val="0"/>
          <w:numId w:val="764"/>
        </w:numPr>
        <w:jc w:val="both"/>
        <w:rPr>
          <w:rFonts w:eastAsia="Times New Roman" w:cs="Times New Roman"/>
          <w:noProof/>
        </w:rPr>
      </w:pPr>
      <w:r>
        <w:rPr>
          <w:noProof/>
        </w:rPr>
        <w:t>Asetusten ja niihin liittyvien tukivälineen perustamisasiakirjojen kattama määrä, toteutuskumppanin maksurakenne ja vaatimus sijoittaa takaisin saadut varat tukivälineen investointipolitiikan mukaisesti, paitsi jos niitä käytetään elpymis- ja palautumistukivälineen lainojen takaisinmaksuun.</w:t>
      </w:r>
    </w:p>
    <w:p w14:paraId="6ED49105" w14:textId="77777777" w:rsidR="0065073E" w:rsidRDefault="000A0998">
      <w:pPr>
        <w:pStyle w:val="P68B1DB1-ListParagraph6"/>
        <w:numPr>
          <w:ilvl w:val="0"/>
          <w:numId w:val="764"/>
        </w:numPr>
        <w:jc w:val="both"/>
        <w:rPr>
          <w:rFonts w:eastAsia="Times New Roman" w:cs="Times New Roman"/>
          <w:noProof/>
        </w:rPr>
      </w:pPr>
      <w:r>
        <w:rPr>
          <w:noProof/>
        </w:rPr>
        <w:t>Seuranta-, auditointi- ja valvontavaatimukset, mukaan lukien</w:t>
      </w:r>
    </w:p>
    <w:p w14:paraId="6BCC69DF" w14:textId="77777777" w:rsidR="0065073E" w:rsidRDefault="000A0998">
      <w:pPr>
        <w:pStyle w:val="P68B1DB1-ListParagraph6"/>
        <w:numPr>
          <w:ilvl w:val="1"/>
          <w:numId w:val="764"/>
        </w:numPr>
        <w:jc w:val="both"/>
        <w:rPr>
          <w:rFonts w:eastAsia="Times New Roman" w:cs="Times New Roman"/>
          <w:noProof/>
        </w:rPr>
      </w:pPr>
      <w:r>
        <w:rPr>
          <w:noProof/>
        </w:rPr>
        <w:t>Kuvaus toteutuskumppanin seurantajärjestelmästä, jolla raportoidaan käyttöön otetuista investoinneista.</w:t>
      </w:r>
    </w:p>
    <w:p w14:paraId="1C066FFF" w14:textId="77777777" w:rsidR="0065073E" w:rsidRDefault="000A0998">
      <w:pPr>
        <w:pStyle w:val="P68B1DB1-ListParagraph6"/>
        <w:numPr>
          <w:ilvl w:val="1"/>
          <w:numId w:val="764"/>
        </w:numPr>
        <w:jc w:val="both"/>
        <w:rPr>
          <w:rFonts w:eastAsia="Times New Roman" w:cs="Times New Roman"/>
          <w:noProof/>
        </w:rPr>
      </w:pPr>
      <w:r>
        <w:rPr>
          <w:noProof/>
        </w:rPr>
        <w:t xml:space="preserve">Kuvaus toteutuskumppanin menettelyistä, joilla varmistetaan petosten, lahjonnan ja eturistiriitojen ehkäiseminen, havaitseminen ja korjaaminen. </w:t>
      </w:r>
    </w:p>
    <w:p w14:paraId="3E035756" w14:textId="22770397" w:rsidR="0065073E" w:rsidRDefault="000A0998">
      <w:pPr>
        <w:pStyle w:val="P68B1DB1-ListParagraph6"/>
        <w:numPr>
          <w:ilvl w:val="1"/>
          <w:numId w:val="764"/>
        </w:numPr>
        <w:jc w:val="both"/>
        <w:rPr>
          <w:rFonts w:eastAsia="Times New Roman" w:cs="Times New Roman"/>
          <w:noProof/>
        </w:rPr>
      </w:pPr>
      <w:r>
        <w:rPr>
          <w:noProof/>
        </w:rPr>
        <w:t xml:space="preserve">Velvollisuus tarkistaa jokaisen toimen tukikelpoisuus tukivälineen perustamisesta annetuissa asetuksissa vahvistettujen vaatimusten mukaisesti ennen kuin sitoudutaan rahoittamaan toimea. </w:t>
      </w:r>
    </w:p>
    <w:p w14:paraId="213A65F2" w14:textId="7EF11A41" w:rsidR="0065073E" w:rsidRDefault="000A0998">
      <w:pPr>
        <w:pStyle w:val="P68B1DB1-ListParagraph6"/>
        <w:numPr>
          <w:ilvl w:val="1"/>
          <w:numId w:val="764"/>
        </w:numPr>
        <w:jc w:val="both"/>
        <w:rPr>
          <w:rFonts w:eastAsia="Times New Roman" w:cs="Times New Roman"/>
          <w:noProof/>
        </w:rPr>
      </w:pPr>
      <w:r>
        <w:rPr>
          <w:noProof/>
        </w:rPr>
        <w:t xml:space="preserve">Velvollisuus suorittaa riskiperusteisia jälkitarkastuksia COFIDESin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asetuksen ja siihen liittyvien tukivälineen perustamisasiakirjojen ja rahoitussopimusten ehtoja noudatetaan. </w:t>
      </w:r>
    </w:p>
    <w:p w14:paraId="5865B760" w14:textId="770FCCE6" w:rsidR="0065073E" w:rsidRDefault="000A0998">
      <w:pPr>
        <w:pStyle w:val="P68B1DB1-ListParagraph6"/>
        <w:numPr>
          <w:ilvl w:val="0"/>
          <w:numId w:val="764"/>
        </w:numPr>
        <w:jc w:val="both"/>
        <w:rPr>
          <w:rFonts w:eastAsia="Times New Roman" w:cs="Times New Roman"/>
          <w:noProof/>
        </w:rPr>
      </w:pPr>
      <w:r>
        <w:rPr>
          <w:noProof/>
        </w:rPr>
        <w:t xml:space="preserve">Rahoituksen välittäjien valintaa koskevat vaatimukset: COFIDES-työryhmä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5138BC22" w14:textId="5AF03632" w:rsidR="0065073E" w:rsidRDefault="000A0998">
      <w:pPr>
        <w:pStyle w:val="P68B1DB1-ListParagraph6"/>
        <w:numPr>
          <w:ilvl w:val="0"/>
          <w:numId w:val="764"/>
        </w:numPr>
        <w:jc w:val="both"/>
        <w:rPr>
          <w:rFonts w:eastAsia="Times New Roman" w:cs="Times New Roman"/>
          <w:noProof/>
        </w:rPr>
      </w:pPr>
      <w:r>
        <w:rPr>
          <w:noProof/>
        </w:rPr>
        <w:t xml:space="preserve">Vaatimus rahoitussopimusten allekirjoittamisesta: COFIDES allekirjoittaa rahoituksen välittäjien kanssa rahoitussopimukset keskeisten vaatimusten mukaisesti, jotka on toimitettava osana niihin liittyviä rahoitusjärjestelyn perustamisasiakirjoja. Rahoitussopimuksen keskeisiin vaatimuksiin on sisällyttävä kaikki rahaston toimintaa koskevat vaatimukset, mukaan lukien seuraavat:  </w:t>
      </w:r>
    </w:p>
    <w:p w14:paraId="09C24E1C" w14:textId="77777777" w:rsidR="0065073E" w:rsidRDefault="000A0998">
      <w:pPr>
        <w:pStyle w:val="P68B1DB1-ListParagraph6"/>
        <w:numPr>
          <w:ilvl w:val="1"/>
          <w:numId w:val="764"/>
        </w:numPr>
        <w:jc w:val="both"/>
        <w:rPr>
          <w:rFonts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 </w:t>
      </w:r>
    </w:p>
    <w:p w14:paraId="7E3B4622" w14:textId="77777777" w:rsidR="0065073E" w:rsidRDefault="000A0998">
      <w:pPr>
        <w:pStyle w:val="P68B1DB1-ListParagraph6"/>
        <w:numPr>
          <w:ilvl w:val="1"/>
          <w:numId w:val="764"/>
        </w:numPr>
        <w:jc w:val="both"/>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42FE8EDF" w14:textId="79B707A0" w:rsidR="0065073E" w:rsidRDefault="000A0998">
      <w:pPr>
        <w:pStyle w:val="P68B1DB1-Normal4"/>
        <w:spacing w:line="240" w:lineRule="auto"/>
        <w:jc w:val="both"/>
        <w:rPr>
          <w:rFonts w:eastAsia="Times New Roman" w:cs="Times New Roman"/>
          <w:noProof/>
        </w:rPr>
      </w:pPr>
      <w:r>
        <w:rPr>
          <w:noProof/>
        </w:rPr>
        <w:t>Toimenpiteen täytäntöönpano on saatettava päätökseen 31 päivään elokuuta 2026 mennessä.</w:t>
      </w:r>
    </w:p>
    <w:p w14:paraId="5E053EF4" w14:textId="3F4660FC"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V.4. </w:t>
      </w:r>
      <w:r>
        <w:rPr>
          <w:noProof/>
        </w:rPr>
        <w:t xml:space="preserve"> </w:t>
      </w:r>
      <w:r>
        <w:rPr>
          <w:rFonts w:ascii="Times New Roman" w:hAnsi="Times New Roman"/>
          <w:b/>
          <w:noProof/>
          <w:sz w:val="24"/>
          <w:u w:val="single"/>
        </w:rPr>
        <w:t>Lainatuen seurannan ja täytäntöönpanon välitavoitteet, tavoitteet, indikaattorit ja aikataulu</w:t>
      </w:r>
    </w:p>
    <w:p w14:paraId="0A4CEC96" w14:textId="0A0385A2"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w:t>
      </w:r>
    </w:p>
    <w:p w14:paraId="7DAC8207" w14:textId="77777777" w:rsidR="0065073E" w:rsidRDefault="0065073E">
      <w:pPr>
        <w:spacing w:line="240" w:lineRule="auto"/>
        <w:jc w:val="both"/>
        <w:rPr>
          <w:rFonts w:ascii="Times New Roman" w:eastAsia="Times New Roman" w:hAnsi="Times New Roman" w:cs="Times New Roman"/>
          <w:noProof/>
          <w:sz w:val="24"/>
        </w:rPr>
      </w:pPr>
    </w:p>
    <w:p w14:paraId="0A7FA34A" w14:textId="77777777" w:rsidR="0065073E" w:rsidRDefault="0065073E">
      <w:pPr>
        <w:spacing w:line="240" w:lineRule="auto"/>
        <w:jc w:val="both"/>
        <w:rPr>
          <w:rFonts w:ascii="Times New Roman" w:eastAsia="Times New Roman" w:hAnsi="Times New Roman" w:cs="Times New Roman"/>
          <w:noProof/>
          <w:sz w:val="24"/>
        </w:rPr>
      </w:pPr>
    </w:p>
    <w:p w14:paraId="5DA8070D" w14:textId="77777777" w:rsidR="0065073E" w:rsidRDefault="0065073E">
      <w:pPr>
        <w:jc w:val="both"/>
        <w:rPr>
          <w:rFonts w:ascii="Times New Roman" w:eastAsiaTheme="minorEastAsia" w:hAnsi="Times New Roman" w:cs="Times New Roman"/>
          <w:noProof/>
          <w:sz w:val="24"/>
        </w:rPr>
        <w:sectPr w:rsidR="0065073E" w:rsidSect="00B511EF">
          <w:headerReference w:type="even" r:id="rId499"/>
          <w:headerReference w:type="default" r:id="rId500"/>
          <w:footerReference w:type="even" r:id="rId501"/>
          <w:footerReference w:type="default" r:id="rId502"/>
          <w:headerReference w:type="first" r:id="rId503"/>
          <w:footerReference w:type="first" r:id="rId504"/>
          <w:pgSz w:w="11907" w:h="16839"/>
          <w:pgMar w:top="1134" w:right="1134" w:bottom="1134" w:left="1134" w:header="567" w:footer="567" w:gutter="0"/>
          <w:cols w:space="720"/>
          <w:docGrid w:linePitch="360"/>
        </w:sectPr>
      </w:pPr>
    </w:p>
    <w:p w14:paraId="12236E45" w14:textId="77777777" w:rsidR="0065073E" w:rsidRDefault="0065073E">
      <w:pPr>
        <w:rPr>
          <w:rFonts w:ascii="Times New Roman" w:hAnsi="Times New Roman" w:cs="Times New Roman"/>
          <w:noProof/>
        </w:rPr>
      </w:pPr>
    </w:p>
    <w:tbl>
      <w:tblPr>
        <w:tblpPr w:leftFromText="141" w:rightFromText="141" w:vertAnchor="text" w:horzAnchor="margin" w:tblpY="5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221"/>
        <w:gridCol w:w="317"/>
        <w:gridCol w:w="298"/>
        <w:gridCol w:w="2871"/>
        <w:gridCol w:w="1536"/>
        <w:gridCol w:w="251"/>
        <w:gridCol w:w="282"/>
        <w:gridCol w:w="286"/>
        <w:gridCol w:w="787"/>
        <w:gridCol w:w="203"/>
        <w:gridCol w:w="7617"/>
      </w:tblGrid>
      <w:tr w:rsidR="0065073E" w14:paraId="2C8BFD81" w14:textId="77777777" w:rsidTr="00C674D0">
        <w:trPr>
          <w:trHeight w:val="524"/>
        </w:trPr>
        <w:tc>
          <w:tcPr>
            <w:tcW w:w="186" w:type="pct"/>
            <w:vMerge w:val="restart"/>
            <w:shd w:val="clear" w:color="auto" w:fill="C6D9F1" w:themeFill="text2" w:themeFillTint="33"/>
            <w:vAlign w:val="center"/>
          </w:tcPr>
          <w:p w14:paraId="3B8DBAD9" w14:textId="5CFB30F8" w:rsidR="0065073E" w:rsidRDefault="000A0998">
            <w:pPr>
              <w:pStyle w:val="P68B1DB1-Normal8"/>
              <w:spacing w:after="0" w:line="240" w:lineRule="auto"/>
              <w:jc w:val="center"/>
              <w:rPr>
                <w:rFonts w:cs="Times New Roman"/>
                <w:noProof/>
              </w:rPr>
            </w:pPr>
            <w:r>
              <w:rPr>
                <w:noProof/>
              </w:rPr>
              <w:t>Määrä</w:t>
            </w:r>
          </w:p>
        </w:tc>
        <w:tc>
          <w:tcPr>
            <w:tcW w:w="307" w:type="pct"/>
            <w:vMerge w:val="restart"/>
            <w:shd w:val="clear" w:color="auto" w:fill="C6D9F1" w:themeFill="text2" w:themeFillTint="33"/>
            <w:vAlign w:val="center"/>
            <w:hideMark/>
          </w:tcPr>
          <w:p w14:paraId="2E1D7C96" w14:textId="77777777" w:rsidR="0065073E" w:rsidRDefault="000A0998">
            <w:pPr>
              <w:pStyle w:val="P68B1DB1-Normal8"/>
              <w:spacing w:after="0" w:line="240" w:lineRule="auto"/>
              <w:jc w:val="center"/>
              <w:rPr>
                <w:rFonts w:cs="Times New Roman"/>
                <w:noProof/>
              </w:rPr>
            </w:pPr>
            <w:r>
              <w:rPr>
                <w:noProof/>
              </w:rPr>
              <w:t xml:space="preserve">Toimenpide </w:t>
            </w:r>
          </w:p>
          <w:p w14:paraId="5500F1CE" w14:textId="3C415CA9" w:rsidR="0065073E" w:rsidRDefault="000A0998">
            <w:pPr>
              <w:pStyle w:val="P68B1DB1-Normal8"/>
              <w:spacing w:after="0" w:line="240" w:lineRule="auto"/>
              <w:jc w:val="center"/>
              <w:rPr>
                <w:rFonts w:cs="Times New Roman"/>
                <w:noProof/>
              </w:rPr>
            </w:pPr>
            <w:r>
              <w:rPr>
                <w:noProof/>
              </w:rPr>
              <w:t xml:space="preserve"> </w:t>
            </w:r>
          </w:p>
        </w:tc>
        <w:tc>
          <w:tcPr>
            <w:tcW w:w="283" w:type="pct"/>
            <w:vMerge w:val="restart"/>
            <w:shd w:val="clear" w:color="auto" w:fill="C6D9F1" w:themeFill="text2" w:themeFillTint="33"/>
            <w:vAlign w:val="center"/>
            <w:hideMark/>
          </w:tcPr>
          <w:p w14:paraId="20495EDA" w14:textId="77777777" w:rsidR="0065073E" w:rsidRDefault="000A0998">
            <w:pPr>
              <w:pStyle w:val="P68B1DB1-Normal8"/>
              <w:spacing w:after="0" w:line="240" w:lineRule="auto"/>
              <w:jc w:val="center"/>
              <w:rPr>
                <w:rFonts w:cs="Times New Roman"/>
                <w:noProof/>
              </w:rPr>
            </w:pPr>
            <w:r>
              <w:rPr>
                <w:noProof/>
              </w:rPr>
              <w:t>Välitavoite</w:t>
            </w:r>
          </w:p>
          <w:p w14:paraId="3B22CAB3" w14:textId="77777777" w:rsidR="0065073E" w:rsidRDefault="000A0998">
            <w:pPr>
              <w:pStyle w:val="P68B1DB1-Normal8"/>
              <w:spacing w:after="0" w:line="240" w:lineRule="auto"/>
              <w:jc w:val="center"/>
              <w:rPr>
                <w:rFonts w:cs="Times New Roman"/>
                <w:noProof/>
              </w:rPr>
            </w:pPr>
            <w:r>
              <w:rPr>
                <w:noProof/>
              </w:rPr>
              <w:t>/Tarkoitus</w:t>
            </w:r>
          </w:p>
          <w:p w14:paraId="39C8A411" w14:textId="40C6FF22" w:rsidR="0065073E" w:rsidRDefault="000A0998">
            <w:pPr>
              <w:pStyle w:val="P68B1DB1-Normal8"/>
              <w:spacing w:after="0" w:line="240" w:lineRule="auto"/>
              <w:jc w:val="center"/>
              <w:rPr>
                <w:rFonts w:cs="Times New Roman"/>
                <w:noProof/>
              </w:rPr>
            </w:pPr>
            <w:r>
              <w:rPr>
                <w:noProof/>
              </w:rPr>
              <w:t xml:space="preserve"> </w:t>
            </w:r>
          </w:p>
        </w:tc>
        <w:tc>
          <w:tcPr>
            <w:tcW w:w="452" w:type="pct"/>
            <w:vMerge w:val="restart"/>
            <w:shd w:val="clear" w:color="auto" w:fill="C6D9F1" w:themeFill="text2" w:themeFillTint="33"/>
            <w:vAlign w:val="center"/>
            <w:hideMark/>
          </w:tcPr>
          <w:p w14:paraId="51B81471" w14:textId="77777777" w:rsidR="0065073E" w:rsidRDefault="000A0998">
            <w:pPr>
              <w:pStyle w:val="P68B1DB1-Normal8"/>
              <w:spacing w:after="0" w:line="240" w:lineRule="auto"/>
              <w:jc w:val="center"/>
              <w:rPr>
                <w:rFonts w:cs="Times New Roman"/>
                <w:noProof/>
              </w:rPr>
            </w:pPr>
            <w:r>
              <w:rPr>
                <w:noProof/>
              </w:rPr>
              <w:t>Nimi</w:t>
            </w:r>
          </w:p>
          <w:p w14:paraId="614AF5F8" w14:textId="1DF51E80" w:rsidR="0065073E" w:rsidRDefault="000A0998">
            <w:pPr>
              <w:pStyle w:val="P68B1DB1-Normal8"/>
              <w:spacing w:after="0" w:line="240" w:lineRule="auto"/>
              <w:jc w:val="center"/>
              <w:rPr>
                <w:rFonts w:cs="Times New Roman"/>
                <w:noProof/>
              </w:rPr>
            </w:pPr>
            <w:r>
              <w:rPr>
                <w:noProof/>
              </w:rPr>
              <w:t xml:space="preserve"> </w:t>
            </w:r>
          </w:p>
        </w:tc>
        <w:tc>
          <w:tcPr>
            <w:tcW w:w="470" w:type="pct"/>
            <w:vMerge w:val="restart"/>
            <w:shd w:val="clear" w:color="auto" w:fill="C6D9F1" w:themeFill="text2" w:themeFillTint="33"/>
            <w:vAlign w:val="center"/>
            <w:hideMark/>
          </w:tcPr>
          <w:p w14:paraId="1ACE322D" w14:textId="77777777" w:rsidR="0065073E" w:rsidRDefault="000A0998">
            <w:pPr>
              <w:pStyle w:val="P68B1DB1-Normal8"/>
              <w:spacing w:after="0" w:line="240" w:lineRule="auto"/>
              <w:jc w:val="center"/>
              <w:rPr>
                <w:rFonts w:cs="Times New Roman"/>
                <w:noProof/>
              </w:rPr>
            </w:pPr>
            <w:r>
              <w:rPr>
                <w:noProof/>
              </w:rPr>
              <w:t xml:space="preserve">Laadulliset indikaattorit (välitavoitteiden osalta) </w:t>
            </w:r>
          </w:p>
          <w:p w14:paraId="13CB041D" w14:textId="7367A5A3" w:rsidR="0065073E" w:rsidRDefault="000A0998">
            <w:pPr>
              <w:pStyle w:val="P68B1DB1-Normal8"/>
              <w:spacing w:after="0" w:line="240" w:lineRule="auto"/>
              <w:jc w:val="center"/>
              <w:rPr>
                <w:rFonts w:cs="Times New Roman"/>
                <w:noProof/>
              </w:rPr>
            </w:pPr>
            <w:r>
              <w:rPr>
                <w:noProof/>
              </w:rPr>
              <w:t xml:space="preserve"> </w:t>
            </w:r>
          </w:p>
        </w:tc>
        <w:tc>
          <w:tcPr>
            <w:tcW w:w="790" w:type="pct"/>
            <w:gridSpan w:val="3"/>
            <w:shd w:val="clear" w:color="auto" w:fill="C6D9F1" w:themeFill="text2" w:themeFillTint="33"/>
            <w:vAlign w:val="center"/>
            <w:hideMark/>
          </w:tcPr>
          <w:p w14:paraId="6E6977EB" w14:textId="4486EAF7" w:rsidR="0065073E" w:rsidRDefault="000A0998">
            <w:pPr>
              <w:pStyle w:val="P68B1DB1-Normal8"/>
              <w:spacing w:after="0" w:line="240" w:lineRule="auto"/>
              <w:jc w:val="center"/>
              <w:rPr>
                <w:rFonts w:cs="Times New Roman"/>
                <w:noProof/>
              </w:rPr>
            </w:pPr>
            <w:r>
              <w:rPr>
                <w:noProof/>
              </w:rPr>
              <w:t xml:space="preserve">Määrälliset indikaattorit (tavoite) </w:t>
            </w:r>
          </w:p>
        </w:tc>
        <w:tc>
          <w:tcPr>
            <w:tcW w:w="717" w:type="pct"/>
            <w:gridSpan w:val="2"/>
            <w:shd w:val="clear" w:color="auto" w:fill="C6D9F1" w:themeFill="text2" w:themeFillTint="33"/>
            <w:vAlign w:val="center"/>
            <w:hideMark/>
          </w:tcPr>
          <w:p w14:paraId="5F2A52BA" w14:textId="77777777" w:rsidR="0065073E" w:rsidRDefault="000A0998">
            <w:pPr>
              <w:pStyle w:val="P68B1DB1-Normal8"/>
              <w:spacing w:after="0" w:line="240" w:lineRule="auto"/>
              <w:jc w:val="center"/>
              <w:rPr>
                <w:rFonts w:cs="Times New Roman"/>
                <w:noProof/>
              </w:rPr>
            </w:pPr>
            <w:r>
              <w:rPr>
                <w:noProof/>
              </w:rPr>
              <w:t xml:space="preserve">Aika </w:t>
            </w:r>
          </w:p>
        </w:tc>
        <w:tc>
          <w:tcPr>
            <w:tcW w:w="1795" w:type="pct"/>
            <w:vMerge w:val="restart"/>
            <w:shd w:val="clear" w:color="auto" w:fill="C6D9F1" w:themeFill="text2" w:themeFillTint="33"/>
            <w:vAlign w:val="center"/>
            <w:hideMark/>
          </w:tcPr>
          <w:p w14:paraId="7416F018" w14:textId="77777777" w:rsidR="0065073E" w:rsidRDefault="000A0998">
            <w:pPr>
              <w:pStyle w:val="P68B1DB1-Normal8"/>
              <w:spacing w:after="0" w:line="240" w:lineRule="auto"/>
              <w:jc w:val="center"/>
              <w:rPr>
                <w:rFonts w:cs="Times New Roman"/>
                <w:noProof/>
              </w:rPr>
            </w:pPr>
            <w:r>
              <w:rPr>
                <w:noProof/>
              </w:rPr>
              <w:t xml:space="preserve">Kunkin välitavoitteen ja tavoitteen kuvaus </w:t>
            </w:r>
          </w:p>
          <w:p w14:paraId="75B49A2F" w14:textId="2F05C254" w:rsidR="0065073E" w:rsidRDefault="000A0998">
            <w:pPr>
              <w:pStyle w:val="P68B1DB1-Normal8"/>
              <w:spacing w:after="0" w:line="240" w:lineRule="auto"/>
              <w:jc w:val="center"/>
              <w:rPr>
                <w:rFonts w:cs="Times New Roman"/>
                <w:noProof/>
              </w:rPr>
            </w:pPr>
            <w:r>
              <w:rPr>
                <w:noProof/>
              </w:rPr>
              <w:t xml:space="preserve"> </w:t>
            </w:r>
          </w:p>
        </w:tc>
      </w:tr>
      <w:tr w:rsidR="0065073E" w14:paraId="17E2B9AE" w14:textId="77777777" w:rsidTr="00C674D0">
        <w:trPr>
          <w:trHeight w:val="387"/>
        </w:trPr>
        <w:tc>
          <w:tcPr>
            <w:tcW w:w="186" w:type="pct"/>
            <w:vMerge/>
            <w:shd w:val="clear" w:color="auto" w:fill="C6D9F1" w:themeFill="text2" w:themeFillTint="33"/>
          </w:tcPr>
          <w:p w14:paraId="67834127" w14:textId="77777777" w:rsidR="0065073E" w:rsidRDefault="0065073E">
            <w:pPr>
              <w:spacing w:after="0" w:line="240" w:lineRule="auto"/>
              <w:jc w:val="center"/>
              <w:rPr>
                <w:rFonts w:ascii="Times New Roman" w:hAnsi="Times New Roman" w:cs="Times New Roman"/>
                <w:b/>
                <w:noProof/>
                <w:sz w:val="18"/>
              </w:rPr>
            </w:pPr>
          </w:p>
        </w:tc>
        <w:tc>
          <w:tcPr>
            <w:tcW w:w="307" w:type="pct"/>
            <w:vMerge/>
            <w:shd w:val="clear" w:color="auto" w:fill="C6D9F1" w:themeFill="text2" w:themeFillTint="33"/>
            <w:noWrap/>
            <w:vAlign w:val="bottom"/>
            <w:hideMark/>
          </w:tcPr>
          <w:p w14:paraId="4F8DD208" w14:textId="501E1BCE" w:rsidR="0065073E" w:rsidRDefault="0065073E">
            <w:pPr>
              <w:spacing w:after="0" w:line="240" w:lineRule="auto"/>
              <w:jc w:val="center"/>
              <w:rPr>
                <w:rFonts w:ascii="Times New Roman" w:hAnsi="Times New Roman" w:cs="Times New Roman"/>
                <w:b/>
                <w:noProof/>
                <w:sz w:val="18"/>
              </w:rPr>
            </w:pPr>
          </w:p>
        </w:tc>
        <w:tc>
          <w:tcPr>
            <w:tcW w:w="283" w:type="pct"/>
            <w:vMerge/>
            <w:shd w:val="clear" w:color="auto" w:fill="C6D9F1" w:themeFill="text2" w:themeFillTint="33"/>
            <w:noWrap/>
            <w:vAlign w:val="bottom"/>
            <w:hideMark/>
          </w:tcPr>
          <w:p w14:paraId="0EBF6A61" w14:textId="4BBD6043" w:rsidR="0065073E" w:rsidRDefault="0065073E">
            <w:pPr>
              <w:spacing w:after="0" w:line="240" w:lineRule="auto"/>
              <w:jc w:val="center"/>
              <w:rPr>
                <w:rFonts w:ascii="Times New Roman" w:hAnsi="Times New Roman" w:cs="Times New Roman"/>
                <w:b/>
                <w:noProof/>
                <w:sz w:val="18"/>
              </w:rPr>
            </w:pPr>
          </w:p>
        </w:tc>
        <w:tc>
          <w:tcPr>
            <w:tcW w:w="452" w:type="pct"/>
            <w:vMerge/>
            <w:shd w:val="clear" w:color="auto" w:fill="C6D9F1" w:themeFill="text2" w:themeFillTint="33"/>
            <w:noWrap/>
            <w:vAlign w:val="bottom"/>
            <w:hideMark/>
          </w:tcPr>
          <w:p w14:paraId="6060CD2C" w14:textId="532BC882" w:rsidR="0065073E" w:rsidRDefault="0065073E">
            <w:pPr>
              <w:spacing w:after="0" w:line="240" w:lineRule="auto"/>
              <w:jc w:val="center"/>
              <w:rPr>
                <w:rFonts w:ascii="Times New Roman" w:hAnsi="Times New Roman" w:cs="Times New Roman"/>
                <w:b/>
                <w:noProof/>
                <w:sz w:val="18"/>
              </w:rPr>
            </w:pPr>
          </w:p>
        </w:tc>
        <w:tc>
          <w:tcPr>
            <w:tcW w:w="470" w:type="pct"/>
            <w:vMerge/>
            <w:shd w:val="clear" w:color="auto" w:fill="C6D9F1" w:themeFill="text2" w:themeFillTint="33"/>
            <w:noWrap/>
            <w:vAlign w:val="bottom"/>
            <w:hideMark/>
          </w:tcPr>
          <w:p w14:paraId="7CAC0B30" w14:textId="5651CA64" w:rsidR="0065073E" w:rsidRDefault="0065073E">
            <w:pPr>
              <w:spacing w:after="0" w:line="240" w:lineRule="auto"/>
              <w:jc w:val="center"/>
              <w:rPr>
                <w:rFonts w:ascii="Times New Roman" w:hAnsi="Times New Roman" w:cs="Times New Roman"/>
                <w:b/>
                <w:noProof/>
                <w:sz w:val="18"/>
              </w:rPr>
            </w:pPr>
          </w:p>
        </w:tc>
        <w:tc>
          <w:tcPr>
            <w:tcW w:w="223" w:type="pct"/>
            <w:shd w:val="clear" w:color="auto" w:fill="C6D9F1" w:themeFill="text2" w:themeFillTint="33"/>
            <w:vAlign w:val="center"/>
            <w:hideMark/>
          </w:tcPr>
          <w:p w14:paraId="6F363A74" w14:textId="77777777" w:rsidR="0065073E" w:rsidRDefault="000A0998">
            <w:pPr>
              <w:pStyle w:val="P68B1DB1-Normal8"/>
              <w:spacing w:after="0" w:line="240" w:lineRule="auto"/>
              <w:jc w:val="center"/>
              <w:rPr>
                <w:rFonts w:cs="Times New Roman"/>
                <w:noProof/>
              </w:rPr>
            </w:pPr>
            <w:r>
              <w:rPr>
                <w:noProof/>
              </w:rPr>
              <w:t>Yksikkö</w:t>
            </w:r>
          </w:p>
        </w:tc>
        <w:tc>
          <w:tcPr>
            <w:tcW w:w="299" w:type="pct"/>
            <w:shd w:val="clear" w:color="auto" w:fill="C6D9F1" w:themeFill="text2" w:themeFillTint="33"/>
            <w:vAlign w:val="center"/>
            <w:hideMark/>
          </w:tcPr>
          <w:p w14:paraId="0E6D6476" w14:textId="7B99F263" w:rsidR="0065073E" w:rsidRDefault="000A0998">
            <w:pPr>
              <w:pStyle w:val="P68B1DB1-Normal8"/>
              <w:spacing w:after="0" w:line="240" w:lineRule="auto"/>
              <w:jc w:val="center"/>
              <w:rPr>
                <w:rFonts w:cs="Times New Roman"/>
                <w:noProof/>
              </w:rPr>
            </w:pPr>
            <w:r>
              <w:rPr>
                <w:noProof/>
              </w:rPr>
              <w:t>Lähtötaso</w:t>
            </w:r>
          </w:p>
        </w:tc>
        <w:tc>
          <w:tcPr>
            <w:tcW w:w="268" w:type="pct"/>
            <w:shd w:val="clear" w:color="auto" w:fill="C6D9F1" w:themeFill="text2" w:themeFillTint="33"/>
            <w:vAlign w:val="center"/>
            <w:hideMark/>
          </w:tcPr>
          <w:p w14:paraId="15B3C123" w14:textId="77777777" w:rsidR="0065073E" w:rsidRDefault="000A0998">
            <w:pPr>
              <w:pStyle w:val="P68B1DB1-Normal8"/>
              <w:spacing w:after="0" w:line="240" w:lineRule="auto"/>
              <w:jc w:val="center"/>
              <w:rPr>
                <w:rFonts w:cs="Times New Roman"/>
                <w:noProof/>
              </w:rPr>
            </w:pPr>
            <w:r>
              <w:rPr>
                <w:noProof/>
              </w:rPr>
              <w:t>Päämäärä</w:t>
            </w:r>
          </w:p>
        </w:tc>
        <w:tc>
          <w:tcPr>
            <w:tcW w:w="503" w:type="pct"/>
            <w:shd w:val="clear" w:color="auto" w:fill="C6D9F1" w:themeFill="text2" w:themeFillTint="33"/>
            <w:vAlign w:val="center"/>
            <w:hideMark/>
          </w:tcPr>
          <w:p w14:paraId="2C050D05" w14:textId="77777777" w:rsidR="0065073E" w:rsidRDefault="000A0998">
            <w:pPr>
              <w:pStyle w:val="P68B1DB1-Normal8"/>
              <w:spacing w:after="0" w:line="240" w:lineRule="auto"/>
              <w:jc w:val="center"/>
              <w:rPr>
                <w:rFonts w:cs="Times New Roman"/>
                <w:noProof/>
              </w:rPr>
            </w:pPr>
            <w:r>
              <w:rPr>
                <w:noProof/>
              </w:rPr>
              <w:t>Q</w:t>
            </w:r>
          </w:p>
        </w:tc>
        <w:tc>
          <w:tcPr>
            <w:tcW w:w="214" w:type="pct"/>
            <w:shd w:val="clear" w:color="auto" w:fill="C6D9F1" w:themeFill="text2" w:themeFillTint="33"/>
            <w:vAlign w:val="center"/>
            <w:hideMark/>
          </w:tcPr>
          <w:p w14:paraId="58D14039" w14:textId="77777777" w:rsidR="0065073E" w:rsidRDefault="000A0998">
            <w:pPr>
              <w:pStyle w:val="P68B1DB1-Normal8"/>
              <w:spacing w:after="0" w:line="240" w:lineRule="auto"/>
              <w:jc w:val="center"/>
              <w:rPr>
                <w:rFonts w:cs="Times New Roman"/>
                <w:noProof/>
              </w:rPr>
            </w:pPr>
            <w:r>
              <w:rPr>
                <w:noProof/>
              </w:rPr>
              <w:t>Vuosi</w:t>
            </w:r>
          </w:p>
        </w:tc>
        <w:tc>
          <w:tcPr>
            <w:tcW w:w="1795" w:type="pct"/>
            <w:vMerge/>
            <w:shd w:val="clear" w:color="auto" w:fill="C6D9F1" w:themeFill="text2" w:themeFillTint="33"/>
            <w:noWrap/>
            <w:vAlign w:val="bottom"/>
            <w:hideMark/>
          </w:tcPr>
          <w:p w14:paraId="6E99A884" w14:textId="79EC2A12" w:rsidR="0065073E" w:rsidRDefault="0065073E">
            <w:pPr>
              <w:spacing w:after="0" w:line="240" w:lineRule="auto"/>
              <w:jc w:val="center"/>
              <w:rPr>
                <w:rFonts w:ascii="Times New Roman" w:hAnsi="Times New Roman" w:cs="Times New Roman"/>
                <w:b/>
                <w:noProof/>
                <w:sz w:val="18"/>
              </w:rPr>
            </w:pPr>
          </w:p>
        </w:tc>
      </w:tr>
      <w:tr w:rsidR="0065073E" w14:paraId="034BC744" w14:textId="77777777" w:rsidTr="00C674D0">
        <w:trPr>
          <w:trHeight w:val="284"/>
        </w:trPr>
        <w:tc>
          <w:tcPr>
            <w:tcW w:w="186" w:type="pct"/>
            <w:shd w:val="clear" w:color="auto" w:fill="C6EFCE"/>
            <w:vAlign w:val="center"/>
          </w:tcPr>
          <w:p w14:paraId="0FF1B3D3" w14:textId="79E9E935" w:rsidR="0065073E" w:rsidRDefault="000A0998">
            <w:pPr>
              <w:pStyle w:val="P68B1DB1-Normal12"/>
              <w:spacing w:line="240" w:lineRule="auto"/>
              <w:jc w:val="center"/>
              <w:rPr>
                <w:rFonts w:cs="Times New Roman"/>
                <w:noProof/>
              </w:rPr>
            </w:pPr>
            <w:r>
              <w:rPr>
                <w:noProof/>
              </w:rPr>
              <w:t>L71</w:t>
            </w:r>
          </w:p>
        </w:tc>
        <w:tc>
          <w:tcPr>
            <w:tcW w:w="307" w:type="pct"/>
            <w:shd w:val="clear" w:color="auto" w:fill="C6EFCE"/>
            <w:noWrap/>
            <w:vAlign w:val="center"/>
            <w:hideMark/>
          </w:tcPr>
          <w:p w14:paraId="65EE4CF3" w14:textId="06F0DE26" w:rsidR="0065073E" w:rsidRDefault="000A0998">
            <w:pPr>
              <w:pStyle w:val="P68B1DB1-Normal12"/>
              <w:spacing w:line="240" w:lineRule="auto"/>
              <w:jc w:val="center"/>
              <w:rPr>
                <w:rFonts w:cs="Times New Roman"/>
                <w:noProof/>
              </w:rPr>
            </w:pPr>
            <w:r>
              <w:rPr>
                <w:noProof/>
              </w:rPr>
              <w:t>C22.R6</w:t>
            </w:r>
          </w:p>
        </w:tc>
        <w:tc>
          <w:tcPr>
            <w:tcW w:w="283" w:type="pct"/>
            <w:shd w:val="clear" w:color="auto" w:fill="C6EFCE"/>
            <w:noWrap/>
            <w:vAlign w:val="center"/>
            <w:hideMark/>
          </w:tcPr>
          <w:p w14:paraId="020AF999" w14:textId="77777777" w:rsidR="0065073E" w:rsidRDefault="000A0998">
            <w:pPr>
              <w:pStyle w:val="P68B1DB1-Normal12"/>
              <w:spacing w:line="240" w:lineRule="auto"/>
              <w:jc w:val="center"/>
              <w:rPr>
                <w:rFonts w:cs="Times New Roman"/>
                <w:noProof/>
              </w:rPr>
            </w:pPr>
            <w:r>
              <w:rPr>
                <w:noProof/>
              </w:rPr>
              <w:t>M</w:t>
            </w:r>
          </w:p>
        </w:tc>
        <w:tc>
          <w:tcPr>
            <w:tcW w:w="452" w:type="pct"/>
            <w:shd w:val="clear" w:color="auto" w:fill="C6EFCE"/>
            <w:noWrap/>
            <w:vAlign w:val="center"/>
            <w:hideMark/>
          </w:tcPr>
          <w:p w14:paraId="7A160499" w14:textId="77777777" w:rsidR="0065073E" w:rsidRDefault="000A0998">
            <w:pPr>
              <w:pStyle w:val="P68B1DB1-Normal12"/>
              <w:spacing w:after="0" w:line="240" w:lineRule="auto"/>
              <w:rPr>
                <w:rFonts w:cs="Times New Roman"/>
                <w:noProof/>
              </w:rPr>
            </w:pPr>
            <w:r>
              <w:rPr>
                <w:noProof/>
              </w:rPr>
              <w:t>Asiaa koskevan lainsäädännön voimaantulo</w:t>
            </w:r>
          </w:p>
        </w:tc>
        <w:tc>
          <w:tcPr>
            <w:tcW w:w="470" w:type="pct"/>
            <w:shd w:val="clear" w:color="auto" w:fill="C6EFCE"/>
            <w:noWrap/>
            <w:vAlign w:val="center"/>
          </w:tcPr>
          <w:p w14:paraId="39BB4D42" w14:textId="77777777" w:rsidR="0065073E" w:rsidRDefault="000A0998">
            <w:pPr>
              <w:pStyle w:val="P68B1DB1-Normal12"/>
              <w:spacing w:after="0" w:line="240" w:lineRule="auto"/>
              <w:rPr>
                <w:rFonts w:cs="Times New Roman"/>
                <w:noProof/>
              </w:rPr>
            </w:pPr>
            <w:r>
              <w:rPr>
                <w:noProof/>
              </w:rPr>
              <w:t>Sen lainsäädännön säännös, jossa säädetään kyseisen lainsäädännön voimaantulosta</w:t>
            </w:r>
          </w:p>
        </w:tc>
        <w:tc>
          <w:tcPr>
            <w:tcW w:w="223" w:type="pct"/>
            <w:shd w:val="clear" w:color="auto" w:fill="C6EFCE"/>
            <w:noWrap/>
            <w:vAlign w:val="center"/>
            <w:hideMark/>
          </w:tcPr>
          <w:p w14:paraId="618FA821" w14:textId="77777777" w:rsidR="0065073E" w:rsidRDefault="000A0998">
            <w:pPr>
              <w:pStyle w:val="P68B1DB1-Normal12"/>
              <w:spacing w:after="0" w:line="240" w:lineRule="auto"/>
              <w:rPr>
                <w:rFonts w:cs="Times New Roman"/>
                <w:noProof/>
              </w:rPr>
            </w:pPr>
            <w:r>
              <w:rPr>
                <w:noProof/>
              </w:rPr>
              <w:t xml:space="preserve"> </w:t>
            </w:r>
          </w:p>
        </w:tc>
        <w:tc>
          <w:tcPr>
            <w:tcW w:w="299" w:type="pct"/>
            <w:shd w:val="clear" w:color="auto" w:fill="C6EFCE"/>
            <w:noWrap/>
            <w:vAlign w:val="center"/>
            <w:hideMark/>
          </w:tcPr>
          <w:p w14:paraId="5F31DAF2" w14:textId="69E958AE" w:rsidR="0065073E" w:rsidRDefault="0065073E">
            <w:pPr>
              <w:spacing w:after="0" w:line="240" w:lineRule="auto"/>
              <w:ind w:left="-483" w:right="383"/>
              <w:jc w:val="center"/>
              <w:rPr>
                <w:rFonts w:ascii="Times New Roman" w:hAnsi="Times New Roman" w:cs="Times New Roman"/>
                <w:noProof/>
                <w:sz w:val="18"/>
              </w:rPr>
            </w:pPr>
          </w:p>
        </w:tc>
        <w:tc>
          <w:tcPr>
            <w:tcW w:w="268" w:type="pct"/>
            <w:shd w:val="clear" w:color="auto" w:fill="C6EFCE"/>
            <w:noWrap/>
            <w:vAlign w:val="center"/>
            <w:hideMark/>
          </w:tcPr>
          <w:p w14:paraId="16A95168" w14:textId="37FC069E" w:rsidR="0065073E" w:rsidRDefault="0065073E">
            <w:pPr>
              <w:spacing w:after="0" w:line="240" w:lineRule="auto"/>
              <w:jc w:val="center"/>
              <w:rPr>
                <w:rFonts w:ascii="Times New Roman" w:hAnsi="Times New Roman" w:cs="Times New Roman"/>
                <w:noProof/>
                <w:sz w:val="18"/>
              </w:rPr>
            </w:pPr>
          </w:p>
        </w:tc>
        <w:tc>
          <w:tcPr>
            <w:tcW w:w="503" w:type="pct"/>
            <w:shd w:val="clear" w:color="auto" w:fill="C6EFCE"/>
            <w:noWrap/>
            <w:vAlign w:val="center"/>
            <w:hideMark/>
          </w:tcPr>
          <w:p w14:paraId="78A4ADF0" w14:textId="5A96BB75" w:rsidR="0065073E" w:rsidRDefault="000A0998">
            <w:pPr>
              <w:pStyle w:val="P68B1DB1-Normal12"/>
              <w:spacing w:after="0" w:line="240" w:lineRule="auto"/>
              <w:jc w:val="center"/>
              <w:rPr>
                <w:rFonts w:cs="Times New Roman"/>
                <w:noProof/>
              </w:rPr>
            </w:pPr>
            <w:r>
              <w:rPr>
                <w:noProof/>
              </w:rPr>
              <w:t>Q4</w:t>
            </w:r>
          </w:p>
        </w:tc>
        <w:tc>
          <w:tcPr>
            <w:tcW w:w="214" w:type="pct"/>
            <w:shd w:val="clear" w:color="auto" w:fill="C6EFCE"/>
            <w:noWrap/>
            <w:vAlign w:val="center"/>
            <w:hideMark/>
          </w:tcPr>
          <w:p w14:paraId="60B1C200" w14:textId="77777777" w:rsidR="0065073E" w:rsidRDefault="000A0998">
            <w:pPr>
              <w:pStyle w:val="P68B1DB1-Normal12"/>
              <w:spacing w:after="0" w:line="240" w:lineRule="auto"/>
              <w:jc w:val="center"/>
              <w:rPr>
                <w:rFonts w:cs="Times New Roman"/>
                <w:noProof/>
              </w:rPr>
            </w:pPr>
            <w:r>
              <w:rPr>
                <w:noProof/>
              </w:rPr>
              <w:t>2025</w:t>
            </w:r>
          </w:p>
        </w:tc>
        <w:tc>
          <w:tcPr>
            <w:tcW w:w="1795" w:type="pct"/>
            <w:shd w:val="clear" w:color="auto" w:fill="C6EFCE"/>
            <w:noWrap/>
            <w:vAlign w:val="center"/>
            <w:hideMark/>
          </w:tcPr>
          <w:p w14:paraId="38E9FAEA" w14:textId="3FD45C70" w:rsidR="0065073E" w:rsidRDefault="000A0998">
            <w:pPr>
              <w:pStyle w:val="P68B1DB1-Normal12"/>
              <w:spacing w:after="0" w:line="240" w:lineRule="auto"/>
              <w:rPr>
                <w:rFonts w:cs="Times New Roman"/>
                <w:noProof/>
              </w:rPr>
            </w:pPr>
            <w:r>
              <w:rPr>
                <w:noProof/>
              </w:rPr>
              <w:t>Kuluttajien ja käyttäjien suojelua yhteiskunnalliselta ja taloudelliselta haavoittuvuudelta koskevan asiaankuuluvan lainsäädännön voimaantulo, erityisesti laki 4/2022 kuluttajien ja käyttäjien suojelusta yhteiskunnalliselta ja taloudelliselta haavoittuvuudelta ja b) Kuninkaan asetus pistekirjoituksella alfabet-merkinnöistä ja muista muodoista, joilla taataan erityisen merkityksellisten tavaroiden ja kulutustavaroiden yleinen saatavuus.</w:t>
            </w:r>
          </w:p>
        </w:tc>
      </w:tr>
      <w:tr w:rsidR="0065073E" w14:paraId="73C58FD5" w14:textId="77777777" w:rsidTr="00C674D0">
        <w:trPr>
          <w:trHeight w:val="284"/>
        </w:trPr>
        <w:tc>
          <w:tcPr>
            <w:tcW w:w="186" w:type="pct"/>
            <w:shd w:val="clear" w:color="auto" w:fill="C6EFCE"/>
            <w:vAlign w:val="center"/>
          </w:tcPr>
          <w:p w14:paraId="2AC62E93" w14:textId="44C03A15" w:rsidR="0065073E" w:rsidRDefault="000A0998">
            <w:pPr>
              <w:pStyle w:val="P68B1DB1-Normal12"/>
              <w:spacing w:line="240" w:lineRule="auto"/>
              <w:jc w:val="center"/>
              <w:rPr>
                <w:rFonts w:cs="Times New Roman"/>
                <w:noProof/>
              </w:rPr>
            </w:pPr>
            <w:r>
              <w:rPr>
                <w:noProof/>
              </w:rPr>
              <w:t>L72</w:t>
            </w:r>
          </w:p>
        </w:tc>
        <w:tc>
          <w:tcPr>
            <w:tcW w:w="307" w:type="pct"/>
            <w:shd w:val="clear" w:color="auto" w:fill="C6EFCE"/>
            <w:noWrap/>
            <w:vAlign w:val="center"/>
          </w:tcPr>
          <w:p w14:paraId="59DA870E" w14:textId="4DD4284E" w:rsidR="0065073E" w:rsidRDefault="000A0998">
            <w:pPr>
              <w:pStyle w:val="P68B1DB1-Normal12"/>
              <w:spacing w:line="240" w:lineRule="auto"/>
              <w:jc w:val="center"/>
              <w:rPr>
                <w:rFonts w:cs="Times New Roman"/>
                <w:noProof/>
              </w:rPr>
            </w:pPr>
            <w:r>
              <w:rPr>
                <w:noProof/>
              </w:rPr>
              <w:t>C22.I6</w:t>
            </w:r>
          </w:p>
        </w:tc>
        <w:tc>
          <w:tcPr>
            <w:tcW w:w="283" w:type="pct"/>
            <w:shd w:val="clear" w:color="auto" w:fill="C6EFCE"/>
            <w:noWrap/>
            <w:vAlign w:val="center"/>
          </w:tcPr>
          <w:p w14:paraId="2F7C1705" w14:textId="77777777" w:rsidR="0065073E" w:rsidRDefault="000A0998">
            <w:pPr>
              <w:pStyle w:val="P68B1DB1-Normal12"/>
              <w:spacing w:line="240" w:lineRule="auto"/>
              <w:jc w:val="center"/>
              <w:rPr>
                <w:rFonts w:cs="Times New Roman"/>
                <w:noProof/>
              </w:rPr>
            </w:pPr>
            <w:r>
              <w:rPr>
                <w:noProof/>
              </w:rPr>
              <w:t>M</w:t>
            </w:r>
          </w:p>
        </w:tc>
        <w:tc>
          <w:tcPr>
            <w:tcW w:w="452" w:type="pct"/>
            <w:shd w:val="clear" w:color="auto" w:fill="C6EFCE"/>
            <w:noWrap/>
            <w:vAlign w:val="center"/>
          </w:tcPr>
          <w:p w14:paraId="468BD76F" w14:textId="19C75DB4" w:rsidR="0065073E" w:rsidRDefault="000A0998">
            <w:pPr>
              <w:pStyle w:val="P68B1DB1-Normal12"/>
              <w:spacing w:after="0" w:line="240" w:lineRule="auto"/>
              <w:rPr>
                <w:rFonts w:cs="Times New Roman"/>
                <w:noProof/>
              </w:rPr>
            </w:pPr>
            <w:r>
              <w:rPr>
                <w:noProof/>
              </w:rPr>
              <w:t>Sosiaalisten vaikutusten rahasto: Asetus tukivälineen perustamisesta</w:t>
            </w:r>
          </w:p>
        </w:tc>
        <w:tc>
          <w:tcPr>
            <w:tcW w:w="470" w:type="pct"/>
            <w:shd w:val="clear" w:color="auto" w:fill="C6EFCE"/>
            <w:noWrap/>
            <w:vAlign w:val="center"/>
          </w:tcPr>
          <w:p w14:paraId="7DD49523" w14:textId="020229C4" w:rsidR="0065073E" w:rsidRDefault="000A0998">
            <w:pPr>
              <w:pStyle w:val="P68B1DB1-Normal12"/>
              <w:spacing w:after="0" w:line="240" w:lineRule="auto"/>
              <w:rPr>
                <w:rFonts w:cs="Times New Roman"/>
                <w:noProof/>
              </w:rPr>
            </w:pPr>
            <w:r>
              <w:rPr>
                <w:noProof/>
              </w:rPr>
              <w:t>Tukivälineen perustamisesta annetun asetuksen voimaantulo</w:t>
            </w:r>
          </w:p>
        </w:tc>
        <w:tc>
          <w:tcPr>
            <w:tcW w:w="223" w:type="pct"/>
            <w:shd w:val="clear" w:color="auto" w:fill="C6EFCE"/>
            <w:noWrap/>
            <w:vAlign w:val="center"/>
          </w:tcPr>
          <w:p w14:paraId="5F6A5B6B" w14:textId="77777777" w:rsidR="0065073E" w:rsidRDefault="0065073E">
            <w:pPr>
              <w:spacing w:after="0" w:line="240" w:lineRule="auto"/>
              <w:rPr>
                <w:rFonts w:ascii="Times New Roman" w:hAnsi="Times New Roman" w:cs="Times New Roman"/>
                <w:noProof/>
                <w:sz w:val="18"/>
              </w:rPr>
            </w:pPr>
          </w:p>
        </w:tc>
        <w:tc>
          <w:tcPr>
            <w:tcW w:w="299" w:type="pct"/>
            <w:shd w:val="clear" w:color="auto" w:fill="C6EFCE"/>
            <w:noWrap/>
            <w:vAlign w:val="center"/>
          </w:tcPr>
          <w:p w14:paraId="0E4213E1" w14:textId="77777777" w:rsidR="0065073E" w:rsidRDefault="0065073E">
            <w:pPr>
              <w:spacing w:after="0" w:line="240" w:lineRule="auto"/>
              <w:jc w:val="center"/>
              <w:rPr>
                <w:rFonts w:ascii="Times New Roman" w:hAnsi="Times New Roman" w:cs="Times New Roman"/>
                <w:noProof/>
                <w:sz w:val="18"/>
              </w:rPr>
            </w:pPr>
          </w:p>
        </w:tc>
        <w:tc>
          <w:tcPr>
            <w:tcW w:w="268" w:type="pct"/>
            <w:shd w:val="clear" w:color="auto" w:fill="C6EFCE"/>
            <w:noWrap/>
            <w:vAlign w:val="center"/>
          </w:tcPr>
          <w:p w14:paraId="180169D2" w14:textId="77777777" w:rsidR="0065073E" w:rsidRDefault="0065073E">
            <w:pPr>
              <w:spacing w:after="0" w:line="240" w:lineRule="auto"/>
              <w:jc w:val="center"/>
              <w:rPr>
                <w:rFonts w:ascii="Times New Roman" w:hAnsi="Times New Roman" w:cs="Times New Roman"/>
                <w:noProof/>
                <w:sz w:val="18"/>
              </w:rPr>
            </w:pPr>
          </w:p>
        </w:tc>
        <w:tc>
          <w:tcPr>
            <w:tcW w:w="503" w:type="pct"/>
            <w:shd w:val="clear" w:color="auto" w:fill="C6EFCE"/>
            <w:noWrap/>
            <w:vAlign w:val="center"/>
          </w:tcPr>
          <w:p w14:paraId="094550EB" w14:textId="77777777" w:rsidR="0065073E" w:rsidRDefault="000A0998">
            <w:pPr>
              <w:pStyle w:val="P68B1DB1-Normal12"/>
              <w:spacing w:after="0" w:line="240" w:lineRule="auto"/>
              <w:jc w:val="center"/>
              <w:rPr>
                <w:rFonts w:cs="Times New Roman"/>
                <w:noProof/>
              </w:rPr>
            </w:pPr>
            <w:r>
              <w:rPr>
                <w:noProof/>
              </w:rPr>
              <w:t>ENSIMMÄINEN VUOSINELJÄNNES</w:t>
            </w:r>
          </w:p>
        </w:tc>
        <w:tc>
          <w:tcPr>
            <w:tcW w:w="214" w:type="pct"/>
            <w:shd w:val="clear" w:color="auto" w:fill="C6EFCE"/>
            <w:noWrap/>
            <w:vAlign w:val="center"/>
          </w:tcPr>
          <w:p w14:paraId="433E009E" w14:textId="77777777" w:rsidR="0065073E" w:rsidRDefault="000A0998">
            <w:pPr>
              <w:pStyle w:val="P68B1DB1-Normal12"/>
              <w:spacing w:after="0" w:line="240" w:lineRule="auto"/>
              <w:jc w:val="center"/>
              <w:rPr>
                <w:rFonts w:cs="Times New Roman"/>
                <w:noProof/>
              </w:rPr>
            </w:pPr>
            <w:r>
              <w:rPr>
                <w:noProof/>
              </w:rPr>
              <w:t>2024</w:t>
            </w:r>
          </w:p>
        </w:tc>
        <w:tc>
          <w:tcPr>
            <w:tcW w:w="1795" w:type="pct"/>
            <w:shd w:val="clear" w:color="auto" w:fill="C6EFCE"/>
            <w:noWrap/>
            <w:vAlign w:val="center"/>
          </w:tcPr>
          <w:p w14:paraId="3CAA7E8C" w14:textId="2ED0C61D" w:rsidR="0065073E" w:rsidRDefault="000A0998">
            <w:pPr>
              <w:pStyle w:val="P68B1DB1-Normal12"/>
              <w:spacing w:after="0" w:line="240" w:lineRule="auto"/>
              <w:rPr>
                <w:rFonts w:cs="Times New Roman"/>
                <w:noProof/>
              </w:rPr>
            </w:pPr>
            <w:r>
              <w:rPr>
                <w:noProof/>
              </w:rPr>
              <w:t>Rahaston perustamista koskevan asetuksen ja siihen liittyvien asiakirjojen voimaantulo</w:t>
            </w:r>
          </w:p>
        </w:tc>
      </w:tr>
      <w:tr w:rsidR="0065073E" w14:paraId="4A6E8766" w14:textId="77777777" w:rsidTr="00C674D0">
        <w:trPr>
          <w:trHeight w:val="284"/>
        </w:trPr>
        <w:tc>
          <w:tcPr>
            <w:tcW w:w="186" w:type="pct"/>
            <w:shd w:val="clear" w:color="auto" w:fill="C6EFCE"/>
            <w:vAlign w:val="center"/>
          </w:tcPr>
          <w:p w14:paraId="28FC2A44" w14:textId="67F29735" w:rsidR="0065073E" w:rsidRDefault="000A0998">
            <w:pPr>
              <w:pStyle w:val="P68B1DB1-Normal12"/>
              <w:spacing w:line="240" w:lineRule="auto"/>
              <w:jc w:val="center"/>
              <w:rPr>
                <w:rFonts w:cs="Times New Roman"/>
                <w:noProof/>
              </w:rPr>
            </w:pPr>
            <w:r>
              <w:rPr>
                <w:noProof/>
              </w:rPr>
              <w:t>L73</w:t>
            </w:r>
          </w:p>
        </w:tc>
        <w:tc>
          <w:tcPr>
            <w:tcW w:w="307" w:type="pct"/>
            <w:shd w:val="clear" w:color="auto" w:fill="C6EFCE"/>
            <w:noWrap/>
            <w:vAlign w:val="center"/>
          </w:tcPr>
          <w:p w14:paraId="13DC3059" w14:textId="5A6F170C" w:rsidR="0065073E" w:rsidRDefault="000A0998">
            <w:pPr>
              <w:pStyle w:val="P68B1DB1-Normal12"/>
              <w:spacing w:line="240" w:lineRule="auto"/>
              <w:jc w:val="center"/>
              <w:rPr>
                <w:rFonts w:cs="Times New Roman"/>
                <w:noProof/>
              </w:rPr>
            </w:pPr>
            <w:r>
              <w:rPr>
                <w:noProof/>
              </w:rPr>
              <w:t>C22.I6</w:t>
            </w:r>
          </w:p>
        </w:tc>
        <w:tc>
          <w:tcPr>
            <w:tcW w:w="283" w:type="pct"/>
            <w:shd w:val="clear" w:color="auto" w:fill="C6EFCE"/>
            <w:noWrap/>
            <w:vAlign w:val="center"/>
          </w:tcPr>
          <w:p w14:paraId="01378BA5" w14:textId="77777777" w:rsidR="0065073E" w:rsidRDefault="000A0998">
            <w:pPr>
              <w:pStyle w:val="P68B1DB1-Normal12"/>
              <w:spacing w:line="240" w:lineRule="auto"/>
              <w:jc w:val="center"/>
              <w:rPr>
                <w:rFonts w:cs="Times New Roman"/>
                <w:noProof/>
              </w:rPr>
            </w:pPr>
            <w:r>
              <w:rPr>
                <w:noProof/>
              </w:rPr>
              <w:t>T</w:t>
            </w:r>
          </w:p>
        </w:tc>
        <w:tc>
          <w:tcPr>
            <w:tcW w:w="452" w:type="pct"/>
            <w:shd w:val="clear" w:color="auto" w:fill="C6EFCE"/>
            <w:noWrap/>
            <w:vAlign w:val="center"/>
          </w:tcPr>
          <w:p w14:paraId="4AF4ED17" w14:textId="370393A0" w:rsidR="0065073E" w:rsidRDefault="000A0998">
            <w:pPr>
              <w:pStyle w:val="P68B1DB1-Normal12"/>
              <w:spacing w:after="0" w:line="240" w:lineRule="auto"/>
              <w:rPr>
                <w:rFonts w:cs="Times New Roman"/>
                <w:noProof/>
              </w:rPr>
            </w:pPr>
            <w:r>
              <w:rPr>
                <w:noProof/>
              </w:rPr>
              <w:t>Sosiaalisten vaikutusten rahasto: Lopullisten edunsaajien (mukaan lukien oman pääoman ehtoiset rahastot) kanssa allekirjoitetut oikeudelliset rahoitussopimukset</w:t>
            </w:r>
          </w:p>
        </w:tc>
        <w:tc>
          <w:tcPr>
            <w:tcW w:w="470" w:type="pct"/>
            <w:shd w:val="clear" w:color="auto" w:fill="C6EFCE"/>
            <w:noWrap/>
            <w:vAlign w:val="center"/>
          </w:tcPr>
          <w:p w14:paraId="31387562" w14:textId="0191532F" w:rsidR="0065073E" w:rsidRDefault="0065073E">
            <w:pPr>
              <w:spacing w:after="0" w:line="240" w:lineRule="auto"/>
              <w:rPr>
                <w:rFonts w:ascii="Times New Roman" w:hAnsi="Times New Roman" w:cs="Times New Roman"/>
                <w:noProof/>
                <w:sz w:val="18"/>
              </w:rPr>
            </w:pPr>
          </w:p>
        </w:tc>
        <w:tc>
          <w:tcPr>
            <w:tcW w:w="223" w:type="pct"/>
            <w:shd w:val="clear" w:color="auto" w:fill="C6EFCE"/>
            <w:noWrap/>
            <w:vAlign w:val="center"/>
          </w:tcPr>
          <w:p w14:paraId="5DFBF05D" w14:textId="2B1DA314" w:rsidR="0065073E" w:rsidRDefault="000A0998">
            <w:pPr>
              <w:pStyle w:val="P68B1DB1-Normal12"/>
              <w:spacing w:after="0" w:line="240" w:lineRule="auto"/>
              <w:rPr>
                <w:rFonts w:cs="Times New Roman"/>
                <w:noProof/>
              </w:rPr>
            </w:pPr>
            <w:r>
              <w:rPr>
                <w:noProof/>
              </w:rPr>
              <w:t>%</w:t>
            </w:r>
          </w:p>
        </w:tc>
        <w:tc>
          <w:tcPr>
            <w:tcW w:w="299" w:type="pct"/>
            <w:shd w:val="clear" w:color="auto" w:fill="C6EFCE"/>
            <w:noWrap/>
            <w:vAlign w:val="center"/>
          </w:tcPr>
          <w:p w14:paraId="25410FBB" w14:textId="77777777" w:rsidR="0065073E" w:rsidRDefault="000A0998">
            <w:pPr>
              <w:pStyle w:val="P68B1DB1-Normal12"/>
              <w:spacing w:after="0" w:line="240" w:lineRule="auto"/>
              <w:jc w:val="center"/>
              <w:rPr>
                <w:rFonts w:cs="Times New Roman"/>
                <w:noProof/>
              </w:rPr>
            </w:pPr>
            <w:r>
              <w:rPr>
                <w:noProof/>
              </w:rPr>
              <w:t>0</w:t>
            </w:r>
          </w:p>
        </w:tc>
        <w:tc>
          <w:tcPr>
            <w:tcW w:w="268" w:type="pct"/>
            <w:shd w:val="clear" w:color="auto" w:fill="C6EFCE"/>
            <w:noWrap/>
            <w:vAlign w:val="center"/>
          </w:tcPr>
          <w:p w14:paraId="4C053AA5" w14:textId="61855166" w:rsidR="0065073E" w:rsidRDefault="000A0998">
            <w:pPr>
              <w:pStyle w:val="P68B1DB1-Normal12"/>
              <w:spacing w:after="0" w:line="240" w:lineRule="auto"/>
              <w:jc w:val="center"/>
              <w:rPr>
                <w:rFonts w:cs="Times New Roman"/>
                <w:noProof/>
              </w:rPr>
            </w:pPr>
            <w:r>
              <w:rPr>
                <w:noProof/>
              </w:rPr>
              <w:t>100 %</w:t>
            </w:r>
          </w:p>
        </w:tc>
        <w:tc>
          <w:tcPr>
            <w:tcW w:w="503" w:type="pct"/>
            <w:shd w:val="clear" w:color="auto" w:fill="C6EFCE"/>
            <w:noWrap/>
            <w:vAlign w:val="center"/>
          </w:tcPr>
          <w:p w14:paraId="7FA7B13E" w14:textId="7BE71E8B" w:rsidR="0065073E" w:rsidRDefault="000A0998">
            <w:pPr>
              <w:pStyle w:val="P68B1DB1-Normal12"/>
              <w:spacing w:after="0" w:line="240" w:lineRule="auto"/>
              <w:jc w:val="center"/>
              <w:rPr>
                <w:rFonts w:cs="Times New Roman"/>
                <w:noProof/>
              </w:rPr>
            </w:pPr>
            <w:r>
              <w:rPr>
                <w:noProof/>
              </w:rPr>
              <w:t>Q3</w:t>
            </w:r>
          </w:p>
        </w:tc>
        <w:tc>
          <w:tcPr>
            <w:tcW w:w="214" w:type="pct"/>
            <w:shd w:val="clear" w:color="auto" w:fill="C6EFCE"/>
            <w:noWrap/>
            <w:vAlign w:val="center"/>
          </w:tcPr>
          <w:p w14:paraId="5F47878A" w14:textId="77777777" w:rsidR="0065073E" w:rsidRDefault="000A0998">
            <w:pPr>
              <w:pStyle w:val="P68B1DB1-Normal12"/>
              <w:spacing w:after="0" w:line="240" w:lineRule="auto"/>
              <w:jc w:val="center"/>
              <w:rPr>
                <w:rFonts w:cs="Times New Roman"/>
                <w:noProof/>
              </w:rPr>
            </w:pPr>
            <w:r>
              <w:rPr>
                <w:noProof/>
              </w:rPr>
              <w:t>2026</w:t>
            </w:r>
          </w:p>
        </w:tc>
        <w:tc>
          <w:tcPr>
            <w:tcW w:w="1795" w:type="pct"/>
            <w:shd w:val="clear" w:color="auto" w:fill="C6EFCE"/>
            <w:noWrap/>
            <w:vAlign w:val="center"/>
          </w:tcPr>
          <w:p w14:paraId="5627A840" w14:textId="4DDB1239" w:rsidR="0065073E" w:rsidRDefault="000A0998">
            <w:pPr>
              <w:pStyle w:val="P68B1DB1-Normal12"/>
              <w:spacing w:after="0" w:line="240" w:lineRule="auto"/>
              <w:rPr>
                <w:rFonts w:cs="Times New Roman"/>
                <w:noProof/>
              </w:rPr>
            </w:pPr>
            <w:r>
              <w:rPr>
                <w:noProof/>
              </w:rPr>
              <w:t>Tukiväline ja COFIDESin valitsemat välittäjät ovat tehneet lopullisten edunsaajien (mukaan lukien oman pääoman ehtoiset rahastot) kanssa oikeudellisia rahoitussopimuksia, jotka ovat tarpeen, jotta 100 prosenttia elpymis- ja palautumistukivälineen investoinneista voidaan käyttää tukivälineeseen (ottaen huomioon hallinnointipalkkiot). Vähintään 40 prosenttia rahoituksesta vastaa pääomarahastojen kanssa allekirjoitettuja rahoitussopimuksia ja vähintään 10 prosenttia lopullisten tuensaajien kanssa allekirjoitettuja rahoitussopimuksia, jotka koskevat kaikkia muita sijoitustuotteita (mukaan lukien lainajärjestelyn suorat pääomasijoitukset).</w:t>
            </w:r>
          </w:p>
        </w:tc>
      </w:tr>
      <w:tr w:rsidR="0065073E" w14:paraId="4D6F2258" w14:textId="77777777" w:rsidTr="00C674D0">
        <w:trPr>
          <w:trHeight w:val="284"/>
        </w:trPr>
        <w:tc>
          <w:tcPr>
            <w:tcW w:w="186" w:type="pct"/>
            <w:shd w:val="clear" w:color="auto" w:fill="C6EFCE"/>
            <w:vAlign w:val="center"/>
          </w:tcPr>
          <w:p w14:paraId="710D5711" w14:textId="2A0C0187" w:rsidR="0065073E" w:rsidRDefault="000A0998">
            <w:pPr>
              <w:pStyle w:val="P68B1DB1-Normal12"/>
              <w:spacing w:line="240" w:lineRule="auto"/>
              <w:jc w:val="center"/>
              <w:rPr>
                <w:rFonts w:cs="Times New Roman"/>
                <w:noProof/>
              </w:rPr>
            </w:pPr>
            <w:r>
              <w:rPr>
                <w:noProof/>
              </w:rPr>
              <w:t>L74</w:t>
            </w:r>
          </w:p>
        </w:tc>
        <w:tc>
          <w:tcPr>
            <w:tcW w:w="307" w:type="pct"/>
            <w:shd w:val="clear" w:color="auto" w:fill="C6EFCE"/>
            <w:noWrap/>
            <w:vAlign w:val="center"/>
          </w:tcPr>
          <w:p w14:paraId="67A99C0C" w14:textId="107E0B08" w:rsidR="0065073E" w:rsidRDefault="000A0998">
            <w:pPr>
              <w:pStyle w:val="P68B1DB1-Normal12"/>
              <w:spacing w:line="240" w:lineRule="auto"/>
              <w:jc w:val="center"/>
              <w:rPr>
                <w:rFonts w:cs="Times New Roman"/>
                <w:noProof/>
              </w:rPr>
            </w:pPr>
            <w:r>
              <w:rPr>
                <w:noProof/>
              </w:rPr>
              <w:t>C22.I6</w:t>
            </w:r>
          </w:p>
        </w:tc>
        <w:tc>
          <w:tcPr>
            <w:tcW w:w="283" w:type="pct"/>
            <w:shd w:val="clear" w:color="auto" w:fill="C6EFCE"/>
            <w:noWrap/>
            <w:vAlign w:val="center"/>
          </w:tcPr>
          <w:p w14:paraId="70D467C6" w14:textId="4C30B03E" w:rsidR="0065073E" w:rsidRDefault="000A0998">
            <w:pPr>
              <w:pStyle w:val="P68B1DB1-Normal12"/>
              <w:spacing w:line="240" w:lineRule="auto"/>
              <w:jc w:val="center"/>
              <w:rPr>
                <w:rFonts w:cs="Times New Roman"/>
                <w:noProof/>
              </w:rPr>
            </w:pPr>
            <w:r>
              <w:rPr>
                <w:noProof/>
              </w:rPr>
              <w:t>M</w:t>
            </w:r>
          </w:p>
        </w:tc>
        <w:tc>
          <w:tcPr>
            <w:tcW w:w="452" w:type="pct"/>
            <w:shd w:val="clear" w:color="auto" w:fill="C6EFCE"/>
            <w:noWrap/>
            <w:vAlign w:val="center"/>
          </w:tcPr>
          <w:p w14:paraId="1F9E1AF5" w14:textId="4FD2CA22" w:rsidR="0065073E" w:rsidRDefault="000A0998">
            <w:pPr>
              <w:pStyle w:val="P68B1DB1-Normal12"/>
              <w:spacing w:after="0" w:line="240" w:lineRule="auto"/>
              <w:rPr>
                <w:rFonts w:cs="Times New Roman"/>
                <w:noProof/>
              </w:rPr>
            </w:pPr>
            <w:r>
              <w:rPr>
                <w:noProof/>
              </w:rPr>
              <w:t>Sosiaalisten vaikutusten rahasto: Ministeriö on saanut investoinnin päätökseen</w:t>
            </w:r>
          </w:p>
        </w:tc>
        <w:tc>
          <w:tcPr>
            <w:tcW w:w="470" w:type="pct"/>
            <w:shd w:val="clear" w:color="auto" w:fill="C6EFCE"/>
            <w:noWrap/>
            <w:vAlign w:val="center"/>
          </w:tcPr>
          <w:p w14:paraId="0F7CDE95" w14:textId="5A1EA4C7" w:rsidR="0065073E" w:rsidRDefault="000A0998">
            <w:pPr>
              <w:pStyle w:val="P68B1DB1-Normal12"/>
              <w:spacing w:after="0" w:line="240" w:lineRule="auto"/>
              <w:rPr>
                <w:rFonts w:cs="Times New Roman"/>
                <w:noProof/>
              </w:rPr>
            </w:pPr>
            <w:r>
              <w:rPr>
                <w:noProof/>
              </w:rPr>
              <w:t>Siirtotodistus</w:t>
            </w:r>
          </w:p>
        </w:tc>
        <w:tc>
          <w:tcPr>
            <w:tcW w:w="223" w:type="pct"/>
            <w:shd w:val="clear" w:color="auto" w:fill="C6EFCE"/>
            <w:noWrap/>
            <w:vAlign w:val="center"/>
          </w:tcPr>
          <w:p w14:paraId="4473A8BC" w14:textId="7B1CEAD0" w:rsidR="0065073E" w:rsidRDefault="0065073E">
            <w:pPr>
              <w:spacing w:after="0" w:line="240" w:lineRule="auto"/>
              <w:rPr>
                <w:rFonts w:ascii="Times New Roman" w:hAnsi="Times New Roman" w:cs="Times New Roman"/>
                <w:noProof/>
                <w:sz w:val="18"/>
              </w:rPr>
            </w:pPr>
          </w:p>
        </w:tc>
        <w:tc>
          <w:tcPr>
            <w:tcW w:w="299" w:type="pct"/>
            <w:shd w:val="clear" w:color="auto" w:fill="C6EFCE"/>
            <w:noWrap/>
            <w:vAlign w:val="center"/>
          </w:tcPr>
          <w:p w14:paraId="241D0D63" w14:textId="28B82077" w:rsidR="0065073E" w:rsidRDefault="0065073E">
            <w:pPr>
              <w:spacing w:after="0" w:line="240" w:lineRule="auto"/>
              <w:jc w:val="center"/>
              <w:rPr>
                <w:rFonts w:ascii="Times New Roman" w:hAnsi="Times New Roman" w:cs="Times New Roman"/>
                <w:noProof/>
                <w:sz w:val="18"/>
              </w:rPr>
            </w:pPr>
          </w:p>
        </w:tc>
        <w:tc>
          <w:tcPr>
            <w:tcW w:w="268" w:type="pct"/>
            <w:shd w:val="clear" w:color="auto" w:fill="C6EFCE"/>
            <w:noWrap/>
            <w:vAlign w:val="center"/>
          </w:tcPr>
          <w:p w14:paraId="099767AF" w14:textId="63A24C19" w:rsidR="0065073E" w:rsidRDefault="0065073E">
            <w:pPr>
              <w:spacing w:after="0" w:line="240" w:lineRule="auto"/>
              <w:jc w:val="center"/>
              <w:rPr>
                <w:rFonts w:ascii="Times New Roman" w:hAnsi="Times New Roman" w:cs="Times New Roman"/>
                <w:noProof/>
                <w:sz w:val="18"/>
              </w:rPr>
            </w:pPr>
          </w:p>
        </w:tc>
        <w:tc>
          <w:tcPr>
            <w:tcW w:w="503" w:type="pct"/>
            <w:shd w:val="clear" w:color="auto" w:fill="C6EFCE"/>
            <w:noWrap/>
            <w:vAlign w:val="center"/>
          </w:tcPr>
          <w:p w14:paraId="10715A73" w14:textId="41536CF9" w:rsidR="0065073E" w:rsidRDefault="000A0998">
            <w:pPr>
              <w:pStyle w:val="P68B1DB1-Normal12"/>
              <w:spacing w:after="0" w:line="240" w:lineRule="auto"/>
              <w:jc w:val="center"/>
              <w:rPr>
                <w:rFonts w:cs="Times New Roman"/>
                <w:noProof/>
              </w:rPr>
            </w:pPr>
            <w:r>
              <w:rPr>
                <w:noProof/>
              </w:rPr>
              <w:t>Q3</w:t>
            </w:r>
          </w:p>
        </w:tc>
        <w:tc>
          <w:tcPr>
            <w:tcW w:w="214" w:type="pct"/>
            <w:shd w:val="clear" w:color="auto" w:fill="C6EFCE"/>
            <w:noWrap/>
            <w:vAlign w:val="center"/>
          </w:tcPr>
          <w:p w14:paraId="67A7B841" w14:textId="77777777" w:rsidR="0065073E" w:rsidRDefault="000A0998">
            <w:pPr>
              <w:pStyle w:val="P68B1DB1-Normal12"/>
              <w:spacing w:after="0" w:line="240" w:lineRule="auto"/>
              <w:jc w:val="center"/>
              <w:rPr>
                <w:rFonts w:cs="Times New Roman"/>
                <w:noProof/>
              </w:rPr>
            </w:pPr>
            <w:r>
              <w:rPr>
                <w:noProof/>
              </w:rPr>
              <w:t>2026</w:t>
            </w:r>
          </w:p>
        </w:tc>
        <w:tc>
          <w:tcPr>
            <w:tcW w:w="1795" w:type="pct"/>
            <w:shd w:val="clear" w:color="auto" w:fill="C6EFCE"/>
            <w:noWrap/>
            <w:vAlign w:val="center"/>
          </w:tcPr>
          <w:p w14:paraId="28548495" w14:textId="05A4816C" w:rsidR="0065073E" w:rsidRDefault="000A0998">
            <w:pPr>
              <w:pStyle w:val="P68B1DB1-Normal12"/>
              <w:spacing w:after="0" w:line="240" w:lineRule="auto"/>
              <w:rPr>
                <w:rFonts w:cs="Times New Roman"/>
                <w:noProof/>
              </w:rPr>
            </w:pPr>
            <w:r>
              <w:rPr>
                <w:noProof/>
              </w:rPr>
              <w:t>Espanjan on siirrettävä 400000000 euroa lainajärjestelyyn.</w:t>
            </w:r>
          </w:p>
        </w:tc>
      </w:tr>
    </w:tbl>
    <w:p w14:paraId="3B85581F" w14:textId="6F55F11A" w:rsidR="0065073E" w:rsidRDefault="0065073E">
      <w:pPr>
        <w:pStyle w:val="Text1"/>
        <w:rPr>
          <w:rFonts w:ascii="Times New Roman" w:hAnsi="Times New Roman" w:cs="Times New Roman"/>
          <w:noProof/>
        </w:rPr>
      </w:pPr>
    </w:p>
    <w:p w14:paraId="0592620D" w14:textId="77777777" w:rsidR="0065073E" w:rsidRDefault="0065073E">
      <w:pPr>
        <w:pStyle w:val="Text1"/>
        <w:rPr>
          <w:rFonts w:ascii="Times New Roman" w:hAnsi="Times New Roman" w:cs="Times New Roman"/>
          <w:noProof/>
        </w:rPr>
      </w:pPr>
    </w:p>
    <w:p w14:paraId="5BC83675" w14:textId="77777777" w:rsidR="0065073E" w:rsidRDefault="0065073E">
      <w:pPr>
        <w:pStyle w:val="Text1"/>
        <w:rPr>
          <w:rFonts w:ascii="Times New Roman" w:hAnsi="Times New Roman" w:cs="Times New Roman"/>
          <w:noProof/>
        </w:rPr>
      </w:pPr>
    </w:p>
    <w:p w14:paraId="2ADE0703" w14:textId="77777777" w:rsidR="0065073E" w:rsidRDefault="0065073E">
      <w:pPr>
        <w:rPr>
          <w:rFonts w:ascii="Times New Roman" w:hAnsi="Times New Roman" w:cs="Times New Roman"/>
          <w:noProof/>
        </w:rPr>
        <w:sectPr w:rsidR="0065073E" w:rsidSect="00B511EF">
          <w:headerReference w:type="even" r:id="rId505"/>
          <w:headerReference w:type="default" r:id="rId506"/>
          <w:footerReference w:type="even" r:id="rId507"/>
          <w:footerReference w:type="default" r:id="rId508"/>
          <w:headerReference w:type="first" r:id="rId509"/>
          <w:footerReference w:type="first" r:id="rId510"/>
          <w:pgSz w:w="16839" w:h="11907" w:orient="landscape"/>
          <w:pgMar w:top="1134" w:right="1134" w:bottom="1134" w:left="1134" w:header="567" w:footer="567" w:gutter="0"/>
          <w:cols w:space="720"/>
          <w:docGrid w:linePitch="360"/>
        </w:sectPr>
      </w:pPr>
    </w:p>
    <w:p w14:paraId="2AD7DF5E" w14:textId="77777777" w:rsidR="0065073E" w:rsidRDefault="000A0998">
      <w:pPr>
        <w:pStyle w:val="P68B1DB1-Heading12"/>
        <w:rPr>
          <w:rFonts w:cs="Times New Roman"/>
          <w:noProof/>
        </w:rPr>
      </w:pPr>
      <w:r>
        <w:rPr>
          <w:noProof/>
        </w:rPr>
        <w:t>W. OSA 23: Uudet julkiset politiikat dynaamisten, joustavien ja osallistavien työmarkkinoiden luomiseksi</w:t>
      </w:r>
    </w:p>
    <w:p w14:paraId="36A0DE62" w14:textId="77777777" w:rsidR="0065073E" w:rsidRDefault="000A0998">
      <w:pPr>
        <w:pStyle w:val="P68B1DB1-Normal7"/>
        <w:spacing w:before="120" w:after="120" w:line="240" w:lineRule="auto"/>
        <w:jc w:val="both"/>
        <w:rPr>
          <w:rFonts w:cs="Times New Roman"/>
          <w:noProof/>
          <w:sz w:val="24"/>
        </w:rPr>
      </w:pPr>
      <w:r>
        <w:rPr>
          <w:noProof/>
        </w:rPr>
        <w:t xml:space="preserve">Espanjan </w:t>
      </w:r>
      <w:r>
        <w:rPr>
          <w:noProof/>
          <w:sz w:val="24"/>
        </w:rPr>
        <w:t xml:space="preserve">elpymis- ja palautumissuunnitelmankomponentilla vastataan Espanjan työmarkkinoiden merkittäviin rakenteellisiin haasteisiin. Sen päätavoitteena on vähentää rakenne- ja nuorisotyöttömyyttä, vähentää määräaikaisten työsopimusten laajaa käyttöä ja korjata työmarkkinoiden kaksijakoisuutta, lisätä investointeja inhimilliseen pääomaan, nykyaikaistaa työehtosopimusneuvotteluvälineitä ja lisätä aktiivisen työmarkkinapolitiikan vaikuttavuutta ja tehokkuutta. </w:t>
      </w:r>
    </w:p>
    <w:p w14:paraId="54802925" w14:textId="77777777" w:rsidR="0065073E" w:rsidRDefault="000A0998">
      <w:pPr>
        <w:pStyle w:val="P68B1DB1-Normal4"/>
        <w:spacing w:before="120" w:after="120" w:line="240" w:lineRule="auto"/>
        <w:jc w:val="both"/>
        <w:rPr>
          <w:rFonts w:cs="Times New Roman"/>
          <w:noProof/>
        </w:rPr>
      </w:pPr>
      <w:r>
        <w:rPr>
          <w:noProof/>
        </w:rPr>
        <w:t xml:space="preserve">Komponentti sisältää rakennerahastoista (erityisesti Euroopan sosiaalirahastosta) rahoitettavia investointeja täydentäviä asiaankuuluvia investointeja, joilla pyritään maksimoimaan uudistusten vaikutus laadukkaiden työpaikkojen luomiseen, tuottavuuden kasvuun sekä sosiaalisten, alueellisten ja sukupuolten välisten erojen kaventamiseen. </w:t>
      </w:r>
    </w:p>
    <w:p w14:paraId="53B75E96" w14:textId="77777777" w:rsidR="0065073E" w:rsidRDefault="000A0998">
      <w:pPr>
        <w:pStyle w:val="P68B1DB1-Normal4"/>
        <w:spacing w:before="120" w:after="120" w:line="240" w:lineRule="auto"/>
        <w:jc w:val="both"/>
        <w:rPr>
          <w:rFonts w:cs="Times New Roman"/>
          <w:noProof/>
        </w:rPr>
      </w:pPr>
      <w:r>
        <w:rPr>
          <w:noProof/>
        </w:rPr>
        <w:t xml:space="preserve">Komponenttiin sisältyvillä toimenpiteillä pyritään kaiken kaikkiaan vastaamaan Espanjan työmarkkinoiden pitkäaikaisiin haasteisiin ja esittämään joukko kunnianhimoisia ja johdonmukaisia uudistuksia, joista useimmat on määrä toteuttaa vuoden 2021 loppuun mennessä. Joistakin uudistusehdotuksista keskustellaan parhaillaan työmarkkinaosapuolten kanssa työmarkkinaosapuolten vuoropuhelun kautta. Sen vuoksi joitakin yksityiskohtia on nimenomaisesti jätetty avoimeksi, jotta voitaisiin jättää riittävästi tilaa sopimukselle ja työmarkkinaosapuolten hyväksynnälle. </w:t>
      </w:r>
    </w:p>
    <w:p w14:paraId="3CB47AC8" w14:textId="77777777" w:rsidR="0065073E" w:rsidRDefault="000A0998">
      <w:pPr>
        <w:pStyle w:val="P68B1DB1-Normal4"/>
        <w:spacing w:before="120" w:after="120" w:line="240" w:lineRule="auto"/>
        <w:jc w:val="both"/>
        <w:rPr>
          <w:rFonts w:cs="Times New Roman"/>
          <w:noProof/>
        </w:rPr>
      </w:pPr>
      <w:r>
        <w:rPr>
          <w:noProof/>
        </w:rPr>
        <w:t>Komponentissa käsitellään maakohtaisia suosituksia, jotka koskevat siirtymistä toistaiseksi voimassa oleviin sopimuksiin ja työhönottokannustimia, julkisia työvoimapalveluja, aktiivista työmarkkinapolitiikkaa ja aikuiskoulutusta, työttömyysturvaa, vähimmäistulojärjestelmiä ja työpaikkojen säilyttämistä (maakohtaiset suositukset 2 2019 ja 2 2020).</w:t>
      </w:r>
    </w:p>
    <w:p w14:paraId="72D71FC6"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1EAD5F5" w14:textId="77777777" w:rsidR="0065073E" w:rsidRDefault="000A0998">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W.1 </w:t>
      </w:r>
      <w:r>
        <w:rPr>
          <w:noProof/>
        </w:rPr>
        <w:t xml:space="preserve"> </w:t>
      </w:r>
      <w:r>
        <w:rPr>
          <w:rFonts w:ascii="Times New Roman" w:hAnsi="Times New Roman"/>
          <w:b/>
          <w:noProof/>
          <w:sz w:val="24"/>
          <w:u w:val="single"/>
        </w:rPr>
        <w:t>Kuvaus uudistuksista ja investoinneista, joita rahoitetaan rahoitustuella, jota ei makseta takaisin</w:t>
      </w:r>
    </w:p>
    <w:p w14:paraId="691EE88D" w14:textId="77777777" w:rsidR="0065073E" w:rsidRDefault="000A0998">
      <w:pPr>
        <w:pStyle w:val="P68B1DB1-Normal5"/>
        <w:spacing w:before="120" w:after="120" w:line="240" w:lineRule="auto"/>
        <w:jc w:val="both"/>
        <w:rPr>
          <w:rFonts w:cs="Times New Roman"/>
          <w:noProof/>
        </w:rPr>
      </w:pPr>
      <w:r>
        <w:rPr>
          <w:noProof/>
        </w:rPr>
        <w:t>Uudistus 1 (C23.R1) – etätyön sääntely</w:t>
      </w:r>
    </w:p>
    <w:p w14:paraId="61CC4D2D" w14:textId="77777777" w:rsidR="0065073E" w:rsidRDefault="000A0998">
      <w:pPr>
        <w:pStyle w:val="P68B1DB1-Normal4"/>
        <w:spacing w:before="120" w:after="120" w:line="240" w:lineRule="auto"/>
        <w:jc w:val="both"/>
        <w:rPr>
          <w:rFonts w:cs="Times New Roman"/>
          <w:noProof/>
        </w:rPr>
      </w:pPr>
      <w:r>
        <w:rPr>
          <w:noProof/>
        </w:rPr>
        <w:t>Uudistuksella luodaan etätyön tarjoamista koskeva sääntelykehys, jonka tavoitteena on parantaa työntekijöiden suojelua ja joustavuutta säilyttäen samalla yritysten tuottavuus. Se koostuu kahden kuninkaan asetuksen hyväksymisestä:</w:t>
      </w:r>
    </w:p>
    <w:p w14:paraId="75B99D06" w14:textId="77777777" w:rsidR="0065073E" w:rsidRDefault="000A0998">
      <w:pPr>
        <w:pStyle w:val="P68B1DB1-Normal4"/>
        <w:numPr>
          <w:ilvl w:val="0"/>
          <w:numId w:val="143"/>
        </w:numPr>
        <w:spacing w:before="120" w:after="160" w:line="259" w:lineRule="auto"/>
        <w:contextualSpacing/>
        <w:jc w:val="both"/>
        <w:rPr>
          <w:rFonts w:cs="Times New Roman"/>
          <w:noProof/>
        </w:rPr>
      </w:pPr>
      <w:r>
        <w:rPr>
          <w:noProof/>
        </w:rPr>
        <w:t xml:space="preserve">Syyskuun 22 päivänä annetulla kuninkaan asetuksella 28/2020 luodaan sääntelykehys, jolla edistetään etätyön käyttöönottoa yksityisellä sektorilla säilyttäen samalla yritysten tuottavuus ja tarjotaan työntekijöille suojelua ja joustavuutta. Sen on taattava samat työolot etätyössä ja paikan päällä työskenteleville sekä etätyön vapaaehtoisuus sekä työntekijälle että työnantajalle. Vakiintuneet puitteet suosivat sekä etäisyyttä että paikan päällä tehtävää työtä. </w:t>
      </w:r>
    </w:p>
    <w:p w14:paraId="6CC9DBAC" w14:textId="77777777" w:rsidR="0065073E" w:rsidRDefault="000A0998">
      <w:pPr>
        <w:pStyle w:val="P68B1DB1-Normal4"/>
        <w:numPr>
          <w:ilvl w:val="0"/>
          <w:numId w:val="143"/>
        </w:numPr>
        <w:spacing w:before="120" w:after="160" w:line="259" w:lineRule="auto"/>
        <w:contextualSpacing/>
        <w:jc w:val="both"/>
        <w:rPr>
          <w:rFonts w:cs="Times New Roman"/>
          <w:noProof/>
        </w:rPr>
      </w:pPr>
      <w:r>
        <w:rPr>
          <w:noProof/>
        </w:rPr>
        <w:t>Julkishallinnon etätyöstä 29 päivänä syyskuuta annetussa kuninkaan asetuksessa 29/2020 vahvistetaan julkisen sektorin työntekijöitä koskeva sääntelykehys, jossa tunnustetaan mahdollisuus tehdä tämäntyyppistä työtä vapaaehtoiselta ja peruutettavissa olevalta pohjalta ennakkoluvalla.</w:t>
      </w:r>
    </w:p>
    <w:p w14:paraId="16FD564A" w14:textId="77777777" w:rsidR="0065073E" w:rsidRDefault="000A0998">
      <w:pPr>
        <w:pStyle w:val="P68B1DB1-Normal4"/>
        <w:spacing w:before="240" w:after="120" w:line="240" w:lineRule="auto"/>
        <w:jc w:val="both"/>
        <w:rPr>
          <w:rFonts w:cs="Times New Roman"/>
          <w:noProof/>
        </w:rPr>
      </w:pPr>
      <w:r>
        <w:rPr>
          <w:noProof/>
        </w:rPr>
        <w:t>Uudistus liittyy julkishallintoa koskevan komponentin 11 uudistukseen 1.</w:t>
      </w:r>
    </w:p>
    <w:p w14:paraId="0FE411A7" w14:textId="77777777" w:rsidR="0065073E" w:rsidRDefault="000A0998">
      <w:pPr>
        <w:pStyle w:val="P68B1DB1-Normal4"/>
        <w:spacing w:before="240" w:after="120" w:line="240" w:lineRule="auto"/>
        <w:jc w:val="both"/>
        <w:rPr>
          <w:rFonts w:cs="Times New Roman"/>
          <w:noProof/>
        </w:rPr>
      </w:pPr>
      <w:r>
        <w:rPr>
          <w:noProof/>
        </w:rPr>
        <w:t>Toimenpiteen täytäntöönpano on saatettava päätökseen 31 päivään joulukuuta 2020 mennessä.</w:t>
      </w:r>
    </w:p>
    <w:p w14:paraId="3B85F30F" w14:textId="77777777" w:rsidR="0065073E" w:rsidRDefault="000A0998">
      <w:pPr>
        <w:pStyle w:val="P68B1DB1-Normal5"/>
        <w:keepNext/>
        <w:spacing w:before="120" w:after="120" w:line="240" w:lineRule="auto"/>
        <w:jc w:val="both"/>
        <w:rPr>
          <w:rFonts w:cs="Times New Roman"/>
          <w:noProof/>
        </w:rPr>
      </w:pPr>
      <w:r>
        <w:rPr>
          <w:noProof/>
        </w:rPr>
        <w:t>Uudistus 2 (C23.R2) – Toimenpiteet sukupuolten välisen kuilun kaventamiseksi</w:t>
      </w:r>
    </w:p>
    <w:p w14:paraId="1CCA538E" w14:textId="77777777" w:rsidR="0065073E" w:rsidRDefault="000A0998">
      <w:pPr>
        <w:pStyle w:val="P68B1DB1-Normal4"/>
        <w:keepNext/>
        <w:spacing w:before="120" w:after="120" w:line="240" w:lineRule="auto"/>
        <w:jc w:val="both"/>
        <w:rPr>
          <w:rFonts w:cs="Times New Roman"/>
          <w:noProof/>
        </w:rPr>
      </w:pPr>
      <w:r>
        <w:rPr>
          <w:noProof/>
        </w:rPr>
        <w:t>Uudistuksen tavoitteena on kuroa umpeen sukupuolten palkkaero. Se koostuu kahdesta ohjesäännöstä:</w:t>
      </w:r>
    </w:p>
    <w:p w14:paraId="18F41E8B" w14:textId="77777777" w:rsidR="0065073E" w:rsidRDefault="000A0998">
      <w:pPr>
        <w:pStyle w:val="P68B1DB1-Normal4"/>
        <w:numPr>
          <w:ilvl w:val="0"/>
          <w:numId w:val="143"/>
        </w:numPr>
        <w:spacing w:before="120" w:after="160" w:line="259" w:lineRule="auto"/>
        <w:contextualSpacing/>
        <w:jc w:val="both"/>
        <w:rPr>
          <w:rFonts w:cs="Times New Roman"/>
          <w:noProof/>
        </w:rPr>
      </w:pPr>
      <w:r>
        <w:rPr>
          <w:noProof/>
        </w:rPr>
        <w:t xml:space="preserve">Lokakuun 13. päivänä annetulla kuninkaan asetuksella 901/2020 säännellään työnantajien velvollisuutta laatia ja rekisteröidä tasa-arvosuunnitelmia palkkauksen läpinäkyvyyden takaamiseksi. Kaikki yritykset, joissa on yli 150 työntekijää, ovat velvollisia laatimaan ja rekisteröimään tällaisia suunnitelmia, ja vuonna 2022 kaikki yritykset, joissa on yli 50 työntekijää, ovat myös velvollisia laatimaan ja rekisteröimään tällaisia suunnitelmia. Kuninkaan asetuksessa säädetään suunnitelmista neuvoteltaessa noudatettavasta menettelystä, diagnoosin edellytyksistä sekä niiden arvioinnin ja valvonnan ominaispiirteistä. </w:t>
      </w:r>
    </w:p>
    <w:p w14:paraId="6844778F" w14:textId="77777777" w:rsidR="0065073E" w:rsidRDefault="000A0998">
      <w:pPr>
        <w:pStyle w:val="P68B1DB1-Normal4"/>
        <w:numPr>
          <w:ilvl w:val="0"/>
          <w:numId w:val="143"/>
        </w:numPr>
        <w:spacing w:before="120" w:after="160" w:line="259" w:lineRule="auto"/>
        <w:contextualSpacing/>
        <w:jc w:val="both"/>
        <w:rPr>
          <w:rFonts w:cs="Times New Roman"/>
          <w:noProof/>
        </w:rPr>
      </w:pPr>
      <w:r>
        <w:rPr>
          <w:noProof/>
        </w:rPr>
        <w:t>Miesten ja naisten samapalkkaisuudesta 13. lokakuuta annetussa kuninkaan asetuksessa 902/2020 on taattava palkkauksen avoimuuden periaate, jotta voidaan tunnistaa virheellisistä työnarvioinneista johtuvat syrjivät tilanteet (eli pienempi palkka samanarvoisesta työstä). Asetuksessa määritellään tilanteet, joissa työn katsotaan olevan samanarvoinen. Se on ollut voimassa huhtikuusta 2021 sen jälkeen, kun työnantajille on annettu kuusi kuukautta aikaa tarvittavien täytäntöönpanomekanismien perustamiseen.</w:t>
      </w:r>
    </w:p>
    <w:p w14:paraId="25ABAA94" w14:textId="77777777" w:rsidR="0065073E" w:rsidRDefault="000A0998">
      <w:pPr>
        <w:pStyle w:val="P68B1DB1-Normal4"/>
        <w:spacing w:before="240" w:after="120" w:line="240" w:lineRule="auto"/>
        <w:jc w:val="both"/>
        <w:rPr>
          <w:rFonts w:cs="Times New Roman"/>
          <w:noProof/>
        </w:rPr>
      </w:pPr>
      <w:r>
        <w:rPr>
          <w:noProof/>
        </w:rPr>
        <w:t>Toimenpiteen täytäntöönpano on saatettava päätökseen 30 päivään kesäkuuta 2021 mennessä.</w:t>
      </w:r>
    </w:p>
    <w:p w14:paraId="45BBAC62" w14:textId="77777777" w:rsidR="0065073E" w:rsidRDefault="000A0998">
      <w:pPr>
        <w:pStyle w:val="P68B1DB1-Normal5"/>
        <w:spacing w:before="120" w:after="120" w:line="240" w:lineRule="auto"/>
        <w:jc w:val="both"/>
        <w:rPr>
          <w:rFonts w:cs="Times New Roman"/>
          <w:noProof/>
        </w:rPr>
      </w:pPr>
      <w:r>
        <w:rPr>
          <w:noProof/>
        </w:rPr>
        <w:t>Uudistus 3 (C23.R3) – Kodinjakelijoiden työn sääntely digitaalisilla alustoilla (</w:t>
      </w:r>
      <w:r>
        <w:rPr>
          <w:i/>
          <w:noProof/>
        </w:rPr>
        <w:t>muuttajat</w:t>
      </w:r>
      <w:r>
        <w:rPr>
          <w:noProof/>
        </w:rPr>
        <w:t>)</w:t>
      </w:r>
    </w:p>
    <w:p w14:paraId="4BD1036B" w14:textId="77777777" w:rsidR="0065073E" w:rsidRDefault="000A0998">
      <w:pPr>
        <w:pStyle w:val="P68B1DB1-Normal4"/>
        <w:spacing w:before="120" w:after="120" w:line="240" w:lineRule="auto"/>
        <w:jc w:val="both"/>
        <w:rPr>
          <w:rFonts w:cs="Times New Roman"/>
          <w:noProof/>
        </w:rPr>
      </w:pPr>
      <w:r>
        <w:rPr>
          <w:noProof/>
        </w:rPr>
        <w:t xml:space="preserve">Uudistuksen tavoitteena on säännellä niin kutsuttujen </w:t>
      </w:r>
      <w:r>
        <w:rPr>
          <w:i/>
          <w:noProof/>
        </w:rPr>
        <w:t>kuljettajien</w:t>
      </w:r>
      <w:r>
        <w:rPr>
          <w:noProof/>
        </w:rPr>
        <w:t xml:space="preserve"> työoloja, sillä nämä harjoittavat jakelutoimintaa kolmansille osapuolille teknisin keinoin. Kuninkaan asetuksella taataan näille työntekijöille oikeus oikeudenmukaiseen ja yhdenvertaiseen kohteluun työolojen ja -ehtojen osalta sekä oikeus sosiaaliseen suojeluun ja koulutukseen yrityksen ja kuljettajan välistä työsuhdetta koskevan oikeudellisen olettaman perusteella. Sen on myös mahdollistettava se, että työntekijöiden oikeudellinen edustus saa tiedon tekoälyalgoritmeihin ja -järjestelmiin sisältyvistä säännöistä, joilla voi olla vaikutusta työoloihin, mukaan lukien työhön pääsy ja sen ylläpitäminen sekä profilointi. </w:t>
      </w:r>
    </w:p>
    <w:p w14:paraId="2C7CF537"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30 päivään syyskuuta 2021 mennessä.</w:t>
      </w:r>
    </w:p>
    <w:p w14:paraId="50D8148C" w14:textId="77777777" w:rsidR="0065073E" w:rsidRDefault="000A0998">
      <w:pPr>
        <w:pStyle w:val="P68B1DB1-Normal5"/>
        <w:spacing w:before="120" w:after="120" w:line="240" w:lineRule="auto"/>
        <w:jc w:val="both"/>
        <w:rPr>
          <w:rFonts w:cs="Times New Roman"/>
          <w:noProof/>
        </w:rPr>
      </w:pPr>
      <w:r>
        <w:rPr>
          <w:noProof/>
        </w:rPr>
        <w:t>Uudistus 4 (C23.R4) – Sopimuksien yksinkertaistaminen: toistaiseksi voimassa olevan sopimuksen yleistyminen, syyt määräaikaisten työsopimusten käyttämiseen ja koulutus-/harjoittelusopimuksen sääntely.</w:t>
      </w:r>
    </w:p>
    <w:p w14:paraId="0C992956" w14:textId="77777777" w:rsidR="0065073E" w:rsidRDefault="000A0998">
      <w:pPr>
        <w:pStyle w:val="P68B1DB1-Normal4"/>
        <w:spacing w:before="120" w:after="120" w:line="240" w:lineRule="auto"/>
        <w:jc w:val="both"/>
        <w:rPr>
          <w:rFonts w:cs="Times New Roman"/>
          <w:noProof/>
        </w:rPr>
      </w:pPr>
      <w:r>
        <w:rPr>
          <w:noProof/>
        </w:rPr>
        <w:t>Tällä uudistuksella muutetaan työntekijöiden asemasta annetussa laissa (asetus 2/2015) vahvistetuista sopimuksista annettua asetusta, jonka tavoitteena on säännellä määräaikaisten työsopimusten käyttöä yksinomaan syy-yhteydessä ja yleistää toistaiseksi voimassa olevien sopimusten käyttö. Uudistuksen on sisällettävä seuraavat osatekijät:</w:t>
      </w:r>
    </w:p>
    <w:p w14:paraId="6AD37FFD" w14:textId="77777777" w:rsidR="0065073E" w:rsidRDefault="000A0998">
      <w:pPr>
        <w:pStyle w:val="P68B1DB1-Normal4"/>
        <w:numPr>
          <w:ilvl w:val="0"/>
          <w:numId w:val="144"/>
        </w:numPr>
        <w:spacing w:before="120" w:after="160" w:line="259" w:lineRule="auto"/>
        <w:contextualSpacing/>
        <w:jc w:val="both"/>
        <w:rPr>
          <w:rFonts w:cs="Times New Roman"/>
          <w:noProof/>
        </w:rPr>
      </w:pPr>
      <w:r>
        <w:rPr>
          <w:noProof/>
        </w:rPr>
        <w:t xml:space="preserve">Sopimusvalikon yksinkertaistaminen ja uudelleenorganisointi kolmen päätyypin osalta: toistaiseksi voimassa oleva, tilapäinen ja koulutus/harjoittelu. Uudentyyppisten sopimusten tarkoituksena on rajoittaa määräaikaisten sopimusten käyttöä koskevia päteviä syitä ja tehdä siten toistaiseksi voimassa olevista sopimuksista yleissääntö. </w:t>
      </w:r>
    </w:p>
    <w:p w14:paraId="4EE1EC25" w14:textId="77777777" w:rsidR="0065073E" w:rsidRDefault="000A0998">
      <w:pPr>
        <w:pStyle w:val="P68B1DB1-Normal4"/>
        <w:numPr>
          <w:ilvl w:val="0"/>
          <w:numId w:val="144"/>
        </w:numPr>
        <w:spacing w:before="120" w:after="160" w:line="259" w:lineRule="auto"/>
        <w:contextualSpacing/>
        <w:jc w:val="both"/>
        <w:rPr>
          <w:rFonts w:cs="Times New Roman"/>
          <w:noProof/>
        </w:rPr>
      </w:pPr>
      <w:r>
        <w:rPr>
          <w:noProof/>
        </w:rPr>
        <w:t xml:space="preserve">Koulutus-/harjoittelusopimuksen käytön uudelleentarkastelu, jotta nuorille voidaan tarjota asianmukaiset puitteet työmarkkinoille pääsemiseksi. </w:t>
      </w:r>
    </w:p>
    <w:p w14:paraId="4C2D1C2F" w14:textId="77777777" w:rsidR="0065073E" w:rsidRDefault="000A0998">
      <w:pPr>
        <w:pStyle w:val="P68B1DB1-Normal4"/>
        <w:numPr>
          <w:ilvl w:val="0"/>
          <w:numId w:val="144"/>
        </w:numPr>
        <w:spacing w:before="120" w:after="160" w:line="259" w:lineRule="auto"/>
        <w:contextualSpacing/>
        <w:jc w:val="both"/>
        <w:rPr>
          <w:rFonts w:cs="Times New Roman"/>
          <w:noProof/>
        </w:rPr>
      </w:pPr>
      <w:r>
        <w:rPr>
          <w:noProof/>
        </w:rPr>
        <w:t>Kausiluonteisten sopimusten käytön lisääminen. Kyseessä on erityinen toistaiseksi voimassa oleva sopimus, jota käytetään kausityössä.</w:t>
      </w:r>
    </w:p>
    <w:p w14:paraId="799F219E" w14:textId="77777777" w:rsidR="0065073E" w:rsidRDefault="000A0998">
      <w:pPr>
        <w:pStyle w:val="P68B1DB1-Normal4"/>
        <w:numPr>
          <w:ilvl w:val="0"/>
          <w:numId w:val="144"/>
        </w:numPr>
        <w:spacing w:before="120" w:after="160" w:line="259" w:lineRule="auto"/>
        <w:contextualSpacing/>
        <w:jc w:val="both"/>
        <w:rPr>
          <w:rFonts w:cs="Times New Roman"/>
          <w:noProof/>
        </w:rPr>
      </w:pPr>
      <w:r>
        <w:rPr>
          <w:noProof/>
        </w:rPr>
        <w:t>Uudistuksella vahvistetaan osa-aikaisten työsopimusten käytön valvontaa epäsäännöllisen työajan estämiseksi.</w:t>
      </w:r>
    </w:p>
    <w:p w14:paraId="68D9B5D6" w14:textId="77777777" w:rsidR="0065073E" w:rsidRDefault="000A0998">
      <w:pPr>
        <w:pStyle w:val="P68B1DB1-Normal4"/>
        <w:numPr>
          <w:ilvl w:val="0"/>
          <w:numId w:val="144"/>
        </w:numPr>
        <w:spacing w:before="120" w:after="160" w:line="259" w:lineRule="auto"/>
        <w:contextualSpacing/>
        <w:jc w:val="both"/>
        <w:rPr>
          <w:rFonts w:cs="Times New Roman"/>
          <w:noProof/>
        </w:rPr>
      </w:pPr>
      <w:r>
        <w:rPr>
          <w:noProof/>
        </w:rPr>
        <w:t>Työvoimapetosten torjunnan tehostaminen muun muassa päivittämällä seuraamusjärjestelmää.</w:t>
      </w:r>
    </w:p>
    <w:p w14:paraId="0321D44C" w14:textId="77777777" w:rsidR="0065073E" w:rsidRDefault="000A0998">
      <w:pPr>
        <w:pStyle w:val="P68B1DB1-Normal4"/>
        <w:spacing w:before="240" w:after="120" w:line="240" w:lineRule="auto"/>
        <w:jc w:val="both"/>
        <w:rPr>
          <w:rFonts w:cs="Times New Roman"/>
          <w:noProof/>
        </w:rPr>
      </w:pPr>
      <w:r>
        <w:rPr>
          <w:noProof/>
        </w:rPr>
        <w:t>Uudistus liittyy läheisesti osa-alueen 11 uudistukseen 1, jolla tehdään muita oikeudellisia muutoksia julkisten työntekijöiden asemaa koskevaan lakiin määräaikaisten työsopimusten käytön vähentämiseksi julkisella sektorilla. Se liittyy myös uudistukseen 6 (jousto- ja vakausmekanismi) tällä osa-alueella.</w:t>
      </w:r>
    </w:p>
    <w:p w14:paraId="43DA1D42" w14:textId="77777777" w:rsidR="0065073E" w:rsidRDefault="000A0998">
      <w:pPr>
        <w:pStyle w:val="P68B1DB1-Normal4"/>
        <w:spacing w:before="240" w:after="120" w:line="240" w:lineRule="auto"/>
        <w:jc w:val="both"/>
        <w:rPr>
          <w:rFonts w:cs="Times New Roman"/>
          <w:noProof/>
        </w:rPr>
      </w:pPr>
      <w:r>
        <w:rPr>
          <w:noProof/>
        </w:rPr>
        <w:t>Toimenpiteen täytäntöönpano on saatettava päätökseen 31 päivään joulukuuta 2021 mennessä.</w:t>
      </w:r>
    </w:p>
    <w:p w14:paraId="21A148EB" w14:textId="77777777" w:rsidR="0065073E" w:rsidRDefault="000A0998">
      <w:pPr>
        <w:pStyle w:val="P68B1DB1-Normal5"/>
        <w:spacing w:before="120" w:after="120" w:line="240" w:lineRule="auto"/>
        <w:jc w:val="both"/>
        <w:rPr>
          <w:rFonts w:cs="Times New Roman"/>
          <w:noProof/>
        </w:rPr>
      </w:pPr>
      <w:r>
        <w:rPr>
          <w:noProof/>
        </w:rPr>
        <w:t>Uudistus 5 (C23.R5) – Aktiivisen työmarkkinapolitiikan nykyaikaistaminen</w:t>
      </w:r>
    </w:p>
    <w:p w14:paraId="437724FB" w14:textId="77777777" w:rsidR="0065073E" w:rsidRDefault="000A0998">
      <w:pPr>
        <w:pStyle w:val="P68B1DB1-Normal4"/>
        <w:spacing w:before="120" w:after="120" w:line="240" w:lineRule="auto"/>
        <w:jc w:val="both"/>
        <w:rPr>
          <w:rFonts w:cs="Times New Roman"/>
          <w:noProof/>
        </w:rPr>
      </w:pPr>
      <w:r>
        <w:rPr>
          <w:noProof/>
        </w:rPr>
        <w:t>Uudistuksen tavoitteena on nykyaikaistaa aktiivisen työmarkkinapolitiikan toteuttamista Espanjassa ottaen huomioon riippumattoman veroviranomaisen (AIReF) tekemien menojen uudelleenarviointien päätelmät. Uudistus koostuu useista eri osatekijöistä, kuten yksilöllisten neuvontaväylien kehittämisestä, työssä tapahtuvan koulutuksen (kuten harjoittelun ja koulutussopimusten) väärinkäytön ehkäisemisestä, aikuiskoulutusjärjestelmän vahvistamisesta ja osaamisen tunnustamisesta, nuorille tarkoitetun keskitetyn palvelupisteen perustamisesta, työllisyys- ja sosiaalipalvelujen sekä alueiden kanssa tehtävän koordinoinnin parantamisesta sekä yhteistyön parantamisesta yksityisen sektorin kanssa.</w:t>
      </w:r>
    </w:p>
    <w:p w14:paraId="4CD28135" w14:textId="77777777" w:rsidR="0065073E" w:rsidRDefault="000A0998">
      <w:pPr>
        <w:pStyle w:val="P68B1DB1-Normal4"/>
        <w:spacing w:before="120" w:after="120" w:line="240" w:lineRule="auto"/>
        <w:jc w:val="both"/>
        <w:rPr>
          <w:rFonts w:cs="Times New Roman"/>
          <w:noProof/>
        </w:rPr>
      </w:pPr>
      <w:r>
        <w:rPr>
          <w:noProof/>
        </w:rPr>
        <w:t>Uudistusta täydennetään kahdella muulla tämän osa-alueen uudistuksella eli uudistuksella 7 (vuokrauskannustimilla) ja uudistuksella 11 (julkisten työvoimapalvelujen digitalisointi). Jotkin uudistuksen osatekijät (kuten iäkkäiden työntekijöiden uudelleenkoulutus- ja tukiohjelmien vahvistaminen) tuovat synergiaa komponentissa 30 olevan uudistuksen 2 kanssa (todellisen eläkeiän mukauttaminen lakisääteiseen eläkeikään).</w:t>
      </w:r>
    </w:p>
    <w:p w14:paraId="42B3A7CB" w14:textId="77777777" w:rsidR="0065073E" w:rsidRDefault="000A0998">
      <w:pPr>
        <w:pStyle w:val="P68B1DB1-Normal4"/>
        <w:spacing w:before="120" w:after="120" w:line="240" w:lineRule="auto"/>
        <w:jc w:val="both"/>
        <w:rPr>
          <w:rFonts w:cs="Times New Roman"/>
          <w:noProof/>
        </w:rPr>
      </w:pPr>
      <w:r>
        <w:rPr>
          <w:noProof/>
        </w:rPr>
        <w:t>Uudistus sisältää useita lainsäädäntötoimia vuosina 2021 ja 2022:</w:t>
      </w:r>
    </w:p>
    <w:p w14:paraId="0138F2E9" w14:textId="77777777" w:rsidR="0065073E" w:rsidRDefault="000A0998">
      <w:pPr>
        <w:pStyle w:val="P68B1DB1-Normal4"/>
        <w:numPr>
          <w:ilvl w:val="0"/>
          <w:numId w:val="145"/>
        </w:numPr>
        <w:spacing w:before="120" w:after="160" w:line="240" w:lineRule="auto"/>
        <w:contextualSpacing/>
        <w:jc w:val="both"/>
        <w:rPr>
          <w:rFonts w:cs="Times New Roman"/>
          <w:noProof/>
        </w:rPr>
      </w:pPr>
      <w:r>
        <w:rPr>
          <w:noProof/>
        </w:rPr>
        <w:t>Vuosien 2021–2027 toimintasuunnitelma nuorisotyöttömyyden torjumiseksi EU:n nuorisotakuu plussan täytäntöönpanon yhteydessä. Toimintasuunnitelmaan on sisällyttävä harjoittelu-/harjoittelusopimusten uudelleentarkastelu ja harjoittelijoiden perussäännön hyväksyminen. Näiden toimenpiteiden on oltava johdonmukaisia koulunkäynnin keskeyttämisen torjumiseen tähtäävien koulutuspolitiikkojen kanssa (kuten komponentissa 21 esitetään). Toimenpiteen tämän osan täytäntöönpano on saatettava päätökseen 30 päivään kesäkuuta 2021 mennessä.</w:t>
      </w:r>
    </w:p>
    <w:p w14:paraId="00CB9829" w14:textId="77777777" w:rsidR="0065073E" w:rsidRDefault="000A0998">
      <w:pPr>
        <w:pStyle w:val="P68B1DB1-Normal4"/>
        <w:numPr>
          <w:ilvl w:val="0"/>
          <w:numId w:val="145"/>
        </w:numPr>
        <w:spacing w:before="120" w:after="160" w:line="240" w:lineRule="auto"/>
        <w:contextualSpacing/>
        <w:jc w:val="both"/>
        <w:rPr>
          <w:rFonts w:cs="Times New Roman"/>
          <w:noProof/>
        </w:rPr>
      </w:pPr>
      <w:r>
        <w:rPr>
          <w:noProof/>
        </w:rPr>
        <w:t xml:space="preserve">Espanjan työllisyysstrategia vuosiksi 2021–2024 työmarkkinaosapuolten vuoropuhelun jälkeen. Uuden strategian päätavoitteet ovat seuraavat: </w:t>
      </w:r>
    </w:p>
    <w:p w14:paraId="1D990343"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Ihmiskeskeinen ja yrityskeskeinen lähestymistapa: aktiivisen työmarkkinapolitiikan suunnittelussa on tarkoitus keskittyä kunkin henkilön ja yrityksen erityisolosuhteisiin.</w:t>
      </w:r>
    </w:p>
    <w:p w14:paraId="121EE051"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Johdonmukaisuus tuottavan muuntamisen kanssa: Aktiivisen työmarkkinapolitiikan olisi mahdollistettava ammatillinen siirtymä, joka liittyy tuotantomallin siirtymiseen kohti vihreää ja digitaalista taloutta.</w:t>
      </w:r>
    </w:p>
    <w:p w14:paraId="45904CBE"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Tulossuuntautuneisuus: Aktiivista työmarkkinapolitiikkaa on tarkoitus arvioida, seurata ja edistää tulosten saavuttamista.</w:t>
      </w:r>
    </w:p>
    <w:p w14:paraId="4BDCF7E4"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 xml:space="preserve">Julkisten työvoimapalvelujen valmiuksien parantaminen niiden digitalisoinnin ja nykyaikaistamisen avulla. </w:t>
      </w:r>
    </w:p>
    <w:p w14:paraId="771EC655"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Kansallisen työllisyysjärjestelmän hallinto ja yhtenäisyys koordinoinnin parantamiseksi kansallisella ja alueellisella tasolla sekä aktiiviseen työmarkkinapolitiikkaan osallistuvat sidosryhmät.</w:t>
      </w:r>
    </w:p>
    <w:p w14:paraId="72ABA948" w14:textId="77777777" w:rsidR="0065073E" w:rsidRDefault="000A0998">
      <w:pPr>
        <w:pStyle w:val="P68B1DB1-Normal4"/>
        <w:spacing w:before="120" w:after="160" w:line="240" w:lineRule="auto"/>
        <w:ind w:left="709"/>
        <w:contextualSpacing/>
        <w:jc w:val="both"/>
        <w:rPr>
          <w:rFonts w:cs="Times New Roman"/>
          <w:noProof/>
        </w:rPr>
      </w:pPr>
      <w:r>
        <w:rPr>
          <w:noProof/>
        </w:rPr>
        <w:t>Toimenpiteen tämän osan täytäntöönpano on saatettava päätökseen 31 päivään joulukuuta 2021 mennessä.</w:t>
      </w:r>
    </w:p>
    <w:p w14:paraId="3E8A197B" w14:textId="77777777" w:rsidR="0065073E" w:rsidRDefault="000A0998">
      <w:pPr>
        <w:pStyle w:val="P68B1DB1-Normal4"/>
        <w:numPr>
          <w:ilvl w:val="0"/>
          <w:numId w:val="145"/>
        </w:numPr>
        <w:spacing w:before="120" w:after="160" w:line="240" w:lineRule="auto"/>
        <w:contextualSpacing/>
        <w:jc w:val="both"/>
        <w:rPr>
          <w:rFonts w:cs="Times New Roman"/>
          <w:noProof/>
        </w:rPr>
      </w:pPr>
      <w:r>
        <w:rPr>
          <w:noProof/>
        </w:rPr>
        <w:t>Työlain uudistus, jonka tavoitteet ovat seuraavat: I) vahvistaa kansallisen työllisyysjärjestelmän poliittisia ja koordinointivälineitä; II) uudistaa aktiivista työmarkkinapolitiikkaa; III) tarkastella uudelleen järjestelmän hallinnointia; IV) vahvistaa työllisyyspolitiikan paikallista ulottuvuutta; ja v) täyttää aktiivista työllisyyspolitiikkaa koskevan kansallisen suunnitelman puitteissa kaavailtujen eri toimenpiteiden täytäntöönpanoa koskevat vaatimukset. Tässä yhteydessä lainsäädäntömuutosten tärkeimmät osatekijät ovat seuraavat:</w:t>
      </w:r>
    </w:p>
    <w:p w14:paraId="530053EE"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Aktiivisen ja passiivisen työllisyyspolitiikan vahvistaminen ottaen huomioon toimivallan jako valtion ja itsehallintoalueiden välillä.</w:t>
      </w:r>
    </w:p>
    <w:p w14:paraId="4EA0BFE8"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 xml:space="preserve">Vahvistetaan välitysjärjestelmää ja julkisen ja yksityisen sektorin kumppanuuksia. </w:t>
      </w:r>
    </w:p>
    <w:p w14:paraId="07EEF715"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Kansallisen työllisyysjärjestelmän yhteinen palvelusalkku.</w:t>
      </w:r>
    </w:p>
    <w:p w14:paraId="7589A543"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 xml:space="preserve">Rahoitusmallin tarkistaminen. </w:t>
      </w:r>
    </w:p>
    <w:p w14:paraId="3C95E3DE"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Yhteistyö sosiaalipalvelujen kanssa.</w:t>
      </w:r>
    </w:p>
    <w:p w14:paraId="5D537E1C"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Paikallinen ja eurooppalainen ulottuvuus.</w:t>
      </w:r>
    </w:p>
    <w:p w14:paraId="6719D66E"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Työllistyvyyttä edistävä teknologinen kehitys.</w:t>
      </w:r>
    </w:p>
    <w:p w14:paraId="65442721"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Tieto- ja viestintätekniikan ja massadatan käyttö.</w:t>
      </w:r>
    </w:p>
    <w:p w14:paraId="029E0FC8" w14:textId="77777777" w:rsidR="0065073E" w:rsidRDefault="000A0998">
      <w:pPr>
        <w:pStyle w:val="P68B1DB1-Normal4"/>
        <w:numPr>
          <w:ilvl w:val="1"/>
          <w:numId w:val="146"/>
        </w:numPr>
        <w:spacing w:before="120" w:after="160" w:line="240" w:lineRule="auto"/>
        <w:contextualSpacing/>
        <w:jc w:val="both"/>
        <w:rPr>
          <w:rFonts w:cs="Times New Roman"/>
          <w:noProof/>
        </w:rPr>
      </w:pPr>
      <w:r>
        <w:rPr>
          <w:noProof/>
        </w:rPr>
        <w:t>Työllistettävyyden parantaminen.</w:t>
      </w:r>
    </w:p>
    <w:p w14:paraId="04D029A0" w14:textId="77777777" w:rsidR="0065073E" w:rsidRDefault="000A0998">
      <w:pPr>
        <w:pStyle w:val="P68B1DB1-Normal4"/>
        <w:spacing w:before="120" w:after="160" w:line="240" w:lineRule="auto"/>
        <w:ind w:left="709"/>
        <w:contextualSpacing/>
        <w:jc w:val="both"/>
        <w:rPr>
          <w:rFonts w:cs="Times New Roman"/>
          <w:noProof/>
        </w:rPr>
      </w:pPr>
      <w:r>
        <w:rPr>
          <w:noProof/>
        </w:rPr>
        <w:t>Toimenpiteen tämän osan täytäntöönpano on saatettava päätökseen 31 päivään joulukuuta 2022 mennessä.</w:t>
      </w:r>
    </w:p>
    <w:p w14:paraId="40D99AEC" w14:textId="77777777" w:rsidR="0065073E" w:rsidRDefault="000A0998">
      <w:pPr>
        <w:pStyle w:val="P68B1DB1-Normal5"/>
        <w:spacing w:before="240" w:after="120" w:line="240" w:lineRule="auto"/>
        <w:jc w:val="both"/>
        <w:rPr>
          <w:rFonts w:cs="Times New Roman"/>
          <w:noProof/>
        </w:rPr>
      </w:pPr>
      <w:r>
        <w:rPr>
          <w:noProof/>
        </w:rPr>
        <w:t>Uudistus 6 (C23.R6) – Siirtymävaiheessa olevien työntekijöiden sisäistä joustavuutta, työpaikkojen vakautta ja uudelleenkoulutusta koskeva pysyvä mekanismi.</w:t>
      </w:r>
    </w:p>
    <w:p w14:paraId="77191841" w14:textId="77777777" w:rsidR="0065073E" w:rsidRDefault="000A0998">
      <w:pPr>
        <w:pStyle w:val="P68B1DB1-Normal4"/>
        <w:spacing w:before="120" w:after="120" w:line="240" w:lineRule="auto"/>
        <w:jc w:val="both"/>
        <w:rPr>
          <w:rFonts w:cs="Times New Roman"/>
          <w:noProof/>
        </w:rPr>
      </w:pPr>
      <w:r>
        <w:rPr>
          <w:noProof/>
        </w:rPr>
        <w:t xml:space="preserve">Uudistuksen tavoitteena on perustaa pysyvä järjestelmä suhdannevaihteluihin ja rakenteellisiin häiriöihin sopeutumiseksi siten, että työajan keskeyttäminen tai lyhentäminen katetaan työllisyyden sääntelysuunnitelmalla, johon sisältyy vaatimus parantaa tai kouluttaa työntekijöitä uudelleen niihin taitoihin, jotka on todettu kysytyiksi. Järjestelmän on perustuttava covid-19-kriisin aikana käyttöön otetuista työajan lyhentämisjärjestelyistä, jäljempänä ’ERTE-järjestelmät’, saatuihin kokemuksiin työpaikkojen säilyttämiseksi sulkutoimien ja muiden pandemian aiheuttamien toimintarajoitusten aikana. </w:t>
      </w:r>
    </w:p>
    <w:p w14:paraId="18C45FF0" w14:textId="77777777" w:rsidR="0065073E" w:rsidRDefault="000A0998">
      <w:pPr>
        <w:pStyle w:val="P68B1DB1-Normal4"/>
        <w:spacing w:before="120" w:after="120" w:line="240" w:lineRule="auto"/>
        <w:jc w:val="both"/>
        <w:rPr>
          <w:rFonts w:cs="Times New Roman"/>
          <w:noProof/>
        </w:rPr>
      </w:pPr>
      <w:r>
        <w:rPr>
          <w:noProof/>
        </w:rPr>
        <w:t>Uudistus koostuu kahdesta uudesta mukautusmekanismista:</w:t>
      </w:r>
    </w:p>
    <w:p w14:paraId="40A14A70" w14:textId="77777777" w:rsidR="0065073E" w:rsidRDefault="000A0998">
      <w:pPr>
        <w:pStyle w:val="P68B1DB1-Normal4"/>
        <w:numPr>
          <w:ilvl w:val="0"/>
          <w:numId w:val="147"/>
        </w:numPr>
        <w:spacing w:before="120" w:after="160" w:line="240" w:lineRule="auto"/>
        <w:contextualSpacing/>
        <w:jc w:val="both"/>
        <w:rPr>
          <w:rFonts w:cs="Times New Roman"/>
          <w:noProof/>
        </w:rPr>
      </w:pPr>
      <w:r>
        <w:rPr>
          <w:noProof/>
        </w:rPr>
        <w:t>Talouden vakautusmekanismi, joka tarjoaa yrityksille sisäistä joustavuutta ja vakautta työntekijöille tilapäisten tai syklisten häiriöiden varalta ja jossa keskitytään erityisesti työntekijöiden koulutukseen.</w:t>
      </w:r>
    </w:p>
    <w:p w14:paraId="06B172C6" w14:textId="77777777" w:rsidR="0065073E" w:rsidRDefault="000A0998">
      <w:pPr>
        <w:pStyle w:val="P68B1DB1-Normal4"/>
        <w:numPr>
          <w:ilvl w:val="0"/>
          <w:numId w:val="147"/>
        </w:numPr>
        <w:spacing w:before="120" w:after="160" w:line="240" w:lineRule="auto"/>
        <w:contextualSpacing/>
        <w:jc w:val="both"/>
        <w:rPr>
          <w:rFonts w:cs="Times New Roman"/>
          <w:noProof/>
        </w:rPr>
      </w:pPr>
      <w:r>
        <w:rPr>
          <w:noProof/>
        </w:rPr>
        <w:t>Mekanismi, jolla tuetaan siirtymävaiheessa olevien työntekijöiden ja yritysten uudelleen- ja täydennyskoulutusta, jotta niitä voidaan auttaa selviytymään teknologisista tai kysyntäinnovaatioista, ja jolla helpotetaan työntekijöiden vapaaehtoista liikkuvuutta yrityksissä ja niiden välillä.</w:t>
      </w:r>
    </w:p>
    <w:p w14:paraId="608CBF5D" w14:textId="77777777" w:rsidR="0065073E" w:rsidRDefault="000A0998">
      <w:pPr>
        <w:pStyle w:val="P68B1DB1-Normal4"/>
        <w:spacing w:before="240" w:after="120" w:line="240" w:lineRule="auto"/>
        <w:jc w:val="both"/>
        <w:rPr>
          <w:rFonts w:cs="Times New Roman"/>
          <w:noProof/>
        </w:rPr>
      </w:pPr>
      <w:r>
        <w:rPr>
          <w:noProof/>
        </w:rPr>
        <w:t xml:space="preserve">Toimenpide pannaan täytäntöön muuttamalla työntekijöiden asemasta annettua lakia. Siihen sisältyy sellaisen kolmikantarahaston perustaminen, joka rahoitetaan työnantajien ja työntekijöiden sosiaaliturvamaksuilla ja jota valtio täydentää. Sen on varmistettava julkisen talouden kestävyys keskipitkällä ja pitkällä aikavälillä ottaen huomioon erilaiset vaihtoehdot ja skenaariot. Rahaston konkreettisesta toiminnasta neuvotellaan työmarkkinaosapuolten kanssa. </w:t>
      </w:r>
    </w:p>
    <w:p w14:paraId="12963DC9" w14:textId="77777777" w:rsidR="0065073E" w:rsidRDefault="000A0998">
      <w:pPr>
        <w:pStyle w:val="P68B1DB1-Normal4"/>
        <w:spacing w:before="240" w:after="120" w:line="240" w:lineRule="auto"/>
        <w:jc w:val="both"/>
        <w:rPr>
          <w:rFonts w:cs="Times New Roman"/>
          <w:noProof/>
        </w:rPr>
      </w:pPr>
      <w:r>
        <w:rPr>
          <w:noProof/>
        </w:rPr>
        <w:t>Toimenpiteen täytäntöönpano on saatettava päätökseen 31 päivään joulukuuta 2021 mennessä.</w:t>
      </w:r>
    </w:p>
    <w:p w14:paraId="28CD0A2F" w14:textId="77777777" w:rsidR="0065073E" w:rsidRDefault="000A0998">
      <w:pPr>
        <w:pStyle w:val="P68B1DB1-Normal5"/>
        <w:spacing w:before="120" w:after="120" w:line="240" w:lineRule="auto"/>
        <w:jc w:val="both"/>
        <w:rPr>
          <w:rFonts w:cs="Times New Roman"/>
          <w:noProof/>
        </w:rPr>
      </w:pPr>
      <w:r>
        <w:rPr>
          <w:noProof/>
        </w:rPr>
        <w:t>Uudistus 7 (C23.R7) – Palvelukseenottokannustimien uudelleentarkastelu</w:t>
      </w:r>
    </w:p>
    <w:p w14:paraId="5D0C6F76" w14:textId="77777777" w:rsidR="0065073E" w:rsidRDefault="000A0998">
      <w:pPr>
        <w:pStyle w:val="P68B1DB1-Normal4"/>
        <w:spacing w:before="120" w:after="120" w:line="240" w:lineRule="auto"/>
        <w:jc w:val="both"/>
        <w:rPr>
          <w:rFonts w:cs="Times New Roman"/>
          <w:noProof/>
        </w:rPr>
      </w:pPr>
      <w:r>
        <w:rPr>
          <w:noProof/>
        </w:rPr>
        <w:t>Uudistuksen tavoitteena on yksinkertaistaa työhönottokannustinjärjestelmää ja lisätä sen tehokkuutta kohdentamalla se paremmin ottamalla huomioon riippumattoman veroviranomaisen (AIReF) toteuttama menojen uudelleentarkastelu. Sillä pyritään erityisesti parantamaan sellaisten erityisryhmien työllistettävyyttä, joiden osallistuminen työmarkkinoille on vähäistä, edistämällä laadukkaita työpaikkoja ja vakituisia työsopimuksia. Kannustimien määrää on vähennettävä ja tuensaajayrityksiä koskevat vaatimukset yhdenmukaistettava. Työhönottokannustinjärjestelmää on tarkoitus seurata ja arvioida jatkuvasti.</w:t>
      </w:r>
    </w:p>
    <w:p w14:paraId="411CD929" w14:textId="77777777" w:rsidR="0065073E" w:rsidRDefault="000A0998">
      <w:pPr>
        <w:pStyle w:val="P68B1DB1-Normal4"/>
        <w:spacing w:before="120" w:after="120" w:line="240" w:lineRule="auto"/>
        <w:jc w:val="both"/>
        <w:rPr>
          <w:rFonts w:cs="Times New Roman"/>
          <w:noProof/>
        </w:rPr>
      </w:pPr>
      <w:r>
        <w:rPr>
          <w:noProof/>
        </w:rPr>
        <w:t>Uudistus toteutetaan muuttamalla lakia 43/2006. Se liittyy läheisesti muihin tämän osa-alueen toimenpiteisiin, kuten uudistukseen 5 (aktiivisten työmarkkinapolitiikkojen yleinen uudistus) ja investointiin 7 (vähimmäistulojärjestelmän edunsaajien aktivointiväylät).</w:t>
      </w:r>
    </w:p>
    <w:p w14:paraId="0AC3C4D4"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2022 mennessä.</w:t>
      </w:r>
    </w:p>
    <w:p w14:paraId="13629EB5" w14:textId="77777777" w:rsidR="0065073E" w:rsidRDefault="000A0998">
      <w:pPr>
        <w:pStyle w:val="P68B1DB1-Normal5"/>
        <w:keepNext/>
        <w:spacing w:before="120" w:after="120" w:line="240" w:lineRule="auto"/>
        <w:jc w:val="both"/>
        <w:rPr>
          <w:rFonts w:cs="Times New Roman"/>
          <w:noProof/>
        </w:rPr>
      </w:pPr>
      <w:r>
        <w:rPr>
          <w:noProof/>
        </w:rPr>
        <w:t>Uudistus 8 (C23.R8) – Työehtoneuvottelujen nykyaikaistaminen</w:t>
      </w:r>
    </w:p>
    <w:p w14:paraId="496F473E" w14:textId="77777777" w:rsidR="0065073E" w:rsidRDefault="000A0998">
      <w:pPr>
        <w:pStyle w:val="P68B1DB1-Normal4"/>
        <w:keepNext/>
        <w:spacing w:before="120" w:after="120" w:line="240" w:lineRule="auto"/>
        <w:jc w:val="both"/>
        <w:rPr>
          <w:rFonts w:cs="Times New Roman"/>
          <w:noProof/>
        </w:rPr>
      </w:pPr>
      <w:r>
        <w:rPr>
          <w:noProof/>
        </w:rPr>
        <w:t>Uudistuksen tavoitteena on parantaa työehtosopimusneuvottelujen toimivuutta muuttamalla työntekijöiden asemasta annetun lain (decreto legislativon 2/2015 III osasto) asiaankuuluvia oikeudellisia sääntöjä työmarkkinaosapuolten vuoropuhelun jälkeen. Tämän vuoksi suunnitellut sääntelymuutokset eivät ole täysin yksityiskohtaisia suunnitelmassa. Muutoksilla on parannettava työehtosopimusneuvotteluja koskevia oikeudellisia sääntöjä.</w:t>
      </w:r>
    </w:p>
    <w:p w14:paraId="4D0CE5EC" w14:textId="77777777" w:rsidR="0065073E" w:rsidRDefault="000A0998">
      <w:pPr>
        <w:pStyle w:val="P68B1DB1-Normal4"/>
        <w:spacing w:before="120" w:after="120" w:line="240" w:lineRule="auto"/>
        <w:jc w:val="both"/>
        <w:rPr>
          <w:rFonts w:cs="Times New Roman"/>
          <w:noProof/>
        </w:rPr>
      </w:pPr>
      <w:r>
        <w:rPr>
          <w:noProof/>
        </w:rPr>
        <w:t>Työehtosopimusneuvottelujen nykyaikaistamiseen on sisällytettävä muutoksia itse neuvottelurakenteeseen, jotta voidaan vahvistaa neuvotteluosapuolten edustavuutta, rikastuttaa vuoropuhelun sisältöä ja lisätä sen täytäntöönpanon ja vaikutusten oikeusvarmuutta. Muutokset eivät saa aiheuttaa yrityksille kohtuuttomia esteitä sopeutua sykliin ja vastata tuottavuuden kehitykseen.</w:t>
      </w:r>
    </w:p>
    <w:p w14:paraId="02DD64C2" w14:textId="77777777" w:rsidR="0065073E" w:rsidRDefault="000A0998">
      <w:pPr>
        <w:pStyle w:val="P68B1DB1-Normal4"/>
        <w:spacing w:before="120" w:after="120" w:line="240" w:lineRule="auto"/>
        <w:jc w:val="both"/>
        <w:rPr>
          <w:rFonts w:cs="Times New Roman"/>
          <w:noProof/>
        </w:rPr>
      </w:pPr>
      <w:r>
        <w:rPr>
          <w:noProof/>
        </w:rPr>
        <w:t xml:space="preserve">Uudistuksen toteutus on määrä saattaa päätökseen 31. joulukuuta 2021 mennessä. </w:t>
      </w:r>
    </w:p>
    <w:p w14:paraId="026F07AD" w14:textId="77777777" w:rsidR="0065073E" w:rsidRDefault="000A0998">
      <w:pPr>
        <w:pStyle w:val="P68B1DB1-Normal5"/>
        <w:spacing w:before="120" w:after="120" w:line="240" w:lineRule="auto"/>
        <w:jc w:val="both"/>
        <w:rPr>
          <w:rFonts w:cs="Times New Roman"/>
          <w:noProof/>
        </w:rPr>
      </w:pPr>
      <w:r>
        <w:rPr>
          <w:noProof/>
        </w:rPr>
        <w:t>Uudistus 9 (C23.R9) – Alihankintatoimintojen nykyaikaistaminen</w:t>
      </w:r>
    </w:p>
    <w:p w14:paraId="788616DE" w14:textId="77777777" w:rsidR="0065073E" w:rsidRDefault="000A0998">
      <w:pPr>
        <w:pStyle w:val="P68B1DB1-Normal4"/>
        <w:spacing w:before="120" w:after="120" w:line="240" w:lineRule="auto"/>
        <w:jc w:val="both"/>
        <w:rPr>
          <w:rFonts w:cs="Times New Roman"/>
          <w:noProof/>
        </w:rPr>
      </w:pPr>
      <w:r>
        <w:rPr>
          <w:noProof/>
        </w:rPr>
        <w:t xml:space="preserve">Uudistuksen tavoitteena on parantaa alihankintana toimivissa yrityksissä työskentelevien henkilöiden työoloja ja oikeuksia muuttamalla työntekijöiden asemasta annetun lain (asetus 2/2015) 42 §:ää, jotta varmistetaan sen asianmukainen käyttö tapauksissa, joissa se parantaa tuotantotoimintaa ja vähentää sitä niistä, joissa se on vain keino alentaa kustannuksia. </w:t>
      </w:r>
    </w:p>
    <w:p w14:paraId="4B283B21" w14:textId="77777777" w:rsidR="0065073E" w:rsidRDefault="000A0998">
      <w:pPr>
        <w:pStyle w:val="P68B1DB1-Normal4"/>
        <w:spacing w:before="120" w:after="120" w:line="240" w:lineRule="auto"/>
        <w:jc w:val="both"/>
        <w:rPr>
          <w:rFonts w:cs="Times New Roman"/>
          <w:noProof/>
        </w:rPr>
      </w:pPr>
      <w:r>
        <w:rPr>
          <w:noProof/>
        </w:rPr>
        <w:t>Uudistuksen on tarjottava riittävä suojelun taso alihankinnassa työskenteleville työntekijöille ja siirryttävä kohti tasapuolisia toimintaedellytyksiä alihankkijoiden ja yritysten työntekijöiden välillä. Sen on myös vahvistettava toimeksisaajien tai alihankkijoiden vastuuta ja estettävä palvelujen ulkoistaminen alihankintana tapauksissa, joissa se on tehty alihankkijoiden palveluksessa olevien henkilöiden työnormien alentamiseksi.</w:t>
      </w:r>
    </w:p>
    <w:p w14:paraId="61713654" w14:textId="77777777" w:rsidR="0065073E" w:rsidRDefault="000A0998">
      <w:pPr>
        <w:pStyle w:val="P68B1DB1-Normal4"/>
        <w:spacing w:before="120" w:after="120" w:line="240" w:lineRule="auto"/>
        <w:jc w:val="both"/>
        <w:rPr>
          <w:rFonts w:cs="Times New Roman"/>
          <w:noProof/>
        </w:rPr>
      </w:pPr>
      <w:r>
        <w:rPr>
          <w:noProof/>
        </w:rPr>
        <w:t>Uudistuksen toteutus on määrä saattaa päätökseen 31. joulukuuta 2021 mennessä.</w:t>
      </w:r>
    </w:p>
    <w:p w14:paraId="4F3E3072" w14:textId="77777777" w:rsidR="0065073E" w:rsidRDefault="000A0998">
      <w:pPr>
        <w:pStyle w:val="P68B1DB1-Normal5"/>
        <w:spacing w:before="120" w:after="120" w:line="240" w:lineRule="auto"/>
        <w:jc w:val="both"/>
        <w:rPr>
          <w:rFonts w:cs="Times New Roman"/>
          <w:noProof/>
        </w:rPr>
      </w:pPr>
      <w:r>
        <w:rPr>
          <w:noProof/>
        </w:rPr>
        <w:t>Uudistus 10 (C23.R10) – Työttömyystuen yksinkertaistaminen ja parantaminen</w:t>
      </w:r>
    </w:p>
    <w:p w14:paraId="1FD56FE4" w14:textId="16B70496" w:rsidR="0065073E" w:rsidRDefault="000A0998">
      <w:pPr>
        <w:pStyle w:val="P68B1DB1-Normal4"/>
        <w:spacing w:before="120" w:after="120" w:line="240" w:lineRule="auto"/>
        <w:jc w:val="both"/>
        <w:rPr>
          <w:rFonts w:cs="Times New Roman"/>
          <w:noProof/>
        </w:rPr>
      </w:pPr>
      <w:r>
        <w:rPr>
          <w:noProof/>
        </w:rPr>
        <w:t xml:space="preserve">Tämä lainsäädäntöuudistus koskee maksuihin perustumatonta työttömyystukea, ja se toteutetaan muuttamalla kuninkaan asetusta 8/2015. Se liittyy läheisesti osa-alueen 22 uudistukseen 5, jossa hahmotellaan maksuihin perustumattomien sosiaalietuuksien yleisempää uudistusta. </w:t>
      </w:r>
    </w:p>
    <w:p w14:paraId="5A323593" w14:textId="77777777" w:rsidR="0065073E" w:rsidRDefault="000A0998">
      <w:pPr>
        <w:pStyle w:val="P68B1DB1-Normal4"/>
        <w:spacing w:before="120" w:after="120" w:line="240" w:lineRule="auto"/>
        <w:jc w:val="both"/>
        <w:rPr>
          <w:rFonts w:cs="Times New Roman"/>
          <w:noProof/>
        </w:rPr>
      </w:pPr>
      <w:r>
        <w:rPr>
          <w:noProof/>
        </w:rPr>
        <w:t>Uudistuksella on seuraavat tavoitteet:</w:t>
      </w:r>
    </w:p>
    <w:p w14:paraId="533E27A3" w14:textId="77777777" w:rsidR="0065073E" w:rsidRDefault="000A0998">
      <w:pPr>
        <w:pStyle w:val="P68B1DB1-Normal4"/>
        <w:numPr>
          <w:ilvl w:val="2"/>
          <w:numId w:val="148"/>
        </w:numPr>
        <w:spacing w:before="120" w:after="160" w:line="240" w:lineRule="auto"/>
        <w:ind w:left="709"/>
        <w:contextualSpacing/>
        <w:jc w:val="both"/>
        <w:rPr>
          <w:rFonts w:cs="Times New Roman"/>
          <w:noProof/>
        </w:rPr>
      </w:pPr>
      <w:r>
        <w:rPr>
          <w:noProof/>
        </w:rPr>
        <w:t xml:space="preserve">laajennetaan työttömyysturvaa täyttämällä joitakin nykyisen järjestelmän kattavuutta koskevia puutteita ja pidentämällä sen enimmäiskestoa; </w:t>
      </w:r>
    </w:p>
    <w:p w14:paraId="12836CE3" w14:textId="77777777" w:rsidR="0065073E" w:rsidRDefault="000A0998">
      <w:pPr>
        <w:pStyle w:val="P68B1DB1-Normal4"/>
        <w:numPr>
          <w:ilvl w:val="2"/>
          <w:numId w:val="148"/>
        </w:numPr>
        <w:spacing w:before="120" w:after="160" w:line="240" w:lineRule="auto"/>
        <w:ind w:left="709"/>
        <w:contextualSpacing/>
        <w:jc w:val="both"/>
        <w:rPr>
          <w:rFonts w:cs="Times New Roman"/>
          <w:noProof/>
        </w:rPr>
      </w:pPr>
      <w:r>
        <w:rPr>
          <w:noProof/>
        </w:rPr>
        <w:t xml:space="preserve">yksinkertaistetaan järjestelmää, joka on tällä hetkellä hajanainen useisiin järjestelmiin; </w:t>
      </w:r>
    </w:p>
    <w:p w14:paraId="56F4FDAE" w14:textId="77777777" w:rsidR="0065073E" w:rsidRDefault="000A0998">
      <w:pPr>
        <w:pStyle w:val="P68B1DB1-Normal4"/>
        <w:numPr>
          <w:ilvl w:val="2"/>
          <w:numId w:val="148"/>
        </w:numPr>
        <w:spacing w:before="120" w:after="160" w:line="240" w:lineRule="auto"/>
        <w:ind w:left="709"/>
        <w:contextualSpacing/>
        <w:jc w:val="both"/>
        <w:rPr>
          <w:rFonts w:cs="Times New Roman"/>
          <w:noProof/>
        </w:rPr>
      </w:pPr>
      <w:r>
        <w:rPr>
          <w:noProof/>
        </w:rPr>
        <w:t xml:space="preserve">kytketään etuus yksilölliseen aktivointireittiin; </w:t>
      </w:r>
    </w:p>
    <w:p w14:paraId="0FB4E56A" w14:textId="77777777" w:rsidR="0065073E" w:rsidRDefault="000A0998">
      <w:pPr>
        <w:pStyle w:val="P68B1DB1-Normal4"/>
        <w:numPr>
          <w:ilvl w:val="2"/>
          <w:numId w:val="148"/>
        </w:numPr>
        <w:spacing w:before="120" w:after="160" w:line="240" w:lineRule="auto"/>
        <w:ind w:left="709"/>
        <w:contextualSpacing/>
        <w:jc w:val="both"/>
        <w:rPr>
          <w:rFonts w:cs="Times New Roman"/>
          <w:noProof/>
        </w:rPr>
      </w:pPr>
      <w:r>
        <w:rPr>
          <w:noProof/>
        </w:rPr>
        <w:t>helpottaa siirtymistä sosiaaliseen suojeluun silloin, kun edunsaaja ei palaa työhön ja on haavoittuvassa asemassa.</w:t>
      </w:r>
    </w:p>
    <w:p w14:paraId="29D1C7E2" w14:textId="77777777" w:rsidR="0065073E" w:rsidRDefault="000A0998">
      <w:pPr>
        <w:pStyle w:val="P68B1DB1-Normal4"/>
        <w:spacing w:before="240" w:after="120" w:line="240" w:lineRule="auto"/>
        <w:jc w:val="both"/>
        <w:rPr>
          <w:rFonts w:cs="Times New Roman"/>
          <w:noProof/>
        </w:rPr>
      </w:pPr>
      <w:r>
        <w:rPr>
          <w:noProof/>
        </w:rPr>
        <w:t>Yleensä uuden järjestelmän kohderyhmän on oltava sama kuin nykyisessä järjestelmässä eli työttömät työntekijät, jotka eivät ole oikeutettuja maksuihin perustuviin työttömyysetuuksiin joko siksi, että he ovat olleet työttöminä liian kauan ja ovat käyttäneet oikeutensa loppuun, tai siksi, että heidän maksuaikansa on ollut liian lyhyt (alle 12 kuukautta mutta yli kuusi kuukautta). Etuuden kuukausittainen määrä on 80 prosenttia ”IPREM-arvosta” (Julkisten tulojen indikaattori, jolla on useita vaikutuksia).</w:t>
      </w:r>
    </w:p>
    <w:p w14:paraId="6FEE01AA"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2022 mennessä.</w:t>
      </w:r>
    </w:p>
    <w:p w14:paraId="18C2CB6D" w14:textId="77777777" w:rsidR="0065073E" w:rsidRDefault="000A0998">
      <w:pPr>
        <w:pStyle w:val="P68B1DB1-Normal5"/>
        <w:keepNext/>
        <w:spacing w:before="120" w:after="120" w:line="240" w:lineRule="auto"/>
        <w:jc w:val="both"/>
        <w:rPr>
          <w:rFonts w:cs="Times New Roman"/>
          <w:noProof/>
        </w:rPr>
      </w:pPr>
      <w:r>
        <w:rPr>
          <w:noProof/>
        </w:rPr>
        <w:t xml:space="preserve">Uudistus 11 (C23.R11) – Julkisten työvoimapalvelujen digitalisointi sen nykyaikaistamiseksi ja tehostamiseksi. </w:t>
      </w:r>
    </w:p>
    <w:p w14:paraId="0402C109" w14:textId="77777777" w:rsidR="0065073E" w:rsidRDefault="000A0998">
      <w:pPr>
        <w:pStyle w:val="P68B1DB1-Normal4"/>
        <w:keepNext/>
        <w:spacing w:before="120" w:after="120" w:line="240" w:lineRule="auto"/>
        <w:jc w:val="both"/>
        <w:rPr>
          <w:rFonts w:cs="Times New Roman"/>
          <w:noProof/>
        </w:rPr>
      </w:pPr>
      <w:r>
        <w:rPr>
          <w:noProof/>
        </w:rPr>
        <w:t>Uudistuksen tavoitteena on muuttaa julkisten työvoimapalvelujen tarjontaa ja parantaa niiden tehokkuutta kansalaisten ja yritysten kannalta. Uudistus koostuu seuraavista osista:</w:t>
      </w:r>
    </w:p>
    <w:p w14:paraId="78B41EBA" w14:textId="77777777" w:rsidR="0065073E" w:rsidRDefault="000A0998">
      <w:pPr>
        <w:pStyle w:val="P68B1DB1-Normal4"/>
        <w:numPr>
          <w:ilvl w:val="0"/>
          <w:numId w:val="149"/>
        </w:numPr>
        <w:spacing w:before="120" w:after="160" w:line="240" w:lineRule="auto"/>
        <w:contextualSpacing/>
        <w:jc w:val="both"/>
        <w:rPr>
          <w:rFonts w:cs="Times New Roman"/>
          <w:noProof/>
        </w:rPr>
      </w:pPr>
      <w:r>
        <w:rPr>
          <w:noProof/>
        </w:rPr>
        <w:t>Sisäisen hallinnon parantaminen: työttömyysetuusjärjestelmää tukevien tietojärjestelmien sekä aktiivista työmarkkinapolitiikkaa tukevien tietojärjestelmien nykyaikaistaminen.</w:t>
      </w:r>
    </w:p>
    <w:p w14:paraId="310BC912" w14:textId="77777777" w:rsidR="0065073E" w:rsidRDefault="000A0998">
      <w:pPr>
        <w:pStyle w:val="P68B1DB1-Normal4"/>
        <w:numPr>
          <w:ilvl w:val="0"/>
          <w:numId w:val="149"/>
        </w:numPr>
        <w:spacing w:before="120" w:after="160" w:line="240" w:lineRule="auto"/>
        <w:contextualSpacing/>
        <w:jc w:val="both"/>
        <w:rPr>
          <w:rFonts w:cs="Times New Roman"/>
          <w:noProof/>
        </w:rPr>
      </w:pPr>
      <w:r>
        <w:rPr>
          <w:noProof/>
        </w:rPr>
        <w:t>Kaikkien kansalaisille ja yrityksille tarkoitettujen julkisten palvelujen digitalisointi ja asiakaspalvelun parantaminen, mukaan lukien uusien palvelujen tarjoaminen (mobiilisovellus ja parannettu ennakkonimitysjärjestelmä ja online-palvelut).</w:t>
      </w:r>
    </w:p>
    <w:p w14:paraId="2C2D88FD" w14:textId="77777777" w:rsidR="0065073E" w:rsidRDefault="000A0998">
      <w:pPr>
        <w:pStyle w:val="P68B1DB1-Normal4"/>
        <w:numPr>
          <w:ilvl w:val="0"/>
          <w:numId w:val="149"/>
        </w:numPr>
        <w:spacing w:before="120" w:after="160" w:line="240" w:lineRule="auto"/>
        <w:contextualSpacing/>
        <w:jc w:val="both"/>
        <w:rPr>
          <w:rFonts w:cs="Times New Roman"/>
          <w:noProof/>
        </w:rPr>
      </w:pPr>
      <w:r>
        <w:rPr>
          <w:noProof/>
        </w:rPr>
        <w:t>Tilastot ja tiedonhallinta: Otetaan käyttöön asianmukainen tiedonhallinta, joka edistää päätöksentekoa, sekä yhteiskunnallisesti arvokkaiden tietojen julkaiseminen.</w:t>
      </w:r>
    </w:p>
    <w:p w14:paraId="69ED1664" w14:textId="77777777" w:rsidR="0065073E" w:rsidRDefault="000A0998">
      <w:pPr>
        <w:pStyle w:val="P68B1DB1-Normal4"/>
        <w:numPr>
          <w:ilvl w:val="0"/>
          <w:numId w:val="149"/>
        </w:numPr>
        <w:spacing w:before="120" w:after="160" w:line="240" w:lineRule="auto"/>
        <w:contextualSpacing/>
        <w:jc w:val="both"/>
        <w:rPr>
          <w:rFonts w:cs="Times New Roman"/>
          <w:noProof/>
        </w:rPr>
      </w:pPr>
      <w:r>
        <w:rPr>
          <w:noProof/>
        </w:rPr>
        <w:t>Petostentorjuntajärjestelmien parantaminen tekoälyjärjestelmien ja massadatan avulla.</w:t>
      </w:r>
    </w:p>
    <w:p w14:paraId="4780FB48" w14:textId="77777777" w:rsidR="0065073E" w:rsidRDefault="000A0998">
      <w:pPr>
        <w:pStyle w:val="P68B1DB1-Normal4"/>
        <w:numPr>
          <w:ilvl w:val="0"/>
          <w:numId w:val="149"/>
        </w:numPr>
        <w:spacing w:before="120" w:after="160" w:line="240" w:lineRule="auto"/>
        <w:contextualSpacing/>
        <w:jc w:val="both"/>
        <w:rPr>
          <w:rFonts w:cs="Times New Roman"/>
          <w:noProof/>
        </w:rPr>
      </w:pPr>
      <w:r>
        <w:rPr>
          <w:noProof/>
        </w:rPr>
        <w:t>Työpaikkojen ja infrastruktuurien nykyaikaistaminen julkisten työvoimapalvelujen henkilöstön etätyöjärjestelyjen helpottamiseksi.</w:t>
      </w:r>
    </w:p>
    <w:p w14:paraId="3A34C3C9" w14:textId="77777777" w:rsidR="0065073E" w:rsidRDefault="000A0998">
      <w:pPr>
        <w:pStyle w:val="P68B1DB1-Normal4"/>
        <w:spacing w:before="240" w:after="120" w:line="240" w:lineRule="auto"/>
        <w:jc w:val="both"/>
        <w:rPr>
          <w:rFonts w:cs="Times New Roman"/>
          <w:noProof/>
        </w:rPr>
      </w:pPr>
      <w:r>
        <w:rPr>
          <w:noProof/>
        </w:rPr>
        <w:t xml:space="preserve">Julkisten työvoimapalvelujen uudistus sisältyy yleisempiin pyrkimyksiin nykyaikaistaa ja digitalisoida julkishallintoja (elpymis- ja palautumissuunnitelman osa 11). Julkisten työvoimapalvelujen uudistus rahoitetaan osa-alueen 11 investointia 2 koskevilla sopimuksilla ja toteuttamalla ne. </w:t>
      </w:r>
    </w:p>
    <w:p w14:paraId="1547CC91" w14:textId="77777777" w:rsidR="0065073E" w:rsidRDefault="000A0998">
      <w:pPr>
        <w:pStyle w:val="P68B1DB1-Normal4"/>
        <w:spacing w:before="120" w:after="120" w:line="240" w:lineRule="auto"/>
        <w:jc w:val="both"/>
        <w:rPr>
          <w:rFonts w:cs="Times New Roman"/>
          <w:noProof/>
        </w:rPr>
      </w:pPr>
      <w:r>
        <w:rPr>
          <w:noProof/>
        </w:rPr>
        <w:t>Uudistuksen toteutus on määrä saattaa päätökseen 31. joulukuuta 2023 mennessä.</w:t>
      </w:r>
    </w:p>
    <w:p w14:paraId="7E7F8248" w14:textId="77777777" w:rsidR="0065073E" w:rsidRDefault="000A0998">
      <w:pPr>
        <w:pStyle w:val="P68B1DB1-Normal5"/>
        <w:spacing w:before="120" w:after="120" w:line="240" w:lineRule="auto"/>
        <w:jc w:val="both"/>
        <w:rPr>
          <w:rFonts w:cs="Times New Roman"/>
          <w:noProof/>
        </w:rPr>
      </w:pPr>
      <w:r>
        <w:rPr>
          <w:noProof/>
        </w:rPr>
        <w:t>Investointi 1 (C23.I1) – Nuorisotyöllisyys</w:t>
      </w:r>
    </w:p>
    <w:p w14:paraId="7CB5F96A" w14:textId="77777777" w:rsidR="0065073E" w:rsidRDefault="000A0998">
      <w:pPr>
        <w:pStyle w:val="P68B1DB1-Normal4"/>
        <w:spacing w:before="120" w:after="120" w:line="240" w:lineRule="auto"/>
        <w:jc w:val="both"/>
        <w:rPr>
          <w:rFonts w:cs="Times New Roman"/>
          <w:noProof/>
        </w:rPr>
      </w:pPr>
      <w:r>
        <w:rPr>
          <w:noProof/>
        </w:rPr>
        <w:t>Investointi käsittää joukon nuorten työnhakijoiden (16–29-vuotiaita) aktivointi- ja koulutusohjelmia, joiden tavoitteena on tukea heidän integroitumistaan työmarkkinoille. Se koostuu seuraavista toimista:</w:t>
      </w:r>
    </w:p>
    <w:p w14:paraId="6C2E620C" w14:textId="77777777" w:rsidR="0065073E" w:rsidRDefault="000A0998">
      <w:pPr>
        <w:pStyle w:val="P68B1DB1-Normal4"/>
        <w:numPr>
          <w:ilvl w:val="0"/>
          <w:numId w:val="150"/>
        </w:numPr>
        <w:spacing w:before="120" w:after="160" w:line="240" w:lineRule="auto"/>
        <w:contextualSpacing/>
        <w:jc w:val="both"/>
        <w:rPr>
          <w:rFonts w:cs="Times New Roman"/>
          <w:noProof/>
        </w:rPr>
      </w:pPr>
      <w:r>
        <w:rPr>
          <w:noProof/>
        </w:rPr>
        <w:t xml:space="preserve">Tandem-ohjelma. Se tarjoaa 16–29-vuotiaille nuorille työssäoppimista julkisissa koulutyöpajoissa keskittyen vihreän ja digitaalisen siirtymän, sosiaalihuollon ja alueellisen yhteenkuuluvuuden edellyttämiin taitoihin. Avustuksia saavat keskushallinnon julkiset elimet ja muut valtion julkisen sektorin yksiköt sekä täytäntöönpanosta vastaavat yhdistykset, säätiöt ja muut voittoa tavoittelemattomat yhteisöt. </w:t>
      </w:r>
    </w:p>
    <w:p w14:paraId="4A746104" w14:textId="77777777" w:rsidR="0065073E" w:rsidRDefault="000A0998">
      <w:pPr>
        <w:pStyle w:val="P68B1DB1-Normal4"/>
        <w:numPr>
          <w:ilvl w:val="0"/>
          <w:numId w:val="150"/>
        </w:numPr>
        <w:spacing w:before="120" w:after="160" w:line="240" w:lineRule="auto"/>
        <w:contextualSpacing/>
        <w:jc w:val="both"/>
        <w:rPr>
          <w:rFonts w:cs="Times New Roman"/>
          <w:noProof/>
        </w:rPr>
      </w:pPr>
      <w:r>
        <w:rPr>
          <w:noProof/>
        </w:rPr>
        <w:t xml:space="preserve">Ohjelma ”Ensimmäinen työkokemus” julkishallinnossa. Se tarjoaa ensimmäisen työkokemuksen julkisella sektorilla (sekä keskus- että aluehallinnossa) virallisen koulutuksen suorittaneille työttömille nuorille. He hankkivat pehmeitä taitoja työskentelemällä vihreään ja digitaaliseen siirtymään, sosiaalihuoltoon ja alueelliseen yhteenkuuluvuuteen liittyvissä työpaikoissa. Avustukset myönnetään täytäntöönpanosta vastaaville keskus- ja aluehallintojen julkisille elimille. </w:t>
      </w:r>
    </w:p>
    <w:p w14:paraId="6DBABDA0" w14:textId="77777777" w:rsidR="0065073E" w:rsidRDefault="000A0998">
      <w:pPr>
        <w:pStyle w:val="P68B1DB1-Normal4"/>
        <w:numPr>
          <w:ilvl w:val="0"/>
          <w:numId w:val="150"/>
        </w:numPr>
        <w:spacing w:before="120" w:after="160" w:line="240" w:lineRule="auto"/>
        <w:contextualSpacing/>
        <w:jc w:val="both"/>
        <w:rPr>
          <w:rFonts w:cs="Times New Roman"/>
          <w:noProof/>
        </w:rPr>
      </w:pPr>
      <w:r>
        <w:rPr>
          <w:i/>
          <w:noProof/>
        </w:rPr>
        <w:t>Tutkimusohjelma</w:t>
      </w:r>
      <w:r>
        <w:rPr>
          <w:noProof/>
        </w:rPr>
        <w:t xml:space="preserve">. Se kattaa nuorten tutkijoiden rekrytoinnin julkisiin tutkimuslaitoksiin, julkisiin yliopistoihin, teknologiakeskuksiin ja muihin julkisiin ja yksityisiin yksiköihin, joilla on tutkimushanke. </w:t>
      </w:r>
    </w:p>
    <w:p w14:paraId="3009A7E6" w14:textId="77777777" w:rsidR="0065073E" w:rsidRDefault="000A0998">
      <w:pPr>
        <w:pStyle w:val="P68B1DB1-Normal4"/>
        <w:spacing w:before="240" w:after="120" w:line="240" w:lineRule="auto"/>
        <w:jc w:val="both"/>
        <w:rPr>
          <w:rFonts w:cs="Times New Roman"/>
          <w:noProof/>
          <w:u w:val="single"/>
        </w:rPr>
      </w:pPr>
      <w:r>
        <w:rPr>
          <w:noProof/>
        </w:rPr>
        <w:t>Investoinnin toteutus saatetaan päätökseen 31. joulukuuta 2025 mennessä.</w:t>
      </w:r>
    </w:p>
    <w:p w14:paraId="7D7AF74C" w14:textId="77777777" w:rsidR="0065073E" w:rsidRDefault="000A0998">
      <w:pPr>
        <w:pStyle w:val="P68B1DB1-Normal5"/>
        <w:spacing w:before="120" w:after="120" w:line="240" w:lineRule="auto"/>
        <w:jc w:val="both"/>
        <w:rPr>
          <w:rFonts w:cs="Times New Roman"/>
          <w:noProof/>
        </w:rPr>
      </w:pPr>
      <w:r>
        <w:rPr>
          <w:noProof/>
        </w:rPr>
        <w:t>Investointi 2 (C23.I2) – Naisten työllisyys ja sukupuolten tasa-arvon valtavirtaistaminen aktiivisessa työmarkkinapolitiikassa</w:t>
      </w:r>
    </w:p>
    <w:p w14:paraId="716E0928" w14:textId="77777777" w:rsidR="0065073E" w:rsidRDefault="000A0998">
      <w:pPr>
        <w:pStyle w:val="P68B1DB1-Normal4"/>
        <w:spacing w:before="120" w:after="120" w:line="240" w:lineRule="auto"/>
        <w:jc w:val="both"/>
        <w:rPr>
          <w:rFonts w:cs="Times New Roman"/>
          <w:noProof/>
        </w:rPr>
      </w:pPr>
      <w:r>
        <w:rPr>
          <w:noProof/>
        </w:rPr>
        <w:t>Tämän investoinnin tavoitteena on parantaa naisten integroitumista työmarkkinoille, mikä on linjassa monien muiden sukupuolten tasapuolisen edustuksen edistämistä koskevan suunnitelman toimenpiteiden kanssa. Se koostuu seuraavista toimista:</w:t>
      </w:r>
    </w:p>
    <w:p w14:paraId="256228C3" w14:textId="77777777" w:rsidR="0065073E" w:rsidRDefault="000A0998">
      <w:pPr>
        <w:pStyle w:val="P68B1DB1-Normal4"/>
        <w:numPr>
          <w:ilvl w:val="0"/>
          <w:numId w:val="151"/>
        </w:numPr>
        <w:spacing w:before="120" w:after="160" w:line="240" w:lineRule="auto"/>
        <w:contextualSpacing/>
        <w:jc w:val="both"/>
        <w:rPr>
          <w:rFonts w:cs="Times New Roman"/>
          <w:noProof/>
        </w:rPr>
      </w:pPr>
      <w:r>
        <w:rPr>
          <w:noProof/>
        </w:rPr>
        <w:t xml:space="preserve">Maaseudun ja kaupunkialueiden naisia koskeva budjettikohta. Se kattaa digitaalista, vihreää, pitkäaikaishoitoa, yrittäjyyttä ja yhteisötaloutta koskevat koulutustoimet. Koulutustarjonnasta vastaaville julkisille ja yksityisille tahoille järjestetään avustus-ehdotuspyyntöjä. </w:t>
      </w:r>
    </w:p>
    <w:p w14:paraId="41C2839A" w14:textId="77777777" w:rsidR="0065073E" w:rsidRDefault="000A0998">
      <w:pPr>
        <w:pStyle w:val="P68B1DB1-Normal4"/>
        <w:numPr>
          <w:ilvl w:val="0"/>
          <w:numId w:val="151"/>
        </w:numPr>
        <w:spacing w:before="120" w:after="160" w:line="240" w:lineRule="auto"/>
        <w:contextualSpacing/>
        <w:jc w:val="both"/>
        <w:rPr>
          <w:rFonts w:cs="Times New Roman"/>
          <w:noProof/>
        </w:rPr>
      </w:pPr>
      <w:r>
        <w:rPr>
          <w:noProof/>
        </w:rPr>
        <w:t xml:space="preserve">Tukilinja väkivallan tai ihmiskaupan uhreiksi joutuneille naisille. Se kattaa näiden naisten kotouttamisväylät kahdessa vaiheessa. Ensimmäisten kuuden kuukauden aikana osallistujien on noudatettava yksilöllisiä sosiaalisen osallisuuden väyliä, ja seuraavien kuuden kuukauden aikana he osallistuvat työhön perustuvaan koulutukseen, jossa työnantaja sitoutuu ottamaan heidät palvelukseen sen jälkeen. </w:t>
      </w:r>
    </w:p>
    <w:p w14:paraId="5E3F7EB7" w14:textId="77777777" w:rsidR="0065073E" w:rsidRDefault="000A0998">
      <w:pPr>
        <w:pStyle w:val="P68B1DB1-Normal4"/>
        <w:numPr>
          <w:ilvl w:val="0"/>
          <w:numId w:val="151"/>
        </w:numPr>
        <w:spacing w:before="120" w:after="160" w:line="240" w:lineRule="auto"/>
        <w:contextualSpacing/>
        <w:jc w:val="both"/>
        <w:rPr>
          <w:rFonts w:cs="Times New Roman"/>
          <w:noProof/>
        </w:rPr>
      </w:pPr>
      <w:r>
        <w:rPr>
          <w:noProof/>
        </w:rPr>
        <w:t>Sukupuolten tasa-arvon valtavirtaistaminen aktiivisessa työmarkkinapolitiikassa. Se koskee sukupuolten tasa-arvon valtavirtaistamisen sisällyttämistä kaikkiin julkisten työvoimapalvelujen vuotuisten työllisyyssuunnitelmien (sekä keskus- että aluetason) osatekijöihin vuosina 2021–2023. Tätä varten on vuokrattava konsultointipalveluja.</w:t>
      </w:r>
    </w:p>
    <w:p w14:paraId="44ED0F2B" w14:textId="77777777" w:rsidR="0065073E" w:rsidRDefault="000A0998">
      <w:pPr>
        <w:pStyle w:val="P68B1DB1-Normal4"/>
        <w:spacing w:before="240" w:after="120" w:line="240" w:lineRule="auto"/>
        <w:jc w:val="both"/>
        <w:rPr>
          <w:rFonts w:cs="Times New Roman"/>
          <w:noProof/>
        </w:rPr>
      </w:pPr>
      <w:r>
        <w:rPr>
          <w:noProof/>
        </w:rPr>
        <w:t>Investoinnin toteutus saatetaan päätökseen 31. joulukuuta 2025 mennessä.</w:t>
      </w:r>
    </w:p>
    <w:p w14:paraId="556BB28C" w14:textId="77777777" w:rsidR="0065073E" w:rsidRDefault="000A0998">
      <w:pPr>
        <w:pStyle w:val="P68B1DB1-Normal5"/>
        <w:spacing w:before="120" w:after="120" w:line="240" w:lineRule="auto"/>
        <w:jc w:val="both"/>
        <w:rPr>
          <w:rFonts w:cs="Times New Roman"/>
          <w:noProof/>
        </w:rPr>
      </w:pPr>
      <w:r>
        <w:rPr>
          <w:noProof/>
        </w:rPr>
        <w:t>Investointi 3 (C23.I3) – Uusia taitoja vihreää, digitaalista ja tuottavaa siirtymää varten</w:t>
      </w:r>
    </w:p>
    <w:p w14:paraId="1FAD7B1B" w14:textId="77777777" w:rsidR="0065073E" w:rsidRDefault="000A0998">
      <w:pPr>
        <w:pStyle w:val="P68B1DB1-Normal4"/>
        <w:spacing w:before="120" w:after="120" w:line="240" w:lineRule="auto"/>
        <w:jc w:val="both"/>
        <w:rPr>
          <w:rFonts w:cs="Times New Roman"/>
          <w:noProof/>
        </w:rPr>
      </w:pPr>
      <w:r>
        <w:rPr>
          <w:noProof/>
        </w:rPr>
        <w:t>Investointi käsittää erilaisia koulutusaloitteita, joiden tavoitteena on uudelleenkouluttaa syrjäytymisvaarassa olevia työntekijöitä. Se koostuu seuraavista toimintalinjoista:</w:t>
      </w:r>
    </w:p>
    <w:p w14:paraId="5D5870E8" w14:textId="0637B59A" w:rsidR="0065073E" w:rsidRDefault="000A0998">
      <w:pPr>
        <w:pStyle w:val="P68B1DB1-Normal4"/>
        <w:numPr>
          <w:ilvl w:val="0"/>
          <w:numId w:val="152"/>
        </w:numPr>
        <w:spacing w:before="120" w:after="160" w:line="240" w:lineRule="auto"/>
        <w:contextualSpacing/>
        <w:jc w:val="both"/>
        <w:rPr>
          <w:rFonts w:cs="Times New Roman"/>
          <w:noProof/>
        </w:rPr>
      </w:pPr>
      <w:r>
        <w:rPr>
          <w:noProof/>
        </w:rPr>
        <w:t>Ehdotuspyyntöjä, jotka koskevat uusien taitojen hankkimista digitaalista, vihreää ja tuottavaa muutosta varten. Se on suunnattu matkailualan työntekijöille, työttömille, miehitetyille työntekijöille</w:t>
      </w:r>
      <w:r>
        <w:rPr>
          <w:noProof/>
          <w:shd w:val="clear" w:color="auto" w:fill="FFFFFF" w:themeFill="background1"/>
        </w:rPr>
        <w:t xml:space="preserve"> ja</w:t>
      </w:r>
      <w:r>
        <w:rPr>
          <w:noProof/>
        </w:rPr>
        <w:t xml:space="preserve"> ERTE-hankkeiden piiriin kuuluville henkilöille. Koulutustoimien keston on oltava tuotantosektorin vaatima kesto.</w:t>
      </w:r>
    </w:p>
    <w:p w14:paraId="24F053AB" w14:textId="77777777" w:rsidR="0065073E" w:rsidRDefault="000A0998">
      <w:pPr>
        <w:pStyle w:val="P68B1DB1-Normal4"/>
        <w:numPr>
          <w:ilvl w:val="0"/>
          <w:numId w:val="152"/>
        </w:numPr>
        <w:spacing w:before="120" w:after="160" w:line="240" w:lineRule="auto"/>
        <w:contextualSpacing/>
        <w:jc w:val="both"/>
        <w:rPr>
          <w:rFonts w:cs="Times New Roman"/>
          <w:noProof/>
        </w:rPr>
      </w:pPr>
      <w:r>
        <w:rPr>
          <w:noProof/>
        </w:rPr>
        <w:t>Koulutussetelit uusien taitojen hankkimiseksi digitaalista, vihreää ja tuottavaa muutosta varten. Se kohdistuu samantyyppisiin työntekijöihin kuin edellinen toimintalinja, mutta tässä tapauksessa tuensaaja saa suoraa tukea vihreiden, digitaalisten ja muiden strategisten alojen osaamiseen liittyvään koulutukseen.</w:t>
      </w:r>
    </w:p>
    <w:p w14:paraId="32C6835D" w14:textId="08E1EB0E" w:rsidR="0065073E" w:rsidRDefault="000A0998">
      <w:pPr>
        <w:pStyle w:val="P68B1DB1-Normal4"/>
        <w:numPr>
          <w:ilvl w:val="0"/>
          <w:numId w:val="152"/>
        </w:numPr>
        <w:spacing w:before="120" w:after="160" w:line="240" w:lineRule="auto"/>
        <w:contextualSpacing/>
        <w:jc w:val="both"/>
        <w:rPr>
          <w:rFonts w:cs="Times New Roman"/>
          <w:noProof/>
        </w:rPr>
      </w:pPr>
      <w:r>
        <w:rPr>
          <w:noProof/>
        </w:rPr>
        <w:t>Osaamistarpeiden havaitseminen. Vähintään 23 tuotantosektorilla tehtyyn tutkimukseen perustuvan tutkimuksen on tarjottava tehokkaita vastauksia työmarkkinoiden koulutus- ja uudelleenkoulutustarpeisiin, mukaan lukien digitaaliseen siirtymään ja vihreään siirtymään liittyvät taidot. Siinä on myös ennakoitava muutoksia ja vastattava ammattitaitoisen työvoiman mahdolliseen kysyntään.</w:t>
      </w:r>
    </w:p>
    <w:p w14:paraId="04AA6220" w14:textId="223E96E2" w:rsidR="0065073E" w:rsidRDefault="000A0998">
      <w:pPr>
        <w:pStyle w:val="P68B1DB1-Normal4"/>
        <w:spacing w:before="240" w:after="120" w:line="240" w:lineRule="auto"/>
        <w:jc w:val="both"/>
        <w:rPr>
          <w:rFonts w:cs="Times New Roman"/>
          <w:noProof/>
        </w:rPr>
      </w:pPr>
      <w:r>
        <w:rPr>
          <w:noProof/>
        </w:rPr>
        <w:t>Investoinnin toteutus saatetaan päätökseen 31. joulukuuta 2025 mennessä.</w:t>
      </w:r>
    </w:p>
    <w:p w14:paraId="17832937" w14:textId="77777777" w:rsidR="0065073E" w:rsidRDefault="000A0998">
      <w:pPr>
        <w:pStyle w:val="P68B1DB1-Normal5"/>
        <w:spacing w:before="120" w:after="120" w:line="240" w:lineRule="auto"/>
        <w:jc w:val="both"/>
        <w:rPr>
          <w:rFonts w:cs="Times New Roman"/>
          <w:noProof/>
        </w:rPr>
      </w:pPr>
      <w:r>
        <w:rPr>
          <w:noProof/>
        </w:rPr>
        <w:t>Investointi 4 (C23.I4) – Uudet alueelliset hankkeet tasapainottamiseksi ja pääomaksi</w:t>
      </w:r>
    </w:p>
    <w:p w14:paraId="1DD0D051" w14:textId="77777777" w:rsidR="0065073E" w:rsidRDefault="000A0998">
      <w:pPr>
        <w:pStyle w:val="P68B1DB1-Normal4"/>
        <w:spacing w:before="120" w:after="120" w:line="240" w:lineRule="auto"/>
        <w:jc w:val="both"/>
        <w:rPr>
          <w:rFonts w:cs="Times New Roman"/>
          <w:noProof/>
        </w:rPr>
      </w:pPr>
      <w:r>
        <w:rPr>
          <w:noProof/>
        </w:rPr>
        <w:t xml:space="preserve">Investoinnilla on rahoitettava vähintään 68 uutta alueellista hanketta, joiden tavoitteena on vastata väestökehityksen haasteeseen ja helpottaa tuotannollista muutosta erityisesti kohti vihreää ja digitaalista taloutta. Kullakin maan autonomisella alueella on toteutettava vähintään neljä hanketta. </w:t>
      </w:r>
    </w:p>
    <w:p w14:paraId="6ED462C7" w14:textId="77777777" w:rsidR="0065073E" w:rsidRDefault="000A0998">
      <w:pPr>
        <w:pStyle w:val="P68B1DB1-Normal4"/>
        <w:spacing w:before="120" w:after="120" w:line="240" w:lineRule="auto"/>
        <w:jc w:val="both"/>
        <w:rPr>
          <w:rFonts w:cs="Times New Roman"/>
          <w:noProof/>
        </w:rPr>
      </w:pPr>
      <w:r>
        <w:rPr>
          <w:noProof/>
        </w:rPr>
        <w:t>Se koostuu kahdentyyppisistä hankkeista:</w:t>
      </w:r>
    </w:p>
    <w:p w14:paraId="64DE64B3" w14:textId="77777777" w:rsidR="0065073E" w:rsidRDefault="000A0998">
      <w:pPr>
        <w:pStyle w:val="P68B1DB1-Normal4"/>
        <w:numPr>
          <w:ilvl w:val="0"/>
          <w:numId w:val="153"/>
        </w:numPr>
        <w:spacing w:before="120" w:after="160" w:line="240" w:lineRule="auto"/>
        <w:contextualSpacing/>
        <w:jc w:val="both"/>
        <w:rPr>
          <w:rFonts w:cs="Times New Roman"/>
          <w:noProof/>
        </w:rPr>
      </w:pPr>
      <w:r>
        <w:rPr>
          <w:noProof/>
        </w:rPr>
        <w:t xml:space="preserve">Heikossa asemassa oleville ryhmille suunnatut alueelliset hankkeet. Nämä hankkeet on kohdennettava pitkäaikaistyöttömille, joiden on noudatettava yksilöllisiä ja yksilöllisiä reittejä, joihin integroidaan erilaisia toimia, kuten ohjaus ja avustaminen, perehdyttämisohjelmat, työnhakuryhmien hoito, koulutus- ja sovitteluapurahat, työhönotto ja toimien seuranta. </w:t>
      </w:r>
    </w:p>
    <w:p w14:paraId="42CA2355" w14:textId="77777777" w:rsidR="0065073E" w:rsidRDefault="000A0998">
      <w:pPr>
        <w:pStyle w:val="P68B1DB1-Normal4"/>
        <w:numPr>
          <w:ilvl w:val="0"/>
          <w:numId w:val="153"/>
        </w:numPr>
        <w:spacing w:before="120" w:after="160" w:line="240" w:lineRule="auto"/>
        <w:contextualSpacing/>
        <w:jc w:val="both"/>
        <w:rPr>
          <w:rFonts w:cs="Times New Roman"/>
          <w:noProof/>
        </w:rPr>
      </w:pPr>
      <w:r>
        <w:rPr>
          <w:noProof/>
        </w:rPr>
        <w:t xml:space="preserve">Yrittäjyys- ja mikroyrityshankkeet. Näillä hankkeilla vastataan demografiseen haasteeseen ja helpotetaan tuotannollista muutosta erityisesti kohti vihreää ja digitaalista taloutta. Rahoitettavia aloitteita ovat muun muassa maatalouden koulutushankkeet, kestävä paikallinen kehitys, yhteisötalouden aloitteet kulttuuri- ja taidetoiminnan edistämiseksi, ekologinen siirtymä, paikalliset kehittämisaloitteet, maaseutumatkailu ja taideperintö. Hankkeella voidaan rahoittaa esimerkiksi seuraavia toimia: yhteiskunnallinen yrittäjyys ja freelancerit, työmarkkinatutkimukset, paikalliset edistämis- ja kehittämistoimijat, osuuskuntien tai mikroyritysten perustamisen tukeminen, verkostoituminen, osallistuminen konferensseihin ja tiedotustoimet. </w:t>
      </w:r>
    </w:p>
    <w:p w14:paraId="5FBA5AD4" w14:textId="77777777" w:rsidR="0065073E" w:rsidRDefault="000A0998">
      <w:pPr>
        <w:pStyle w:val="P68B1DB1-Normal4"/>
        <w:spacing w:before="240" w:after="120" w:line="240" w:lineRule="auto"/>
        <w:jc w:val="both"/>
        <w:rPr>
          <w:rFonts w:cs="Times New Roman"/>
          <w:noProof/>
        </w:rPr>
      </w:pPr>
      <w:r>
        <w:rPr>
          <w:noProof/>
        </w:rPr>
        <w:t xml:space="preserve">Investoinnin toteutus on saatettava päätökseen 31 päivään joulukuuta 2023 mennessä. </w:t>
      </w:r>
    </w:p>
    <w:p w14:paraId="0B3B66E3" w14:textId="77777777" w:rsidR="0065073E" w:rsidRDefault="000A0998">
      <w:pPr>
        <w:pStyle w:val="P68B1DB1-Normal5"/>
        <w:spacing w:before="120" w:after="120" w:line="240" w:lineRule="auto"/>
        <w:jc w:val="both"/>
        <w:rPr>
          <w:rFonts w:cs="Times New Roman"/>
          <w:noProof/>
        </w:rPr>
      </w:pPr>
      <w:r>
        <w:rPr>
          <w:noProof/>
        </w:rPr>
        <w:t>Investointi 5 (C23.I5) – Hallinto ja aktivointia tukevien politiikkojen tehostaminen</w:t>
      </w:r>
    </w:p>
    <w:p w14:paraId="00E6CD36" w14:textId="77777777" w:rsidR="0065073E" w:rsidRDefault="000A0998">
      <w:pPr>
        <w:pStyle w:val="P68B1DB1-Normal4"/>
        <w:spacing w:before="120" w:after="120" w:line="240" w:lineRule="auto"/>
        <w:jc w:val="both"/>
        <w:rPr>
          <w:rFonts w:cs="Times New Roman"/>
          <w:noProof/>
        </w:rPr>
      </w:pPr>
      <w:r>
        <w:rPr>
          <w:noProof/>
        </w:rPr>
        <w:t xml:space="preserve">Toimenpiteen tavoitteena on vahvistaa julkisia työvoimapalveluja ja tehostaa aktiivista työmarkkinapolitiikkaa. Tätä varten komissio aikoo perustaa 20 suuntautumis-, yrittäjyys- ja innovointikeskuksen verkosto työllisyyden edistämiseksi. Ne ovat hajallaan koko maassa (yksi keskushallinnon tasolla ja yksi keskus kullakin itsehallintoalueella, Ceuta ja Melilla mukaan lukien), ja niiden tehtävänä on parantaa julkisten työvoimapalvelujen koordinointia eri alueilla. </w:t>
      </w:r>
    </w:p>
    <w:p w14:paraId="315B53AE" w14:textId="77777777" w:rsidR="0065073E" w:rsidRDefault="000A0998">
      <w:pPr>
        <w:pStyle w:val="P68B1DB1-Normal4"/>
        <w:spacing w:before="120" w:after="120" w:line="240" w:lineRule="auto"/>
        <w:jc w:val="both"/>
        <w:rPr>
          <w:rFonts w:cs="Times New Roman"/>
          <w:noProof/>
        </w:rPr>
      </w:pPr>
      <w:r>
        <w:rPr>
          <w:noProof/>
        </w:rPr>
        <w:t>Lisäksi julkisten työvoimapalvelujen työntekijöille suunnitellaan täydennyskoulutustoimia, jotka tarjoavat heille keskimäärin 14000 koulutustointa vuodessa. Koulutus on järjestettävä moduuleina, joiden kesto on keskimäärin 30 tuntia, ja kunkin työntekijän on osallistuttava moduuliin vuodessa vuosina 2021–2023.</w:t>
      </w:r>
    </w:p>
    <w:p w14:paraId="17A6037F" w14:textId="562F2FF2"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31. joulukuuta 2024. </w:t>
      </w:r>
    </w:p>
    <w:p w14:paraId="56E0D07A" w14:textId="77777777" w:rsidR="0065073E" w:rsidRDefault="000A0998">
      <w:pPr>
        <w:pStyle w:val="P68B1DB1-Normal5"/>
        <w:spacing w:before="120" w:after="120" w:line="240" w:lineRule="auto"/>
        <w:jc w:val="both"/>
        <w:rPr>
          <w:rFonts w:cs="Times New Roman"/>
          <w:noProof/>
        </w:rPr>
      </w:pPr>
      <w:r>
        <w:rPr>
          <w:noProof/>
        </w:rPr>
        <w:t>Investointi 6 (C23.I6) – kokonaisvaltainen suunnitelma yhteisötalouden edistämiseksi</w:t>
      </w:r>
    </w:p>
    <w:p w14:paraId="09AAB665" w14:textId="77777777" w:rsidR="0065073E" w:rsidRDefault="000A0998">
      <w:pPr>
        <w:pStyle w:val="P68B1DB1-Normal4"/>
        <w:spacing w:before="120" w:after="120" w:line="240" w:lineRule="auto"/>
        <w:jc w:val="both"/>
        <w:rPr>
          <w:rFonts w:cs="Times New Roman"/>
          <w:noProof/>
        </w:rPr>
      </w:pPr>
      <w:r>
        <w:rPr>
          <w:noProof/>
        </w:rPr>
        <w:t xml:space="preserve">Tällä toimenpiteellä tuetaan innovatiivisia yhteisötalouden hankkeita, joiden tavoitteena on luoda osallistavampi ja kestävämpi talousrakenne. </w:t>
      </w:r>
    </w:p>
    <w:p w14:paraId="75240938" w14:textId="6B4F3A91" w:rsidR="0065073E" w:rsidRDefault="000A0998">
      <w:pPr>
        <w:pStyle w:val="P68B1DB1-Normal4"/>
        <w:spacing w:before="120" w:after="120" w:line="240" w:lineRule="auto"/>
        <w:jc w:val="both"/>
        <w:rPr>
          <w:rFonts w:cs="Times New Roman"/>
          <w:noProof/>
        </w:rPr>
      </w:pPr>
      <w:r>
        <w:rPr>
          <w:noProof/>
        </w:rPr>
        <w:t>Se koostuu vähintään 30 yhteisötalouden hankkeen kehittämisestä vuosina 2021–</w:t>
      </w:r>
      <w:r>
        <w:rPr>
          <w:noProof/>
          <w:shd w:val="clear" w:color="auto" w:fill="FFFFFF" w:themeFill="background1"/>
        </w:rPr>
        <w:t>2025 seuraavilla aloilla</w:t>
      </w:r>
      <w:r>
        <w:rPr>
          <w:noProof/>
        </w:rPr>
        <w:t>:</w:t>
      </w:r>
    </w:p>
    <w:p w14:paraId="0282A2F5"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Sellaisten elinkelpoisten yritysten luominen ja säilyttäminen, jotka ovat vaikeuksissa tai ilman sukupolvenvaihdosta, muuttamalla ne työntekijöidensä johtamiksi yhteisötalouden liiketoimintamalleiksi (osuuskunnat ja työvoimayritykset).</w:t>
      </w:r>
    </w:p>
    <w:p w14:paraId="68B23CFC"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Innovatiivisten yhteisötalouden toimijoiden perustaminen ja vakiinnuttaminen, mikä vaikuttaa sukupolvenvaihdokseen ja nuorten yrittäjyyteen.</w:t>
      </w:r>
    </w:p>
    <w:p w14:paraId="18DA814B"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Yhteisötalouden yritysten digitalisointi luomalla digitaalisia alustoja, joilla pyritään parantamaan maaseutualueiden kansalaisten hyvinvointia.</w:t>
      </w:r>
    </w:p>
    <w:p w14:paraId="119EDA63"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Osuuskuntien, työvoimayritysten ja muiden yhteisötalouden muotojen verkottaminen sekä valmiuksien kehittäminen ja koulutustoimet uusien kattavien palvelujen tarjoamiseksi yhteiskunnalle.</w:t>
      </w:r>
    </w:p>
    <w:p w14:paraId="162CCE07"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Edistetään haavoittuvien yritysten ja ryhmien kestäviä ja osallistavia siirtymiä.</w:t>
      </w:r>
    </w:p>
    <w:p w14:paraId="4FE88FA6" w14:textId="37F2E1CE" w:rsidR="0065073E" w:rsidRDefault="000A0998">
      <w:pPr>
        <w:pStyle w:val="P68B1DB1-Normal4"/>
        <w:spacing w:before="240" w:after="120" w:line="240" w:lineRule="auto"/>
        <w:jc w:val="both"/>
        <w:rPr>
          <w:rFonts w:cs="Times New Roman"/>
          <w:noProof/>
        </w:rPr>
      </w:pPr>
      <w:r>
        <w:rPr>
          <w:noProof/>
        </w:rPr>
        <w:t xml:space="preserve">Investoinnin toteutus saatetaan päätökseen 30. kesäkuuta 2025 mennessä. </w:t>
      </w:r>
    </w:p>
    <w:p w14:paraId="27DBBA7C" w14:textId="77777777" w:rsidR="0065073E" w:rsidRDefault="000A0998">
      <w:pPr>
        <w:pStyle w:val="P68B1DB1-Normal5"/>
        <w:spacing w:before="120" w:after="120" w:line="240" w:lineRule="auto"/>
        <w:jc w:val="both"/>
        <w:rPr>
          <w:rFonts w:cs="Times New Roman"/>
          <w:noProof/>
        </w:rPr>
      </w:pPr>
      <w:r>
        <w:rPr>
          <w:noProof/>
        </w:rPr>
        <w:t xml:space="preserve">Investointi 7 (C23.I7) – Osallistavan kasvun edistäminen kytkemällä sosiaalista osallisuutta edistävät politiikat kansalliseen vähimmäistoimeentulojärjestelmään  </w:t>
      </w:r>
    </w:p>
    <w:p w14:paraId="338DDF18" w14:textId="77777777" w:rsidR="0065073E" w:rsidRDefault="000A0998">
      <w:pPr>
        <w:pStyle w:val="P68B1DB1-Normal4"/>
        <w:spacing w:before="120" w:after="120" w:line="240" w:lineRule="auto"/>
        <w:jc w:val="both"/>
        <w:rPr>
          <w:rFonts w:cs="Times New Roman"/>
          <w:noProof/>
        </w:rPr>
      </w:pPr>
      <w:r>
        <w:rPr>
          <w:noProof/>
        </w:rPr>
        <w:t>Tämän investoinnin tavoitteena on parantaa kansallisen vähimmäistulojärjestelmän edunsaajien kotouttamisväylien tehokkuutta toteuttamalla vähintään 18 pilottihanketta. Kun vähimmäistoimeentulojärjestelmät on saatu päätökseen, on tehtävä arviointi, jossa arvioidaan vähimmäistoimeentulojärjestelmien kattavuutta, tehokkuutta ja onnistumista. Tähän arviointiin on sisällyttävä erityisiä suosituksia käyttöasteen nostamiseksi ja sosiaalista osallisuutta koskevien politiikkojen tehokkuuden parantamiseksi. Tämä toimenpide liittyy läheisesti osa-alueen 22 uudistukseen 5.</w:t>
      </w:r>
    </w:p>
    <w:p w14:paraId="64B47076" w14:textId="77777777" w:rsidR="0065073E" w:rsidRDefault="000A0998">
      <w:pPr>
        <w:pStyle w:val="P68B1DB1-Normal4"/>
        <w:spacing w:before="120" w:after="120" w:line="240" w:lineRule="auto"/>
        <w:jc w:val="both"/>
        <w:rPr>
          <w:rFonts w:cs="Times New Roman"/>
          <w:noProof/>
        </w:rPr>
      </w:pPr>
      <w:r>
        <w:rPr>
          <w:noProof/>
        </w:rPr>
        <w:t>Pilottihankkeiden toteuttamiseksi sosiaalisen osallisuuden ministeriö allekirjoittaa kumppanuussopimukset asianomaisten alue- ja paikallisviranomaisten sekä kolmannen sektorin sosiaalialan toimien yksiköiden ja työmarkkinaosapuolten kanssa. Näiden kumppanuussopimusten tavoitteena on: I) IMV:n käyttöasteen parantaminen; IMV:n tehokkuuden lisääminen kotouttamisväylien avulla. Jokaiseen kumppanuussopimukseen on liitettävä toimintasuunnitelma, jossa määritellään ainakin seuraavat seikat:</w:t>
      </w:r>
    </w:p>
    <w:p w14:paraId="794B4969"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Pilottihankkeeseen osallistuvat IMV-tuensaajat.</w:t>
      </w:r>
    </w:p>
    <w:p w14:paraId="584C4C96"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Sopivimmat väylät (määritellään saatujen kokemusten perusteella) ja niihin liittyvät osallistamisen tulokset/tulokset, jotka on tarkoitus saavuttaa toimen avulla.</w:t>
      </w:r>
    </w:p>
    <w:p w14:paraId="0222F1AF"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Datainfrastruktuuria koskeva vaatimus: IMV-tuensaajien lisäksi tarvitaan myös muita alueellisia ohjelmia, jotta he voivat luottaa hyviin kontrolliryhmiin.</w:t>
      </w:r>
    </w:p>
    <w:p w14:paraId="119E7C3A"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Tukitoimen yksikkökustannukset.</w:t>
      </w:r>
    </w:p>
    <w:p w14:paraId="081072A6"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Seurantasuunnitelma, jonka avulla osallisuusministeriö arvioi suunnitelmassa määriteltyjen eri välitavoitteiden saavuttamista.</w:t>
      </w:r>
    </w:p>
    <w:p w14:paraId="7A0B0FE9" w14:textId="77777777" w:rsidR="0065073E" w:rsidRDefault="000A0998">
      <w:pPr>
        <w:pStyle w:val="P68B1DB1-Normal4"/>
        <w:numPr>
          <w:ilvl w:val="0"/>
          <w:numId w:val="154"/>
        </w:numPr>
        <w:spacing w:before="120" w:after="160" w:line="240" w:lineRule="auto"/>
        <w:contextualSpacing/>
        <w:jc w:val="both"/>
        <w:rPr>
          <w:rFonts w:cs="Times New Roman"/>
          <w:noProof/>
        </w:rPr>
      </w:pPr>
      <w:r>
        <w:rPr>
          <w:noProof/>
        </w:rPr>
        <w:t>Arvioinnin julkaiseminen pilottihankkeen päätyttyä havaintojen ja saatujen kokemusten perusteella.</w:t>
      </w:r>
    </w:p>
    <w:p w14:paraId="156E5409" w14:textId="77777777" w:rsidR="0065073E" w:rsidRDefault="000A0998">
      <w:pPr>
        <w:pStyle w:val="P68B1DB1-Normal4"/>
        <w:spacing w:before="240" w:after="120" w:line="240" w:lineRule="auto"/>
        <w:jc w:val="both"/>
        <w:rPr>
          <w:rFonts w:cs="Times New Roman"/>
          <w:noProof/>
          <w:u w:val="single"/>
        </w:rPr>
      </w:pPr>
      <w:r>
        <w:rPr>
          <w:noProof/>
        </w:rPr>
        <w:t>Investoinnin toteuttaminen on saatettava päätökseen 31 päivään maaliskuuta 2024 mennessä.</w:t>
      </w:r>
    </w:p>
    <w:p w14:paraId="449A9072" w14:textId="77777777" w:rsidR="0065073E" w:rsidRDefault="000A0998">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W.2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78A44193"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50748E46"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511"/>
          <w:headerReference w:type="default" r:id="rId512"/>
          <w:footerReference w:type="even" r:id="rId513"/>
          <w:footerReference w:type="default" r:id="rId514"/>
          <w:headerReference w:type="first" r:id="rId515"/>
          <w:footerReference w:type="first" r:id="rId516"/>
          <w:pgSz w:w="11907" w:h="16839"/>
          <w:pgMar w:top="1134" w:right="1134" w:bottom="1134" w:left="1134" w:header="567" w:footer="567"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93"/>
        <w:gridCol w:w="792"/>
        <w:gridCol w:w="921"/>
        <w:gridCol w:w="2491"/>
        <w:gridCol w:w="1053"/>
        <w:gridCol w:w="791"/>
        <w:gridCol w:w="948"/>
        <w:gridCol w:w="659"/>
        <w:gridCol w:w="397"/>
        <w:gridCol w:w="528"/>
        <w:gridCol w:w="5620"/>
      </w:tblGrid>
      <w:tr w:rsidR="0065073E" w14:paraId="0ECB5695" w14:textId="77777777">
        <w:trPr>
          <w:trHeight w:val="309"/>
          <w:tblHeader/>
        </w:trPr>
        <w:tc>
          <w:tcPr>
            <w:tcW w:w="830" w:type="dxa"/>
            <w:tcBorders>
              <w:bottom w:val="nil"/>
            </w:tcBorders>
            <w:shd w:val="clear" w:color="auto" w:fill="C6D9F1" w:themeFill="text2" w:themeFillTint="33"/>
            <w:noWrap/>
            <w:vAlign w:val="center"/>
          </w:tcPr>
          <w:p w14:paraId="22830699" w14:textId="77777777" w:rsidR="0065073E" w:rsidRDefault="000A0998">
            <w:pPr>
              <w:pStyle w:val="P68B1DB1-Normal8"/>
              <w:spacing w:after="0" w:line="240" w:lineRule="auto"/>
              <w:jc w:val="center"/>
              <w:rPr>
                <w:rFonts w:cs="Times New Roman"/>
                <w:noProof/>
              </w:rPr>
            </w:pPr>
            <w:r>
              <w:rPr>
                <w:noProof/>
              </w:rPr>
              <w:t>Määrä</w:t>
            </w:r>
          </w:p>
        </w:tc>
        <w:tc>
          <w:tcPr>
            <w:tcW w:w="828" w:type="dxa"/>
            <w:tcBorders>
              <w:bottom w:val="nil"/>
            </w:tcBorders>
            <w:shd w:val="clear" w:color="auto" w:fill="C6D9F1" w:themeFill="text2" w:themeFillTint="33"/>
            <w:noWrap/>
            <w:vAlign w:val="center"/>
          </w:tcPr>
          <w:p w14:paraId="17A0D607" w14:textId="77777777" w:rsidR="0065073E" w:rsidRDefault="000A0998">
            <w:pPr>
              <w:pStyle w:val="P68B1DB1-Normal8"/>
              <w:spacing w:after="0" w:line="240" w:lineRule="auto"/>
              <w:jc w:val="center"/>
              <w:rPr>
                <w:rFonts w:cs="Times New Roman"/>
                <w:noProof/>
              </w:rPr>
            </w:pPr>
            <w:r>
              <w:rPr>
                <w:noProof/>
              </w:rPr>
              <w:t>Toimenpide</w:t>
            </w:r>
          </w:p>
        </w:tc>
        <w:tc>
          <w:tcPr>
            <w:tcW w:w="964" w:type="dxa"/>
            <w:tcBorders>
              <w:bottom w:val="nil"/>
            </w:tcBorders>
            <w:shd w:val="clear" w:color="auto" w:fill="C6D9F1" w:themeFill="text2" w:themeFillTint="33"/>
            <w:noWrap/>
            <w:vAlign w:val="center"/>
          </w:tcPr>
          <w:p w14:paraId="103F9819"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13" w:type="dxa"/>
            <w:tcBorders>
              <w:bottom w:val="nil"/>
            </w:tcBorders>
            <w:shd w:val="clear" w:color="auto" w:fill="C6D9F1" w:themeFill="text2" w:themeFillTint="33"/>
            <w:noWrap/>
            <w:vAlign w:val="center"/>
          </w:tcPr>
          <w:p w14:paraId="72BAAA7B" w14:textId="77777777" w:rsidR="0065073E" w:rsidRDefault="000A0998">
            <w:pPr>
              <w:pStyle w:val="P68B1DB1-Normal8"/>
              <w:spacing w:after="0" w:line="240" w:lineRule="auto"/>
              <w:jc w:val="center"/>
              <w:rPr>
                <w:rFonts w:cs="Times New Roman"/>
                <w:noProof/>
              </w:rPr>
            </w:pPr>
            <w:r>
              <w:rPr>
                <w:noProof/>
              </w:rPr>
              <w:t>Nimi</w:t>
            </w:r>
          </w:p>
        </w:tc>
        <w:tc>
          <w:tcPr>
            <w:tcW w:w="1102" w:type="dxa"/>
            <w:tcBorders>
              <w:bottom w:val="nil"/>
            </w:tcBorders>
            <w:shd w:val="clear" w:color="auto" w:fill="C6D9F1" w:themeFill="text2" w:themeFillTint="33"/>
            <w:noWrap/>
            <w:vAlign w:val="center"/>
          </w:tcPr>
          <w:p w14:paraId="7E2B21BF"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1929" w:type="dxa"/>
            <w:gridSpan w:val="3"/>
            <w:shd w:val="clear" w:color="auto" w:fill="C6D9F1" w:themeFill="text2" w:themeFillTint="33"/>
            <w:noWrap/>
            <w:vAlign w:val="center"/>
          </w:tcPr>
          <w:p w14:paraId="57BAA056"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4" w:type="dxa"/>
            <w:gridSpan w:val="2"/>
            <w:shd w:val="clear" w:color="auto" w:fill="C6D9F1" w:themeFill="text2" w:themeFillTint="33"/>
            <w:noWrap/>
            <w:vAlign w:val="center"/>
          </w:tcPr>
          <w:p w14:paraId="2DA5D823" w14:textId="77777777" w:rsidR="0065073E" w:rsidRDefault="000A0998">
            <w:pPr>
              <w:pStyle w:val="P68B1DB1-Normal8"/>
              <w:spacing w:after="0" w:line="240" w:lineRule="auto"/>
              <w:jc w:val="center"/>
              <w:rPr>
                <w:rFonts w:cs="Times New Roman"/>
                <w:noProof/>
              </w:rPr>
            </w:pPr>
            <w:r>
              <w:rPr>
                <w:noProof/>
              </w:rPr>
              <w:t>Aika</w:t>
            </w:r>
          </w:p>
        </w:tc>
        <w:tc>
          <w:tcPr>
            <w:tcW w:w="5901" w:type="dxa"/>
            <w:tcBorders>
              <w:bottom w:val="nil"/>
            </w:tcBorders>
            <w:shd w:val="clear" w:color="auto" w:fill="C6D9F1" w:themeFill="text2" w:themeFillTint="33"/>
            <w:noWrap/>
            <w:vAlign w:val="center"/>
          </w:tcPr>
          <w:p w14:paraId="4E6188D6"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4BF30752" w14:textId="77777777">
        <w:trPr>
          <w:trHeight w:val="309"/>
          <w:tblHeader/>
        </w:trPr>
        <w:tc>
          <w:tcPr>
            <w:tcW w:w="830" w:type="dxa"/>
            <w:tcBorders>
              <w:top w:val="nil"/>
            </w:tcBorders>
            <w:shd w:val="clear" w:color="auto" w:fill="C6D9F1" w:themeFill="text2" w:themeFillTint="33"/>
            <w:noWrap/>
          </w:tcPr>
          <w:p w14:paraId="29C547A1"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1059B97E" w14:textId="77777777" w:rsidR="0065073E" w:rsidRDefault="0065073E">
            <w:pPr>
              <w:spacing w:after="0" w:line="240" w:lineRule="auto"/>
              <w:jc w:val="center"/>
              <w:rPr>
                <w:rFonts w:ascii="Times New Roman" w:hAnsi="Times New Roman" w:cs="Times New Roman"/>
                <w:b/>
                <w:noProof/>
                <w:sz w:val="18"/>
              </w:rPr>
            </w:pPr>
          </w:p>
        </w:tc>
        <w:tc>
          <w:tcPr>
            <w:tcW w:w="964" w:type="dxa"/>
            <w:tcBorders>
              <w:top w:val="nil"/>
            </w:tcBorders>
            <w:shd w:val="clear" w:color="auto" w:fill="C6D9F1" w:themeFill="text2" w:themeFillTint="33"/>
            <w:noWrap/>
          </w:tcPr>
          <w:p w14:paraId="5D2DCD9F" w14:textId="77777777" w:rsidR="0065073E" w:rsidRDefault="0065073E">
            <w:pPr>
              <w:spacing w:after="0" w:line="240" w:lineRule="auto"/>
              <w:jc w:val="center"/>
              <w:rPr>
                <w:rFonts w:ascii="Times New Roman" w:hAnsi="Times New Roman" w:cs="Times New Roman"/>
                <w:b/>
                <w:noProof/>
                <w:sz w:val="18"/>
              </w:rPr>
            </w:pPr>
          </w:p>
        </w:tc>
        <w:tc>
          <w:tcPr>
            <w:tcW w:w="2613" w:type="dxa"/>
            <w:tcBorders>
              <w:top w:val="nil"/>
            </w:tcBorders>
            <w:shd w:val="clear" w:color="auto" w:fill="C6D9F1" w:themeFill="text2" w:themeFillTint="33"/>
            <w:noWrap/>
          </w:tcPr>
          <w:p w14:paraId="4136251A" w14:textId="77777777" w:rsidR="0065073E" w:rsidRDefault="0065073E">
            <w:pPr>
              <w:spacing w:after="0" w:line="240" w:lineRule="auto"/>
              <w:rPr>
                <w:rFonts w:ascii="Times New Roman" w:hAnsi="Times New Roman" w:cs="Times New Roman"/>
                <w:b/>
                <w:noProof/>
                <w:sz w:val="18"/>
              </w:rPr>
            </w:pPr>
          </w:p>
        </w:tc>
        <w:tc>
          <w:tcPr>
            <w:tcW w:w="1102" w:type="dxa"/>
            <w:tcBorders>
              <w:top w:val="nil"/>
            </w:tcBorders>
            <w:shd w:val="clear" w:color="auto" w:fill="C6D9F1" w:themeFill="text2" w:themeFillTint="33"/>
            <w:noWrap/>
          </w:tcPr>
          <w:p w14:paraId="553A3634" w14:textId="77777777" w:rsidR="0065073E" w:rsidRDefault="0065073E">
            <w:pPr>
              <w:spacing w:after="0" w:line="240" w:lineRule="auto"/>
              <w:jc w:val="center"/>
              <w:rPr>
                <w:rFonts w:ascii="Times New Roman" w:hAnsi="Times New Roman" w:cs="Times New Roman"/>
                <w:b/>
                <w:noProof/>
                <w:sz w:val="18"/>
              </w:rPr>
            </w:pPr>
          </w:p>
        </w:tc>
        <w:tc>
          <w:tcPr>
            <w:tcW w:w="827" w:type="dxa"/>
            <w:shd w:val="clear" w:color="auto" w:fill="C6D9F1" w:themeFill="text2" w:themeFillTint="33"/>
            <w:noWrap/>
          </w:tcPr>
          <w:p w14:paraId="353E47FA"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tcPr>
          <w:p w14:paraId="315C088E" w14:textId="52DB5570" w:rsidR="0065073E" w:rsidRDefault="000A0998">
            <w:pPr>
              <w:pStyle w:val="P68B1DB1-Normal8"/>
              <w:spacing w:after="0" w:line="240" w:lineRule="auto"/>
              <w:jc w:val="center"/>
              <w:rPr>
                <w:rFonts w:cs="Times New Roman"/>
                <w:noProof/>
              </w:rPr>
            </w:pPr>
            <w:r>
              <w:rPr>
                <w:noProof/>
              </w:rPr>
              <w:t>Lähtötaso</w:t>
            </w:r>
          </w:p>
        </w:tc>
        <w:tc>
          <w:tcPr>
            <w:tcW w:w="689" w:type="dxa"/>
            <w:shd w:val="clear" w:color="auto" w:fill="C6D9F1" w:themeFill="text2" w:themeFillTint="33"/>
            <w:noWrap/>
          </w:tcPr>
          <w:p w14:paraId="32C0F50C" w14:textId="77777777" w:rsidR="0065073E" w:rsidRDefault="000A0998">
            <w:pPr>
              <w:pStyle w:val="P68B1DB1-Normal8"/>
              <w:spacing w:after="0" w:line="240" w:lineRule="auto"/>
              <w:jc w:val="center"/>
              <w:rPr>
                <w:rFonts w:cs="Times New Roman"/>
                <w:noProof/>
              </w:rPr>
            </w:pPr>
            <w:r>
              <w:rPr>
                <w:noProof/>
              </w:rPr>
              <w:t>Päämäärä</w:t>
            </w:r>
          </w:p>
        </w:tc>
        <w:tc>
          <w:tcPr>
            <w:tcW w:w="413" w:type="dxa"/>
            <w:shd w:val="clear" w:color="auto" w:fill="C6D9F1" w:themeFill="text2" w:themeFillTint="33"/>
            <w:noWrap/>
          </w:tcPr>
          <w:p w14:paraId="2F858F73" w14:textId="77777777" w:rsidR="0065073E" w:rsidRDefault="000A0998">
            <w:pPr>
              <w:pStyle w:val="P68B1DB1-Normal8"/>
              <w:spacing w:after="0" w:line="240" w:lineRule="auto"/>
              <w:jc w:val="center"/>
              <w:rPr>
                <w:rFonts w:cs="Times New Roman"/>
                <w:noProof/>
              </w:rPr>
            </w:pPr>
            <w:r>
              <w:rPr>
                <w:noProof/>
              </w:rPr>
              <w:t>Q</w:t>
            </w:r>
          </w:p>
        </w:tc>
        <w:tc>
          <w:tcPr>
            <w:tcW w:w="551" w:type="dxa"/>
            <w:shd w:val="clear" w:color="auto" w:fill="C6D9F1" w:themeFill="text2" w:themeFillTint="33"/>
            <w:noWrap/>
          </w:tcPr>
          <w:p w14:paraId="31DCEA32" w14:textId="77777777" w:rsidR="0065073E" w:rsidRDefault="000A0998">
            <w:pPr>
              <w:pStyle w:val="P68B1DB1-Normal8"/>
              <w:spacing w:after="0" w:line="240" w:lineRule="auto"/>
              <w:jc w:val="center"/>
              <w:rPr>
                <w:rFonts w:cs="Times New Roman"/>
                <w:noProof/>
              </w:rPr>
            </w:pPr>
            <w:r>
              <w:rPr>
                <w:noProof/>
              </w:rPr>
              <w:t>Vuosi</w:t>
            </w:r>
          </w:p>
        </w:tc>
        <w:tc>
          <w:tcPr>
            <w:tcW w:w="5901" w:type="dxa"/>
            <w:tcBorders>
              <w:top w:val="nil"/>
            </w:tcBorders>
            <w:shd w:val="clear" w:color="auto" w:fill="C6D9F1" w:themeFill="text2" w:themeFillTint="33"/>
            <w:noWrap/>
          </w:tcPr>
          <w:p w14:paraId="03115B95" w14:textId="77777777" w:rsidR="0065073E" w:rsidRDefault="0065073E">
            <w:pPr>
              <w:spacing w:after="0" w:line="240" w:lineRule="auto"/>
              <w:rPr>
                <w:rFonts w:ascii="Times New Roman" w:hAnsi="Times New Roman" w:cs="Times New Roman"/>
                <w:b/>
                <w:noProof/>
                <w:sz w:val="18"/>
              </w:rPr>
            </w:pPr>
          </w:p>
        </w:tc>
      </w:tr>
      <w:tr w:rsidR="0065073E" w14:paraId="36FDEA7D" w14:textId="77777777">
        <w:trPr>
          <w:trHeight w:val="309"/>
        </w:trPr>
        <w:tc>
          <w:tcPr>
            <w:tcW w:w="830" w:type="dxa"/>
            <w:shd w:val="clear" w:color="auto" w:fill="C6EFCE"/>
            <w:noWrap/>
          </w:tcPr>
          <w:p w14:paraId="456CA45E" w14:textId="77777777" w:rsidR="0065073E" w:rsidRDefault="000A0998">
            <w:pPr>
              <w:pStyle w:val="P68B1DB1-Normal12"/>
              <w:spacing w:after="0" w:line="240" w:lineRule="auto"/>
              <w:jc w:val="center"/>
              <w:rPr>
                <w:rFonts w:eastAsia="Times New Roman" w:cs="Times New Roman"/>
                <w:noProof/>
              </w:rPr>
            </w:pPr>
            <w:r>
              <w:rPr>
                <w:noProof/>
              </w:rPr>
              <w:t>329</w:t>
            </w:r>
          </w:p>
        </w:tc>
        <w:tc>
          <w:tcPr>
            <w:tcW w:w="828" w:type="dxa"/>
            <w:shd w:val="clear" w:color="auto" w:fill="C6EFCE"/>
            <w:noWrap/>
          </w:tcPr>
          <w:p w14:paraId="73EA70E1" w14:textId="77777777" w:rsidR="0065073E" w:rsidRDefault="000A0998">
            <w:pPr>
              <w:pStyle w:val="P68B1DB1-Normal12"/>
              <w:spacing w:after="0" w:line="240" w:lineRule="auto"/>
              <w:jc w:val="center"/>
              <w:rPr>
                <w:rFonts w:eastAsia="Times New Roman" w:cs="Times New Roman"/>
                <w:noProof/>
              </w:rPr>
            </w:pPr>
            <w:r>
              <w:rPr>
                <w:noProof/>
              </w:rPr>
              <w:t>C23.R1</w:t>
            </w:r>
          </w:p>
        </w:tc>
        <w:tc>
          <w:tcPr>
            <w:tcW w:w="964" w:type="dxa"/>
            <w:shd w:val="clear" w:color="auto" w:fill="C6EFCE"/>
            <w:noWrap/>
          </w:tcPr>
          <w:p w14:paraId="03F95390"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0F077D7A" w14:textId="77777777" w:rsidR="0065073E" w:rsidRDefault="000A0998">
            <w:pPr>
              <w:pStyle w:val="P68B1DB1-Normal12"/>
              <w:spacing w:after="0" w:line="240" w:lineRule="auto"/>
              <w:rPr>
                <w:rFonts w:cs="Times New Roman"/>
                <w:noProof/>
              </w:rPr>
            </w:pPr>
            <w:r>
              <w:rPr>
                <w:noProof/>
              </w:rPr>
              <w:t>Kahden yksityisen sektorin ja julkishallinnon etätyötä säätelevän kuninkaallisen asetuksen voimaantulo</w:t>
            </w:r>
          </w:p>
          <w:p w14:paraId="2D6573B5" w14:textId="77777777" w:rsidR="0065073E" w:rsidRDefault="0065073E">
            <w:pPr>
              <w:jc w:val="right"/>
              <w:rPr>
                <w:rFonts w:ascii="Times New Roman" w:eastAsia="Times New Roman" w:hAnsi="Times New Roman" w:cs="Times New Roman"/>
                <w:noProof/>
                <w:sz w:val="18"/>
              </w:rPr>
            </w:pPr>
          </w:p>
        </w:tc>
        <w:tc>
          <w:tcPr>
            <w:tcW w:w="1102" w:type="dxa"/>
            <w:shd w:val="clear" w:color="auto" w:fill="C6EFCE"/>
            <w:noWrap/>
          </w:tcPr>
          <w:p w14:paraId="2814BE0C" w14:textId="77777777" w:rsidR="0065073E" w:rsidRDefault="000A0998">
            <w:pPr>
              <w:pStyle w:val="P68B1DB1-Normal12"/>
              <w:spacing w:after="0" w:line="240" w:lineRule="auto"/>
              <w:jc w:val="center"/>
              <w:rPr>
                <w:rFonts w:eastAsia="Times New Roman" w:cs="Times New Roman"/>
                <w:noProof/>
              </w:rPr>
            </w:pPr>
            <w:r>
              <w:rPr>
                <w:noProof/>
              </w:rPr>
              <w:t>Kuninkaan asetuksen voimaantuloa koskevat säännökset</w:t>
            </w:r>
          </w:p>
        </w:tc>
        <w:tc>
          <w:tcPr>
            <w:tcW w:w="827" w:type="dxa"/>
            <w:shd w:val="clear" w:color="auto" w:fill="C6EFCE"/>
            <w:noWrap/>
          </w:tcPr>
          <w:p w14:paraId="3ECB9D4A"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245DEBF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23117A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7066183E"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17BCFEE8" w14:textId="77777777" w:rsidR="0065073E" w:rsidRDefault="000A0998">
            <w:pPr>
              <w:pStyle w:val="P68B1DB1-Normal12"/>
              <w:spacing w:after="0" w:line="240" w:lineRule="auto"/>
              <w:jc w:val="center"/>
              <w:rPr>
                <w:rFonts w:eastAsia="Times New Roman" w:cs="Times New Roman"/>
                <w:noProof/>
              </w:rPr>
            </w:pPr>
            <w:r>
              <w:rPr>
                <w:noProof/>
              </w:rPr>
              <w:t>2020</w:t>
            </w:r>
          </w:p>
        </w:tc>
        <w:tc>
          <w:tcPr>
            <w:tcW w:w="5901" w:type="dxa"/>
            <w:shd w:val="clear" w:color="auto" w:fill="C6EFCE"/>
            <w:noWrap/>
          </w:tcPr>
          <w:p w14:paraId="488BD1D6" w14:textId="77777777" w:rsidR="0065073E" w:rsidRDefault="000A0998">
            <w:pPr>
              <w:pStyle w:val="P68B1DB1-Normal12"/>
              <w:spacing w:after="0" w:line="240" w:lineRule="auto"/>
              <w:rPr>
                <w:rFonts w:eastAsia="Times New Roman" w:cs="Times New Roman"/>
                <w:noProof/>
              </w:rPr>
            </w:pPr>
            <w:r>
              <w:rPr>
                <w:noProof/>
              </w:rPr>
              <w:t>Näillä kahdella kuninkaan asetuksella säännellään etätyötä yksityisellä sektorilla ja julkishallinnossa. Lainsäädännön tavoitteet ovat seuraavat: I) luodaan sääntelykehys (RDL 28/2020), jolla edistetään etätyön käyttöönottoa säilyttäen samalla yritysten tuottavuus ja tarjotaan työntekijöille suojelua ja joustavuutta; ja ii) etätyön sääntely kaikissa julkishallinnoissa (RDL 29/2020) uutena tapana organisoida ja jäsentää työtä, jotta voidaan palvella paremmin yleisiä etuja ja varmistaa julkishallintojen normaali toiminta.</w:t>
            </w:r>
          </w:p>
        </w:tc>
      </w:tr>
      <w:tr w:rsidR="0065073E" w14:paraId="22A87D8A" w14:textId="77777777">
        <w:trPr>
          <w:trHeight w:val="309"/>
        </w:trPr>
        <w:tc>
          <w:tcPr>
            <w:tcW w:w="830" w:type="dxa"/>
            <w:shd w:val="clear" w:color="auto" w:fill="C6EFCE"/>
            <w:noWrap/>
          </w:tcPr>
          <w:p w14:paraId="46199EE4" w14:textId="77777777" w:rsidR="0065073E" w:rsidRDefault="000A0998">
            <w:pPr>
              <w:pStyle w:val="P68B1DB1-Normal12"/>
              <w:spacing w:after="0" w:line="240" w:lineRule="auto"/>
              <w:jc w:val="center"/>
              <w:rPr>
                <w:rFonts w:eastAsia="Times New Roman" w:cs="Times New Roman"/>
                <w:noProof/>
              </w:rPr>
            </w:pPr>
            <w:r>
              <w:rPr>
                <w:noProof/>
              </w:rPr>
              <w:t>330</w:t>
            </w:r>
          </w:p>
        </w:tc>
        <w:tc>
          <w:tcPr>
            <w:tcW w:w="828" w:type="dxa"/>
            <w:shd w:val="clear" w:color="auto" w:fill="C6EFCE"/>
            <w:noWrap/>
          </w:tcPr>
          <w:p w14:paraId="5FF176BB" w14:textId="77777777" w:rsidR="0065073E" w:rsidRDefault="000A0998">
            <w:pPr>
              <w:pStyle w:val="P68B1DB1-Normal12"/>
              <w:spacing w:after="0" w:line="240" w:lineRule="auto"/>
              <w:jc w:val="center"/>
              <w:rPr>
                <w:rFonts w:eastAsia="Times New Roman" w:cs="Times New Roman"/>
                <w:noProof/>
              </w:rPr>
            </w:pPr>
            <w:r>
              <w:rPr>
                <w:noProof/>
              </w:rPr>
              <w:t>C23.R2</w:t>
            </w:r>
          </w:p>
        </w:tc>
        <w:tc>
          <w:tcPr>
            <w:tcW w:w="964" w:type="dxa"/>
            <w:shd w:val="clear" w:color="auto" w:fill="C6EFCE"/>
            <w:noWrap/>
          </w:tcPr>
          <w:p w14:paraId="4D64BEF9"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2CFF2489" w14:textId="77777777" w:rsidR="0065073E" w:rsidRDefault="000A0998">
            <w:pPr>
              <w:pStyle w:val="P68B1DB1-Normal12"/>
              <w:spacing w:after="0" w:line="240" w:lineRule="auto"/>
              <w:rPr>
                <w:rFonts w:eastAsia="Times New Roman" w:cs="Times New Roman"/>
                <w:noProof/>
              </w:rPr>
            </w:pPr>
            <w:r>
              <w:rPr>
                <w:noProof/>
              </w:rPr>
              <w:t>Naisten ja miesten samapalkkaisuutta sekä tasa-arvosuunnitelmia ja niiden rekisteröintiä koskevan kahden säädöksen voimaantulo</w:t>
            </w:r>
          </w:p>
        </w:tc>
        <w:tc>
          <w:tcPr>
            <w:tcW w:w="1102" w:type="dxa"/>
            <w:shd w:val="clear" w:color="auto" w:fill="C6EFCE"/>
            <w:noWrap/>
          </w:tcPr>
          <w:p w14:paraId="53295996" w14:textId="77777777" w:rsidR="0065073E" w:rsidRDefault="000A0998">
            <w:pPr>
              <w:pStyle w:val="P68B1DB1-Normal12"/>
              <w:spacing w:after="0" w:line="240" w:lineRule="auto"/>
              <w:jc w:val="center"/>
              <w:rPr>
                <w:rFonts w:eastAsia="Times New Roman" w:cs="Times New Roman"/>
                <w:noProof/>
              </w:rPr>
            </w:pPr>
            <w:r>
              <w:rPr>
                <w:noProof/>
              </w:rPr>
              <w:t>Voimaantuloa koskevat säännökset</w:t>
            </w:r>
          </w:p>
        </w:tc>
        <w:tc>
          <w:tcPr>
            <w:tcW w:w="827" w:type="dxa"/>
            <w:shd w:val="clear" w:color="auto" w:fill="C6EFCE"/>
            <w:noWrap/>
          </w:tcPr>
          <w:p w14:paraId="745EA3B5"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DBB5D3F"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7F53BE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6075300"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1" w:type="dxa"/>
            <w:shd w:val="clear" w:color="auto" w:fill="C6EFCE"/>
            <w:noWrap/>
          </w:tcPr>
          <w:p w14:paraId="0207F12F"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05BC44CF" w14:textId="77777777" w:rsidR="0065073E" w:rsidRDefault="000A0998">
            <w:pPr>
              <w:pStyle w:val="P68B1DB1-Normal12"/>
              <w:spacing w:after="0" w:line="240" w:lineRule="auto"/>
              <w:rPr>
                <w:rFonts w:eastAsia="Times New Roman" w:cs="Times New Roman"/>
                <w:noProof/>
              </w:rPr>
            </w:pPr>
            <w:r>
              <w:rPr>
                <w:noProof/>
              </w:rPr>
              <w:t>Näitä kahta ohjesääntöä sovelletaan naisten ja miesten samapalkkaisuuteen sekä tasa-arvosuunnitelmiin ja niiden rekisteröintiin. Niiden tavoitteet ovat seuraavat: I) varmistetaan palkkauksen avoimuuden periaate, jotta voidaan tunnistaa virheellisistä työnarvioinneista johtuva syrjintä; ja ii) laatia tasa-arvosuunnitelmia ja varmistaa, että ne rekisteröidään julkiseen rekisteriin.</w:t>
            </w:r>
          </w:p>
        </w:tc>
      </w:tr>
      <w:tr w:rsidR="0065073E" w14:paraId="070AFE23" w14:textId="77777777">
        <w:trPr>
          <w:trHeight w:val="309"/>
        </w:trPr>
        <w:tc>
          <w:tcPr>
            <w:tcW w:w="830" w:type="dxa"/>
            <w:shd w:val="clear" w:color="auto" w:fill="C6EFCE"/>
            <w:noWrap/>
          </w:tcPr>
          <w:p w14:paraId="34E4D46A" w14:textId="77777777" w:rsidR="0065073E" w:rsidRDefault="000A0998">
            <w:pPr>
              <w:pStyle w:val="P68B1DB1-Normal12"/>
              <w:spacing w:after="0" w:line="240" w:lineRule="auto"/>
              <w:jc w:val="center"/>
              <w:rPr>
                <w:rFonts w:eastAsia="Times New Roman" w:cs="Times New Roman"/>
                <w:noProof/>
              </w:rPr>
            </w:pPr>
            <w:r>
              <w:rPr>
                <w:noProof/>
              </w:rPr>
              <w:t>331</w:t>
            </w:r>
          </w:p>
        </w:tc>
        <w:tc>
          <w:tcPr>
            <w:tcW w:w="828" w:type="dxa"/>
            <w:shd w:val="clear" w:color="auto" w:fill="C6EFCE"/>
            <w:noWrap/>
          </w:tcPr>
          <w:p w14:paraId="49B5C76D" w14:textId="77777777" w:rsidR="0065073E" w:rsidRDefault="000A0998">
            <w:pPr>
              <w:pStyle w:val="P68B1DB1-Normal12"/>
              <w:spacing w:after="0" w:line="240" w:lineRule="auto"/>
              <w:jc w:val="center"/>
              <w:rPr>
                <w:rFonts w:eastAsia="Times New Roman" w:cs="Times New Roman"/>
                <w:noProof/>
              </w:rPr>
            </w:pPr>
            <w:r>
              <w:rPr>
                <w:noProof/>
              </w:rPr>
              <w:t>C23.R3</w:t>
            </w:r>
          </w:p>
        </w:tc>
        <w:tc>
          <w:tcPr>
            <w:tcW w:w="964" w:type="dxa"/>
            <w:shd w:val="clear" w:color="auto" w:fill="C6EFCE"/>
            <w:noWrap/>
          </w:tcPr>
          <w:p w14:paraId="5DB08BC8"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58EF5E75" w14:textId="77777777" w:rsidR="0065073E" w:rsidRDefault="000A0998">
            <w:pPr>
              <w:pStyle w:val="P68B1DB1-Normal12"/>
              <w:spacing w:after="0" w:line="240" w:lineRule="auto"/>
              <w:rPr>
                <w:rFonts w:eastAsia="Times New Roman" w:cs="Times New Roman"/>
                <w:noProof/>
              </w:rPr>
            </w:pPr>
            <w:r>
              <w:rPr>
                <w:noProof/>
              </w:rPr>
              <w:t>Teknisin keinoin kolmansille osapuolille jakelua harjoittavien työntekijöiden suojelusta annetun kuninkaan asetuksen voimaantulo</w:t>
            </w:r>
          </w:p>
        </w:tc>
        <w:tc>
          <w:tcPr>
            <w:tcW w:w="1102" w:type="dxa"/>
            <w:shd w:val="clear" w:color="auto" w:fill="C6EFCE"/>
            <w:noWrap/>
          </w:tcPr>
          <w:p w14:paraId="7207906F" w14:textId="77777777" w:rsidR="0065073E" w:rsidRDefault="000A0998">
            <w:pPr>
              <w:pStyle w:val="P68B1DB1-Normal12"/>
              <w:spacing w:after="0" w:line="240" w:lineRule="auto"/>
              <w:jc w:val="center"/>
              <w:rPr>
                <w:rFonts w:eastAsia="Times New Roman" w:cs="Times New Roman"/>
                <w:noProof/>
              </w:rPr>
            </w:pPr>
            <w:r>
              <w:rPr>
                <w:noProof/>
              </w:rPr>
              <w:t>Kuninkaan asetuksen voimaantuloa koskevat säännökset</w:t>
            </w:r>
          </w:p>
        </w:tc>
        <w:tc>
          <w:tcPr>
            <w:tcW w:w="827" w:type="dxa"/>
            <w:shd w:val="clear" w:color="auto" w:fill="C6EFCE"/>
            <w:noWrap/>
          </w:tcPr>
          <w:p w14:paraId="273CDBAD"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4C43E4F"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7973AF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5FBDB62C" w14:textId="77777777" w:rsidR="0065073E" w:rsidRDefault="000A0998">
            <w:pPr>
              <w:pStyle w:val="P68B1DB1-Normal12"/>
              <w:spacing w:after="0" w:line="240" w:lineRule="auto"/>
              <w:jc w:val="center"/>
              <w:rPr>
                <w:rFonts w:eastAsia="Times New Roman" w:cs="Times New Roman"/>
                <w:noProof/>
              </w:rPr>
            </w:pPr>
            <w:r>
              <w:rPr>
                <w:noProof/>
              </w:rPr>
              <w:t>Q3</w:t>
            </w:r>
          </w:p>
        </w:tc>
        <w:tc>
          <w:tcPr>
            <w:tcW w:w="551" w:type="dxa"/>
            <w:shd w:val="clear" w:color="auto" w:fill="C6EFCE"/>
            <w:noWrap/>
          </w:tcPr>
          <w:p w14:paraId="0C02A8C7"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5D119842" w14:textId="77777777" w:rsidR="0065073E" w:rsidRDefault="000A0998">
            <w:pPr>
              <w:pStyle w:val="P68B1DB1-Normal12"/>
              <w:spacing w:after="0" w:line="240" w:lineRule="auto"/>
              <w:rPr>
                <w:rFonts w:eastAsia="Times New Roman" w:cs="Times New Roman"/>
                <w:noProof/>
              </w:rPr>
            </w:pPr>
            <w:r>
              <w:rPr>
                <w:noProof/>
              </w:rPr>
              <w:t>Kuninkaan asetus koskee sellaisten työntekijöiden suojelua, jotka harjoittavat jakelutoimintaa kolmansille osapuolille teknisin keinoin. Lain tavoitteena on taata näille ihmisille oikeus oikeudenmukaiseen ja yhdenvertaiseen kohteluun työolojen ja -ehtojen, sosiaalisen suojelun ja koulutuksen osalta ja antaa työntekijöiden oikeudelliselle edustukselle mahdollisuus saada tietoa tekoälyalgoritmeihin ja -järjestelmiin sisältyvistä säännöistä, jotka voivat vaikuttaa alustojen työoloihin ja -ehtoihin, mukaan lukien työn saanti ja ylläpito sekä profilointi.</w:t>
            </w:r>
          </w:p>
        </w:tc>
      </w:tr>
      <w:tr w:rsidR="0065073E" w14:paraId="57572D13" w14:textId="77777777">
        <w:trPr>
          <w:trHeight w:val="309"/>
        </w:trPr>
        <w:tc>
          <w:tcPr>
            <w:tcW w:w="830" w:type="dxa"/>
            <w:shd w:val="clear" w:color="auto" w:fill="C6EFCE"/>
            <w:noWrap/>
          </w:tcPr>
          <w:p w14:paraId="4BC4363E" w14:textId="77777777" w:rsidR="0065073E" w:rsidRDefault="000A0998">
            <w:pPr>
              <w:pStyle w:val="P68B1DB1-Normal12"/>
              <w:spacing w:after="0" w:line="240" w:lineRule="auto"/>
              <w:jc w:val="center"/>
              <w:rPr>
                <w:rFonts w:eastAsia="Times New Roman" w:cs="Times New Roman"/>
                <w:noProof/>
              </w:rPr>
            </w:pPr>
            <w:r>
              <w:rPr>
                <w:noProof/>
              </w:rPr>
              <w:t>332</w:t>
            </w:r>
          </w:p>
        </w:tc>
        <w:tc>
          <w:tcPr>
            <w:tcW w:w="828" w:type="dxa"/>
            <w:shd w:val="clear" w:color="auto" w:fill="C6EFCE"/>
            <w:noWrap/>
          </w:tcPr>
          <w:p w14:paraId="4161C4D6" w14:textId="77777777" w:rsidR="0065073E" w:rsidRDefault="000A0998">
            <w:pPr>
              <w:pStyle w:val="P68B1DB1-Normal12"/>
              <w:spacing w:after="0" w:line="240" w:lineRule="auto"/>
              <w:jc w:val="center"/>
              <w:rPr>
                <w:rFonts w:eastAsia="Times New Roman" w:cs="Times New Roman"/>
                <w:noProof/>
              </w:rPr>
            </w:pPr>
            <w:r>
              <w:rPr>
                <w:noProof/>
              </w:rPr>
              <w:t>C23.R4</w:t>
            </w:r>
          </w:p>
        </w:tc>
        <w:tc>
          <w:tcPr>
            <w:tcW w:w="964" w:type="dxa"/>
            <w:shd w:val="clear" w:color="auto" w:fill="C6EFCE"/>
            <w:noWrap/>
          </w:tcPr>
          <w:p w14:paraId="5EC91730"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638B7749" w14:textId="77777777" w:rsidR="0065073E" w:rsidRDefault="000A0998">
            <w:pPr>
              <w:pStyle w:val="P68B1DB1-Normal12"/>
              <w:spacing w:after="0" w:line="240" w:lineRule="auto"/>
              <w:rPr>
                <w:rFonts w:eastAsia="Times New Roman" w:cs="Times New Roman"/>
                <w:noProof/>
              </w:rPr>
            </w:pPr>
            <w:r>
              <w:rPr>
                <w:noProof/>
              </w:rPr>
              <w:t>Työntekijöiden asemaa koskevien sääntöjen muuttaminen siten, että tuetaan tilapäisten työsuhteiden vähentämistä yksinkertaistamalla sopimustyyppien määrää</w:t>
            </w:r>
          </w:p>
        </w:tc>
        <w:tc>
          <w:tcPr>
            <w:tcW w:w="1102" w:type="dxa"/>
            <w:shd w:val="clear" w:color="auto" w:fill="C6EFCE"/>
            <w:noWrap/>
          </w:tcPr>
          <w:p w14:paraId="786C061B" w14:textId="77777777" w:rsidR="0065073E" w:rsidRDefault="000A0998">
            <w:pPr>
              <w:pStyle w:val="P68B1DB1-Normal12"/>
              <w:spacing w:after="0" w:line="240" w:lineRule="auto"/>
              <w:jc w:val="center"/>
              <w:rPr>
                <w:rFonts w:eastAsia="Times New Roman" w:cs="Times New Roman"/>
                <w:noProof/>
              </w:rPr>
            </w:pPr>
            <w:r>
              <w:rPr>
                <w:noProof/>
              </w:rPr>
              <w:t>Voimaantuloa koskevat muutoksen säännökset</w:t>
            </w:r>
          </w:p>
        </w:tc>
        <w:tc>
          <w:tcPr>
            <w:tcW w:w="827" w:type="dxa"/>
            <w:shd w:val="clear" w:color="auto" w:fill="C6EFCE"/>
            <w:noWrap/>
          </w:tcPr>
          <w:p w14:paraId="63332ACC"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CFDD10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48586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2751C80"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01D31852"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1A58AFA6" w14:textId="77777777" w:rsidR="0065073E" w:rsidRDefault="000A0998">
            <w:pPr>
              <w:pStyle w:val="P68B1DB1-Normal12"/>
              <w:spacing w:after="0" w:line="240" w:lineRule="auto"/>
              <w:rPr>
                <w:rFonts w:eastAsia="Times New Roman" w:cs="Times New Roman"/>
                <w:noProof/>
              </w:rPr>
            </w:pPr>
            <w:r>
              <w:rPr>
                <w:noProof/>
              </w:rPr>
              <w:t>Työmarkkinaosapuolten vuoropuhelua noudattaen ja osana kokonaisvaltaista lähestymistapaa, jossa tasapainotetaan työmarkkinoiden joustavuuden ja turvallisuuden tarve, tulee voimaan 23. lokakuuta 2015 annetun asetuksen (decreto legislativo) 2/2015, jolla hyväksytään työntekijöiden asemasta annetun lain uudelleenlaadittu teksti, jolla tuetaan tilapäisten työsuhteiden vähentämistä yksinkertaistamalla sopimustyyppien määrää.</w:t>
            </w:r>
          </w:p>
        </w:tc>
      </w:tr>
      <w:tr w:rsidR="0065073E" w14:paraId="7B861282" w14:textId="77777777">
        <w:trPr>
          <w:trHeight w:val="309"/>
        </w:trPr>
        <w:tc>
          <w:tcPr>
            <w:tcW w:w="830" w:type="dxa"/>
            <w:shd w:val="clear" w:color="auto" w:fill="C6EFCE"/>
            <w:noWrap/>
          </w:tcPr>
          <w:p w14:paraId="46692478" w14:textId="77777777" w:rsidR="0065073E" w:rsidRDefault="000A0998">
            <w:pPr>
              <w:pStyle w:val="P68B1DB1-Normal12"/>
              <w:spacing w:after="0" w:line="240" w:lineRule="auto"/>
              <w:jc w:val="center"/>
              <w:rPr>
                <w:rFonts w:eastAsia="Times New Roman" w:cs="Times New Roman"/>
                <w:noProof/>
              </w:rPr>
            </w:pPr>
            <w:r>
              <w:rPr>
                <w:noProof/>
              </w:rPr>
              <w:t>333</w:t>
            </w:r>
          </w:p>
        </w:tc>
        <w:tc>
          <w:tcPr>
            <w:tcW w:w="828" w:type="dxa"/>
            <w:shd w:val="clear" w:color="auto" w:fill="C6EFCE"/>
            <w:noWrap/>
          </w:tcPr>
          <w:p w14:paraId="4AA8DF04" w14:textId="77777777" w:rsidR="0065073E" w:rsidRDefault="000A0998">
            <w:pPr>
              <w:pStyle w:val="P68B1DB1-Normal12"/>
              <w:spacing w:after="0" w:line="240" w:lineRule="auto"/>
              <w:jc w:val="center"/>
              <w:rPr>
                <w:rFonts w:eastAsia="Times New Roman" w:cs="Times New Roman"/>
                <w:noProof/>
              </w:rPr>
            </w:pPr>
            <w:r>
              <w:rPr>
                <w:noProof/>
              </w:rPr>
              <w:t>C23.R5</w:t>
            </w:r>
          </w:p>
        </w:tc>
        <w:tc>
          <w:tcPr>
            <w:tcW w:w="964" w:type="dxa"/>
            <w:shd w:val="clear" w:color="auto" w:fill="C6EFCE"/>
            <w:noWrap/>
          </w:tcPr>
          <w:p w14:paraId="4B808AF9"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1D60493A" w14:textId="77777777" w:rsidR="0065073E" w:rsidRDefault="000A0998">
            <w:pPr>
              <w:pStyle w:val="P68B1DB1-Normal12"/>
              <w:spacing w:after="0" w:line="240" w:lineRule="auto"/>
              <w:rPr>
                <w:rFonts w:eastAsia="Times New Roman" w:cs="Times New Roman"/>
                <w:noProof/>
              </w:rPr>
            </w:pPr>
            <w:r>
              <w:rPr>
                <w:noProof/>
              </w:rPr>
              <w:t xml:space="preserve">Nuorisotyöttömyyden torjuntaa koskevan toimintasuunnitelman voimaantulo </w:t>
            </w:r>
          </w:p>
        </w:tc>
        <w:tc>
          <w:tcPr>
            <w:tcW w:w="1102" w:type="dxa"/>
            <w:shd w:val="clear" w:color="auto" w:fill="C6EFCE"/>
            <w:noWrap/>
          </w:tcPr>
          <w:p w14:paraId="11E5F696" w14:textId="77777777" w:rsidR="0065073E" w:rsidRDefault="000A0998">
            <w:pPr>
              <w:pStyle w:val="P68B1DB1-Normal12"/>
              <w:spacing w:after="0" w:line="240" w:lineRule="auto"/>
              <w:jc w:val="center"/>
              <w:rPr>
                <w:rFonts w:eastAsia="Times New Roman" w:cs="Times New Roman"/>
                <w:noProof/>
              </w:rPr>
            </w:pPr>
            <w:r>
              <w:rPr>
                <w:noProof/>
              </w:rPr>
              <w:t>Toimintasuunnitelman voimaantuloa koskevat määräykset</w:t>
            </w:r>
          </w:p>
        </w:tc>
        <w:tc>
          <w:tcPr>
            <w:tcW w:w="827" w:type="dxa"/>
            <w:shd w:val="clear" w:color="auto" w:fill="C6EFCE"/>
            <w:noWrap/>
          </w:tcPr>
          <w:p w14:paraId="3E319B07"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01540C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A62AE9E"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56D1B033"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1" w:type="dxa"/>
            <w:shd w:val="clear" w:color="auto" w:fill="C6EFCE"/>
            <w:noWrap/>
          </w:tcPr>
          <w:p w14:paraId="45617556"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46DF31CB" w14:textId="77777777" w:rsidR="0065073E" w:rsidRDefault="000A0998">
            <w:pPr>
              <w:pStyle w:val="P68B1DB1-Normal12"/>
              <w:spacing w:after="0" w:line="240" w:lineRule="auto"/>
              <w:rPr>
                <w:rFonts w:eastAsia="Times New Roman" w:cs="Times New Roman"/>
                <w:noProof/>
              </w:rPr>
            </w:pPr>
            <w:r>
              <w:rPr>
                <w:noProof/>
              </w:rPr>
              <w:t>Toimintasuunnitelmalla puututaan nuorisotyöttömyyteen EU:n nuorisotakuu plussan täytäntöönpanon yhteydessä. Nuorisotakuun tavoitteena on parantaa ja syventää toimielinten välistä koordinointia, lujittaa suhteita yksityiseen sektoriin ja paikallisviranomaisiin, parantaa koulutuksen laatua ja riittävyyttä, etsiä uusia työllistymismahdollisuuksia aloilla, joilla on kasvupotentiaalia, vähentää koulunkäynnin keskeyttämistä, ylläpitää ja parantaa arviointi- ja seurantajärjestelmää sekä vahvistaa edelleen yksilöllisiä ohjausohjelmia.</w:t>
            </w:r>
          </w:p>
        </w:tc>
      </w:tr>
      <w:tr w:rsidR="0065073E" w14:paraId="0B35157B" w14:textId="77777777">
        <w:trPr>
          <w:trHeight w:val="309"/>
        </w:trPr>
        <w:tc>
          <w:tcPr>
            <w:tcW w:w="830" w:type="dxa"/>
            <w:shd w:val="clear" w:color="auto" w:fill="C6EFCE"/>
            <w:noWrap/>
          </w:tcPr>
          <w:p w14:paraId="6180F64B" w14:textId="77777777" w:rsidR="0065073E" w:rsidRDefault="000A0998">
            <w:pPr>
              <w:pStyle w:val="P68B1DB1-Normal12"/>
              <w:spacing w:after="0" w:line="240" w:lineRule="auto"/>
              <w:jc w:val="center"/>
              <w:rPr>
                <w:rFonts w:eastAsia="Times New Roman" w:cs="Times New Roman"/>
                <w:noProof/>
              </w:rPr>
            </w:pPr>
            <w:r>
              <w:rPr>
                <w:noProof/>
              </w:rPr>
              <w:t>334</w:t>
            </w:r>
          </w:p>
        </w:tc>
        <w:tc>
          <w:tcPr>
            <w:tcW w:w="828" w:type="dxa"/>
            <w:shd w:val="clear" w:color="auto" w:fill="C6EFCE"/>
            <w:noWrap/>
          </w:tcPr>
          <w:p w14:paraId="2B7578D5" w14:textId="77777777" w:rsidR="0065073E" w:rsidRDefault="000A0998">
            <w:pPr>
              <w:pStyle w:val="P68B1DB1-Normal12"/>
              <w:spacing w:after="0" w:line="240" w:lineRule="auto"/>
              <w:jc w:val="center"/>
              <w:rPr>
                <w:rFonts w:eastAsia="Times New Roman" w:cs="Times New Roman"/>
                <w:noProof/>
              </w:rPr>
            </w:pPr>
            <w:r>
              <w:rPr>
                <w:noProof/>
              </w:rPr>
              <w:t>C23.R5</w:t>
            </w:r>
          </w:p>
        </w:tc>
        <w:tc>
          <w:tcPr>
            <w:tcW w:w="964" w:type="dxa"/>
            <w:shd w:val="clear" w:color="auto" w:fill="C6EFCE"/>
            <w:noWrap/>
          </w:tcPr>
          <w:p w14:paraId="54A95832"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7FA967AD" w14:textId="77777777" w:rsidR="0065073E" w:rsidRDefault="000A0998">
            <w:pPr>
              <w:pStyle w:val="P68B1DB1-Normal12"/>
              <w:spacing w:after="0" w:line="240" w:lineRule="auto"/>
              <w:rPr>
                <w:rFonts w:eastAsia="Times New Roman" w:cs="Times New Roman"/>
                <w:noProof/>
              </w:rPr>
            </w:pPr>
            <w:r>
              <w:rPr>
                <w:noProof/>
              </w:rPr>
              <w:t>Kuninkaan asetus Espanjan uudesta työllisyysstrategiasta 2021–2024</w:t>
            </w:r>
          </w:p>
        </w:tc>
        <w:tc>
          <w:tcPr>
            <w:tcW w:w="1102" w:type="dxa"/>
            <w:shd w:val="clear" w:color="auto" w:fill="C6EFCE"/>
            <w:noWrap/>
          </w:tcPr>
          <w:p w14:paraId="20FB5F2C" w14:textId="77777777" w:rsidR="0065073E" w:rsidRDefault="000A0998">
            <w:pPr>
              <w:pStyle w:val="P68B1DB1-Normal12"/>
              <w:spacing w:after="0" w:line="240" w:lineRule="auto"/>
              <w:jc w:val="center"/>
              <w:rPr>
                <w:rFonts w:eastAsia="Times New Roman" w:cs="Times New Roman"/>
                <w:noProof/>
              </w:rPr>
            </w:pPr>
            <w:r>
              <w:rPr>
                <w:noProof/>
              </w:rPr>
              <w:t>Kuninkaan asetuksen voimaantuloa koskevat säännökset</w:t>
            </w:r>
          </w:p>
        </w:tc>
        <w:tc>
          <w:tcPr>
            <w:tcW w:w="827" w:type="dxa"/>
            <w:shd w:val="clear" w:color="auto" w:fill="C6EFCE"/>
            <w:noWrap/>
          </w:tcPr>
          <w:p w14:paraId="667ED042"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2A08537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C75B2E7"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6A5CF8C5"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0BC087E5"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742A0600"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Työmarkkinaosapuolten vuoropuhelun kunnioittaminen ja osana kokonaisvaltaista lähestymistapaa, jossa tasapainotetaan työmarkkinoiden joustavuuden ja turvallisuuden tarve, ministerineuvoston hyväksyntä ja Espanjan uutta työllisyysstrategiaa 2021–2024 koskevan kuninkaallisen asetuksen voimaantulo. Uuden strategian päätavoitteet ovat seuraavat: </w:t>
            </w:r>
            <w:r>
              <w:rPr>
                <w:noProof/>
              </w:rPr>
              <w:t xml:space="preserve"> </w:t>
            </w:r>
            <w:r>
              <w:rPr>
                <w:noProof/>
              </w:rPr>
              <w:br/>
            </w:r>
            <w:r>
              <w:rPr>
                <w:rFonts w:ascii="Times New Roman" w:hAnsi="Times New Roman"/>
                <w:noProof/>
                <w:sz w:val="18"/>
              </w:rPr>
              <w:t>I) Ihmiskeskeinen ja yrityskeskeinen lähestymistapa: Aktiivisen työllisyyspolitiikan suunnittelussa keskitytään kunkin henkilön ja yrityksen erityisolosuhteisiin.</w:t>
            </w:r>
            <w:r>
              <w:rPr>
                <w:noProof/>
              </w:rPr>
              <w:t xml:space="preserve"> </w:t>
            </w:r>
            <w:r>
              <w:rPr>
                <w:noProof/>
              </w:rPr>
              <w:br/>
            </w:r>
            <w:r>
              <w:rPr>
                <w:rFonts w:ascii="Times New Roman" w:hAnsi="Times New Roman"/>
                <w:noProof/>
                <w:sz w:val="18"/>
              </w:rPr>
              <w:t>II) Johdonmukaisuus tuottavan muuntamisen kanssa: Aktiivisen työllisyyspolitiikan on mahdollistettava ammatilliset siirtymät, jotka liittyvät tuotantomallin siirtymiseen kohti vihreää ja digitaalista taloutta.</w:t>
            </w:r>
            <w:r>
              <w:rPr>
                <w:noProof/>
              </w:rPr>
              <w:t xml:space="preserve"> </w:t>
            </w:r>
            <w:r>
              <w:rPr>
                <w:noProof/>
              </w:rPr>
              <w:br/>
              <w:t xml:space="preserve"> </w:t>
            </w:r>
            <w:r>
              <w:rPr>
                <w:rFonts w:ascii="Times New Roman" w:hAnsi="Times New Roman"/>
                <w:noProof/>
                <w:sz w:val="18"/>
              </w:rPr>
              <w:t>III) Tulossuuntautuneisuus: Aktiivista työllisyyspolitiikkaa arvioidaan, seurataan ja edistetään tulosten saavuttamista.</w:t>
            </w:r>
            <w:r>
              <w:rPr>
                <w:noProof/>
              </w:rPr>
              <w:t xml:space="preserve"> </w:t>
            </w:r>
            <w:r>
              <w:rPr>
                <w:noProof/>
              </w:rPr>
              <w:br/>
            </w:r>
            <w:r>
              <w:rPr>
                <w:rFonts w:ascii="Times New Roman" w:hAnsi="Times New Roman"/>
                <w:noProof/>
                <w:sz w:val="18"/>
              </w:rPr>
              <w:t xml:space="preserve">IV) Julkisten työvoimapalvelujen valmiuksien parantaminen: Digitalisaation ja nykyaikaistamisen avulla.  </w:t>
            </w:r>
            <w:r>
              <w:rPr>
                <w:noProof/>
              </w:rPr>
              <w:t xml:space="preserve"> </w:t>
            </w:r>
            <w:r>
              <w:rPr>
                <w:noProof/>
              </w:rPr>
              <w:br/>
            </w:r>
            <w:r>
              <w:rPr>
                <w:rFonts w:ascii="Times New Roman" w:hAnsi="Times New Roman"/>
                <w:noProof/>
                <w:sz w:val="18"/>
              </w:rPr>
              <w:t xml:space="preserve">IV) Kansallisen työllisyysjärjestelmän hallinto ja yhtenäisyys koordinoinnin parantamiseksi kansallisella ja alueellisella tasolla sekä aktiiviseen työvoimapolitiikkaan osallistuvat sidosryhmät. </w:t>
            </w:r>
          </w:p>
        </w:tc>
      </w:tr>
      <w:tr w:rsidR="0065073E" w14:paraId="67193C87" w14:textId="77777777">
        <w:trPr>
          <w:trHeight w:val="309"/>
        </w:trPr>
        <w:tc>
          <w:tcPr>
            <w:tcW w:w="830" w:type="dxa"/>
            <w:shd w:val="clear" w:color="auto" w:fill="C6EFCE"/>
            <w:noWrap/>
          </w:tcPr>
          <w:p w14:paraId="0E85BD51" w14:textId="77777777" w:rsidR="0065073E" w:rsidRDefault="000A0998">
            <w:pPr>
              <w:pStyle w:val="P68B1DB1-Normal12"/>
              <w:spacing w:after="0" w:line="240" w:lineRule="auto"/>
              <w:jc w:val="center"/>
              <w:rPr>
                <w:rFonts w:eastAsia="Times New Roman" w:cs="Times New Roman"/>
                <w:noProof/>
              </w:rPr>
            </w:pPr>
            <w:r>
              <w:rPr>
                <w:noProof/>
              </w:rPr>
              <w:t>335</w:t>
            </w:r>
          </w:p>
        </w:tc>
        <w:tc>
          <w:tcPr>
            <w:tcW w:w="828" w:type="dxa"/>
            <w:shd w:val="clear" w:color="auto" w:fill="C6EFCE"/>
            <w:noWrap/>
          </w:tcPr>
          <w:p w14:paraId="3BBC97A8" w14:textId="77777777" w:rsidR="0065073E" w:rsidRDefault="000A0998">
            <w:pPr>
              <w:pStyle w:val="P68B1DB1-Normal12"/>
              <w:spacing w:after="0" w:line="240" w:lineRule="auto"/>
              <w:jc w:val="center"/>
              <w:rPr>
                <w:rFonts w:eastAsia="Times New Roman" w:cs="Times New Roman"/>
                <w:noProof/>
              </w:rPr>
            </w:pPr>
            <w:r>
              <w:rPr>
                <w:noProof/>
              </w:rPr>
              <w:t>C23.R5</w:t>
            </w:r>
          </w:p>
        </w:tc>
        <w:tc>
          <w:tcPr>
            <w:tcW w:w="964" w:type="dxa"/>
            <w:shd w:val="clear" w:color="auto" w:fill="C6EFCE"/>
            <w:noWrap/>
          </w:tcPr>
          <w:p w14:paraId="4D12C998"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64CCA395" w14:textId="77777777" w:rsidR="0065073E" w:rsidRDefault="000A0998">
            <w:pPr>
              <w:pStyle w:val="P68B1DB1-Normal12"/>
              <w:spacing w:after="0" w:line="240" w:lineRule="auto"/>
              <w:rPr>
                <w:rFonts w:eastAsia="Times New Roman" w:cs="Times New Roman"/>
                <w:noProof/>
              </w:rPr>
            </w:pPr>
            <w:r>
              <w:rPr>
                <w:noProof/>
              </w:rPr>
              <w:t>Työlain muutoksen voimaantulo (kuninkaan asetus 3/2015)</w:t>
            </w:r>
          </w:p>
        </w:tc>
        <w:tc>
          <w:tcPr>
            <w:tcW w:w="1102" w:type="dxa"/>
            <w:shd w:val="clear" w:color="auto" w:fill="C6EFCE"/>
            <w:noWrap/>
          </w:tcPr>
          <w:p w14:paraId="19AC8364" w14:textId="77777777" w:rsidR="0065073E" w:rsidRDefault="000A0998">
            <w:pPr>
              <w:pStyle w:val="P68B1DB1-Normal12"/>
              <w:spacing w:after="0" w:line="240" w:lineRule="auto"/>
              <w:jc w:val="center"/>
              <w:rPr>
                <w:rFonts w:eastAsia="Times New Roman" w:cs="Times New Roman"/>
                <w:noProof/>
              </w:rPr>
            </w:pPr>
            <w:r>
              <w:rPr>
                <w:noProof/>
              </w:rPr>
              <w:t>Voimaantuloa koskevan muutoksen säännös</w:t>
            </w:r>
          </w:p>
        </w:tc>
        <w:tc>
          <w:tcPr>
            <w:tcW w:w="827" w:type="dxa"/>
            <w:shd w:val="clear" w:color="auto" w:fill="C6EFCE"/>
            <w:noWrap/>
          </w:tcPr>
          <w:p w14:paraId="0A395B43"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556EDB3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8DC26C5"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50C814FA"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26D9AA9D" w14:textId="77777777" w:rsidR="0065073E" w:rsidRDefault="000A0998">
            <w:pPr>
              <w:pStyle w:val="P68B1DB1-Normal12"/>
              <w:spacing w:after="0" w:line="240" w:lineRule="auto"/>
              <w:jc w:val="center"/>
              <w:rPr>
                <w:rFonts w:eastAsia="Times New Roman" w:cs="Times New Roman"/>
                <w:noProof/>
              </w:rPr>
            </w:pPr>
            <w:r>
              <w:rPr>
                <w:noProof/>
              </w:rPr>
              <w:t>2022</w:t>
            </w:r>
          </w:p>
        </w:tc>
        <w:tc>
          <w:tcPr>
            <w:tcW w:w="5901" w:type="dxa"/>
            <w:shd w:val="clear" w:color="auto" w:fill="C6EFCE"/>
            <w:noWrap/>
          </w:tcPr>
          <w:p w14:paraId="0773232D" w14:textId="77777777" w:rsidR="0065073E" w:rsidRDefault="000A0998">
            <w:pPr>
              <w:pStyle w:val="P68B1DB1-Normal12"/>
              <w:spacing w:after="0" w:line="240" w:lineRule="auto"/>
              <w:rPr>
                <w:rFonts w:eastAsia="Times New Roman" w:cs="Times New Roman"/>
                <w:noProof/>
              </w:rPr>
            </w:pPr>
            <w:r>
              <w:rPr>
                <w:noProof/>
              </w:rPr>
              <w:t>Työlain muutoksessa (kuninkaan asetus 3/2015) säädetään seuraavaa: I) vahvistaa kansallisen työllisyysjärjestelmän poliittisia ja koordinointivälineitä; II) uudistaa aktiivista työmarkkinapolitiikkaa; III) tarkastella uudelleen järjestelmän hallinnointia; IV) vahvistaa työllisyyspolitiikan paikallista ulottuvuutta; ja v) täytettävä aktiivista työllisyyspolitiikkaa koskevan kansallisen suunnitelman puitteissa suunniteltujen eri toimenpiteiden täytäntöönpanoa koskevat vaatimukset.</w:t>
            </w:r>
          </w:p>
        </w:tc>
      </w:tr>
      <w:tr w:rsidR="0065073E" w14:paraId="3ED609C8" w14:textId="77777777">
        <w:trPr>
          <w:trHeight w:val="309"/>
        </w:trPr>
        <w:tc>
          <w:tcPr>
            <w:tcW w:w="830" w:type="dxa"/>
            <w:shd w:val="clear" w:color="auto" w:fill="C6EFCE"/>
            <w:noWrap/>
          </w:tcPr>
          <w:p w14:paraId="4E33F650" w14:textId="77777777" w:rsidR="0065073E" w:rsidRDefault="000A0998">
            <w:pPr>
              <w:pStyle w:val="P68B1DB1-Normal12"/>
              <w:spacing w:after="0" w:line="240" w:lineRule="auto"/>
              <w:jc w:val="center"/>
              <w:rPr>
                <w:rFonts w:eastAsia="Times New Roman" w:cs="Times New Roman"/>
                <w:noProof/>
              </w:rPr>
            </w:pPr>
            <w:r>
              <w:rPr>
                <w:noProof/>
              </w:rPr>
              <w:t>336</w:t>
            </w:r>
          </w:p>
        </w:tc>
        <w:tc>
          <w:tcPr>
            <w:tcW w:w="828" w:type="dxa"/>
            <w:shd w:val="clear" w:color="auto" w:fill="C6EFCE"/>
            <w:noWrap/>
          </w:tcPr>
          <w:p w14:paraId="3A7D2AC9" w14:textId="77777777" w:rsidR="0065073E" w:rsidRDefault="000A0998">
            <w:pPr>
              <w:pStyle w:val="P68B1DB1-Normal12"/>
              <w:spacing w:after="0" w:line="240" w:lineRule="auto"/>
              <w:jc w:val="center"/>
              <w:rPr>
                <w:rFonts w:eastAsia="Times New Roman" w:cs="Times New Roman"/>
                <w:noProof/>
              </w:rPr>
            </w:pPr>
            <w:r>
              <w:rPr>
                <w:noProof/>
              </w:rPr>
              <w:t>C23.R6</w:t>
            </w:r>
          </w:p>
        </w:tc>
        <w:tc>
          <w:tcPr>
            <w:tcW w:w="964" w:type="dxa"/>
            <w:shd w:val="clear" w:color="auto" w:fill="C6EFCE"/>
            <w:noWrap/>
          </w:tcPr>
          <w:p w14:paraId="6EDF450C"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0668CA02" w14:textId="77777777" w:rsidR="0065073E" w:rsidRDefault="000A0998">
            <w:pPr>
              <w:pStyle w:val="P68B1DB1-Normal12"/>
              <w:spacing w:after="0" w:line="240" w:lineRule="auto"/>
              <w:rPr>
                <w:rFonts w:eastAsia="Times New Roman" w:cs="Times New Roman"/>
                <w:noProof/>
              </w:rPr>
            </w:pPr>
            <w:r>
              <w:rPr>
                <w:noProof/>
              </w:rPr>
              <w:t>Työntekijöiden asemaa koskevien sääntöjen muuttaminen siten, että perustetaan järjestelmä suhdannevaihteluihin ja rakenteellisiin häiriöihin sopeutumiseksi, mukaan lukien järjestelmä, joka tarjoaa yrityksille sisäistä joustavuutta ja vakautta työntekijöille</w:t>
            </w:r>
          </w:p>
        </w:tc>
        <w:tc>
          <w:tcPr>
            <w:tcW w:w="1102" w:type="dxa"/>
            <w:shd w:val="clear" w:color="auto" w:fill="C6EFCE"/>
            <w:noWrap/>
          </w:tcPr>
          <w:p w14:paraId="7D1A70E3" w14:textId="77777777" w:rsidR="0065073E" w:rsidRDefault="000A0998">
            <w:pPr>
              <w:pStyle w:val="P68B1DB1-Normal12"/>
              <w:spacing w:after="0" w:line="240" w:lineRule="auto"/>
              <w:jc w:val="center"/>
              <w:rPr>
                <w:rFonts w:eastAsia="Times New Roman" w:cs="Times New Roman"/>
                <w:noProof/>
              </w:rPr>
            </w:pPr>
            <w:r>
              <w:rPr>
                <w:noProof/>
              </w:rPr>
              <w:t>Voimaantuloa koskevat muutoksen säännökset</w:t>
            </w:r>
          </w:p>
        </w:tc>
        <w:tc>
          <w:tcPr>
            <w:tcW w:w="827" w:type="dxa"/>
            <w:shd w:val="clear" w:color="auto" w:fill="C6EFCE"/>
            <w:noWrap/>
          </w:tcPr>
          <w:p w14:paraId="7A699D36"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40C11E6C"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BB8EE2D"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1095FF21"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6569531A"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14A5FC8A" w14:textId="77777777" w:rsidR="0065073E" w:rsidRDefault="000A0998">
            <w:pPr>
              <w:pStyle w:val="P68B1DB1-Normal12"/>
              <w:spacing w:after="0" w:line="240" w:lineRule="auto"/>
              <w:rPr>
                <w:rFonts w:eastAsia="Times New Roman" w:cs="Times New Roman"/>
                <w:noProof/>
              </w:rPr>
            </w:pPr>
            <w:r>
              <w:rPr>
                <w:noProof/>
              </w:rPr>
              <w:t xml:space="preserve">Työmarkkinaosapuolten vuoropuhelun mukaisesti ja osana kokonaisvaltaista lähestymistapaa, jossa tasapainotetaan työmarkkinoiden joustavuuden ja turvallisuuden tarve ja varmistetaan julkisen talouden kestävyys keskipitkällä ja pitkällä aikavälillä, tulee voimaan työntekijöiden asemasta annetun lain uudelleenlaaditun tekstin hyväksymisestä 23. lokakuuta annetun kuninkaallisen asetuksen 2/2015 muutossäännökset, joilla perustetaan järjestelmä suhdannevaihteluihin ja rakenteellisiin häiriöihin sopeutumiseksi, mukaan lukien järjestelmä, joka tarjoaa yrityksille sisäistä joustavuutta ja vakautta työntekijöille, tukee työntekijöiden täydennys- ja uudelleenkoulutusta yrityksissä ja siirtymävaiheessa olevilla aloilla sekä helpottaa työntekijöiden vapaaehtoista liikkuvuutta (yritysten sisällä ja niiden välillä). </w:t>
            </w:r>
          </w:p>
        </w:tc>
      </w:tr>
      <w:tr w:rsidR="0065073E" w14:paraId="5CD41E59" w14:textId="77777777">
        <w:trPr>
          <w:trHeight w:val="309"/>
        </w:trPr>
        <w:tc>
          <w:tcPr>
            <w:tcW w:w="830" w:type="dxa"/>
            <w:shd w:val="clear" w:color="auto" w:fill="C6EFCE"/>
            <w:noWrap/>
          </w:tcPr>
          <w:p w14:paraId="34421AB8" w14:textId="77777777" w:rsidR="0065073E" w:rsidRDefault="000A0998">
            <w:pPr>
              <w:pStyle w:val="P68B1DB1-Normal12"/>
              <w:spacing w:after="0" w:line="240" w:lineRule="auto"/>
              <w:jc w:val="center"/>
              <w:rPr>
                <w:rFonts w:eastAsia="Times New Roman" w:cs="Times New Roman"/>
                <w:noProof/>
              </w:rPr>
            </w:pPr>
            <w:r>
              <w:rPr>
                <w:noProof/>
              </w:rPr>
              <w:t>337</w:t>
            </w:r>
          </w:p>
        </w:tc>
        <w:tc>
          <w:tcPr>
            <w:tcW w:w="828" w:type="dxa"/>
            <w:shd w:val="clear" w:color="auto" w:fill="C6EFCE"/>
            <w:noWrap/>
          </w:tcPr>
          <w:p w14:paraId="6707CF3F" w14:textId="77777777" w:rsidR="0065073E" w:rsidRDefault="000A0998">
            <w:pPr>
              <w:pStyle w:val="P68B1DB1-Normal12"/>
              <w:spacing w:after="0" w:line="240" w:lineRule="auto"/>
              <w:jc w:val="center"/>
              <w:rPr>
                <w:rFonts w:eastAsia="Times New Roman" w:cs="Times New Roman"/>
                <w:noProof/>
              </w:rPr>
            </w:pPr>
            <w:r>
              <w:rPr>
                <w:noProof/>
              </w:rPr>
              <w:t>C23.R7</w:t>
            </w:r>
          </w:p>
        </w:tc>
        <w:tc>
          <w:tcPr>
            <w:tcW w:w="964" w:type="dxa"/>
            <w:shd w:val="clear" w:color="auto" w:fill="C6EFCE"/>
            <w:noWrap/>
          </w:tcPr>
          <w:p w14:paraId="31A68BE3"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5D5161CC" w14:textId="77777777" w:rsidR="0065073E" w:rsidRDefault="000A0998">
            <w:pPr>
              <w:pStyle w:val="P68B1DB1-Normal12"/>
              <w:spacing w:after="0" w:line="240" w:lineRule="auto"/>
              <w:rPr>
                <w:rFonts w:eastAsia="Times New Roman" w:cs="Times New Roman"/>
                <w:noProof/>
              </w:rPr>
            </w:pPr>
            <w:r>
              <w:rPr>
                <w:noProof/>
              </w:rPr>
              <w:t>Lain nro 43/2006 uudistuksen voimaantulo rekrytoinnin kannustinjärjestelmän yksinkertaistamiseksi ja tehostamiseksi ottaen huomioon AIReF:n antamat suositukset</w:t>
            </w:r>
          </w:p>
        </w:tc>
        <w:tc>
          <w:tcPr>
            <w:tcW w:w="1102" w:type="dxa"/>
            <w:shd w:val="clear" w:color="auto" w:fill="C6EFCE"/>
            <w:noWrap/>
          </w:tcPr>
          <w:p w14:paraId="1621C340" w14:textId="77777777" w:rsidR="0065073E" w:rsidRDefault="000A0998">
            <w:pPr>
              <w:pStyle w:val="P68B1DB1-Normal12"/>
              <w:spacing w:after="0" w:line="240" w:lineRule="auto"/>
              <w:jc w:val="center"/>
              <w:rPr>
                <w:rFonts w:eastAsia="Times New Roman" w:cs="Times New Roman"/>
                <w:noProof/>
              </w:rPr>
            </w:pPr>
            <w:r>
              <w:rPr>
                <w:noProof/>
              </w:rPr>
              <w:t>Uudistuksen voimaantuloon liittyvä säännös</w:t>
            </w:r>
          </w:p>
        </w:tc>
        <w:tc>
          <w:tcPr>
            <w:tcW w:w="827" w:type="dxa"/>
            <w:shd w:val="clear" w:color="auto" w:fill="C6EFCE"/>
            <w:noWrap/>
          </w:tcPr>
          <w:p w14:paraId="284C368F"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0ED5CA4B"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ABE5785"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33304C9A"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5EF78E21" w14:textId="77777777" w:rsidR="0065073E" w:rsidRDefault="000A0998">
            <w:pPr>
              <w:pStyle w:val="P68B1DB1-Normal12"/>
              <w:spacing w:after="0" w:line="240" w:lineRule="auto"/>
              <w:jc w:val="center"/>
              <w:rPr>
                <w:rFonts w:eastAsia="Times New Roman" w:cs="Times New Roman"/>
                <w:noProof/>
              </w:rPr>
            </w:pPr>
            <w:r>
              <w:rPr>
                <w:noProof/>
              </w:rPr>
              <w:t>2022</w:t>
            </w:r>
          </w:p>
        </w:tc>
        <w:tc>
          <w:tcPr>
            <w:tcW w:w="5901" w:type="dxa"/>
            <w:shd w:val="clear" w:color="auto" w:fill="C6EFCE"/>
            <w:noWrap/>
          </w:tcPr>
          <w:p w14:paraId="5A146E30" w14:textId="7BCD627D" w:rsidR="0065073E" w:rsidRDefault="000A0998">
            <w:pPr>
              <w:pStyle w:val="P68B1DB1-Normal12"/>
              <w:spacing w:after="0" w:line="240" w:lineRule="auto"/>
              <w:rPr>
                <w:rFonts w:eastAsia="Times New Roman" w:cs="Times New Roman"/>
                <w:noProof/>
              </w:rPr>
            </w:pPr>
            <w:r>
              <w:rPr>
                <w:noProof/>
              </w:rPr>
              <w:t>Lain nro 43/2006 uudistuksella yksinkertaistetaan ja tehostetaan rekrytointikannustinjärjestelmää ottaen huomioon suositukset, jotka Espanjan finanssipoliittisesta vastuusta vastaava riippumaton viranomainen (AIReF) antoi vuoden 2020 menojen uudelleentarkasteluraportissaan: ”Kannustimet työhönottoon”</w:t>
            </w:r>
          </w:p>
        </w:tc>
      </w:tr>
      <w:tr w:rsidR="0065073E" w14:paraId="68E12D8A" w14:textId="77777777">
        <w:trPr>
          <w:trHeight w:val="309"/>
        </w:trPr>
        <w:tc>
          <w:tcPr>
            <w:tcW w:w="830" w:type="dxa"/>
            <w:shd w:val="clear" w:color="auto" w:fill="C6EFCE"/>
            <w:noWrap/>
          </w:tcPr>
          <w:p w14:paraId="509D2049" w14:textId="77777777" w:rsidR="0065073E" w:rsidRDefault="000A0998">
            <w:pPr>
              <w:pStyle w:val="P68B1DB1-Normal12"/>
              <w:spacing w:after="0" w:line="240" w:lineRule="auto"/>
              <w:jc w:val="center"/>
              <w:rPr>
                <w:rFonts w:eastAsia="Times New Roman" w:cs="Times New Roman"/>
                <w:noProof/>
              </w:rPr>
            </w:pPr>
            <w:r>
              <w:rPr>
                <w:noProof/>
              </w:rPr>
              <w:t>338</w:t>
            </w:r>
          </w:p>
        </w:tc>
        <w:tc>
          <w:tcPr>
            <w:tcW w:w="828" w:type="dxa"/>
            <w:shd w:val="clear" w:color="auto" w:fill="C6EFCE"/>
            <w:noWrap/>
          </w:tcPr>
          <w:p w14:paraId="36EC7633" w14:textId="77777777" w:rsidR="0065073E" w:rsidRDefault="000A0998">
            <w:pPr>
              <w:pStyle w:val="P68B1DB1-Normal12"/>
              <w:spacing w:after="0" w:line="240" w:lineRule="auto"/>
              <w:jc w:val="center"/>
              <w:rPr>
                <w:rFonts w:eastAsia="Times New Roman" w:cs="Times New Roman"/>
                <w:noProof/>
              </w:rPr>
            </w:pPr>
            <w:r>
              <w:rPr>
                <w:noProof/>
              </w:rPr>
              <w:t>C23.R8</w:t>
            </w:r>
          </w:p>
        </w:tc>
        <w:tc>
          <w:tcPr>
            <w:tcW w:w="964" w:type="dxa"/>
            <w:shd w:val="clear" w:color="auto" w:fill="C6EFCE"/>
            <w:noWrap/>
          </w:tcPr>
          <w:p w14:paraId="287F48A9"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361355D5" w14:textId="77777777" w:rsidR="0065073E" w:rsidRDefault="000A0998">
            <w:pPr>
              <w:pStyle w:val="P68B1DB1-Normal12"/>
              <w:spacing w:after="0" w:line="240" w:lineRule="auto"/>
              <w:rPr>
                <w:rFonts w:eastAsia="Times New Roman" w:cs="Times New Roman"/>
                <w:noProof/>
              </w:rPr>
            </w:pPr>
            <w:r>
              <w:rPr>
                <w:noProof/>
              </w:rPr>
              <w:t xml:space="preserve">Työntekijöiden asemaa koskevien sääntöjen muuttaminen työehtosopimusneuvotteluja koskevien oikeudellisten sääntöjen parantamiseksi </w:t>
            </w:r>
          </w:p>
        </w:tc>
        <w:tc>
          <w:tcPr>
            <w:tcW w:w="1102" w:type="dxa"/>
            <w:shd w:val="clear" w:color="auto" w:fill="C6EFCE"/>
            <w:noWrap/>
          </w:tcPr>
          <w:p w14:paraId="1ED0AF70" w14:textId="77777777" w:rsidR="0065073E" w:rsidRDefault="000A0998">
            <w:pPr>
              <w:pStyle w:val="P68B1DB1-Normal12"/>
              <w:spacing w:after="0" w:line="240" w:lineRule="auto"/>
              <w:jc w:val="center"/>
              <w:rPr>
                <w:rFonts w:eastAsia="Times New Roman" w:cs="Times New Roman"/>
                <w:noProof/>
              </w:rPr>
            </w:pPr>
            <w:r>
              <w:rPr>
                <w:noProof/>
              </w:rPr>
              <w:t>Voimaantuloa koskevat muutoksen säännökset</w:t>
            </w:r>
          </w:p>
        </w:tc>
        <w:tc>
          <w:tcPr>
            <w:tcW w:w="827" w:type="dxa"/>
            <w:shd w:val="clear" w:color="auto" w:fill="C6EFCE"/>
            <w:noWrap/>
          </w:tcPr>
          <w:p w14:paraId="46E7141C"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29FB476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27EEC3A3"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0DD404CE"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19C91C58"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535116B6" w14:textId="77777777" w:rsidR="0065073E" w:rsidRDefault="000A0998">
            <w:pPr>
              <w:pStyle w:val="P68B1DB1-Normal12"/>
              <w:spacing w:after="0" w:line="240" w:lineRule="auto"/>
              <w:rPr>
                <w:rFonts w:eastAsia="Times New Roman" w:cs="Times New Roman"/>
                <w:noProof/>
              </w:rPr>
            </w:pPr>
            <w:r>
              <w:rPr>
                <w:noProof/>
              </w:rPr>
              <w:t>Työmarkkinaosapuolten vuoropuhelun mukaisesti ja osana kokonaisvaltaista lähestymistapaa, jossa tasapainotetaan työmarkkinoiden joustavuuden ja turvallisuuden tarve, tulee voimaan 23. lokakuuta annetun kuninkaan asetuksen 2/2015, jolla hyväksyttiin työntekijöiden asemasta annetun lain uudelleenlaatiminen, tiettyjen säännösten muuttaminen työehtosopimusneuvotteluja koskevien oikeussääntöjen parantamiseksi.</w:t>
            </w:r>
          </w:p>
        </w:tc>
      </w:tr>
      <w:tr w:rsidR="0065073E" w14:paraId="64CB5188" w14:textId="77777777">
        <w:trPr>
          <w:trHeight w:val="309"/>
        </w:trPr>
        <w:tc>
          <w:tcPr>
            <w:tcW w:w="830" w:type="dxa"/>
            <w:shd w:val="clear" w:color="auto" w:fill="C6EFCE"/>
            <w:noWrap/>
          </w:tcPr>
          <w:p w14:paraId="219CF6C7" w14:textId="77777777" w:rsidR="0065073E" w:rsidRDefault="000A0998">
            <w:pPr>
              <w:pStyle w:val="P68B1DB1-Normal12"/>
              <w:spacing w:after="0" w:line="240" w:lineRule="auto"/>
              <w:jc w:val="center"/>
              <w:rPr>
                <w:rFonts w:eastAsia="Times New Roman" w:cs="Times New Roman"/>
                <w:noProof/>
              </w:rPr>
            </w:pPr>
            <w:r>
              <w:rPr>
                <w:noProof/>
              </w:rPr>
              <w:t>339</w:t>
            </w:r>
          </w:p>
        </w:tc>
        <w:tc>
          <w:tcPr>
            <w:tcW w:w="828" w:type="dxa"/>
            <w:shd w:val="clear" w:color="auto" w:fill="C6EFCE"/>
            <w:noWrap/>
          </w:tcPr>
          <w:p w14:paraId="1DB3FC7F" w14:textId="77777777" w:rsidR="0065073E" w:rsidRDefault="000A0998">
            <w:pPr>
              <w:pStyle w:val="P68B1DB1-Normal12"/>
              <w:spacing w:after="0" w:line="240" w:lineRule="auto"/>
              <w:jc w:val="center"/>
              <w:rPr>
                <w:rFonts w:eastAsia="Times New Roman" w:cs="Times New Roman"/>
                <w:noProof/>
              </w:rPr>
            </w:pPr>
            <w:r>
              <w:rPr>
                <w:noProof/>
              </w:rPr>
              <w:t>C23.R9</w:t>
            </w:r>
          </w:p>
        </w:tc>
        <w:tc>
          <w:tcPr>
            <w:tcW w:w="964" w:type="dxa"/>
            <w:shd w:val="clear" w:color="auto" w:fill="C6EFCE"/>
            <w:noWrap/>
          </w:tcPr>
          <w:p w14:paraId="1CEA6390"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66FA5377" w14:textId="77777777" w:rsidR="0065073E" w:rsidRDefault="000A0998">
            <w:pPr>
              <w:pStyle w:val="P68B1DB1-Normal12"/>
              <w:spacing w:after="0" w:line="240" w:lineRule="auto"/>
              <w:rPr>
                <w:rFonts w:eastAsia="Times New Roman" w:cs="Times New Roman"/>
                <w:noProof/>
              </w:rPr>
            </w:pPr>
            <w:r>
              <w:rPr>
                <w:noProof/>
              </w:rPr>
              <w:t>Työntekijöiden asemaa koskevien sääntöjen muuttaminen alihankintana toimivissa yrityksissä työskentelevien henkilöiden oikeuksien parantamiseksi</w:t>
            </w:r>
          </w:p>
        </w:tc>
        <w:tc>
          <w:tcPr>
            <w:tcW w:w="1102" w:type="dxa"/>
            <w:shd w:val="clear" w:color="auto" w:fill="C6EFCE"/>
            <w:noWrap/>
          </w:tcPr>
          <w:p w14:paraId="2C60F95D" w14:textId="77777777" w:rsidR="0065073E" w:rsidRDefault="000A0998">
            <w:pPr>
              <w:pStyle w:val="P68B1DB1-Normal12"/>
              <w:spacing w:after="0" w:line="240" w:lineRule="auto"/>
              <w:jc w:val="center"/>
              <w:rPr>
                <w:rFonts w:eastAsia="Times New Roman" w:cs="Times New Roman"/>
                <w:noProof/>
              </w:rPr>
            </w:pPr>
            <w:r>
              <w:rPr>
                <w:noProof/>
              </w:rPr>
              <w:t>Voimaantuloa koskevat muutoksen säännökset</w:t>
            </w:r>
          </w:p>
        </w:tc>
        <w:tc>
          <w:tcPr>
            <w:tcW w:w="827" w:type="dxa"/>
            <w:shd w:val="clear" w:color="auto" w:fill="C6EFCE"/>
            <w:noWrap/>
          </w:tcPr>
          <w:p w14:paraId="1F4B254D"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20E2BD8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58D0975"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7EB09030"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5698749A" w14:textId="77777777" w:rsidR="0065073E" w:rsidRDefault="000A0998">
            <w:pPr>
              <w:pStyle w:val="P68B1DB1-Normal12"/>
              <w:spacing w:after="0" w:line="240" w:lineRule="auto"/>
              <w:jc w:val="center"/>
              <w:rPr>
                <w:rFonts w:eastAsia="Times New Roman" w:cs="Times New Roman"/>
                <w:noProof/>
              </w:rPr>
            </w:pPr>
            <w:r>
              <w:rPr>
                <w:noProof/>
              </w:rPr>
              <w:t>2021</w:t>
            </w:r>
          </w:p>
        </w:tc>
        <w:tc>
          <w:tcPr>
            <w:tcW w:w="5901" w:type="dxa"/>
            <w:shd w:val="clear" w:color="auto" w:fill="C6EFCE"/>
            <w:noWrap/>
          </w:tcPr>
          <w:p w14:paraId="31BE18D4" w14:textId="77777777" w:rsidR="0065073E" w:rsidRDefault="000A0998">
            <w:pPr>
              <w:pStyle w:val="P68B1DB1-Normal12"/>
              <w:spacing w:after="0" w:line="240" w:lineRule="auto"/>
              <w:rPr>
                <w:rFonts w:eastAsia="Times New Roman" w:cs="Times New Roman"/>
                <w:noProof/>
              </w:rPr>
            </w:pPr>
            <w:r>
              <w:rPr>
                <w:noProof/>
              </w:rPr>
              <w:t>Työmarkkinaosapuolten vuoropuhelua noudattaen ja osana kokonaisvaltaista lähestymistapaa, jossa tasapainotetaan työmarkkinoiden joustavuuden ja turvallisuuden tarve, tulee voimaan 23. lokakuuta 2015 annetun asetuksen (decreto legislativo) 2/2015, jolla hyväksytään työntekijöiden asemasta annetun lain uudelleenlaadittu teksti alihankintana toimivissa yrityksissä työskentelevien henkilöiden oikeuksien parantamiseksi.</w:t>
            </w:r>
          </w:p>
        </w:tc>
      </w:tr>
      <w:tr w:rsidR="0065073E" w14:paraId="6E73BA34" w14:textId="77777777">
        <w:trPr>
          <w:trHeight w:val="309"/>
        </w:trPr>
        <w:tc>
          <w:tcPr>
            <w:tcW w:w="830" w:type="dxa"/>
            <w:shd w:val="clear" w:color="auto" w:fill="C6EFCE"/>
            <w:noWrap/>
          </w:tcPr>
          <w:p w14:paraId="6703CA69" w14:textId="77777777" w:rsidR="0065073E" w:rsidRDefault="000A0998">
            <w:pPr>
              <w:pStyle w:val="P68B1DB1-Normal12"/>
              <w:spacing w:after="0" w:line="240" w:lineRule="auto"/>
              <w:jc w:val="center"/>
              <w:rPr>
                <w:rFonts w:eastAsia="Times New Roman" w:cs="Times New Roman"/>
                <w:noProof/>
              </w:rPr>
            </w:pPr>
            <w:r>
              <w:rPr>
                <w:noProof/>
              </w:rPr>
              <w:t>340</w:t>
            </w:r>
          </w:p>
        </w:tc>
        <w:tc>
          <w:tcPr>
            <w:tcW w:w="828" w:type="dxa"/>
            <w:shd w:val="clear" w:color="auto" w:fill="C6EFCE"/>
            <w:noWrap/>
          </w:tcPr>
          <w:p w14:paraId="17790F97" w14:textId="77777777" w:rsidR="0065073E" w:rsidRDefault="000A0998">
            <w:pPr>
              <w:pStyle w:val="P68B1DB1-Normal12"/>
              <w:spacing w:after="0" w:line="240" w:lineRule="auto"/>
              <w:jc w:val="center"/>
              <w:rPr>
                <w:rFonts w:eastAsia="Times New Roman" w:cs="Times New Roman"/>
                <w:noProof/>
              </w:rPr>
            </w:pPr>
            <w:r>
              <w:rPr>
                <w:noProof/>
              </w:rPr>
              <w:t>C23.R10</w:t>
            </w:r>
          </w:p>
        </w:tc>
        <w:tc>
          <w:tcPr>
            <w:tcW w:w="964" w:type="dxa"/>
            <w:shd w:val="clear" w:color="auto" w:fill="C6EFCE"/>
            <w:noWrap/>
          </w:tcPr>
          <w:p w14:paraId="1A57C77C"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348C994B" w14:textId="114860A1" w:rsidR="0065073E" w:rsidRDefault="000A0998">
            <w:pPr>
              <w:pStyle w:val="P68B1DB1-Normal12"/>
              <w:spacing w:after="0" w:line="240" w:lineRule="auto"/>
              <w:rPr>
                <w:rFonts w:eastAsia="Times New Roman" w:cs="Times New Roman"/>
                <w:noProof/>
              </w:rPr>
            </w:pPr>
            <w:r>
              <w:rPr>
                <w:noProof/>
              </w:rPr>
              <w:t>Maksuihin perustumattoman työttömyystuen sääntelyn uudistamisesta annetun kuninkaallisen asetuksen 8/2015 muutos tulee voimaan</w:t>
            </w:r>
          </w:p>
        </w:tc>
        <w:tc>
          <w:tcPr>
            <w:tcW w:w="1102" w:type="dxa"/>
            <w:shd w:val="clear" w:color="auto" w:fill="C6EFCE"/>
            <w:noWrap/>
          </w:tcPr>
          <w:p w14:paraId="10E1A366" w14:textId="77777777" w:rsidR="0065073E" w:rsidRDefault="000A0998">
            <w:pPr>
              <w:pStyle w:val="P68B1DB1-Normal12"/>
              <w:spacing w:after="0" w:line="240" w:lineRule="auto"/>
              <w:jc w:val="center"/>
              <w:rPr>
                <w:rFonts w:eastAsia="Times New Roman" w:cs="Times New Roman"/>
                <w:noProof/>
              </w:rPr>
            </w:pPr>
            <w:r>
              <w:rPr>
                <w:noProof/>
              </w:rPr>
              <w:t>Voimaantuloa koskevan muutoksen säännös</w:t>
            </w:r>
          </w:p>
        </w:tc>
        <w:tc>
          <w:tcPr>
            <w:tcW w:w="827" w:type="dxa"/>
            <w:shd w:val="clear" w:color="auto" w:fill="C6EFCE"/>
            <w:noWrap/>
          </w:tcPr>
          <w:p w14:paraId="3B4628AB"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0D92ECD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8947082"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51AD0FDB"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77461C39" w14:textId="77777777" w:rsidR="0065073E" w:rsidRDefault="000A0998">
            <w:pPr>
              <w:pStyle w:val="P68B1DB1-Normal12"/>
              <w:spacing w:after="0" w:line="240" w:lineRule="auto"/>
              <w:jc w:val="center"/>
              <w:rPr>
                <w:rFonts w:eastAsia="Times New Roman" w:cs="Times New Roman"/>
                <w:noProof/>
              </w:rPr>
            </w:pPr>
            <w:r>
              <w:rPr>
                <w:noProof/>
              </w:rPr>
              <w:t>2022</w:t>
            </w:r>
          </w:p>
        </w:tc>
        <w:tc>
          <w:tcPr>
            <w:tcW w:w="5901" w:type="dxa"/>
            <w:shd w:val="clear" w:color="auto" w:fill="C6EFCE"/>
            <w:noWrap/>
          </w:tcPr>
          <w:p w14:paraId="57B5A47A" w14:textId="5E0328DD" w:rsidR="0065073E" w:rsidRDefault="000A0998">
            <w:pPr>
              <w:pStyle w:val="P68B1DB1-Normal12"/>
              <w:spacing w:after="0" w:line="240" w:lineRule="auto"/>
              <w:rPr>
                <w:rFonts w:eastAsia="Times New Roman" w:cs="Times New Roman"/>
                <w:noProof/>
              </w:rPr>
            </w:pPr>
            <w:r>
              <w:rPr>
                <w:noProof/>
              </w:rPr>
              <w:t>Kuninkaan asetuksen 8/2015 uudistus koskee maksuihin perustumattoman työttömyystuen sääntelyä, mukaan lukien seuraavat tavoitteet: I) työttömyysturvan laajentaminen; II) järjestelmän yksinkertaistaminen; III) kytkeä etuus yksilölliseen aktivointireittiin; IV) helpottaa siirtymistä sosiaaliseen suojeluun silloin, kun edunsaaja ei palaa työhön ja on haavoittuvassa asemassa.</w:t>
            </w:r>
          </w:p>
        </w:tc>
      </w:tr>
      <w:tr w:rsidR="0065073E" w14:paraId="2F115B0D" w14:textId="77777777">
        <w:trPr>
          <w:trHeight w:val="309"/>
        </w:trPr>
        <w:tc>
          <w:tcPr>
            <w:tcW w:w="830" w:type="dxa"/>
            <w:shd w:val="clear" w:color="auto" w:fill="C6EFCE"/>
            <w:noWrap/>
          </w:tcPr>
          <w:p w14:paraId="68BB4D95" w14:textId="77777777" w:rsidR="0065073E" w:rsidRDefault="000A0998">
            <w:pPr>
              <w:pStyle w:val="P68B1DB1-Normal12"/>
              <w:spacing w:after="0" w:line="240" w:lineRule="auto"/>
              <w:jc w:val="center"/>
              <w:rPr>
                <w:rFonts w:eastAsia="Times New Roman" w:cs="Times New Roman"/>
                <w:noProof/>
              </w:rPr>
            </w:pPr>
            <w:r>
              <w:rPr>
                <w:noProof/>
              </w:rPr>
              <w:t>341</w:t>
            </w:r>
          </w:p>
        </w:tc>
        <w:tc>
          <w:tcPr>
            <w:tcW w:w="828" w:type="dxa"/>
            <w:shd w:val="clear" w:color="auto" w:fill="C6EFCE"/>
            <w:noWrap/>
          </w:tcPr>
          <w:p w14:paraId="749C2E28" w14:textId="77777777" w:rsidR="0065073E" w:rsidRDefault="000A0998">
            <w:pPr>
              <w:pStyle w:val="P68B1DB1-Normal12"/>
              <w:spacing w:after="0" w:line="240" w:lineRule="auto"/>
              <w:jc w:val="center"/>
              <w:rPr>
                <w:rFonts w:eastAsia="Times New Roman" w:cs="Times New Roman"/>
                <w:noProof/>
              </w:rPr>
            </w:pPr>
            <w:r>
              <w:rPr>
                <w:noProof/>
              </w:rPr>
              <w:t>C23.R11</w:t>
            </w:r>
          </w:p>
        </w:tc>
        <w:tc>
          <w:tcPr>
            <w:tcW w:w="964" w:type="dxa"/>
            <w:shd w:val="clear" w:color="auto" w:fill="C6EFCE"/>
            <w:noWrap/>
          </w:tcPr>
          <w:p w14:paraId="26A3BD5A"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72A3F33E" w14:textId="77777777" w:rsidR="0065073E" w:rsidRDefault="000A0998">
            <w:pPr>
              <w:pStyle w:val="P68B1DB1-Normal12"/>
              <w:spacing w:after="0" w:line="240" w:lineRule="auto"/>
              <w:rPr>
                <w:rFonts w:eastAsia="Times New Roman" w:cs="Times New Roman"/>
                <w:noProof/>
              </w:rPr>
            </w:pPr>
            <w:r>
              <w:rPr>
                <w:noProof/>
              </w:rPr>
              <w:t>Todistus valtion julkisen työvoimapalvelun nykyaikaistamista koskevien sopimusten mukaisten palvelujen suorittamisesta</w:t>
            </w:r>
          </w:p>
        </w:tc>
        <w:tc>
          <w:tcPr>
            <w:tcW w:w="1102" w:type="dxa"/>
            <w:shd w:val="clear" w:color="auto" w:fill="C6EFCE"/>
            <w:noWrap/>
          </w:tcPr>
          <w:p w14:paraId="16B791A7" w14:textId="77777777" w:rsidR="0065073E" w:rsidRDefault="000A0998">
            <w:pPr>
              <w:pStyle w:val="P68B1DB1-Normal12"/>
              <w:spacing w:after="0" w:line="240" w:lineRule="auto"/>
              <w:jc w:val="center"/>
              <w:rPr>
                <w:rFonts w:eastAsia="Times New Roman" w:cs="Times New Roman"/>
                <w:noProof/>
              </w:rPr>
            </w:pPr>
            <w:r>
              <w:rPr>
                <w:noProof/>
              </w:rPr>
              <w:t>Todistukset sopimusten mukaisten palvelujen suorittamisesta (hallinnolliset lait)</w:t>
            </w:r>
          </w:p>
        </w:tc>
        <w:tc>
          <w:tcPr>
            <w:tcW w:w="827" w:type="dxa"/>
            <w:shd w:val="clear" w:color="auto" w:fill="C6EFCE"/>
            <w:noWrap/>
          </w:tcPr>
          <w:p w14:paraId="1B5B7E86"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20119FC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F2AE7CF" w14:textId="77777777" w:rsidR="0065073E" w:rsidRDefault="000A0998">
            <w:pPr>
              <w:pStyle w:val="P68B1DB1-Normal12"/>
              <w:spacing w:after="0" w:line="240" w:lineRule="auto"/>
              <w:rPr>
                <w:rFonts w:eastAsia="Times New Roman" w:cs="Times New Roman"/>
                <w:noProof/>
              </w:rPr>
            </w:pPr>
            <w:r>
              <w:rPr>
                <w:noProof/>
              </w:rPr>
              <w:t xml:space="preserve"> </w:t>
            </w:r>
          </w:p>
        </w:tc>
        <w:tc>
          <w:tcPr>
            <w:tcW w:w="413" w:type="dxa"/>
            <w:shd w:val="clear" w:color="auto" w:fill="C6EFCE"/>
            <w:noWrap/>
          </w:tcPr>
          <w:p w14:paraId="0C0BE697"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3F99E208"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901" w:type="dxa"/>
            <w:shd w:val="clear" w:color="auto" w:fill="C6EFCE"/>
            <w:noWrap/>
          </w:tcPr>
          <w:p w14:paraId="0D812912"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Todistukset valtion julkisen työvoimapalvelun nykyaikaistamista koskevien sopimusten (hallintolakien) mukaisten palvelujen suorittamisesta parantamalla sisäisiä hallintojärjestelmiä, nykyaikaistamalla työpaikkoja ja digitalisoimalla kansalaisten tukipalvelua. Tähän sisältyy:</w:t>
            </w:r>
            <w:r>
              <w:rPr>
                <w:noProof/>
              </w:rPr>
              <w:t xml:space="preserve"> </w:t>
            </w:r>
            <w:r>
              <w:rPr>
                <w:noProof/>
              </w:rPr>
              <w:br/>
            </w:r>
            <w:r>
              <w:rPr>
                <w:rFonts w:ascii="Times New Roman" w:hAnsi="Times New Roman"/>
                <w:noProof/>
                <w:sz w:val="18"/>
              </w:rPr>
              <w:t>Sisäisen hallinnon parantaminen: Työttömyysetuusjärjestelmää tukevien tietojärjestelmien sekä työllisyyspolitiikkaa tukevien tietojärjestelmien parantaminen.</w:t>
            </w:r>
            <w:r>
              <w:rPr>
                <w:noProof/>
              </w:rPr>
              <w:t xml:space="preserve"> </w:t>
            </w:r>
            <w:r>
              <w:rPr>
                <w:noProof/>
              </w:rPr>
              <w:br/>
            </w:r>
            <w:r>
              <w:rPr>
                <w:rFonts w:ascii="Times New Roman" w:hAnsi="Times New Roman"/>
                <w:noProof/>
                <w:sz w:val="18"/>
              </w:rPr>
              <w:t>— Digitaaliset työvoimapalvelut: Kansalaisille ja yrityksille tarjottavien julkisten palvelujen digitalisointi ja asiakaspalvelujen parantaminen.</w:t>
            </w:r>
            <w:r>
              <w:rPr>
                <w:noProof/>
              </w:rPr>
              <w:t xml:space="preserve"> </w:t>
            </w:r>
            <w:r>
              <w:rPr>
                <w:noProof/>
              </w:rPr>
              <w:br/>
            </w:r>
            <w:r>
              <w:rPr>
                <w:rFonts w:ascii="Times New Roman" w:hAnsi="Times New Roman"/>
                <w:noProof/>
                <w:sz w:val="18"/>
              </w:rPr>
              <w:t>— Tilastot ja tiedonhallinta: Otetaan käyttöön asianmukainen tiedonhallinta, joka mahdollistaa päätöksenteon, sekä yhteiskunnallisesti arvokkaiden tietojen julkaisemisen.</w:t>
            </w:r>
            <w:r>
              <w:rPr>
                <w:noProof/>
              </w:rPr>
              <w:t xml:space="preserve"> </w:t>
            </w:r>
            <w:r>
              <w:rPr>
                <w:noProof/>
              </w:rPr>
              <w:br/>
            </w:r>
            <w:r>
              <w:rPr>
                <w:rFonts w:ascii="Times New Roman" w:hAnsi="Times New Roman"/>
                <w:noProof/>
                <w:sz w:val="18"/>
              </w:rPr>
              <w:t>— Työpaikkojen ja infrastruktuurien nykyaikaistaminen.</w:t>
            </w:r>
          </w:p>
        </w:tc>
      </w:tr>
      <w:tr w:rsidR="0065073E" w14:paraId="113938D9" w14:textId="77777777">
        <w:trPr>
          <w:trHeight w:val="309"/>
        </w:trPr>
        <w:tc>
          <w:tcPr>
            <w:tcW w:w="830" w:type="dxa"/>
            <w:shd w:val="clear" w:color="auto" w:fill="C6EFCE"/>
            <w:noWrap/>
          </w:tcPr>
          <w:p w14:paraId="47DECE73" w14:textId="77777777" w:rsidR="0065073E" w:rsidRDefault="000A0998">
            <w:pPr>
              <w:pStyle w:val="P68B1DB1-Normal12"/>
              <w:spacing w:after="0" w:line="240" w:lineRule="auto"/>
              <w:jc w:val="center"/>
              <w:rPr>
                <w:rFonts w:eastAsia="Times New Roman" w:cs="Times New Roman"/>
                <w:noProof/>
              </w:rPr>
            </w:pPr>
            <w:r>
              <w:rPr>
                <w:noProof/>
              </w:rPr>
              <w:t>342</w:t>
            </w:r>
          </w:p>
        </w:tc>
        <w:tc>
          <w:tcPr>
            <w:tcW w:w="828" w:type="dxa"/>
            <w:shd w:val="clear" w:color="auto" w:fill="C6EFCE"/>
            <w:noWrap/>
          </w:tcPr>
          <w:p w14:paraId="49A2EB9E" w14:textId="77777777" w:rsidR="0065073E" w:rsidRDefault="000A0998">
            <w:pPr>
              <w:pStyle w:val="P68B1DB1-Normal12"/>
              <w:spacing w:after="0" w:line="240" w:lineRule="auto"/>
              <w:jc w:val="center"/>
              <w:rPr>
                <w:rFonts w:eastAsia="Times New Roman" w:cs="Times New Roman"/>
                <w:noProof/>
              </w:rPr>
            </w:pPr>
            <w:r>
              <w:rPr>
                <w:noProof/>
              </w:rPr>
              <w:t>C23.I1</w:t>
            </w:r>
          </w:p>
        </w:tc>
        <w:tc>
          <w:tcPr>
            <w:tcW w:w="964" w:type="dxa"/>
            <w:shd w:val="clear" w:color="auto" w:fill="C6EFCE"/>
            <w:noWrap/>
          </w:tcPr>
          <w:p w14:paraId="0A35DE13"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4F9531EE" w14:textId="77777777" w:rsidR="0065073E" w:rsidRDefault="000A0998">
            <w:pPr>
              <w:pStyle w:val="P68B1DB1-Normal12"/>
              <w:spacing w:after="0" w:line="240" w:lineRule="auto"/>
              <w:rPr>
                <w:rFonts w:eastAsia="Times New Roman" w:cs="Times New Roman"/>
                <w:noProof/>
              </w:rPr>
            </w:pPr>
            <w:r>
              <w:rPr>
                <w:noProof/>
              </w:rPr>
              <w:t xml:space="preserve">Nuoret, jotka ovat saattaneet päätökseen nuoriso-ohjelmat. </w:t>
            </w:r>
          </w:p>
        </w:tc>
        <w:tc>
          <w:tcPr>
            <w:tcW w:w="1102" w:type="dxa"/>
            <w:shd w:val="clear" w:color="auto" w:fill="C6EFCE"/>
            <w:noWrap/>
          </w:tcPr>
          <w:p w14:paraId="29A945B0"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5DE33CB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719C1E46"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0D426AAE" w14:textId="77777777" w:rsidR="0065073E" w:rsidRDefault="000A0998">
            <w:pPr>
              <w:pStyle w:val="P68B1DB1-Normal12"/>
              <w:spacing w:after="0" w:line="240" w:lineRule="auto"/>
              <w:rPr>
                <w:rFonts w:eastAsia="Times New Roman" w:cs="Times New Roman"/>
                <w:noProof/>
              </w:rPr>
            </w:pPr>
            <w:r>
              <w:rPr>
                <w:noProof/>
              </w:rPr>
              <w:t>18 300</w:t>
            </w:r>
          </w:p>
        </w:tc>
        <w:tc>
          <w:tcPr>
            <w:tcW w:w="413" w:type="dxa"/>
            <w:shd w:val="clear" w:color="auto" w:fill="C6EFCE"/>
            <w:noWrap/>
          </w:tcPr>
          <w:p w14:paraId="48034371"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403F22AA" w14:textId="77777777" w:rsidR="0065073E" w:rsidRDefault="000A0998">
            <w:pPr>
              <w:pStyle w:val="P68B1DB1-Normal12"/>
              <w:spacing w:after="0" w:line="240" w:lineRule="auto"/>
              <w:jc w:val="center"/>
              <w:rPr>
                <w:rFonts w:eastAsia="Times New Roman" w:cs="Times New Roman"/>
                <w:noProof/>
              </w:rPr>
            </w:pPr>
            <w:r>
              <w:rPr>
                <w:noProof/>
              </w:rPr>
              <w:t>2025</w:t>
            </w:r>
          </w:p>
        </w:tc>
        <w:tc>
          <w:tcPr>
            <w:tcW w:w="5901" w:type="dxa"/>
            <w:shd w:val="clear" w:color="auto" w:fill="C6EFCE"/>
            <w:noWrap/>
          </w:tcPr>
          <w:p w14:paraId="51219AB7"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Vähintään 18300 henkilöä on saattanut päätökseen nuoriso-ohjelmat, joista 21900 on ilmoittautunut. </w:t>
            </w:r>
            <w:r>
              <w:rPr>
                <w:noProof/>
              </w:rPr>
              <w:t xml:space="preserve"> </w:t>
            </w:r>
            <w:r>
              <w:rPr>
                <w:noProof/>
              </w:rPr>
              <w:br/>
            </w:r>
            <w:r>
              <w:rPr>
                <w:rFonts w:ascii="Times New Roman" w:hAnsi="Times New Roman"/>
                <w:noProof/>
                <w:sz w:val="18"/>
              </w:rPr>
              <w:t>Tavoite perustuu kolmeen ohjelmaan:</w:t>
            </w:r>
            <w:r>
              <w:rPr>
                <w:noProof/>
              </w:rPr>
              <w:t xml:space="preserve"> </w:t>
            </w:r>
            <w:r>
              <w:rPr>
                <w:noProof/>
              </w:rPr>
              <w:br/>
            </w:r>
            <w:r>
              <w:rPr>
                <w:rFonts w:ascii="Times New Roman" w:hAnsi="Times New Roman"/>
                <w:noProof/>
                <w:sz w:val="18"/>
              </w:rPr>
              <w:t>• Tandem-ohjelma. Tavoite: ammatillisen pätevyyden hankkiminen vuorotellen työharjoittelun avulla. Vähintään 25 prosenttia ohjelmasta keskittyi ilmastoon liittyviin taitoihin ja 25 prosenttia ohjelmasta digitaalisiin taitoihin.</w:t>
            </w:r>
            <w:r>
              <w:rPr>
                <w:noProof/>
              </w:rPr>
              <w:t xml:space="preserve"> </w:t>
            </w:r>
            <w:r>
              <w:rPr>
                <w:noProof/>
              </w:rPr>
              <w:br/>
            </w:r>
            <w:r>
              <w:rPr>
                <w:rFonts w:ascii="Times New Roman" w:hAnsi="Times New Roman"/>
                <w:noProof/>
                <w:sz w:val="18"/>
              </w:rPr>
              <w:t>• Ensimmäinen kokemusohjelma. Tavoite: helpottaa tutkintoon liittyvän ensimmäisen työkokemuksen hankkimista. Vähintään 20 prosenttia ohjelmasta keskittyi ilmastoon liittyviin taitoihin ja 20 prosenttia ohjelmasta digitaalisiin taitoihin.</w:t>
            </w:r>
            <w:r>
              <w:rPr>
                <w:noProof/>
              </w:rPr>
              <w:t xml:space="preserve"> </w:t>
            </w:r>
            <w:r>
              <w:rPr>
                <w:noProof/>
              </w:rPr>
              <w:br/>
            </w:r>
            <w:r>
              <w:rPr>
                <w:rFonts w:ascii="Times New Roman" w:hAnsi="Times New Roman"/>
                <w:noProof/>
                <w:sz w:val="18"/>
              </w:rPr>
              <w:t>•</w:t>
            </w:r>
            <w:r>
              <w:rPr>
                <w:rFonts w:ascii="Times New Roman" w:hAnsi="Times New Roman"/>
                <w:i/>
                <w:noProof/>
                <w:sz w:val="18"/>
              </w:rPr>
              <w:t>Tutkimusohjelma</w:t>
            </w:r>
            <w:r>
              <w:rPr>
                <w:rFonts w:ascii="Times New Roman" w:hAnsi="Times New Roman"/>
                <w:noProof/>
                <w:sz w:val="18"/>
              </w:rPr>
              <w:t xml:space="preserve">. Tavoite: tarjota tutkimushankkeen kehittämiseen liittyvää työtä. </w:t>
            </w:r>
          </w:p>
        </w:tc>
      </w:tr>
      <w:tr w:rsidR="0065073E" w14:paraId="3743A34A" w14:textId="77777777">
        <w:trPr>
          <w:trHeight w:val="309"/>
        </w:trPr>
        <w:tc>
          <w:tcPr>
            <w:tcW w:w="830" w:type="dxa"/>
            <w:shd w:val="clear" w:color="auto" w:fill="C6EFCE"/>
            <w:noWrap/>
          </w:tcPr>
          <w:p w14:paraId="5B46928E" w14:textId="77777777" w:rsidR="0065073E" w:rsidRDefault="000A0998">
            <w:pPr>
              <w:pStyle w:val="P68B1DB1-Normal12"/>
              <w:spacing w:after="0" w:line="240" w:lineRule="auto"/>
              <w:jc w:val="center"/>
              <w:rPr>
                <w:rFonts w:eastAsia="Times New Roman" w:cs="Times New Roman"/>
                <w:noProof/>
              </w:rPr>
            </w:pPr>
            <w:r>
              <w:rPr>
                <w:noProof/>
              </w:rPr>
              <w:t>343</w:t>
            </w:r>
          </w:p>
        </w:tc>
        <w:tc>
          <w:tcPr>
            <w:tcW w:w="828" w:type="dxa"/>
            <w:shd w:val="clear" w:color="auto" w:fill="C6EFCE"/>
            <w:noWrap/>
          </w:tcPr>
          <w:p w14:paraId="3D71347E" w14:textId="77777777" w:rsidR="0065073E" w:rsidRDefault="000A0998">
            <w:pPr>
              <w:pStyle w:val="P68B1DB1-Normal12"/>
              <w:spacing w:after="0" w:line="240" w:lineRule="auto"/>
              <w:jc w:val="center"/>
              <w:rPr>
                <w:rFonts w:eastAsia="Times New Roman" w:cs="Times New Roman"/>
                <w:noProof/>
              </w:rPr>
            </w:pPr>
            <w:r>
              <w:rPr>
                <w:noProof/>
              </w:rPr>
              <w:t>C23.I2</w:t>
            </w:r>
          </w:p>
        </w:tc>
        <w:tc>
          <w:tcPr>
            <w:tcW w:w="964" w:type="dxa"/>
            <w:shd w:val="clear" w:color="auto" w:fill="C6EFCE"/>
            <w:noWrap/>
          </w:tcPr>
          <w:p w14:paraId="3AF7969F"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475A2B3A" w14:textId="77777777" w:rsidR="0065073E" w:rsidRDefault="000A0998">
            <w:pPr>
              <w:pStyle w:val="P68B1DB1-Normal12"/>
              <w:spacing w:after="0" w:line="240" w:lineRule="auto"/>
              <w:rPr>
                <w:rFonts w:eastAsia="Times New Roman" w:cs="Times New Roman"/>
                <w:noProof/>
              </w:rPr>
            </w:pPr>
            <w:r>
              <w:rPr>
                <w:noProof/>
              </w:rPr>
              <w:t>Ihmiset, jotka ovat saaneet päätökseen</w:t>
            </w:r>
            <w:r>
              <w:rPr>
                <w:i/>
                <w:noProof/>
              </w:rPr>
              <w:t>Empleo Mujer-, maaseutu- ja kaupunkialueita koskevan suunnitelman</w:t>
            </w:r>
            <w:r>
              <w:rPr>
                <w:noProof/>
              </w:rPr>
              <w:t xml:space="preserve"> sekä sukupuoleen perustuvan väkivallan ja ihmisliikenteen uhreja koskevan ohjelman</w:t>
            </w:r>
          </w:p>
        </w:tc>
        <w:tc>
          <w:tcPr>
            <w:tcW w:w="1102" w:type="dxa"/>
            <w:shd w:val="clear" w:color="auto" w:fill="C6EFCE"/>
            <w:noWrap/>
          </w:tcPr>
          <w:p w14:paraId="69392543"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50576955"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4470D498"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3798A895" w14:textId="77777777" w:rsidR="0065073E" w:rsidRDefault="000A0998">
            <w:pPr>
              <w:pStyle w:val="P68B1DB1-Normal12"/>
              <w:spacing w:after="0" w:line="240" w:lineRule="auto"/>
              <w:jc w:val="right"/>
              <w:rPr>
                <w:rFonts w:eastAsia="Times New Roman" w:cs="Times New Roman"/>
                <w:noProof/>
              </w:rPr>
            </w:pPr>
            <w:r>
              <w:rPr>
                <w:noProof/>
              </w:rPr>
              <w:t>23 200</w:t>
            </w:r>
          </w:p>
        </w:tc>
        <w:tc>
          <w:tcPr>
            <w:tcW w:w="413" w:type="dxa"/>
            <w:shd w:val="clear" w:color="auto" w:fill="C6EFCE"/>
            <w:noWrap/>
          </w:tcPr>
          <w:p w14:paraId="76881C0A" w14:textId="77777777" w:rsidR="0065073E" w:rsidRDefault="000A0998">
            <w:pPr>
              <w:pStyle w:val="P68B1DB1-Normal12"/>
              <w:spacing w:after="0" w:line="240" w:lineRule="auto"/>
              <w:jc w:val="right"/>
              <w:rPr>
                <w:rFonts w:eastAsia="Times New Roman" w:cs="Times New Roman"/>
                <w:noProof/>
              </w:rPr>
            </w:pPr>
            <w:r>
              <w:rPr>
                <w:noProof/>
              </w:rPr>
              <w:t>Q4</w:t>
            </w:r>
          </w:p>
        </w:tc>
        <w:tc>
          <w:tcPr>
            <w:tcW w:w="551" w:type="dxa"/>
            <w:shd w:val="clear" w:color="auto" w:fill="C6EFCE"/>
            <w:noWrap/>
          </w:tcPr>
          <w:p w14:paraId="5EA8A983" w14:textId="77777777" w:rsidR="0065073E" w:rsidRDefault="000A0998">
            <w:pPr>
              <w:pStyle w:val="P68B1DB1-Normal12"/>
              <w:spacing w:after="0" w:line="240" w:lineRule="auto"/>
              <w:jc w:val="right"/>
              <w:rPr>
                <w:rFonts w:eastAsia="Times New Roman" w:cs="Times New Roman"/>
                <w:noProof/>
              </w:rPr>
            </w:pPr>
            <w:r>
              <w:rPr>
                <w:noProof/>
              </w:rPr>
              <w:t>2025</w:t>
            </w:r>
          </w:p>
        </w:tc>
        <w:tc>
          <w:tcPr>
            <w:tcW w:w="5901" w:type="dxa"/>
            <w:shd w:val="clear" w:color="auto" w:fill="C6EFCE"/>
            <w:noWrap/>
          </w:tcPr>
          <w:p w14:paraId="077BE66D" w14:textId="77777777" w:rsidR="0065073E" w:rsidRDefault="000A0998">
            <w:pPr>
              <w:pStyle w:val="P68B1DB1-Normal12"/>
              <w:spacing w:after="0" w:line="240" w:lineRule="auto"/>
              <w:rPr>
                <w:rFonts w:eastAsia="Times New Roman" w:cs="Times New Roman"/>
                <w:noProof/>
              </w:rPr>
            </w:pPr>
            <w:r>
              <w:rPr>
                <w:noProof/>
              </w:rPr>
              <w:t>Vähintään 23200 ihmistä on saattanut päätökseen</w:t>
            </w:r>
            <w:r>
              <w:rPr>
                <w:i/>
                <w:noProof/>
              </w:rPr>
              <w:t>Empleo Mujer-, maaseutu- ja kaupunkialueita koskevan suunnitelman sekä sukupuoliväkivallan ja</w:t>
            </w:r>
            <w:r>
              <w:rPr>
                <w:noProof/>
              </w:rPr>
              <w:t>ihmiskaupan uhreja koskevan ohjelman, jossa on mukana 29000 henkilöä. Ohjelmaan sisältyy henkilökohtaista ja integroitua perehdytys-, neuvonta- ja koulutustoimia, jotka on mukautettu osallistuvien naisten työllistettävyyteen. Tarjottava koulutus liittyy työpaikkoihin, joilla on hyvät alueelliset näkymät ja jotka perustuvat niiden maaseudun ja kaupunkien työmarkkinoiden tarpeisiin, joilla ohjelmaa kehitetään, ja sen tavoitteena on hankkia pätevyys, joka parantaa osallistujien työllistettävyyttä ja heidän mahdollisuuksiaan saada ihmisarvoista työtä samalla kun vahvistetaan maaseutualueiden tuottavaa kehitystä, torjutaan sukupuolten välistä kuilua ja lisätään naisten pysyvyyttä alueella. Vähintään 35 prosenttia ohjelmasta keskittyi ilmastoon liittyviin taitoihin ja 35 prosenttia ohjelmasta digitaalisiin taitoihin.</w:t>
            </w:r>
          </w:p>
        </w:tc>
      </w:tr>
      <w:tr w:rsidR="0065073E" w14:paraId="44778968" w14:textId="77777777">
        <w:trPr>
          <w:trHeight w:val="309"/>
        </w:trPr>
        <w:tc>
          <w:tcPr>
            <w:tcW w:w="830" w:type="dxa"/>
            <w:shd w:val="clear" w:color="auto" w:fill="C6EFCE"/>
            <w:noWrap/>
          </w:tcPr>
          <w:p w14:paraId="38DC107F" w14:textId="77777777" w:rsidR="0065073E" w:rsidRDefault="000A0998">
            <w:pPr>
              <w:pStyle w:val="P68B1DB1-Normal12"/>
              <w:spacing w:after="0" w:line="240" w:lineRule="auto"/>
              <w:jc w:val="center"/>
              <w:rPr>
                <w:rFonts w:eastAsia="Times New Roman" w:cs="Times New Roman"/>
                <w:noProof/>
              </w:rPr>
            </w:pPr>
            <w:r>
              <w:rPr>
                <w:noProof/>
              </w:rPr>
              <w:t>344</w:t>
            </w:r>
          </w:p>
        </w:tc>
        <w:tc>
          <w:tcPr>
            <w:tcW w:w="828" w:type="dxa"/>
            <w:shd w:val="clear" w:color="auto" w:fill="C6EFCE"/>
            <w:noWrap/>
          </w:tcPr>
          <w:p w14:paraId="6D719DF8" w14:textId="77777777" w:rsidR="0065073E" w:rsidRDefault="000A0998">
            <w:pPr>
              <w:pStyle w:val="P68B1DB1-Normal12"/>
              <w:spacing w:after="0" w:line="240" w:lineRule="auto"/>
              <w:jc w:val="center"/>
              <w:rPr>
                <w:rFonts w:eastAsia="Times New Roman" w:cs="Times New Roman"/>
                <w:noProof/>
              </w:rPr>
            </w:pPr>
            <w:r>
              <w:rPr>
                <w:noProof/>
              </w:rPr>
              <w:t>C23.I3</w:t>
            </w:r>
          </w:p>
        </w:tc>
        <w:tc>
          <w:tcPr>
            <w:tcW w:w="964" w:type="dxa"/>
            <w:shd w:val="clear" w:color="auto" w:fill="C6EFCE"/>
            <w:noWrap/>
          </w:tcPr>
          <w:p w14:paraId="3AC61806"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5C946B6E" w14:textId="77777777" w:rsidR="0065073E" w:rsidRDefault="000A0998">
            <w:pPr>
              <w:pStyle w:val="P68B1DB1-Normal12"/>
              <w:spacing w:after="0" w:line="240" w:lineRule="auto"/>
              <w:rPr>
                <w:rFonts w:eastAsia="Times New Roman" w:cs="Times New Roman"/>
                <w:noProof/>
              </w:rPr>
            </w:pPr>
            <w:r>
              <w:rPr>
                <w:noProof/>
              </w:rPr>
              <w:t>Henkilöt, jotka ovat suorittaneet koulutusohjelmia digitaalisen, ekologisen ja tuottavan muutoksen edellyttämien taitojen hankkimiseksi</w:t>
            </w:r>
          </w:p>
        </w:tc>
        <w:tc>
          <w:tcPr>
            <w:tcW w:w="1102" w:type="dxa"/>
            <w:shd w:val="clear" w:color="auto" w:fill="C6EFCE"/>
            <w:noWrap/>
          </w:tcPr>
          <w:p w14:paraId="44EA3F37"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6987FC2A"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20E1D9A3"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1366F7CB" w14:textId="77777777" w:rsidR="0065073E" w:rsidRDefault="000A0998">
            <w:pPr>
              <w:pStyle w:val="P68B1DB1-Normal12"/>
              <w:spacing w:after="0" w:line="240" w:lineRule="auto"/>
              <w:jc w:val="right"/>
              <w:rPr>
                <w:rFonts w:eastAsia="Times New Roman" w:cs="Times New Roman"/>
                <w:noProof/>
              </w:rPr>
            </w:pPr>
            <w:r>
              <w:rPr>
                <w:noProof/>
              </w:rPr>
              <w:t>825 000</w:t>
            </w:r>
          </w:p>
        </w:tc>
        <w:tc>
          <w:tcPr>
            <w:tcW w:w="413" w:type="dxa"/>
            <w:shd w:val="clear" w:color="auto" w:fill="C6EFCE"/>
            <w:noWrap/>
          </w:tcPr>
          <w:p w14:paraId="703CD559" w14:textId="77777777" w:rsidR="0065073E" w:rsidRDefault="000A0998">
            <w:pPr>
              <w:pStyle w:val="P68B1DB1-Normal12"/>
              <w:spacing w:after="0" w:line="240" w:lineRule="auto"/>
              <w:jc w:val="right"/>
              <w:rPr>
                <w:rFonts w:eastAsia="Times New Roman" w:cs="Times New Roman"/>
                <w:noProof/>
              </w:rPr>
            </w:pPr>
            <w:r>
              <w:rPr>
                <w:noProof/>
              </w:rPr>
              <w:t>Q4</w:t>
            </w:r>
          </w:p>
        </w:tc>
        <w:tc>
          <w:tcPr>
            <w:tcW w:w="551" w:type="dxa"/>
            <w:shd w:val="clear" w:color="auto" w:fill="C6EFCE"/>
            <w:noWrap/>
          </w:tcPr>
          <w:p w14:paraId="68D1B6C8" w14:textId="77777777" w:rsidR="0065073E" w:rsidRDefault="000A0998">
            <w:pPr>
              <w:pStyle w:val="P68B1DB1-Normal12"/>
              <w:spacing w:after="0" w:line="240" w:lineRule="auto"/>
              <w:jc w:val="right"/>
              <w:rPr>
                <w:rFonts w:eastAsia="Times New Roman" w:cs="Times New Roman"/>
                <w:noProof/>
              </w:rPr>
            </w:pPr>
            <w:r>
              <w:rPr>
                <w:noProof/>
              </w:rPr>
              <w:t>2025</w:t>
            </w:r>
          </w:p>
        </w:tc>
        <w:tc>
          <w:tcPr>
            <w:tcW w:w="5901" w:type="dxa"/>
            <w:shd w:val="clear" w:color="auto" w:fill="C6EFCE"/>
            <w:noWrap/>
          </w:tcPr>
          <w:p w14:paraId="505E15CF" w14:textId="77777777" w:rsidR="0065073E" w:rsidRDefault="000A0998">
            <w:pPr>
              <w:pStyle w:val="P68B1DB1-Normal12"/>
              <w:spacing w:after="0" w:line="240" w:lineRule="auto"/>
              <w:rPr>
                <w:rFonts w:eastAsia="Times New Roman" w:cs="Times New Roman"/>
                <w:noProof/>
              </w:rPr>
            </w:pPr>
            <w:r>
              <w:rPr>
                <w:noProof/>
              </w:rPr>
              <w:t xml:space="preserve">Vähintään 825000 henkilöä on suorittanut koulutusohjelmia digitaalisen, ekologisen ja tuottavan muutoksen edellyttämien taitojen hankkimiseksi, mukaan lukien 975000 henkilöä. Koulutuksessa on keskityttävä matkailualaan, muihin kansallisesti tärkeisiin strategisiin aloihin, ERTE-ohjelman piiriin kuuluviin työntekijöihin ja mikroluottokoulutuksesta hyötyviin työntekijöihin. Vähintään 30 prosenttia ohjelmasta keskittyi ilmastoon liittyviin taitoihin ja 30 prosenttia ohjelmasta digitaalisiin taitoihin. </w:t>
            </w:r>
          </w:p>
        </w:tc>
      </w:tr>
      <w:tr w:rsidR="0065073E" w14:paraId="479BDDB7" w14:textId="77777777">
        <w:trPr>
          <w:trHeight w:val="309"/>
        </w:trPr>
        <w:tc>
          <w:tcPr>
            <w:tcW w:w="830" w:type="dxa"/>
            <w:shd w:val="clear" w:color="auto" w:fill="C6EFCE"/>
            <w:noWrap/>
          </w:tcPr>
          <w:p w14:paraId="6D1BBD65" w14:textId="5EE3A4FC" w:rsidR="0065073E" w:rsidRDefault="000A0998">
            <w:pPr>
              <w:pStyle w:val="P68B1DB1-Normal12"/>
              <w:spacing w:after="0" w:line="240" w:lineRule="auto"/>
              <w:jc w:val="center"/>
              <w:rPr>
                <w:rFonts w:cs="Times New Roman"/>
                <w:noProof/>
              </w:rPr>
            </w:pPr>
            <w:r>
              <w:rPr>
                <w:noProof/>
              </w:rPr>
              <w:t>420</w:t>
            </w:r>
          </w:p>
        </w:tc>
        <w:tc>
          <w:tcPr>
            <w:tcW w:w="828" w:type="dxa"/>
            <w:shd w:val="clear" w:color="auto" w:fill="C6EFCE"/>
            <w:noWrap/>
          </w:tcPr>
          <w:p w14:paraId="5C3DB94F" w14:textId="01E4819B" w:rsidR="0065073E" w:rsidRDefault="000A0998">
            <w:pPr>
              <w:pStyle w:val="P68B1DB1-Normal12"/>
              <w:spacing w:after="0" w:line="240" w:lineRule="auto"/>
              <w:jc w:val="center"/>
              <w:rPr>
                <w:rFonts w:cs="Times New Roman"/>
                <w:noProof/>
              </w:rPr>
            </w:pPr>
            <w:r>
              <w:rPr>
                <w:noProof/>
              </w:rPr>
              <w:t>C23.I3</w:t>
            </w:r>
          </w:p>
        </w:tc>
        <w:tc>
          <w:tcPr>
            <w:tcW w:w="964" w:type="dxa"/>
            <w:shd w:val="clear" w:color="auto" w:fill="C6EFCE"/>
            <w:noWrap/>
          </w:tcPr>
          <w:p w14:paraId="46FB0203" w14:textId="364CB774" w:rsidR="0065073E" w:rsidRDefault="000A0998">
            <w:pPr>
              <w:pStyle w:val="P68B1DB1-Normal12"/>
              <w:spacing w:after="0" w:line="240" w:lineRule="auto"/>
              <w:jc w:val="center"/>
              <w:rPr>
                <w:rFonts w:cs="Times New Roman"/>
                <w:noProof/>
              </w:rPr>
            </w:pPr>
            <w:r>
              <w:rPr>
                <w:noProof/>
              </w:rPr>
              <w:t>T</w:t>
            </w:r>
          </w:p>
        </w:tc>
        <w:tc>
          <w:tcPr>
            <w:tcW w:w="2613" w:type="dxa"/>
            <w:shd w:val="clear" w:color="auto" w:fill="C6EFCE"/>
            <w:noWrap/>
          </w:tcPr>
          <w:p w14:paraId="2688FFAA" w14:textId="3826B410" w:rsidR="0065073E" w:rsidRDefault="000A0998">
            <w:pPr>
              <w:pStyle w:val="P68B1DB1-Normal12"/>
              <w:spacing w:after="0" w:line="240" w:lineRule="auto"/>
              <w:rPr>
                <w:rFonts w:cs="Times New Roman"/>
                <w:noProof/>
              </w:rPr>
            </w:pPr>
            <w:r>
              <w:rPr>
                <w:noProof/>
              </w:rPr>
              <w:t>Osaamistarpeiden havaitseminen tutkimusohjelman avulla</w:t>
            </w:r>
          </w:p>
        </w:tc>
        <w:tc>
          <w:tcPr>
            <w:tcW w:w="1102" w:type="dxa"/>
            <w:shd w:val="clear" w:color="auto" w:fill="C6EFCE"/>
            <w:noWrap/>
          </w:tcPr>
          <w:p w14:paraId="70C4D6AD" w14:textId="3FD688E7" w:rsidR="0065073E" w:rsidRDefault="000A0998">
            <w:pPr>
              <w:pStyle w:val="P68B1DB1-Normal12"/>
              <w:spacing w:after="0" w:line="240" w:lineRule="auto"/>
              <w:jc w:val="center"/>
              <w:rPr>
                <w:rFonts w:cs="Times New Roman"/>
                <w:noProof/>
              </w:rPr>
            </w:pPr>
            <w:r>
              <w:rPr>
                <w:noProof/>
              </w:rPr>
              <w:t>Tutkimusohjelman julkaiseminen</w:t>
            </w:r>
          </w:p>
        </w:tc>
        <w:tc>
          <w:tcPr>
            <w:tcW w:w="827" w:type="dxa"/>
            <w:shd w:val="clear" w:color="auto" w:fill="C6EFCE"/>
            <w:noWrap/>
          </w:tcPr>
          <w:p w14:paraId="4A6C9459" w14:textId="09CBB1E2" w:rsidR="0065073E" w:rsidRDefault="000A0998">
            <w:pPr>
              <w:pStyle w:val="P68B1DB1-Normal12"/>
              <w:spacing w:after="0" w:line="240" w:lineRule="auto"/>
              <w:jc w:val="center"/>
              <w:rPr>
                <w:rFonts w:cs="Times New Roman"/>
                <w:noProof/>
              </w:rPr>
            </w:pPr>
            <w:r>
              <w:rPr>
                <w:noProof/>
              </w:rPr>
              <w:t>Määrä</w:t>
            </w:r>
          </w:p>
        </w:tc>
        <w:tc>
          <w:tcPr>
            <w:tcW w:w="992" w:type="dxa"/>
            <w:shd w:val="clear" w:color="auto" w:fill="C6EFCE"/>
            <w:noWrap/>
          </w:tcPr>
          <w:p w14:paraId="4283EA95" w14:textId="6673D62F" w:rsidR="0065073E" w:rsidRDefault="000A0998">
            <w:pPr>
              <w:pStyle w:val="P68B1DB1-Normal12"/>
              <w:spacing w:after="0" w:line="240" w:lineRule="auto"/>
              <w:jc w:val="right"/>
              <w:rPr>
                <w:rFonts w:cs="Times New Roman"/>
                <w:noProof/>
              </w:rPr>
            </w:pPr>
            <w:r>
              <w:rPr>
                <w:noProof/>
              </w:rPr>
              <w:t>0</w:t>
            </w:r>
          </w:p>
        </w:tc>
        <w:tc>
          <w:tcPr>
            <w:tcW w:w="689" w:type="dxa"/>
            <w:shd w:val="clear" w:color="auto" w:fill="C6EFCE"/>
            <w:noWrap/>
          </w:tcPr>
          <w:p w14:paraId="59CB1E35" w14:textId="04ECB3ED" w:rsidR="0065073E" w:rsidRDefault="000A0998">
            <w:pPr>
              <w:pStyle w:val="P68B1DB1-Normal12"/>
              <w:spacing w:after="0" w:line="240" w:lineRule="auto"/>
              <w:jc w:val="right"/>
              <w:rPr>
                <w:rFonts w:cs="Times New Roman"/>
                <w:noProof/>
              </w:rPr>
            </w:pPr>
            <w:r>
              <w:rPr>
                <w:noProof/>
              </w:rPr>
              <w:t>23</w:t>
            </w:r>
          </w:p>
        </w:tc>
        <w:tc>
          <w:tcPr>
            <w:tcW w:w="413" w:type="dxa"/>
            <w:shd w:val="clear" w:color="auto" w:fill="C6EFCE"/>
            <w:noWrap/>
          </w:tcPr>
          <w:p w14:paraId="6052CD6A" w14:textId="07BF3F54" w:rsidR="0065073E" w:rsidRDefault="000A0998">
            <w:pPr>
              <w:pStyle w:val="P68B1DB1-Normal12"/>
              <w:spacing w:after="0" w:line="240" w:lineRule="auto"/>
              <w:jc w:val="right"/>
              <w:rPr>
                <w:rFonts w:cs="Times New Roman"/>
                <w:noProof/>
              </w:rPr>
            </w:pPr>
            <w:r>
              <w:rPr>
                <w:noProof/>
              </w:rPr>
              <w:t>Q4</w:t>
            </w:r>
          </w:p>
        </w:tc>
        <w:tc>
          <w:tcPr>
            <w:tcW w:w="551" w:type="dxa"/>
            <w:shd w:val="clear" w:color="auto" w:fill="C6EFCE"/>
            <w:noWrap/>
          </w:tcPr>
          <w:p w14:paraId="639F4681" w14:textId="4EED1DC8" w:rsidR="0065073E" w:rsidRDefault="000A0998">
            <w:pPr>
              <w:pStyle w:val="P68B1DB1-Normal12"/>
              <w:spacing w:after="0" w:line="240" w:lineRule="auto"/>
              <w:jc w:val="right"/>
              <w:rPr>
                <w:rFonts w:cs="Times New Roman"/>
                <w:noProof/>
              </w:rPr>
            </w:pPr>
            <w:r>
              <w:rPr>
                <w:noProof/>
              </w:rPr>
              <w:t>2025</w:t>
            </w:r>
          </w:p>
        </w:tc>
        <w:tc>
          <w:tcPr>
            <w:tcW w:w="5901" w:type="dxa"/>
            <w:shd w:val="clear" w:color="auto" w:fill="C6EFCE"/>
            <w:noWrap/>
          </w:tcPr>
          <w:p w14:paraId="7060AB63" w14:textId="799C5832" w:rsidR="0065073E" w:rsidRDefault="000A0998">
            <w:pPr>
              <w:pStyle w:val="P68B1DB1-Normal12"/>
              <w:spacing w:after="0" w:line="240" w:lineRule="auto"/>
              <w:rPr>
                <w:rFonts w:cs="Times New Roman"/>
                <w:noProof/>
              </w:rPr>
            </w:pPr>
            <w:r>
              <w:rPr>
                <w:noProof/>
              </w:rPr>
              <w:t xml:space="preserve">Sellaisen tutkimusohjelman loppuun saattaminen osaamistarpeiden havaitsemiseksi vähintään 23 tuotantosektorilla tehdyn kyselyn perusteella, jolla vastataan tehokkaasti työmarkkinoiden koulutus- ja uudelleenkoulutustarpeisiin, mukaan lukien digitaaliseen siirtymään ja vihreään siirtymään liittyvät taidot. Siinä on myös ennakoitava muutoksia ja vastattava ammattitaitoisen työvoiman mahdolliseen kysyntään kehittämällä koulutuksen erikoisaloja.  </w:t>
            </w:r>
          </w:p>
        </w:tc>
      </w:tr>
      <w:tr w:rsidR="0065073E" w14:paraId="73F4A48B" w14:textId="77777777">
        <w:trPr>
          <w:trHeight w:val="309"/>
        </w:trPr>
        <w:tc>
          <w:tcPr>
            <w:tcW w:w="830" w:type="dxa"/>
            <w:shd w:val="clear" w:color="auto" w:fill="C6EFCE"/>
            <w:noWrap/>
          </w:tcPr>
          <w:p w14:paraId="38DF2124" w14:textId="77777777" w:rsidR="0065073E" w:rsidRDefault="000A0998">
            <w:pPr>
              <w:pStyle w:val="P68B1DB1-Normal12"/>
              <w:spacing w:after="0" w:line="240" w:lineRule="auto"/>
              <w:jc w:val="center"/>
              <w:rPr>
                <w:rFonts w:eastAsia="Times New Roman" w:cs="Times New Roman"/>
                <w:noProof/>
              </w:rPr>
            </w:pPr>
            <w:r>
              <w:rPr>
                <w:noProof/>
              </w:rPr>
              <w:t>345</w:t>
            </w:r>
          </w:p>
        </w:tc>
        <w:tc>
          <w:tcPr>
            <w:tcW w:w="828" w:type="dxa"/>
            <w:shd w:val="clear" w:color="auto" w:fill="C6EFCE"/>
            <w:noWrap/>
          </w:tcPr>
          <w:p w14:paraId="63072B0E" w14:textId="77777777" w:rsidR="0065073E" w:rsidRDefault="000A0998">
            <w:pPr>
              <w:pStyle w:val="P68B1DB1-Normal12"/>
              <w:spacing w:after="0" w:line="240" w:lineRule="auto"/>
              <w:jc w:val="center"/>
              <w:rPr>
                <w:rFonts w:eastAsia="Times New Roman" w:cs="Times New Roman"/>
                <w:noProof/>
              </w:rPr>
            </w:pPr>
            <w:r>
              <w:rPr>
                <w:noProof/>
              </w:rPr>
              <w:t>C23.I4</w:t>
            </w:r>
          </w:p>
        </w:tc>
        <w:tc>
          <w:tcPr>
            <w:tcW w:w="964" w:type="dxa"/>
            <w:shd w:val="clear" w:color="auto" w:fill="C6EFCE"/>
            <w:noWrap/>
          </w:tcPr>
          <w:p w14:paraId="250BB525"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4D3105FC" w14:textId="77777777" w:rsidR="0065073E" w:rsidRDefault="000A0998">
            <w:pPr>
              <w:pStyle w:val="P68B1DB1-Normal12"/>
              <w:spacing w:after="0" w:line="240" w:lineRule="auto"/>
              <w:rPr>
                <w:rFonts w:eastAsia="Times New Roman" w:cs="Times New Roman"/>
                <w:noProof/>
              </w:rPr>
            </w:pPr>
            <w:r>
              <w:rPr>
                <w:noProof/>
              </w:rPr>
              <w:t xml:space="preserve">Haavoittuville ryhmille, yrittäjyydelle ja mikroyrityksille suunnattuihin alueellisiin hankkeisiin myönnettävän rahoituksen hyväksyminen. </w:t>
            </w:r>
          </w:p>
        </w:tc>
        <w:tc>
          <w:tcPr>
            <w:tcW w:w="1102" w:type="dxa"/>
            <w:shd w:val="clear" w:color="auto" w:fill="C6EFCE"/>
            <w:noWrap/>
          </w:tcPr>
          <w:p w14:paraId="6CBF8191" w14:textId="77777777" w:rsidR="0065073E" w:rsidRDefault="000A0998">
            <w:pPr>
              <w:pStyle w:val="P68B1DB1-Normal12"/>
              <w:spacing w:after="0" w:line="240" w:lineRule="auto"/>
              <w:jc w:val="center"/>
              <w:rPr>
                <w:rFonts w:eastAsia="Times New Roman" w:cs="Times New Roman"/>
                <w:noProof/>
              </w:rPr>
            </w:pPr>
            <w:r>
              <w:rPr>
                <w:noProof/>
              </w:rPr>
              <w:t xml:space="preserve">Alakohtaisen työllisyyskonferenssin viitepöytäkirja </w:t>
            </w:r>
          </w:p>
        </w:tc>
        <w:tc>
          <w:tcPr>
            <w:tcW w:w="827" w:type="dxa"/>
            <w:shd w:val="clear" w:color="auto" w:fill="C6EFCE"/>
            <w:noWrap/>
          </w:tcPr>
          <w:p w14:paraId="09DA7C88"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DE833C4"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16AF2E"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314B74C4" w14:textId="77777777" w:rsidR="0065073E" w:rsidRDefault="000A0998">
            <w:pPr>
              <w:pStyle w:val="P68B1DB1-Normal12"/>
              <w:spacing w:after="0" w:line="240" w:lineRule="auto"/>
              <w:jc w:val="right"/>
              <w:rPr>
                <w:rFonts w:eastAsia="Times New Roman" w:cs="Times New Roman"/>
                <w:noProof/>
              </w:rPr>
            </w:pPr>
            <w:r>
              <w:rPr>
                <w:noProof/>
              </w:rPr>
              <w:t>Q3</w:t>
            </w:r>
          </w:p>
        </w:tc>
        <w:tc>
          <w:tcPr>
            <w:tcW w:w="551" w:type="dxa"/>
            <w:shd w:val="clear" w:color="auto" w:fill="C6EFCE"/>
            <w:noWrap/>
          </w:tcPr>
          <w:p w14:paraId="36CB6330" w14:textId="77777777" w:rsidR="0065073E" w:rsidRDefault="000A0998">
            <w:pPr>
              <w:pStyle w:val="P68B1DB1-Normal12"/>
              <w:spacing w:after="0" w:line="240" w:lineRule="auto"/>
              <w:jc w:val="right"/>
              <w:rPr>
                <w:rFonts w:eastAsia="Times New Roman" w:cs="Times New Roman"/>
                <w:noProof/>
              </w:rPr>
            </w:pPr>
            <w:r>
              <w:rPr>
                <w:noProof/>
              </w:rPr>
              <w:t>2021</w:t>
            </w:r>
          </w:p>
        </w:tc>
        <w:tc>
          <w:tcPr>
            <w:tcW w:w="5901" w:type="dxa"/>
            <w:shd w:val="clear" w:color="auto" w:fill="C6EFCE"/>
            <w:noWrap/>
          </w:tcPr>
          <w:p w14:paraId="33A8F610" w14:textId="77777777" w:rsidR="0065073E" w:rsidRDefault="000A0998">
            <w:pPr>
              <w:pStyle w:val="P68B1DB1-Normal12"/>
              <w:spacing w:after="0" w:line="240" w:lineRule="auto"/>
              <w:rPr>
                <w:rFonts w:eastAsia="Times New Roman" w:cs="Times New Roman"/>
                <w:noProof/>
              </w:rPr>
            </w:pPr>
            <w:r>
              <w:rPr>
                <w:noProof/>
              </w:rPr>
              <w:t xml:space="preserve">Alakohtaisessa työllisyyskonferenssissa hyväksytään varojen alueellinen kohdentaminen heikossa asemassa olevien ryhmien alueellisiin hankkeisiin sekä yrittäjyyttä ja mikroyrityksiä koskeviin alueellisiin hankkeisiin, kuten yrittäjyyttä edistävien hankkeiden kehittämiseen, paikallisiin kehittämisaloitteisiin, yhteisötalouden aloitteisiin ja uusiin alueellisiin hankkeisiin, joilla helpotetaan tuotannon muuttamista erityisesti kohti vihreää ja digitaalista taloutta. </w:t>
            </w:r>
          </w:p>
        </w:tc>
      </w:tr>
      <w:tr w:rsidR="0065073E" w14:paraId="5B2EEC32" w14:textId="77777777">
        <w:trPr>
          <w:trHeight w:val="309"/>
        </w:trPr>
        <w:tc>
          <w:tcPr>
            <w:tcW w:w="830" w:type="dxa"/>
            <w:shd w:val="clear" w:color="auto" w:fill="C6EFCE"/>
            <w:noWrap/>
          </w:tcPr>
          <w:p w14:paraId="0B595572" w14:textId="77777777" w:rsidR="0065073E" w:rsidRDefault="000A0998">
            <w:pPr>
              <w:pStyle w:val="P68B1DB1-Normal12"/>
              <w:spacing w:after="0" w:line="240" w:lineRule="auto"/>
              <w:jc w:val="center"/>
              <w:rPr>
                <w:rFonts w:eastAsia="Times New Roman" w:cs="Times New Roman"/>
                <w:noProof/>
              </w:rPr>
            </w:pPr>
            <w:r>
              <w:rPr>
                <w:noProof/>
              </w:rPr>
              <w:t>346</w:t>
            </w:r>
          </w:p>
        </w:tc>
        <w:tc>
          <w:tcPr>
            <w:tcW w:w="828" w:type="dxa"/>
            <w:shd w:val="clear" w:color="auto" w:fill="C6EFCE"/>
            <w:noWrap/>
          </w:tcPr>
          <w:p w14:paraId="7D2FAE15" w14:textId="77777777" w:rsidR="0065073E" w:rsidRDefault="000A0998">
            <w:pPr>
              <w:pStyle w:val="P68B1DB1-Normal12"/>
              <w:spacing w:after="0" w:line="240" w:lineRule="auto"/>
              <w:jc w:val="center"/>
              <w:rPr>
                <w:rFonts w:eastAsia="Times New Roman" w:cs="Times New Roman"/>
                <w:noProof/>
              </w:rPr>
            </w:pPr>
            <w:r>
              <w:rPr>
                <w:noProof/>
              </w:rPr>
              <w:t>C23.I4</w:t>
            </w:r>
          </w:p>
        </w:tc>
        <w:tc>
          <w:tcPr>
            <w:tcW w:w="964" w:type="dxa"/>
            <w:shd w:val="clear" w:color="auto" w:fill="C6EFCE"/>
            <w:noWrap/>
          </w:tcPr>
          <w:p w14:paraId="29365A42"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25316EEB" w14:textId="77777777" w:rsidR="0065073E" w:rsidRDefault="000A0998">
            <w:pPr>
              <w:pStyle w:val="P68B1DB1-Normal12"/>
              <w:spacing w:after="0" w:line="240" w:lineRule="auto"/>
              <w:rPr>
                <w:rFonts w:eastAsia="Times New Roman" w:cs="Times New Roman"/>
                <w:noProof/>
              </w:rPr>
            </w:pPr>
            <w:r>
              <w:rPr>
                <w:noProof/>
              </w:rPr>
              <w:t>Heikossa asemassa oleville ryhmille, yrittäjyydelle ja mikroyrityksille suunnattuja alueellisia hankkeita on saatu päätökseen. Niissä on mukana vähintään 39000 työntekijää ja 64000 yritystä.</w:t>
            </w:r>
          </w:p>
        </w:tc>
        <w:tc>
          <w:tcPr>
            <w:tcW w:w="1102" w:type="dxa"/>
            <w:shd w:val="clear" w:color="auto" w:fill="C6EFCE"/>
            <w:noWrap/>
          </w:tcPr>
          <w:p w14:paraId="7478F826"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5FD4AE48"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7D2EF052"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0CC676C6" w14:textId="77777777" w:rsidR="0065073E" w:rsidRDefault="000A0998">
            <w:pPr>
              <w:pStyle w:val="P68B1DB1-Normal12"/>
              <w:spacing w:after="0" w:line="240" w:lineRule="auto"/>
              <w:jc w:val="right"/>
              <w:rPr>
                <w:rFonts w:eastAsia="Times New Roman" w:cs="Times New Roman"/>
                <w:noProof/>
              </w:rPr>
            </w:pPr>
            <w:r>
              <w:rPr>
                <w:noProof/>
              </w:rPr>
              <w:t>68</w:t>
            </w:r>
          </w:p>
        </w:tc>
        <w:tc>
          <w:tcPr>
            <w:tcW w:w="413" w:type="dxa"/>
            <w:shd w:val="clear" w:color="auto" w:fill="C6EFCE"/>
            <w:noWrap/>
          </w:tcPr>
          <w:p w14:paraId="34C73C82" w14:textId="77777777" w:rsidR="0065073E" w:rsidRDefault="000A0998">
            <w:pPr>
              <w:pStyle w:val="P68B1DB1-Normal12"/>
              <w:spacing w:after="0" w:line="240" w:lineRule="auto"/>
              <w:jc w:val="right"/>
              <w:rPr>
                <w:rFonts w:eastAsia="Times New Roman" w:cs="Times New Roman"/>
                <w:noProof/>
              </w:rPr>
            </w:pPr>
            <w:r>
              <w:rPr>
                <w:noProof/>
              </w:rPr>
              <w:t>Q4</w:t>
            </w:r>
          </w:p>
        </w:tc>
        <w:tc>
          <w:tcPr>
            <w:tcW w:w="551" w:type="dxa"/>
            <w:shd w:val="clear" w:color="auto" w:fill="C6EFCE"/>
            <w:noWrap/>
          </w:tcPr>
          <w:p w14:paraId="5A691201" w14:textId="77777777" w:rsidR="0065073E" w:rsidRDefault="000A0998">
            <w:pPr>
              <w:pStyle w:val="P68B1DB1-Normal12"/>
              <w:spacing w:after="0" w:line="240" w:lineRule="auto"/>
              <w:jc w:val="right"/>
              <w:rPr>
                <w:rFonts w:eastAsia="Times New Roman" w:cs="Times New Roman"/>
                <w:noProof/>
              </w:rPr>
            </w:pPr>
            <w:r>
              <w:rPr>
                <w:noProof/>
              </w:rPr>
              <w:t>2023</w:t>
            </w:r>
          </w:p>
        </w:tc>
        <w:tc>
          <w:tcPr>
            <w:tcW w:w="5901" w:type="dxa"/>
            <w:shd w:val="clear" w:color="auto" w:fill="C6EFCE"/>
            <w:noWrap/>
          </w:tcPr>
          <w:p w14:paraId="0BE494D8"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Vähintään 68 alueellista hanketta heikossa asemassa oleville ryhmille sekä yrittäjyyttä ja mikroyrityksiä koskevaa alueellista hanketta on saatu päätökseen. Niissä on mukana noin 39000 työntekijää ja 64000 yritystä.</w:t>
            </w:r>
            <w:r>
              <w:rPr>
                <w:noProof/>
              </w:rPr>
              <w:t xml:space="preserve"> </w:t>
            </w:r>
            <w:r>
              <w:rPr>
                <w:noProof/>
              </w:rPr>
              <w:br/>
            </w:r>
            <w:r>
              <w:rPr>
                <w:rFonts w:ascii="Times New Roman" w:hAnsi="Times New Roman"/>
                <w:noProof/>
                <w:sz w:val="18"/>
              </w:rPr>
              <w:t>Heikossa asemassa olevia ryhmiä koskevia alueellisia hankkeita kehitetään yksilöllisten ja yksilöllisten reittien avulla, joihin integroidaan erilaisia toimia, kuten ohjaus ja avustaminen, perehdyttämisohjelmat, työnhakuryhmien hoito, koulutus- ja sovitteluapurahat, työhönotto ja toimien seuranta.</w:t>
            </w:r>
            <w:r>
              <w:rPr>
                <w:noProof/>
              </w:rPr>
              <w:t xml:space="preserve"> </w:t>
            </w:r>
            <w:r>
              <w:rPr>
                <w:noProof/>
              </w:rPr>
              <w:br/>
            </w:r>
            <w:r>
              <w:rPr>
                <w:rFonts w:ascii="Times New Roman" w:hAnsi="Times New Roman"/>
                <w:noProof/>
                <w:sz w:val="18"/>
              </w:rPr>
              <w:t>Yrittäjyys- ja mikroyrityshankkeissa on käsiteltävä demografista haastetta ja helpotettava tuotannollista muutosta, erityisesti vihreään ja digitaaliseen talouteen, muun muassa maatalouskoulutushankkeiden, kestävän paikallisen kehityksen, kulttuuri- ja taidetoimintaa koskevien yhteisötalouden aloitteiden, ekologisen siirtymän, paikallisten kehittämisaloitteiden, maaseutumatkailun ja taiteellisen perinnön avulla. Näihin hankkeisiin kuuluvat muun muassa seuraavat toimet: yhteiskunnallinen yrittäjyys ja freelancerit, työmarkkinatutkimukset, paikalliset edistämis- ja kehittämistoimijat, osuuskuntien tai mikroyritysten perustamisen tukeminen, verkostoituminen, osallistuminen konferensseihin ja tiedotustoimet.</w:t>
            </w:r>
          </w:p>
        </w:tc>
      </w:tr>
      <w:tr w:rsidR="0065073E" w14:paraId="5EE38AFB" w14:textId="77777777">
        <w:trPr>
          <w:trHeight w:val="309"/>
        </w:trPr>
        <w:tc>
          <w:tcPr>
            <w:tcW w:w="830" w:type="dxa"/>
            <w:shd w:val="clear" w:color="auto" w:fill="C6EFCE"/>
            <w:noWrap/>
          </w:tcPr>
          <w:p w14:paraId="3228302D" w14:textId="77777777" w:rsidR="0065073E" w:rsidRDefault="000A0998">
            <w:pPr>
              <w:pStyle w:val="P68B1DB1-Normal12"/>
              <w:spacing w:after="0" w:line="240" w:lineRule="auto"/>
              <w:jc w:val="center"/>
              <w:rPr>
                <w:rFonts w:eastAsia="Times New Roman" w:cs="Times New Roman"/>
                <w:noProof/>
              </w:rPr>
            </w:pPr>
            <w:r>
              <w:rPr>
                <w:noProof/>
              </w:rPr>
              <w:t>347</w:t>
            </w:r>
          </w:p>
        </w:tc>
        <w:tc>
          <w:tcPr>
            <w:tcW w:w="828" w:type="dxa"/>
            <w:shd w:val="clear" w:color="auto" w:fill="C6EFCE"/>
            <w:noWrap/>
          </w:tcPr>
          <w:p w14:paraId="4ACD0B69" w14:textId="77777777" w:rsidR="0065073E" w:rsidRDefault="000A0998">
            <w:pPr>
              <w:pStyle w:val="P68B1DB1-Normal12"/>
              <w:spacing w:after="0" w:line="240" w:lineRule="auto"/>
              <w:jc w:val="center"/>
              <w:rPr>
                <w:rFonts w:eastAsia="Times New Roman" w:cs="Times New Roman"/>
                <w:noProof/>
              </w:rPr>
            </w:pPr>
            <w:r>
              <w:rPr>
                <w:noProof/>
              </w:rPr>
              <w:t>C23.I5</w:t>
            </w:r>
          </w:p>
        </w:tc>
        <w:tc>
          <w:tcPr>
            <w:tcW w:w="964" w:type="dxa"/>
            <w:shd w:val="clear" w:color="auto" w:fill="C6EFCE"/>
            <w:noWrap/>
          </w:tcPr>
          <w:p w14:paraId="373B858D"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017F33DD" w14:textId="77777777" w:rsidR="0065073E" w:rsidRDefault="000A0998">
            <w:pPr>
              <w:pStyle w:val="P68B1DB1-Normal12"/>
              <w:spacing w:after="0" w:line="240" w:lineRule="auto"/>
              <w:rPr>
                <w:rFonts w:eastAsia="Times New Roman" w:cs="Times New Roman"/>
                <w:noProof/>
              </w:rPr>
            </w:pPr>
            <w:r>
              <w:rPr>
                <w:noProof/>
              </w:rPr>
              <w:t>Julkiset neuvonta-, yrittäjyys-, tuki- ja innovointikeskukset uusia työpaikkoja varten ovat täysin toimintakykyisiä.</w:t>
            </w:r>
          </w:p>
        </w:tc>
        <w:tc>
          <w:tcPr>
            <w:tcW w:w="1102" w:type="dxa"/>
            <w:shd w:val="clear" w:color="auto" w:fill="C6EFCE"/>
            <w:noWrap/>
          </w:tcPr>
          <w:p w14:paraId="07F55D43"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6B077AC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18FD11EC"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3FA557D6" w14:textId="77777777" w:rsidR="0065073E" w:rsidRDefault="000A0998">
            <w:pPr>
              <w:pStyle w:val="P68B1DB1-Normal12"/>
              <w:spacing w:after="0" w:line="240" w:lineRule="auto"/>
              <w:jc w:val="center"/>
              <w:rPr>
                <w:rFonts w:eastAsia="Times New Roman" w:cs="Times New Roman"/>
                <w:noProof/>
              </w:rPr>
            </w:pPr>
            <w:r>
              <w:rPr>
                <w:noProof/>
              </w:rPr>
              <w:t>20</w:t>
            </w:r>
          </w:p>
        </w:tc>
        <w:tc>
          <w:tcPr>
            <w:tcW w:w="413" w:type="dxa"/>
            <w:shd w:val="clear" w:color="auto" w:fill="C6EFCE"/>
            <w:noWrap/>
          </w:tcPr>
          <w:p w14:paraId="4527830F"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17DBB9E2" w14:textId="20AFC6D9" w:rsidR="0065073E" w:rsidRDefault="000A0998">
            <w:pPr>
              <w:pStyle w:val="P68B1DB1-Normal12"/>
              <w:spacing w:after="0" w:line="240" w:lineRule="auto"/>
              <w:jc w:val="center"/>
              <w:rPr>
                <w:rFonts w:eastAsia="Times New Roman" w:cs="Times New Roman"/>
                <w:noProof/>
              </w:rPr>
            </w:pPr>
            <w:r>
              <w:rPr>
                <w:noProof/>
              </w:rPr>
              <w:t>2024</w:t>
            </w:r>
          </w:p>
        </w:tc>
        <w:tc>
          <w:tcPr>
            <w:tcW w:w="5901" w:type="dxa"/>
            <w:shd w:val="clear" w:color="auto" w:fill="C6EFCE"/>
            <w:noWrap/>
          </w:tcPr>
          <w:p w14:paraId="6376C800" w14:textId="77777777" w:rsidR="0065073E" w:rsidRDefault="000A0998">
            <w:pPr>
              <w:pStyle w:val="P68B1DB1-Normal12"/>
              <w:spacing w:after="0" w:line="240" w:lineRule="auto"/>
              <w:rPr>
                <w:rFonts w:eastAsia="Times New Roman" w:cs="Times New Roman"/>
                <w:noProof/>
              </w:rPr>
            </w:pPr>
            <w:r>
              <w:rPr>
                <w:noProof/>
              </w:rPr>
              <w:t>Vähintään 20 julkista neuvonta-, yrittäjyys-, tuki- ja innovointikeskusta uusia työpaikkoja varten on täysin toiminnassa.</w:t>
            </w:r>
          </w:p>
        </w:tc>
      </w:tr>
      <w:tr w:rsidR="0065073E" w14:paraId="47C2CB73" w14:textId="77777777">
        <w:trPr>
          <w:trHeight w:val="309"/>
        </w:trPr>
        <w:tc>
          <w:tcPr>
            <w:tcW w:w="830" w:type="dxa"/>
            <w:shd w:val="clear" w:color="auto" w:fill="C6EFCE"/>
            <w:noWrap/>
          </w:tcPr>
          <w:p w14:paraId="5A579700" w14:textId="77777777" w:rsidR="0065073E" w:rsidRDefault="000A0998">
            <w:pPr>
              <w:pStyle w:val="P68B1DB1-Normal12"/>
              <w:spacing w:after="0" w:line="240" w:lineRule="auto"/>
              <w:jc w:val="center"/>
              <w:rPr>
                <w:rFonts w:eastAsia="Times New Roman" w:cs="Times New Roman"/>
                <w:noProof/>
              </w:rPr>
            </w:pPr>
            <w:r>
              <w:rPr>
                <w:noProof/>
              </w:rPr>
              <w:t>348</w:t>
            </w:r>
          </w:p>
        </w:tc>
        <w:tc>
          <w:tcPr>
            <w:tcW w:w="828" w:type="dxa"/>
            <w:shd w:val="clear" w:color="auto" w:fill="C6EFCE"/>
            <w:noWrap/>
          </w:tcPr>
          <w:p w14:paraId="6D48B057" w14:textId="77777777" w:rsidR="0065073E" w:rsidRDefault="000A0998">
            <w:pPr>
              <w:pStyle w:val="P68B1DB1-Normal12"/>
              <w:spacing w:after="0" w:line="240" w:lineRule="auto"/>
              <w:jc w:val="center"/>
              <w:rPr>
                <w:rFonts w:eastAsia="Times New Roman" w:cs="Times New Roman"/>
                <w:noProof/>
              </w:rPr>
            </w:pPr>
            <w:r>
              <w:rPr>
                <w:noProof/>
              </w:rPr>
              <w:t>C23.I5</w:t>
            </w:r>
          </w:p>
        </w:tc>
        <w:tc>
          <w:tcPr>
            <w:tcW w:w="964" w:type="dxa"/>
            <w:shd w:val="clear" w:color="auto" w:fill="C6EFCE"/>
            <w:noWrap/>
          </w:tcPr>
          <w:p w14:paraId="18A1F58A"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18557365" w14:textId="77777777" w:rsidR="0065073E" w:rsidRDefault="000A0998">
            <w:pPr>
              <w:pStyle w:val="P68B1DB1-Normal12"/>
              <w:spacing w:after="0" w:line="240" w:lineRule="auto"/>
              <w:rPr>
                <w:rFonts w:eastAsia="Times New Roman" w:cs="Times New Roman"/>
                <w:noProof/>
              </w:rPr>
            </w:pPr>
            <w:r>
              <w:rPr>
                <w:noProof/>
              </w:rPr>
              <w:t>Julkisten työvoimapalvelujen henkilöstön koulutustoimet</w:t>
            </w:r>
          </w:p>
        </w:tc>
        <w:tc>
          <w:tcPr>
            <w:tcW w:w="1102" w:type="dxa"/>
            <w:shd w:val="clear" w:color="auto" w:fill="C6EFCE"/>
            <w:noWrap/>
          </w:tcPr>
          <w:p w14:paraId="2138AF60"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827" w:type="dxa"/>
            <w:shd w:val="clear" w:color="auto" w:fill="C6EFCE"/>
            <w:noWrap/>
          </w:tcPr>
          <w:p w14:paraId="16ACCCDF"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7E3C3610"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66F306B6" w14:textId="77777777" w:rsidR="0065073E" w:rsidRDefault="000A0998">
            <w:pPr>
              <w:pStyle w:val="P68B1DB1-Normal12"/>
              <w:spacing w:after="0" w:line="240" w:lineRule="auto"/>
              <w:jc w:val="center"/>
              <w:rPr>
                <w:rFonts w:eastAsia="Times New Roman" w:cs="Times New Roman"/>
                <w:noProof/>
              </w:rPr>
            </w:pPr>
            <w:r>
              <w:rPr>
                <w:noProof/>
              </w:rPr>
              <w:t>42 000</w:t>
            </w:r>
          </w:p>
        </w:tc>
        <w:tc>
          <w:tcPr>
            <w:tcW w:w="413" w:type="dxa"/>
            <w:shd w:val="clear" w:color="auto" w:fill="C6EFCE"/>
            <w:noWrap/>
          </w:tcPr>
          <w:p w14:paraId="14555A8C" w14:textId="77777777" w:rsidR="0065073E" w:rsidRDefault="000A0998">
            <w:pPr>
              <w:pStyle w:val="P68B1DB1-Normal12"/>
              <w:spacing w:after="0" w:line="240" w:lineRule="auto"/>
              <w:jc w:val="center"/>
              <w:rPr>
                <w:rFonts w:eastAsia="Times New Roman" w:cs="Times New Roman"/>
                <w:noProof/>
              </w:rPr>
            </w:pPr>
            <w:r>
              <w:rPr>
                <w:noProof/>
              </w:rPr>
              <w:t>Q4</w:t>
            </w:r>
          </w:p>
        </w:tc>
        <w:tc>
          <w:tcPr>
            <w:tcW w:w="551" w:type="dxa"/>
            <w:shd w:val="clear" w:color="auto" w:fill="C6EFCE"/>
            <w:noWrap/>
          </w:tcPr>
          <w:p w14:paraId="297F6BF3" w14:textId="77777777" w:rsidR="0065073E" w:rsidRDefault="000A0998">
            <w:pPr>
              <w:pStyle w:val="P68B1DB1-Normal12"/>
              <w:spacing w:after="0" w:line="240" w:lineRule="auto"/>
              <w:jc w:val="center"/>
              <w:rPr>
                <w:rFonts w:eastAsia="Times New Roman" w:cs="Times New Roman"/>
                <w:noProof/>
              </w:rPr>
            </w:pPr>
            <w:r>
              <w:rPr>
                <w:noProof/>
              </w:rPr>
              <w:t>2023</w:t>
            </w:r>
          </w:p>
        </w:tc>
        <w:tc>
          <w:tcPr>
            <w:tcW w:w="5901" w:type="dxa"/>
            <w:shd w:val="clear" w:color="auto" w:fill="C6EFCE"/>
            <w:noWrap/>
          </w:tcPr>
          <w:p w14:paraId="185D20DF" w14:textId="77777777" w:rsidR="0065073E" w:rsidRDefault="000A0998">
            <w:pPr>
              <w:pStyle w:val="P68B1DB1-Normal12"/>
              <w:spacing w:after="0" w:line="240" w:lineRule="auto"/>
              <w:rPr>
                <w:rFonts w:eastAsia="Times New Roman" w:cs="Times New Roman"/>
                <w:noProof/>
              </w:rPr>
            </w:pPr>
            <w:r>
              <w:rPr>
                <w:noProof/>
              </w:rPr>
              <w:t>Julkisten työvoimapalvelujen henkilöstölle on järjestetty vähintään 42000 koulutustoimea, joiden tarkoituksena on parantaa heidän taitojaan ja tarjota tehokkaampaa tukea työnhakijoille.</w:t>
            </w:r>
          </w:p>
        </w:tc>
      </w:tr>
      <w:tr w:rsidR="0065073E" w14:paraId="66A83C43" w14:textId="77777777">
        <w:trPr>
          <w:trHeight w:val="309"/>
        </w:trPr>
        <w:tc>
          <w:tcPr>
            <w:tcW w:w="830" w:type="dxa"/>
            <w:shd w:val="clear" w:color="auto" w:fill="C6EFCE"/>
            <w:noWrap/>
          </w:tcPr>
          <w:p w14:paraId="1703DCB6" w14:textId="77777777" w:rsidR="0065073E" w:rsidRDefault="000A0998">
            <w:pPr>
              <w:pStyle w:val="P68B1DB1-Normal12"/>
              <w:spacing w:after="0" w:line="240" w:lineRule="auto"/>
              <w:jc w:val="center"/>
              <w:rPr>
                <w:rFonts w:eastAsia="Times New Roman" w:cs="Times New Roman"/>
                <w:noProof/>
              </w:rPr>
            </w:pPr>
            <w:r>
              <w:rPr>
                <w:noProof/>
              </w:rPr>
              <w:t>349</w:t>
            </w:r>
          </w:p>
        </w:tc>
        <w:tc>
          <w:tcPr>
            <w:tcW w:w="828" w:type="dxa"/>
            <w:shd w:val="clear" w:color="auto" w:fill="C6EFCE"/>
            <w:noWrap/>
          </w:tcPr>
          <w:p w14:paraId="0A36F51B" w14:textId="77777777" w:rsidR="0065073E" w:rsidRDefault="000A0998">
            <w:pPr>
              <w:pStyle w:val="P68B1DB1-Normal12"/>
              <w:spacing w:after="0" w:line="240" w:lineRule="auto"/>
              <w:jc w:val="center"/>
              <w:rPr>
                <w:rFonts w:eastAsia="Times New Roman" w:cs="Times New Roman"/>
                <w:noProof/>
              </w:rPr>
            </w:pPr>
            <w:r>
              <w:rPr>
                <w:noProof/>
              </w:rPr>
              <w:t>C23.I6</w:t>
            </w:r>
          </w:p>
        </w:tc>
        <w:tc>
          <w:tcPr>
            <w:tcW w:w="964" w:type="dxa"/>
            <w:shd w:val="clear" w:color="auto" w:fill="C6EFCE"/>
            <w:noWrap/>
          </w:tcPr>
          <w:p w14:paraId="7965CF1E" w14:textId="77777777" w:rsidR="0065073E" w:rsidRDefault="000A0998">
            <w:pPr>
              <w:pStyle w:val="P68B1DB1-Normal12"/>
              <w:spacing w:after="0" w:line="240" w:lineRule="auto"/>
              <w:jc w:val="center"/>
              <w:rPr>
                <w:rFonts w:eastAsia="Times New Roman" w:cs="Times New Roman"/>
                <w:noProof/>
              </w:rPr>
            </w:pPr>
            <w:r>
              <w:rPr>
                <w:noProof/>
              </w:rPr>
              <w:t>T</w:t>
            </w:r>
          </w:p>
        </w:tc>
        <w:tc>
          <w:tcPr>
            <w:tcW w:w="2613" w:type="dxa"/>
            <w:shd w:val="clear" w:color="auto" w:fill="C6EFCE"/>
            <w:noWrap/>
          </w:tcPr>
          <w:p w14:paraId="51C7A896" w14:textId="77777777" w:rsidR="0065073E" w:rsidRDefault="000A0998">
            <w:pPr>
              <w:pStyle w:val="P68B1DB1-Normal12"/>
              <w:spacing w:after="0" w:line="240" w:lineRule="auto"/>
              <w:rPr>
                <w:rFonts w:eastAsia="Times New Roman" w:cs="Times New Roman"/>
                <w:noProof/>
              </w:rPr>
            </w:pPr>
            <w:r>
              <w:rPr>
                <w:noProof/>
              </w:rPr>
              <w:t>Yhteisötalouden hankkeet saatettu päätökseen</w:t>
            </w:r>
          </w:p>
        </w:tc>
        <w:tc>
          <w:tcPr>
            <w:tcW w:w="1102" w:type="dxa"/>
            <w:shd w:val="clear" w:color="auto" w:fill="C6EFCE"/>
            <w:noWrap/>
          </w:tcPr>
          <w:p w14:paraId="739B518A" w14:textId="77777777" w:rsidR="0065073E" w:rsidRDefault="000A0998">
            <w:pPr>
              <w:pStyle w:val="P68B1DB1-Normal12"/>
              <w:spacing w:after="0" w:line="240" w:lineRule="auto"/>
              <w:jc w:val="center"/>
              <w:rPr>
                <w:rFonts w:eastAsia="Times New Roman" w:cs="Times New Roman"/>
                <w:noProof/>
              </w:rPr>
            </w:pPr>
            <w:r>
              <w:rPr>
                <w:noProof/>
              </w:rPr>
              <w:t>—</w:t>
            </w:r>
          </w:p>
        </w:tc>
        <w:tc>
          <w:tcPr>
            <w:tcW w:w="827" w:type="dxa"/>
            <w:shd w:val="clear" w:color="auto" w:fill="C6EFCE"/>
            <w:noWrap/>
          </w:tcPr>
          <w:p w14:paraId="28940D2D"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52CA3C81" w14:textId="77777777" w:rsidR="0065073E" w:rsidRDefault="000A0998">
            <w:pPr>
              <w:pStyle w:val="P68B1DB1-Normal12"/>
              <w:spacing w:after="0" w:line="240" w:lineRule="auto"/>
              <w:jc w:val="right"/>
              <w:rPr>
                <w:rFonts w:eastAsia="Times New Roman" w:cs="Times New Roman"/>
                <w:noProof/>
              </w:rPr>
            </w:pPr>
            <w:r>
              <w:rPr>
                <w:noProof/>
              </w:rPr>
              <w:t>0</w:t>
            </w:r>
          </w:p>
        </w:tc>
        <w:tc>
          <w:tcPr>
            <w:tcW w:w="689" w:type="dxa"/>
            <w:shd w:val="clear" w:color="auto" w:fill="C6EFCE"/>
            <w:noWrap/>
          </w:tcPr>
          <w:p w14:paraId="338013CE" w14:textId="77777777" w:rsidR="0065073E" w:rsidRDefault="000A0998">
            <w:pPr>
              <w:pStyle w:val="P68B1DB1-Normal12"/>
              <w:spacing w:after="0" w:line="240" w:lineRule="auto"/>
              <w:jc w:val="center"/>
              <w:rPr>
                <w:rFonts w:eastAsia="Times New Roman" w:cs="Times New Roman"/>
                <w:noProof/>
              </w:rPr>
            </w:pPr>
            <w:r>
              <w:rPr>
                <w:noProof/>
              </w:rPr>
              <w:t>30</w:t>
            </w:r>
          </w:p>
        </w:tc>
        <w:tc>
          <w:tcPr>
            <w:tcW w:w="413" w:type="dxa"/>
            <w:shd w:val="clear" w:color="auto" w:fill="C6EFCE"/>
            <w:noWrap/>
          </w:tcPr>
          <w:p w14:paraId="538491BD" w14:textId="126C3BD1"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51" w:type="dxa"/>
            <w:shd w:val="clear" w:color="auto" w:fill="C6EFCE"/>
            <w:noWrap/>
          </w:tcPr>
          <w:p w14:paraId="1FD7D994" w14:textId="5D3F7141" w:rsidR="0065073E" w:rsidRDefault="000A0998">
            <w:pPr>
              <w:pStyle w:val="P68B1DB1-Normal12"/>
              <w:spacing w:after="0" w:line="240" w:lineRule="auto"/>
              <w:jc w:val="center"/>
              <w:rPr>
                <w:rFonts w:eastAsia="Times New Roman" w:cs="Times New Roman"/>
                <w:noProof/>
              </w:rPr>
            </w:pPr>
            <w:r>
              <w:rPr>
                <w:noProof/>
              </w:rPr>
              <w:t>2025</w:t>
            </w:r>
          </w:p>
        </w:tc>
        <w:tc>
          <w:tcPr>
            <w:tcW w:w="5901" w:type="dxa"/>
            <w:shd w:val="clear" w:color="auto" w:fill="C6EFCE"/>
            <w:noWrap/>
          </w:tcPr>
          <w:p w14:paraId="36C2B50B" w14:textId="77777777" w:rsidR="0065073E" w:rsidRDefault="000A0998">
            <w:pPr>
              <w:pStyle w:val="P68B1DB1-Normal12"/>
              <w:spacing w:after="0" w:line="240" w:lineRule="auto"/>
              <w:rPr>
                <w:rFonts w:eastAsia="Times New Roman" w:cs="Times New Roman"/>
                <w:noProof/>
              </w:rPr>
            </w:pPr>
            <w:r>
              <w:rPr>
                <w:noProof/>
              </w:rPr>
              <w:t>Ainakin 30 osuus- ja yhteisötalouden hanketta on saatettu päätökseen. Niillä tuetaan a) vaikeuksissa olevien tai sukupolvenvaihdoksia vailla olevien elinkelpoisten yritysten työpaikkojen luomista ja säilyttämistä muuttamalla ne yhteisötalouden liiketoimintamalleiksi (osuuskunnat ja työvoimayritykset), joita johtavat niiden mies- ja naispuoliset työntekijät; b) innovatiivisten yhteisötalouden toimijoiden perustaminen ja vakiinnuttaminen, mikä vaikuttaa sukupolvenvaihdokseen ja nuorten yrittäjyyteen; C) yhteisötalouden yritysten digitalisointi luomalla digitaalisia alustoja, joilla pyritään parantamaan maaseutualueiden kansalaisten hyvinvointia; d) osuuskuntien, työvoimayritysten ja muiden yhteisötalouden muotojen verkottaminen sekä valmiuksien kehittäminen ja koulutustoimet uusien kattavien palvelujen tarjoamiseksi yhteiskunnalle; ja e) edistetään haavoittuvassa asemassa olevien yritysten ja ryhmien kestäviä ja osallistavia siirtymiä.</w:t>
            </w:r>
          </w:p>
        </w:tc>
      </w:tr>
      <w:tr w:rsidR="0065073E" w14:paraId="1D68E393" w14:textId="77777777">
        <w:trPr>
          <w:trHeight w:val="309"/>
        </w:trPr>
        <w:tc>
          <w:tcPr>
            <w:tcW w:w="830" w:type="dxa"/>
            <w:shd w:val="clear" w:color="auto" w:fill="C6EFCE"/>
            <w:noWrap/>
          </w:tcPr>
          <w:p w14:paraId="5F1CCB4D" w14:textId="77777777" w:rsidR="0065073E" w:rsidRDefault="000A0998">
            <w:pPr>
              <w:pStyle w:val="P68B1DB1-Normal12"/>
              <w:spacing w:after="0" w:line="240" w:lineRule="auto"/>
              <w:jc w:val="center"/>
              <w:rPr>
                <w:rFonts w:eastAsia="Times New Roman" w:cs="Times New Roman"/>
                <w:noProof/>
              </w:rPr>
            </w:pPr>
            <w:r>
              <w:rPr>
                <w:noProof/>
              </w:rPr>
              <w:t>350</w:t>
            </w:r>
          </w:p>
        </w:tc>
        <w:tc>
          <w:tcPr>
            <w:tcW w:w="828" w:type="dxa"/>
            <w:shd w:val="clear" w:color="auto" w:fill="C6EFCE"/>
            <w:noWrap/>
          </w:tcPr>
          <w:p w14:paraId="6EB03790" w14:textId="77777777" w:rsidR="0065073E" w:rsidRDefault="000A0998">
            <w:pPr>
              <w:pStyle w:val="P68B1DB1-Normal12"/>
              <w:spacing w:after="0" w:line="240" w:lineRule="auto"/>
              <w:jc w:val="center"/>
              <w:rPr>
                <w:rFonts w:eastAsia="Times New Roman" w:cs="Times New Roman"/>
                <w:noProof/>
              </w:rPr>
            </w:pPr>
            <w:r>
              <w:rPr>
                <w:noProof/>
              </w:rPr>
              <w:t>C23.I7</w:t>
            </w:r>
          </w:p>
        </w:tc>
        <w:tc>
          <w:tcPr>
            <w:tcW w:w="964" w:type="dxa"/>
            <w:shd w:val="clear" w:color="auto" w:fill="C6EFCE"/>
            <w:noWrap/>
          </w:tcPr>
          <w:p w14:paraId="79509368" w14:textId="77777777" w:rsidR="0065073E" w:rsidRDefault="000A0998">
            <w:pPr>
              <w:pStyle w:val="P68B1DB1-Normal12"/>
              <w:spacing w:after="0" w:line="240" w:lineRule="auto"/>
              <w:jc w:val="center"/>
              <w:rPr>
                <w:rFonts w:eastAsia="Times New Roman" w:cs="Times New Roman"/>
                <w:noProof/>
              </w:rPr>
            </w:pPr>
            <w:r>
              <w:rPr>
                <w:noProof/>
              </w:rPr>
              <w:t>M</w:t>
            </w:r>
          </w:p>
        </w:tc>
        <w:tc>
          <w:tcPr>
            <w:tcW w:w="2613" w:type="dxa"/>
            <w:shd w:val="clear" w:color="auto" w:fill="C6EFCE"/>
            <w:noWrap/>
          </w:tcPr>
          <w:p w14:paraId="233405FA" w14:textId="77777777" w:rsidR="0065073E" w:rsidRDefault="000A0998">
            <w:pPr>
              <w:pStyle w:val="P68B1DB1-Normal12"/>
              <w:spacing w:after="0" w:line="240" w:lineRule="auto"/>
              <w:rPr>
                <w:rFonts w:eastAsia="Times New Roman" w:cs="Times New Roman"/>
                <w:noProof/>
              </w:rPr>
            </w:pPr>
            <w:r>
              <w:rPr>
                <w:noProof/>
              </w:rPr>
              <w:t>Vähimmäistoimeentulon käyttöasteen parantaminen ja sen tehokkuuden lisääminen osallisuutta edistävien politiikkojen avulla</w:t>
            </w:r>
          </w:p>
        </w:tc>
        <w:tc>
          <w:tcPr>
            <w:tcW w:w="1102" w:type="dxa"/>
            <w:shd w:val="clear" w:color="auto" w:fill="C6EFCE"/>
            <w:noWrap/>
          </w:tcPr>
          <w:p w14:paraId="1DD611C7" w14:textId="77777777" w:rsidR="0065073E" w:rsidRDefault="000A0998">
            <w:pPr>
              <w:pStyle w:val="P68B1DB1-Normal12"/>
              <w:spacing w:after="0" w:line="240" w:lineRule="auto"/>
              <w:jc w:val="center"/>
              <w:rPr>
                <w:rFonts w:eastAsia="Times New Roman" w:cs="Times New Roman"/>
                <w:noProof/>
              </w:rPr>
            </w:pPr>
            <w:r>
              <w:rPr>
                <w:noProof/>
              </w:rPr>
              <w:t>Kumppanuussopimuksen (</w:t>
            </w:r>
            <w:r>
              <w:rPr>
                <w:i/>
                <w:noProof/>
              </w:rPr>
              <w:t>Convenio)</w:t>
            </w:r>
            <w:r>
              <w:rPr>
                <w:noProof/>
              </w:rPr>
              <w:t>julkaiseminen</w:t>
            </w:r>
          </w:p>
        </w:tc>
        <w:tc>
          <w:tcPr>
            <w:tcW w:w="827" w:type="dxa"/>
            <w:shd w:val="clear" w:color="auto" w:fill="C6EFCE"/>
            <w:noWrap/>
          </w:tcPr>
          <w:p w14:paraId="3874BD7C"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71960EB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689" w:type="dxa"/>
            <w:shd w:val="clear" w:color="auto" w:fill="C6EFCE"/>
            <w:noWrap/>
          </w:tcPr>
          <w:p w14:paraId="24C080EB"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81E6E72"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51" w:type="dxa"/>
            <w:shd w:val="clear" w:color="auto" w:fill="C6EFCE"/>
            <w:noWrap/>
          </w:tcPr>
          <w:p w14:paraId="127FD24D" w14:textId="77777777" w:rsidR="0065073E" w:rsidRDefault="000A0998">
            <w:pPr>
              <w:pStyle w:val="P68B1DB1-Normal12"/>
              <w:spacing w:after="0" w:line="240" w:lineRule="auto"/>
              <w:jc w:val="center"/>
              <w:rPr>
                <w:rFonts w:eastAsia="Times New Roman" w:cs="Times New Roman"/>
                <w:noProof/>
              </w:rPr>
            </w:pPr>
            <w:r>
              <w:rPr>
                <w:noProof/>
              </w:rPr>
              <w:t>2022</w:t>
            </w:r>
          </w:p>
        </w:tc>
        <w:tc>
          <w:tcPr>
            <w:tcW w:w="5901" w:type="dxa"/>
            <w:shd w:val="clear" w:color="auto" w:fill="C6EFCE"/>
            <w:noWrap/>
          </w:tcPr>
          <w:p w14:paraId="4CB38101" w14:textId="77777777" w:rsidR="0065073E" w:rsidRDefault="000A0998">
            <w:pPr>
              <w:pStyle w:val="P68B1DB1-Normal12"/>
              <w:spacing w:after="0" w:line="240" w:lineRule="auto"/>
              <w:rPr>
                <w:rFonts w:eastAsia="Times New Roman" w:cs="Times New Roman"/>
                <w:noProof/>
              </w:rPr>
            </w:pPr>
            <w:r>
              <w:rPr>
                <w:noProof/>
              </w:rPr>
              <w:t>Tuetaan IMV-tuensaajien sosioekonomista osallisuutta seuraavien väylien avulla: kahdeksan kumppanuussopimusta, jotka on allekirjoitettu valtiotasoa alempien hallintotasojen, työmarkkinaosapuolten ja kolmannen sektorin sosiaalialan toimijoiden kanssa väylien toteuttamiseksi. Näiden kumppanuussopimusten tavoitteena on I) IMV:n käyttöasteen parantaminen; IMV:n tehokkuuden lisääminen osallisuutta edistävillä politiikoilla.</w:t>
            </w:r>
          </w:p>
        </w:tc>
      </w:tr>
      <w:tr w:rsidR="0065073E" w14:paraId="0967AC53" w14:textId="77777777">
        <w:trPr>
          <w:trHeight w:val="309"/>
        </w:trPr>
        <w:tc>
          <w:tcPr>
            <w:tcW w:w="830" w:type="dxa"/>
            <w:shd w:val="clear" w:color="auto" w:fill="C6EFCE"/>
            <w:noWrap/>
          </w:tcPr>
          <w:p w14:paraId="5BEF3A92" w14:textId="77777777" w:rsidR="0065073E" w:rsidRDefault="000A0998">
            <w:pPr>
              <w:pStyle w:val="P68B1DB1-Normal12"/>
              <w:spacing w:after="0" w:line="240" w:lineRule="auto"/>
              <w:jc w:val="center"/>
              <w:rPr>
                <w:rFonts w:cs="Times New Roman"/>
                <w:noProof/>
              </w:rPr>
            </w:pPr>
            <w:r>
              <w:rPr>
                <w:noProof/>
              </w:rPr>
              <w:t>351</w:t>
            </w:r>
          </w:p>
        </w:tc>
        <w:tc>
          <w:tcPr>
            <w:tcW w:w="828" w:type="dxa"/>
            <w:shd w:val="clear" w:color="auto" w:fill="C6EFCE"/>
            <w:noWrap/>
          </w:tcPr>
          <w:p w14:paraId="03A6C76A" w14:textId="77777777" w:rsidR="0065073E" w:rsidRDefault="000A0998">
            <w:pPr>
              <w:pStyle w:val="P68B1DB1-Normal12"/>
              <w:spacing w:after="0" w:line="240" w:lineRule="auto"/>
              <w:jc w:val="center"/>
              <w:rPr>
                <w:rFonts w:cs="Times New Roman"/>
                <w:noProof/>
              </w:rPr>
            </w:pPr>
            <w:r>
              <w:rPr>
                <w:noProof/>
              </w:rPr>
              <w:t>C23.I7</w:t>
            </w:r>
          </w:p>
        </w:tc>
        <w:tc>
          <w:tcPr>
            <w:tcW w:w="964" w:type="dxa"/>
            <w:shd w:val="clear" w:color="auto" w:fill="C6EFCE"/>
            <w:noWrap/>
          </w:tcPr>
          <w:p w14:paraId="303CCEDA" w14:textId="77777777" w:rsidR="0065073E" w:rsidRDefault="000A0998">
            <w:pPr>
              <w:pStyle w:val="P68B1DB1-Normal12"/>
              <w:spacing w:after="0" w:line="240" w:lineRule="auto"/>
              <w:jc w:val="center"/>
              <w:rPr>
                <w:rFonts w:cs="Times New Roman"/>
                <w:noProof/>
              </w:rPr>
            </w:pPr>
            <w:r>
              <w:rPr>
                <w:noProof/>
              </w:rPr>
              <w:t>M</w:t>
            </w:r>
          </w:p>
        </w:tc>
        <w:tc>
          <w:tcPr>
            <w:tcW w:w="2613" w:type="dxa"/>
            <w:shd w:val="clear" w:color="auto" w:fill="C6EFCE"/>
            <w:noWrap/>
          </w:tcPr>
          <w:p w14:paraId="27D85484" w14:textId="77777777" w:rsidR="0065073E" w:rsidRDefault="000A0998">
            <w:pPr>
              <w:pStyle w:val="P68B1DB1-Normal12"/>
              <w:spacing w:after="0" w:line="240" w:lineRule="auto"/>
              <w:rPr>
                <w:rFonts w:cs="Times New Roman"/>
                <w:noProof/>
              </w:rPr>
            </w:pPr>
            <w:r>
              <w:rPr>
                <w:noProof/>
              </w:rPr>
              <w:t>Arviointi vähimmäistulojärjestelmien kattavuuden, tehokkuuden ja onnistumisen arvioimiseksi</w:t>
            </w:r>
          </w:p>
        </w:tc>
        <w:tc>
          <w:tcPr>
            <w:tcW w:w="1102" w:type="dxa"/>
            <w:shd w:val="clear" w:color="auto" w:fill="C6EFCE"/>
            <w:noWrap/>
          </w:tcPr>
          <w:p w14:paraId="312F2532" w14:textId="77777777" w:rsidR="0065073E" w:rsidRDefault="000A0998">
            <w:pPr>
              <w:pStyle w:val="P68B1DB1-Normal12"/>
              <w:spacing w:after="0" w:line="240" w:lineRule="auto"/>
              <w:jc w:val="center"/>
              <w:rPr>
                <w:rFonts w:cs="Times New Roman"/>
                <w:noProof/>
              </w:rPr>
            </w:pPr>
            <w:r>
              <w:rPr>
                <w:noProof/>
              </w:rPr>
              <w:t>Arvioinnin julkaiseminen</w:t>
            </w:r>
          </w:p>
        </w:tc>
        <w:tc>
          <w:tcPr>
            <w:tcW w:w="827" w:type="dxa"/>
            <w:shd w:val="clear" w:color="auto" w:fill="C6EFCE"/>
            <w:noWrap/>
          </w:tcPr>
          <w:p w14:paraId="78B2AF73" w14:textId="77777777" w:rsidR="0065073E" w:rsidRDefault="000A0998">
            <w:pPr>
              <w:pStyle w:val="P68B1DB1-Normal12"/>
              <w:spacing w:after="0" w:line="240" w:lineRule="auto"/>
              <w:jc w:val="center"/>
              <w:rPr>
                <w:rFonts w:cs="Times New Roman"/>
                <w:noProof/>
              </w:rPr>
            </w:pPr>
            <w:r>
              <w:rPr>
                <w:noProof/>
              </w:rPr>
              <w:t xml:space="preserve"> </w:t>
            </w:r>
          </w:p>
        </w:tc>
        <w:tc>
          <w:tcPr>
            <w:tcW w:w="992" w:type="dxa"/>
            <w:shd w:val="clear" w:color="auto" w:fill="C6EFCE"/>
            <w:noWrap/>
          </w:tcPr>
          <w:p w14:paraId="7A01C922" w14:textId="77777777" w:rsidR="0065073E" w:rsidRDefault="000A0998">
            <w:pPr>
              <w:pStyle w:val="P68B1DB1-Normal12"/>
              <w:spacing w:after="0" w:line="240" w:lineRule="auto"/>
              <w:jc w:val="right"/>
              <w:rPr>
                <w:rFonts w:cs="Times New Roman"/>
                <w:noProof/>
              </w:rPr>
            </w:pPr>
            <w:r>
              <w:rPr>
                <w:noProof/>
              </w:rPr>
              <w:t xml:space="preserve"> </w:t>
            </w:r>
          </w:p>
        </w:tc>
        <w:tc>
          <w:tcPr>
            <w:tcW w:w="689" w:type="dxa"/>
            <w:shd w:val="clear" w:color="auto" w:fill="C6EFCE"/>
            <w:noWrap/>
          </w:tcPr>
          <w:p w14:paraId="318E0F05" w14:textId="77777777" w:rsidR="0065073E" w:rsidRDefault="000A0998">
            <w:pPr>
              <w:pStyle w:val="P68B1DB1-Normal12"/>
              <w:spacing w:after="0" w:line="240" w:lineRule="auto"/>
              <w:jc w:val="right"/>
              <w:rPr>
                <w:rFonts w:cs="Times New Roman"/>
                <w:noProof/>
              </w:rPr>
            </w:pPr>
            <w:r>
              <w:rPr>
                <w:noProof/>
              </w:rPr>
              <w:t xml:space="preserve"> </w:t>
            </w:r>
          </w:p>
        </w:tc>
        <w:tc>
          <w:tcPr>
            <w:tcW w:w="413" w:type="dxa"/>
            <w:shd w:val="clear" w:color="auto" w:fill="C6EFCE"/>
            <w:noWrap/>
          </w:tcPr>
          <w:p w14:paraId="31E2FB6C" w14:textId="77777777" w:rsidR="0065073E" w:rsidRDefault="000A0998">
            <w:pPr>
              <w:pStyle w:val="P68B1DB1-Normal12"/>
              <w:spacing w:after="0" w:line="240" w:lineRule="auto"/>
              <w:jc w:val="center"/>
              <w:rPr>
                <w:rFonts w:cs="Times New Roman"/>
                <w:noProof/>
              </w:rPr>
            </w:pPr>
            <w:r>
              <w:rPr>
                <w:noProof/>
              </w:rPr>
              <w:t>ENSIMMÄINEN VUOSINELJÄNNES</w:t>
            </w:r>
          </w:p>
        </w:tc>
        <w:tc>
          <w:tcPr>
            <w:tcW w:w="551" w:type="dxa"/>
            <w:shd w:val="clear" w:color="auto" w:fill="C6EFCE"/>
            <w:noWrap/>
          </w:tcPr>
          <w:p w14:paraId="6BD43872" w14:textId="77777777" w:rsidR="0065073E" w:rsidRDefault="000A0998">
            <w:pPr>
              <w:pStyle w:val="P68B1DB1-Normal12"/>
              <w:spacing w:after="0" w:line="240" w:lineRule="auto"/>
              <w:jc w:val="center"/>
              <w:rPr>
                <w:rFonts w:cs="Times New Roman"/>
                <w:noProof/>
              </w:rPr>
            </w:pPr>
            <w:r>
              <w:rPr>
                <w:noProof/>
              </w:rPr>
              <w:t>2024</w:t>
            </w:r>
          </w:p>
        </w:tc>
        <w:tc>
          <w:tcPr>
            <w:tcW w:w="5901" w:type="dxa"/>
            <w:shd w:val="clear" w:color="auto" w:fill="C6EFCE"/>
            <w:noWrap/>
          </w:tcPr>
          <w:p w14:paraId="478661ED" w14:textId="77777777" w:rsidR="0065073E" w:rsidRDefault="000A0998">
            <w:pPr>
              <w:pStyle w:val="P68B1DB1-Normal12"/>
              <w:spacing w:after="0" w:line="240" w:lineRule="auto"/>
              <w:rPr>
                <w:rFonts w:cs="Times New Roman"/>
                <w:noProof/>
              </w:rPr>
            </w:pPr>
            <w:r>
              <w:rPr>
                <w:noProof/>
              </w:rPr>
              <w:t>Sen jälkeen, kun vähintään 18 pilottihanketta on saatu päätökseen, julkaistaan arviointi, jossa arvioidaan vähimmäistulojärjestelmien kattavuutta, tehokkuutta ja onnistumista, mukaan lukien erityiset suositukset käyttöönottoasteen nostamiseksi ja sosiaalista osallisuutta edistävien politiikkojen tehokkuuden parantamiseksi.</w:t>
            </w:r>
          </w:p>
        </w:tc>
      </w:tr>
    </w:tbl>
    <w:p w14:paraId="694A9CDB" w14:textId="77777777" w:rsidR="0065073E" w:rsidRDefault="0065073E">
      <w:pPr>
        <w:spacing w:before="120" w:after="120" w:line="240" w:lineRule="auto"/>
        <w:ind w:left="709"/>
        <w:jc w:val="both"/>
        <w:rPr>
          <w:rFonts w:ascii="Times New Roman" w:hAnsi="Times New Roman" w:cs="Times New Roman"/>
          <w:noProof/>
          <w:sz w:val="24"/>
        </w:rPr>
        <w:sectPr w:rsidR="0065073E" w:rsidSect="00B511EF">
          <w:headerReference w:type="even" r:id="rId517"/>
          <w:headerReference w:type="default" r:id="rId518"/>
          <w:footerReference w:type="even" r:id="rId519"/>
          <w:footerReference w:type="default" r:id="rId520"/>
          <w:headerReference w:type="first" r:id="rId521"/>
          <w:footerReference w:type="first" r:id="rId522"/>
          <w:pgSz w:w="16839" w:h="11907" w:orient="landscape"/>
          <w:pgMar w:top="1134" w:right="1134" w:bottom="1134" w:left="1134" w:header="567" w:footer="567" w:gutter="0"/>
          <w:cols w:space="720"/>
          <w:docGrid w:linePitch="360"/>
        </w:sectPr>
      </w:pPr>
    </w:p>
    <w:p w14:paraId="6E7059F1" w14:textId="77777777" w:rsidR="0065073E" w:rsidRDefault="000A0998">
      <w:pPr>
        <w:pStyle w:val="P68B1DB1-Heading12"/>
        <w:rPr>
          <w:rFonts w:cs="Times New Roman"/>
          <w:noProof/>
        </w:rPr>
      </w:pPr>
      <w:r>
        <w:rPr>
          <w:noProof/>
        </w:rPr>
        <w:t>X. OSA 24: Kulttuuriteollisuus</w:t>
      </w:r>
    </w:p>
    <w:p w14:paraId="67377154" w14:textId="77777777" w:rsidR="0065073E" w:rsidRDefault="000A0998">
      <w:pPr>
        <w:pStyle w:val="P68B1DB1-Normal4"/>
        <w:spacing w:before="120" w:after="120" w:line="240" w:lineRule="auto"/>
        <w:jc w:val="both"/>
        <w:rPr>
          <w:rFonts w:cs="Times New Roman"/>
          <w:noProof/>
        </w:rPr>
      </w:pPr>
      <w:r>
        <w:rPr>
          <w:noProof/>
        </w:rPr>
        <w:t xml:space="preserve">Kulttuuriteollisuudella on tärkeä rooli Espanjan taloudessa: sen osuus maan BKT:stä on 3,2 prosenttia ja maan kokonaistyöllisyydestä 3,6 prosenttia ennen covid-19-pandemiaa. Lisäksi sillä on korvaamaton arvo yhteiskunnalle, mistä on osoituksena Espanjan väestön korkea kulttuurinen osallistuminen ennen pandemiaa. Ala kärsii kuitenkin useista rakenteellisista tekijöistä, jotka ovat estäneet sitä hyödyntämästä koko potentiaaliaan ja tehneet siitä erityisen haavoittuvan kriisiaikoina.  </w:t>
      </w:r>
    </w:p>
    <w:p w14:paraId="55038A3E" w14:textId="77777777" w:rsidR="0065073E" w:rsidRDefault="000A0998">
      <w:pPr>
        <w:pStyle w:val="P68B1DB1-Normal4"/>
        <w:spacing w:before="120" w:after="120" w:line="240" w:lineRule="auto"/>
        <w:jc w:val="both"/>
        <w:rPr>
          <w:rFonts w:cs="Times New Roman"/>
          <w:noProof/>
        </w:rPr>
      </w:pPr>
      <w:r>
        <w:rPr>
          <w:noProof/>
        </w:rPr>
        <w:t xml:space="preserve">Tätä taustaa vasten Espanjan elpymis- ja palautumissuunnitelman komponentti 24 sisältää uudistuksia ja investointeja, joilla pyritään uudistamaan taiteilijoiden työkehystä sekä vahvistamaan ja nykyaikaistamaan kulttuuriliiketoimintaa. </w:t>
      </w:r>
    </w:p>
    <w:p w14:paraId="03DB477E" w14:textId="77777777" w:rsidR="0065073E" w:rsidRDefault="000A0998">
      <w:pPr>
        <w:pStyle w:val="P68B1DB1-Normal4"/>
        <w:spacing w:before="120" w:after="120" w:line="240" w:lineRule="auto"/>
        <w:jc w:val="both"/>
        <w:rPr>
          <w:rFonts w:cs="Times New Roman"/>
          <w:noProof/>
        </w:rPr>
      </w:pPr>
      <w:r>
        <w:rPr>
          <w:noProof/>
        </w:rPr>
        <w:t xml:space="preserve">Komponentissa käsitellään maakohtaisia suosituksia, jotka koskevat investointien edistämistä talouden ylläpitämiseksi ja elpymisen tukemiseksi covid-19-pandemian jälkeen (maakohtainen suositus 1 2020) ja työllisyyden tukemista, työttömyysturvan vahvistamista ja digitaalisen oppimisen saatavuuden parantamista (maakohtainen suositus 2 2020). </w:t>
      </w:r>
    </w:p>
    <w:p w14:paraId="0E524D85" w14:textId="77777777" w:rsidR="0065073E" w:rsidRDefault="000A0998">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0674A942" w14:textId="77777777" w:rsidR="0065073E" w:rsidRDefault="000A0998">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X.1 </w:t>
      </w:r>
      <w:r>
        <w:rPr>
          <w:noProof/>
        </w:rPr>
        <w:t xml:space="preserve"> </w:t>
      </w:r>
      <w:r>
        <w:rPr>
          <w:rFonts w:ascii="Times New Roman" w:hAnsi="Times New Roman"/>
          <w:b/>
          <w:noProof/>
          <w:sz w:val="24"/>
          <w:u w:val="single"/>
        </w:rPr>
        <w:t>Kuvaus uudistuksista ja investoinneista, joita rahoitetaan rahoitustuella, jota ei makseta takaisin</w:t>
      </w:r>
    </w:p>
    <w:p w14:paraId="448DF675" w14:textId="77777777" w:rsidR="0065073E" w:rsidRDefault="000A0998">
      <w:pPr>
        <w:pStyle w:val="P68B1DB1-Normal5"/>
        <w:spacing w:before="120" w:after="120" w:line="240" w:lineRule="auto"/>
        <w:jc w:val="both"/>
        <w:rPr>
          <w:rFonts w:cs="Times New Roman"/>
          <w:noProof/>
        </w:rPr>
      </w:pPr>
      <w:r>
        <w:rPr>
          <w:noProof/>
        </w:rPr>
        <w:t>Uudistus 1 (C24.R1) – Taiteilijan aseman kehittäminen sekä investointien, kulttuurin sponsoroinnin ja osallistumisen edistäminen</w:t>
      </w:r>
    </w:p>
    <w:p w14:paraId="1534CA29" w14:textId="77777777" w:rsidR="0065073E" w:rsidRDefault="000A0998">
      <w:pPr>
        <w:pStyle w:val="P68B1DB1-Normal4"/>
        <w:spacing w:before="120" w:after="120" w:line="240" w:lineRule="auto"/>
        <w:jc w:val="both"/>
        <w:rPr>
          <w:rFonts w:cs="Times New Roman"/>
          <w:noProof/>
        </w:rPr>
      </w:pPr>
      <w:r>
        <w:rPr>
          <w:noProof/>
        </w:rPr>
        <w:t xml:space="preserve">Uudistuksella pyritään vastaamaan haasteeseen, joka johtuu siitä, että nykyisessä työ- ja verolainsäädännössä ei oteta huomioon kulttuurialan erityispiirteitä (kuten epäsäännöllisiä tuloja ja työntekomalleja) eikä tarvetta houkutella yksityistä rahoitusta julkisen tuen ulkopuolelle. </w:t>
      </w:r>
    </w:p>
    <w:p w14:paraId="253C50B3" w14:textId="77777777" w:rsidR="0065073E" w:rsidRDefault="000A0998">
      <w:pPr>
        <w:pStyle w:val="P68B1DB1-Normal4"/>
        <w:spacing w:before="120" w:after="120" w:line="240" w:lineRule="auto"/>
        <w:jc w:val="both"/>
        <w:rPr>
          <w:rFonts w:cs="Times New Roman"/>
          <w:noProof/>
        </w:rPr>
      </w:pPr>
      <w:r>
        <w:rPr>
          <w:noProof/>
        </w:rPr>
        <w:t xml:space="preserve">Uudistuksessa on kehitettävä asianmukaiset oikeudelliset, verotukselliset ja työhön liittyvät puitteet kulttuurialan eri toimijoiden sosiaalisen suojelun parantamiseksi ja yksityisten investointien houkuttelevuuden lisäämiseksi. </w:t>
      </w:r>
    </w:p>
    <w:p w14:paraId="15F0B9A6" w14:textId="77777777" w:rsidR="0065073E" w:rsidRDefault="000A0998">
      <w:pPr>
        <w:pStyle w:val="P68B1DB1-Normal4"/>
        <w:spacing w:before="120" w:after="120" w:line="240" w:lineRule="auto"/>
        <w:jc w:val="both"/>
        <w:rPr>
          <w:rFonts w:cs="Times New Roman"/>
          <w:noProof/>
        </w:rPr>
      </w:pPr>
      <w:r>
        <w:rPr>
          <w:noProof/>
        </w:rPr>
        <w:t xml:space="preserve">Uudistuksessa hyväksytään taiteilijan perussäännön täytäntöönpanoa koskevat sääntelymuutokset, mukaan lukien sääntelymuutokset, jotka koskevat seuraavia näkökohtia:  </w:t>
      </w:r>
    </w:p>
    <w:p w14:paraId="4F0EC7E1" w14:textId="77777777" w:rsidR="0065073E" w:rsidRDefault="000A0998">
      <w:pPr>
        <w:pStyle w:val="P68B1DB1-Normal4"/>
        <w:numPr>
          <w:ilvl w:val="0"/>
          <w:numId w:val="155"/>
        </w:numPr>
        <w:spacing w:before="120" w:after="120" w:line="240" w:lineRule="auto"/>
        <w:ind w:left="426" w:hanging="426"/>
        <w:jc w:val="both"/>
        <w:rPr>
          <w:rFonts w:cs="Times New Roman"/>
          <w:noProof/>
        </w:rPr>
      </w:pPr>
      <w:r>
        <w:rPr>
          <w:noProof/>
        </w:rPr>
        <w:t>arvonlisäveron ja henkilökohtaisen tuloveron riittävyys;</w:t>
      </w:r>
    </w:p>
    <w:p w14:paraId="0516F3E2" w14:textId="77777777" w:rsidR="0065073E" w:rsidRDefault="000A0998">
      <w:pPr>
        <w:pStyle w:val="P68B1DB1-Normal4"/>
        <w:numPr>
          <w:ilvl w:val="0"/>
          <w:numId w:val="155"/>
        </w:numPr>
        <w:spacing w:before="120" w:after="120" w:line="240" w:lineRule="auto"/>
        <w:ind w:left="426" w:hanging="426"/>
        <w:jc w:val="both"/>
        <w:rPr>
          <w:rFonts w:cs="Times New Roman"/>
          <w:noProof/>
        </w:rPr>
      </w:pPr>
      <w:r>
        <w:rPr>
          <w:noProof/>
        </w:rPr>
        <w:t xml:space="preserve">ammattiliittojen edustavuus; </w:t>
      </w:r>
    </w:p>
    <w:p w14:paraId="5C96E337" w14:textId="77777777" w:rsidR="0065073E" w:rsidRDefault="000A0998">
      <w:pPr>
        <w:pStyle w:val="P68B1DB1-Normal4"/>
        <w:numPr>
          <w:ilvl w:val="0"/>
          <w:numId w:val="155"/>
        </w:numPr>
        <w:spacing w:before="120" w:after="120" w:line="240" w:lineRule="auto"/>
        <w:ind w:left="426" w:hanging="426"/>
        <w:jc w:val="both"/>
        <w:rPr>
          <w:rFonts w:cs="Times New Roman"/>
          <w:noProof/>
        </w:rPr>
      </w:pPr>
      <w:r>
        <w:rPr>
          <w:noProof/>
        </w:rPr>
        <w:t xml:space="preserve">julkisilla ammateilla toimivien taiteilijoiden terveys ja erityiset työsuhteet; </w:t>
      </w:r>
    </w:p>
    <w:p w14:paraId="2397A513" w14:textId="77777777" w:rsidR="0065073E" w:rsidRDefault="000A0998">
      <w:pPr>
        <w:pStyle w:val="P68B1DB1-Normal4"/>
        <w:numPr>
          <w:ilvl w:val="0"/>
          <w:numId w:val="155"/>
        </w:numPr>
        <w:spacing w:before="120" w:after="120" w:line="240" w:lineRule="auto"/>
        <w:ind w:left="426" w:hanging="426"/>
        <w:jc w:val="both"/>
        <w:rPr>
          <w:rFonts w:cs="Times New Roman"/>
          <w:noProof/>
        </w:rPr>
      </w:pPr>
      <w:r>
        <w:rPr>
          <w:noProof/>
        </w:rPr>
        <w:t xml:space="preserve">sponsoroinnin sääntely; </w:t>
      </w:r>
    </w:p>
    <w:p w14:paraId="0BA4998E" w14:textId="77777777" w:rsidR="0065073E" w:rsidRDefault="000A0998">
      <w:pPr>
        <w:pStyle w:val="P68B1DB1-Normal4"/>
        <w:numPr>
          <w:ilvl w:val="0"/>
          <w:numId w:val="155"/>
        </w:numPr>
        <w:spacing w:before="120" w:after="120" w:line="240" w:lineRule="auto"/>
        <w:ind w:left="426" w:hanging="426"/>
        <w:jc w:val="both"/>
        <w:rPr>
          <w:rFonts w:cs="Times New Roman"/>
          <w:noProof/>
        </w:rPr>
      </w:pPr>
      <w:r>
        <w:rPr>
          <w:noProof/>
        </w:rPr>
        <w:t xml:space="preserve">verokannustinjärjestelmä. </w:t>
      </w:r>
    </w:p>
    <w:p w14:paraId="44A39349" w14:textId="77777777" w:rsidR="0065073E" w:rsidRDefault="000A0998">
      <w:pPr>
        <w:pStyle w:val="P68B1DB1-Normal4"/>
        <w:spacing w:before="60" w:after="60" w:line="240" w:lineRule="auto"/>
        <w:jc w:val="both"/>
        <w:rPr>
          <w:rFonts w:cs="Times New Roman"/>
          <w:noProof/>
        </w:rPr>
      </w:pPr>
      <w:r>
        <w:rPr>
          <w:noProof/>
        </w:rPr>
        <w:t>Nämä muutokset pannaan täytäntöön perustamalla taiteilijan perussääntöä käsittelevä ministeriöiden välinen komitea ja laatimalla lainsäädäntöehdotuksia vuonna 2021 siten, että säädös tulee voimaan 31. joulukuuta 2022 mennessä. Vuosina 2021–2023 toteutetaan myös toimenpiteitä, joilla kannustetaan yksityisiä investointeja kulttuurialalla.</w:t>
      </w:r>
    </w:p>
    <w:p w14:paraId="525621EC"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2022 mennessä. </w:t>
      </w:r>
    </w:p>
    <w:p w14:paraId="4D6042BC" w14:textId="77777777" w:rsidR="0065073E" w:rsidRDefault="0065073E">
      <w:pPr>
        <w:spacing w:before="60" w:after="60" w:line="240" w:lineRule="auto"/>
        <w:jc w:val="both"/>
        <w:rPr>
          <w:rFonts w:ascii="Times New Roman" w:hAnsi="Times New Roman" w:cs="Times New Roman"/>
          <w:noProof/>
          <w:sz w:val="24"/>
        </w:rPr>
      </w:pPr>
    </w:p>
    <w:p w14:paraId="00ED04A3" w14:textId="77777777" w:rsidR="0065073E" w:rsidRDefault="000A0998">
      <w:pPr>
        <w:pStyle w:val="P68B1DB1-Normal5"/>
        <w:keepNext/>
        <w:spacing w:before="120" w:after="120" w:line="240" w:lineRule="auto"/>
        <w:jc w:val="both"/>
        <w:rPr>
          <w:rFonts w:cs="Times New Roman"/>
          <w:noProof/>
        </w:rPr>
      </w:pPr>
      <w:r>
        <w:rPr>
          <w:noProof/>
        </w:rPr>
        <w:t>Uudistus 2 (C24.R2) – Suunnitelma tekijänoikeuden ja lähioikeuksien vahvistamiseksi</w:t>
      </w:r>
    </w:p>
    <w:p w14:paraId="1FD788A1" w14:textId="77777777" w:rsidR="0065073E" w:rsidRDefault="000A0998">
      <w:pPr>
        <w:pStyle w:val="P68B1DB1-Normal4"/>
        <w:keepNext/>
        <w:spacing w:before="120" w:after="120" w:line="240" w:lineRule="auto"/>
        <w:jc w:val="both"/>
        <w:rPr>
          <w:rFonts w:cs="Times New Roman"/>
          <w:noProof/>
        </w:rPr>
      </w:pPr>
      <w:r>
        <w:rPr>
          <w:noProof/>
        </w:rPr>
        <w:t>Uudistuksen tavoitteena on vahvistaa tekijänoikeuksia ja muita teollis- ja tekijänoikeuksia seuraavin toimin:</w:t>
      </w:r>
    </w:p>
    <w:p w14:paraId="2AA150CC" w14:textId="77777777" w:rsidR="0065073E" w:rsidRDefault="000A0998">
      <w:pPr>
        <w:pStyle w:val="P68B1DB1-Normal4"/>
        <w:numPr>
          <w:ilvl w:val="0"/>
          <w:numId w:val="156"/>
        </w:numPr>
        <w:spacing w:before="120" w:after="120" w:line="240" w:lineRule="auto"/>
        <w:ind w:left="426" w:hanging="426"/>
        <w:jc w:val="both"/>
        <w:rPr>
          <w:rFonts w:cs="Times New Roman"/>
          <w:noProof/>
        </w:rPr>
      </w:pPr>
      <w:r>
        <w:rPr>
          <w:noProof/>
        </w:rPr>
        <w:t>Hyväksytään teollis- ja tekijänoikeuksia Euroopan digitaalisilla sisämarkkinoilla koskeva laki, jolla saatetaan osaksi kansallista lainsäädäntöä direktiivi 2019/789 EUtCab ja direktiivi 2019/790 tekijänoikeudesta digitaalisilla sisämarkkinoilla;</w:t>
      </w:r>
    </w:p>
    <w:p w14:paraId="09A56BF4" w14:textId="77777777" w:rsidR="0065073E" w:rsidRDefault="000A0998">
      <w:pPr>
        <w:pStyle w:val="P68B1DB1-Normal4"/>
        <w:numPr>
          <w:ilvl w:val="0"/>
          <w:numId w:val="156"/>
        </w:numPr>
        <w:spacing w:before="120" w:after="120" w:line="240" w:lineRule="auto"/>
        <w:ind w:left="426" w:hanging="426"/>
        <w:jc w:val="both"/>
        <w:rPr>
          <w:rFonts w:cs="Times New Roman"/>
          <w:noProof/>
        </w:rPr>
      </w:pPr>
      <w:r>
        <w:rPr>
          <w:noProof/>
        </w:rPr>
        <w:t>Annetaan kuninkaallinen asetus, jolla hyväksytään uusi teollis- ja tekijänoikeuksien rekisteriä koskeva asetus kyseisen elimen mukauttamiseksi uuteen digitaaliseen todellisuuteen;</w:t>
      </w:r>
    </w:p>
    <w:p w14:paraId="2A2B3690" w14:textId="77777777" w:rsidR="0065073E" w:rsidRDefault="000A0998">
      <w:pPr>
        <w:pStyle w:val="P68B1DB1-Normal4"/>
        <w:numPr>
          <w:ilvl w:val="0"/>
          <w:numId w:val="156"/>
        </w:numPr>
        <w:spacing w:before="120" w:after="120" w:line="240" w:lineRule="auto"/>
        <w:ind w:left="426" w:hanging="426"/>
        <w:jc w:val="both"/>
        <w:rPr>
          <w:rFonts w:cs="Times New Roman"/>
          <w:noProof/>
        </w:rPr>
      </w:pPr>
      <w:r>
        <w:rPr>
          <w:noProof/>
        </w:rPr>
        <w:t>Teollis- ja tekijänoikeuksia käsittelevän toimikunnan II jakson toiminnasta 30 päivänä joulukuuta 2006 annetun kuninkaallisen asetuksen 1889/2011 muuttamisesta internetissä tapahtuvien teollis- ja tekijänoikeuksien uusien loukkausten torjunnan helpottamiseksi annetun kuninkaallisen asetuksen 1889/2011 hyväksyminen ja</w:t>
      </w:r>
    </w:p>
    <w:p w14:paraId="56D8F602" w14:textId="77777777" w:rsidR="0065073E" w:rsidRDefault="000A0998">
      <w:pPr>
        <w:pStyle w:val="P68B1DB1-Normal4"/>
        <w:numPr>
          <w:ilvl w:val="0"/>
          <w:numId w:val="156"/>
        </w:numPr>
        <w:spacing w:before="120" w:after="120" w:line="240" w:lineRule="auto"/>
        <w:ind w:left="426" w:hanging="426"/>
        <w:jc w:val="both"/>
        <w:rPr>
          <w:rFonts w:cs="Times New Roman"/>
          <w:noProof/>
        </w:rPr>
      </w:pPr>
      <w:r>
        <w:rPr>
          <w:noProof/>
        </w:rPr>
        <w:t>Asianmukaisen normatiivisen asiakirjan ja Espanjan tekijänoikeusviraston perussäännön hyväksyminen.</w:t>
      </w:r>
    </w:p>
    <w:p w14:paraId="5C629C0E"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4E09A7D7" w14:textId="77777777" w:rsidR="0065073E" w:rsidRDefault="000A0998">
      <w:pPr>
        <w:pStyle w:val="P68B1DB1-Normal5"/>
        <w:spacing w:before="120" w:after="120" w:line="240" w:lineRule="auto"/>
        <w:jc w:val="both"/>
        <w:rPr>
          <w:rFonts w:cs="Times New Roman"/>
          <w:noProof/>
        </w:rPr>
      </w:pPr>
      <w:r>
        <w:rPr>
          <w:noProof/>
        </w:rPr>
        <w:t xml:space="preserve">Investointi 1 (C24.I1) – Kulttuuriteollisuuden kilpailukyvyn vahvistaminen </w:t>
      </w:r>
    </w:p>
    <w:p w14:paraId="6378CC61" w14:textId="77777777" w:rsidR="0065073E" w:rsidRDefault="000A0998">
      <w:pPr>
        <w:pStyle w:val="P68B1DB1-Normal4"/>
        <w:spacing w:before="120" w:after="120" w:line="240" w:lineRule="auto"/>
        <w:jc w:val="both"/>
        <w:rPr>
          <w:rFonts w:cs="Times New Roman"/>
          <w:noProof/>
        </w:rPr>
      </w:pPr>
      <w:r>
        <w:rPr>
          <w:noProof/>
        </w:rPr>
        <w:t>Tällä investoinnilla pyritään vastaamaan kulttuurialan kilpailukykyyn liittyviin haasteisiin parantamalla kulttuurialan ja luovien toimialojen liiketoimintarakenteen häiriönsietokykyä ja edistämällä niiden digitaalista siirtymää.</w:t>
      </w:r>
    </w:p>
    <w:p w14:paraId="2C4586F2" w14:textId="77777777" w:rsidR="0065073E" w:rsidRDefault="000A0998">
      <w:pPr>
        <w:pStyle w:val="P68B1DB1-Normal4"/>
        <w:spacing w:before="120" w:after="120" w:line="240" w:lineRule="auto"/>
        <w:jc w:val="both"/>
        <w:rPr>
          <w:rFonts w:cs="Times New Roman"/>
          <w:noProof/>
        </w:rPr>
      </w:pPr>
      <w:r>
        <w:rPr>
          <w:noProof/>
        </w:rPr>
        <w:t>Tätä varten tähän investointiin kuuluvat toimet on ryhmitelty seuraaviin kolmeen hankeluokkaan:</w:t>
      </w:r>
    </w:p>
    <w:p w14:paraId="0256C65D" w14:textId="77777777" w:rsidR="0065073E" w:rsidRDefault="000A0998">
      <w:pPr>
        <w:pStyle w:val="P68B1DB1-Normal4"/>
        <w:numPr>
          <w:ilvl w:val="0"/>
          <w:numId w:val="157"/>
        </w:numPr>
        <w:spacing w:before="120" w:after="120" w:line="240" w:lineRule="auto"/>
        <w:ind w:left="426" w:hanging="426"/>
        <w:jc w:val="both"/>
        <w:rPr>
          <w:rFonts w:cs="Times New Roman"/>
          <w:noProof/>
        </w:rPr>
      </w:pPr>
      <w:r>
        <w:rPr>
          <w:noProof/>
        </w:rPr>
        <w:t>Kulttuurialan ja luovien toimialojen kilpailukyky ja ammattimaisuus seuraavin keinoin: I) kulttuurialan ammattilaisten yrittäjyys- ja taloustaitojen vahvistaminen apurahaohjelman avulla; II) esittävien ja musiikkitaiteiden ammattilaisten johtamista koskeva erityiskoulutus; ja iii) tuki kulttuurin vauhdittajille sellaisten kulttuurihankkeiden kehittämiseksi, joilla on suuri kasvupotentiaali;</w:t>
      </w:r>
    </w:p>
    <w:p w14:paraId="56048618" w14:textId="77777777" w:rsidR="0065073E" w:rsidRDefault="000A0998">
      <w:pPr>
        <w:pStyle w:val="P68B1DB1-Normal4"/>
        <w:numPr>
          <w:ilvl w:val="0"/>
          <w:numId w:val="157"/>
        </w:numPr>
        <w:spacing w:before="120" w:after="120" w:line="240" w:lineRule="auto"/>
        <w:ind w:left="426" w:hanging="426"/>
        <w:jc w:val="both"/>
        <w:rPr>
          <w:rFonts w:cs="Times New Roman"/>
          <w:noProof/>
        </w:rPr>
      </w:pPr>
      <w:r>
        <w:rPr>
          <w:noProof/>
        </w:rPr>
        <w:t>Teollis- ja tekijänoikeuksien hallintajärjestelmien digitalisointi seuraavin keinoin: I) teollis- ja tekijänoikeuksia hallinnoivien toimijoiden digitalisointihankkeiden tukeminen; ja ii) teollis- ja tekijänoikeuksia hallinnoivien hallintoyksiköiden digitalisaation tukeminen;</w:t>
      </w:r>
    </w:p>
    <w:p w14:paraId="06993C4A" w14:textId="77777777" w:rsidR="0065073E" w:rsidRDefault="000A0998">
      <w:pPr>
        <w:pStyle w:val="P68B1DB1-Normal4"/>
        <w:numPr>
          <w:ilvl w:val="0"/>
          <w:numId w:val="157"/>
        </w:numPr>
        <w:spacing w:before="120" w:after="120" w:line="240" w:lineRule="auto"/>
        <w:ind w:left="426" w:hanging="426"/>
        <w:jc w:val="both"/>
        <w:rPr>
          <w:rFonts w:cs="Times New Roman"/>
          <w:noProof/>
        </w:rPr>
      </w:pPr>
      <w:r>
        <w:rPr>
          <w:noProof/>
        </w:rPr>
        <w:t>Kulttuurialan ja luovien toimialojen kansainvälistyminen seuraavin keinoin: I) kirja-alan edistäminen ja digitalisointi, ii) esittävien taiteiden ja musiikkialan hallinnon nykyaikaistamisen ja päivittämisen tukeminen; ja iii) toimenpiteet, joilla autetaan kulttuurialan ja luovien alojen yrityksiä ja ammattilaisia lisäämään läsnäoloaan kansallisilla ja kansainvälisillä markkinoilla.</w:t>
      </w:r>
    </w:p>
    <w:p w14:paraId="3FAA86C6"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198"/>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199"/>
      </w:r>
      <w:r>
        <w:rPr>
          <w:rFonts w:ascii="Times New Roman" w:hAnsi="Times New Roman"/>
          <w:noProof/>
        </w:rPr>
        <w:t>; III) jätteen kaatopaikkoihin, polttolaitoksiin</w:t>
      </w:r>
      <w:r>
        <w:rPr>
          <w:rStyle w:val="FootnoteReference"/>
          <w:rFonts w:ascii="Times New Roman" w:hAnsi="Times New Roman" w:cs="Times New Roman"/>
          <w:noProof/>
        </w:rPr>
        <w:footnoteReference w:id="200"/>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201"/>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0C0133FF" w14:textId="75BAD118"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25347DDA" w14:textId="77777777" w:rsidR="0065073E" w:rsidRDefault="000A0998">
      <w:pPr>
        <w:pStyle w:val="P68B1DB1-Normal5"/>
        <w:spacing w:before="120" w:after="120" w:line="240" w:lineRule="auto"/>
        <w:jc w:val="both"/>
        <w:rPr>
          <w:rFonts w:cs="Times New Roman"/>
          <w:noProof/>
        </w:rPr>
      </w:pPr>
      <w:r>
        <w:rPr>
          <w:noProof/>
        </w:rPr>
        <w:t xml:space="preserve">Investointi 2 (C24.I2) – kulttuurin </w:t>
      </w:r>
      <w:bookmarkStart w:id="58" w:name="_Hlk144898113"/>
      <w:r>
        <w:rPr>
          <w:noProof/>
        </w:rPr>
        <w:t xml:space="preserve">edistäminen koko alueella </w:t>
      </w:r>
      <w:bookmarkEnd w:id="58"/>
    </w:p>
    <w:p w14:paraId="69CCE138" w14:textId="77777777" w:rsidR="0065073E" w:rsidRDefault="000A0998">
      <w:pPr>
        <w:pStyle w:val="P68B1DB1-Normal4"/>
        <w:spacing w:before="120" w:after="120" w:line="240" w:lineRule="auto"/>
        <w:jc w:val="both"/>
        <w:rPr>
          <w:rFonts w:cs="Times New Roman"/>
          <w:noProof/>
        </w:rPr>
      </w:pPr>
      <w:r>
        <w:rPr>
          <w:noProof/>
        </w:rPr>
        <w:t xml:space="preserve">Näillä investoinneilla pyritään parantamaan alueellista ja sosiaalista yhteenkuuluvuutta helpottamalla kulttuurin saatavuutta sekä tukemaan kulttuurialan kestävyyttä ja vakauttamista koko alueella. Tämän investoinnin erityistoimet on ryhmitelty seuraaviin neljään hankeluokkaan: </w:t>
      </w:r>
    </w:p>
    <w:p w14:paraId="73E9170E" w14:textId="77777777" w:rsidR="0065073E" w:rsidRDefault="000A0998">
      <w:pPr>
        <w:pStyle w:val="P68B1DB1-Normal4"/>
        <w:numPr>
          <w:ilvl w:val="0"/>
          <w:numId w:val="158"/>
        </w:numPr>
        <w:spacing w:before="120" w:after="120" w:line="240" w:lineRule="auto"/>
        <w:ind w:left="426" w:hanging="426"/>
        <w:jc w:val="both"/>
        <w:rPr>
          <w:rFonts w:cs="Times New Roman"/>
          <w:noProof/>
        </w:rPr>
      </w:pPr>
      <w:r>
        <w:rPr>
          <w:noProof/>
        </w:rPr>
        <w:t>Esitys- ja musiikkitaiteen infrastruktuurin nykyaikaistamisen ja kestävän hallinnoinnin tukeminen sekä alueiden välisten levityskanavien edistäminen I) resurssien siirtäminen itsehallintoalueille esittävien ja musiikin infrastruktuurien nykyaikaistamisen ja kestävän hallinnoinnin tukemiseksi ja ii) kulttuuriesitysten koordinoinnin helpottamiseksi itsehallintoalueilla;</w:t>
      </w:r>
    </w:p>
    <w:p w14:paraId="50265BA3" w14:textId="77777777" w:rsidR="0065073E" w:rsidRDefault="000A0998">
      <w:pPr>
        <w:pStyle w:val="P68B1DB1-Normal4"/>
        <w:numPr>
          <w:ilvl w:val="0"/>
          <w:numId w:val="158"/>
        </w:numPr>
        <w:spacing w:before="120" w:after="120" w:line="240" w:lineRule="auto"/>
        <w:ind w:left="426" w:hanging="426"/>
        <w:jc w:val="both"/>
        <w:rPr>
          <w:rFonts w:cs="Times New Roman"/>
          <w:noProof/>
        </w:rPr>
      </w:pPr>
      <w:r>
        <w:rPr>
          <w:noProof/>
        </w:rPr>
        <w:t xml:space="preserve">Espanjan kulttuuriperinnön säilyttämistä, restaurointia ja parantamista koskevat toimet, jotka koskevat I) kulttuuriesineeksi julistetun kulttuuriperinnön tunnistaminen ja ii) kulttuuri- ja urheiluministeriön vastuulla olevan kulttuuriperinnön hyödyntäminen erityisesti Madridissa sijaitsevan </w:t>
      </w:r>
      <w:r>
        <w:rPr>
          <w:i/>
          <w:noProof/>
        </w:rPr>
        <w:t>Tabacalera</w:t>
      </w:r>
      <w:r>
        <w:rPr>
          <w:noProof/>
        </w:rPr>
        <w:t xml:space="preserve"> -rakennuksen kattavan restauroinnin avulla;</w:t>
      </w:r>
    </w:p>
    <w:p w14:paraId="6A965740" w14:textId="77777777" w:rsidR="0065073E" w:rsidRDefault="000A0998">
      <w:pPr>
        <w:pStyle w:val="P68B1DB1-Normal4"/>
        <w:numPr>
          <w:ilvl w:val="0"/>
          <w:numId w:val="158"/>
        </w:numPr>
        <w:spacing w:before="120" w:after="120" w:line="240" w:lineRule="auto"/>
        <w:ind w:left="426" w:hanging="426"/>
        <w:jc w:val="both"/>
        <w:rPr>
          <w:rFonts w:cs="Times New Roman"/>
          <w:noProof/>
        </w:rPr>
      </w:pPr>
      <w:r>
        <w:rPr>
          <w:noProof/>
        </w:rPr>
        <w:t>Kirjastojen lahjoittaminen: I) digitaalisten kirjojen lisenssien hankinta ja ii) paperikirjojen osto; ja</w:t>
      </w:r>
    </w:p>
    <w:p w14:paraId="249E26B1" w14:textId="77777777" w:rsidR="0065073E" w:rsidRDefault="000A0998">
      <w:pPr>
        <w:pStyle w:val="P68B1DB1-Normal4"/>
        <w:numPr>
          <w:ilvl w:val="0"/>
          <w:numId w:val="158"/>
        </w:numPr>
        <w:spacing w:before="120" w:after="120" w:line="240" w:lineRule="auto"/>
        <w:ind w:left="426" w:hanging="426"/>
        <w:jc w:val="both"/>
        <w:rPr>
          <w:rFonts w:cs="Times New Roman"/>
          <w:noProof/>
        </w:rPr>
      </w:pPr>
      <w:r>
        <w:rPr>
          <w:noProof/>
        </w:rPr>
        <w:t>Tuki kulttuuritarjonnan laajentamiseen ja monipuolistamiseen kaupunkien ulkopuolisilla alueilla I) kulttuuri-innovoinnin ja -yrittäjyyden edistäminen kaupunkien ulkopuolisilla alueilla; II) varmistetaan yhtäläiset mahdollisuudet kulttuuriin; ja iii) luonnonvarojen vastuullisen ja kestävän käytön edistäminen kulttuurin avulla.</w:t>
      </w:r>
    </w:p>
    <w:p w14:paraId="623F121D"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202"/>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203"/>
      </w:r>
      <w:r>
        <w:rPr>
          <w:rFonts w:ascii="Times New Roman" w:hAnsi="Times New Roman"/>
          <w:noProof/>
        </w:rPr>
        <w:t>; III) jätteen kaatopaikkoihin, polttolaitoksiin</w:t>
      </w:r>
      <w:r>
        <w:rPr>
          <w:rStyle w:val="FootnoteReference"/>
          <w:rFonts w:ascii="Times New Roman" w:hAnsi="Times New Roman" w:cs="Times New Roman"/>
          <w:noProof/>
        </w:rPr>
        <w:footnoteReference w:id="20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205"/>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28A6DD1F" w14:textId="31B76FB0" w:rsidR="0065073E" w:rsidRDefault="000A0998">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247DA809" w14:textId="77777777" w:rsidR="0065073E" w:rsidRDefault="000A0998">
      <w:pPr>
        <w:pStyle w:val="P68B1DB1-Normal5"/>
        <w:spacing w:before="120" w:after="120" w:line="240" w:lineRule="auto"/>
        <w:jc w:val="both"/>
        <w:rPr>
          <w:rFonts w:cs="Times New Roman"/>
          <w:noProof/>
        </w:rPr>
      </w:pPr>
      <w:r>
        <w:rPr>
          <w:noProof/>
        </w:rPr>
        <w:t xml:space="preserve">Investointi 3 (C24.I3) – Keskeisten kulttuuripalvelujen digitalisointi ja edistäminen </w:t>
      </w:r>
    </w:p>
    <w:p w14:paraId="03A41679" w14:textId="77777777" w:rsidR="0065073E" w:rsidRDefault="000A0998">
      <w:pPr>
        <w:pStyle w:val="P68B1DB1-Normal4"/>
        <w:spacing w:before="120" w:after="120" w:line="240" w:lineRule="auto"/>
        <w:jc w:val="both"/>
        <w:rPr>
          <w:rFonts w:cs="Times New Roman"/>
          <w:noProof/>
        </w:rPr>
      </w:pPr>
      <w:r>
        <w:rPr>
          <w:noProof/>
        </w:rPr>
        <w:t>Toimenpiteen tavoitteena on digitalisoida ja edistää suuria kulttuurilaitoksia. Tämän toimenpiteen mukaisilla erityisinvestoinneilla pyritään tukemaan</w:t>
      </w:r>
    </w:p>
    <w:p w14:paraId="48FED215"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 xml:space="preserve">National Prado -museo, asiamiehinään: I) sen saavutettavuuden ja integroinnin parantaminen kaupunkirakenteeseen, ii) kaikkien antureiden integrointi yhdeksi valvotuksi järjestelmäksi, iii) osallistavan kokemuksen kehittäminen museon saattamiseksi entistä useampien vierailijoiden ulottuville, iv) yhteentoimivan digitaalisen alustan kehittäminen museoiden välille, v) hallinnon digitaalisten välineiden parantaminen ja vi) multimediasisällön luominen;  </w:t>
      </w:r>
    </w:p>
    <w:p w14:paraId="72CE5D52"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National Museum Centro de Arte Reina Sofia tarjoaa nuorille taiteilijoille ja ajattelijoille apurahoja ja tutkimusasuntoja, joissa keskitytään kulttuuriperintöä koskevien digitointitoimien kehittämiseen;</w:t>
      </w:r>
    </w:p>
    <w:p w14:paraId="71DF0FFE"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Espanjan kansalliskirjasto edistämällä sen digitaalisten tietojen ja kokoelmien käyttöä ja uudelleenkäyttöä opetuksen, tutkimuksen, kulttuuriteollisuuden ja teknologisen kehityksen tukemiseksi;</w:t>
      </w:r>
    </w:p>
    <w:p w14:paraId="15757132"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Suunnitelma, joka koskee valtionhallinnon tai yksityisten tahojen muun kirjaston omaisuuden digitalisointia ja pääsyä siihen, jotta se voidaan asettaa kansalaisten saataville digitaalisten tietovarastojen kautta;</w:t>
      </w:r>
    </w:p>
    <w:p w14:paraId="5584509F"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Kaikentyyppisten arkistojärjestelmien digitointi, kapasiteetin laajentaminen ja yhteentoimivuus sekä historiallista perintöä, myös audiovisuaalista perintöä, koskevat inventaariot ja tallenteet; ja</w:t>
      </w:r>
    </w:p>
    <w:p w14:paraId="5015CC36" w14:textId="77777777" w:rsidR="0065073E" w:rsidRDefault="000A0998">
      <w:pPr>
        <w:pStyle w:val="P68B1DB1-Normal4"/>
        <w:numPr>
          <w:ilvl w:val="0"/>
          <w:numId w:val="159"/>
        </w:numPr>
        <w:spacing w:before="120" w:after="120" w:line="240" w:lineRule="auto"/>
        <w:ind w:left="426" w:hanging="426"/>
        <w:jc w:val="both"/>
        <w:rPr>
          <w:rFonts w:cs="Times New Roman"/>
          <w:noProof/>
        </w:rPr>
      </w:pPr>
      <w:r>
        <w:rPr>
          <w:noProof/>
        </w:rPr>
        <w:t>Toimenpiteet, joilla nykyaikaistetaan julkisen hallinnon välineitä ja toteutetaan integroitu järjestelmä INAEMin (</w:t>
      </w:r>
      <w:r>
        <w:rPr>
          <w:i/>
          <w:noProof/>
        </w:rPr>
        <w:t>Instituto Nacional de las Artes Escénicas y de la Música</w:t>
      </w:r>
      <w:r>
        <w:rPr>
          <w:noProof/>
        </w:rPr>
        <w:t>) resurssien, varojen, rakenteiden ja infrastruktuurin digitalisointia ja luettelointia varten, mukaan lukien erilaisten kehittyneiden välineiden käyttöönotto esittävien ja musiikkialojen julkisten tukijärjestelmien suunnittelua, hallinnointia ja vaikutustenarviointia varten sekä integroidun digitaalisen järjestelmän (INAEM DIGITAL) käyttöönotto INAEMin asiakirjojen, arkistointipalvelujen sekä rakenteiden ja infrastruktuurien digitalisointia ja luettelointia varten.</w:t>
      </w:r>
    </w:p>
    <w:p w14:paraId="6F481565" w14:textId="77777777" w:rsidR="0065073E" w:rsidRDefault="000A0998">
      <w:pPr>
        <w:pStyle w:val="Text1"/>
        <w:ind w:left="0"/>
        <w:rPr>
          <w:rFonts w:ascii="Times New Roman" w:hAnsi="Times New Roman" w:cs="Times New Roman"/>
          <w:noProof/>
          <w:highlight w:val="green"/>
        </w:rPr>
      </w:pPr>
      <w:r>
        <w:rPr>
          <w:rFonts w:ascii="Times New Roman" w:hAnsi="Times New Roman"/>
          <w:noProof/>
        </w:rPr>
        <w:t>Sen varmistamiseksi, että toimenpide noudattaa teknistä ohjetta ”ei merkittävää haittaa” (2021/C58/01), tulevien hankepyyntöjen tehtävänmääritykseen sisältyviin tukikelpoisuusperusteisiin ei lueta seuraavia toimintoja: I) fossiilisiin polttoaineisiin liittyvät toimet, mukaan lukien loppupään käyttö</w:t>
      </w:r>
      <w:r>
        <w:rPr>
          <w:rStyle w:val="FootnoteReference"/>
          <w:rFonts w:ascii="Times New Roman" w:hAnsi="Times New Roman" w:cs="Times New Roman"/>
          <w:noProof/>
        </w:rPr>
        <w:footnoteReference w:id="206"/>
      </w:r>
      <w:r>
        <w:rPr>
          <w:rFonts w:ascii="Times New Roman" w:hAnsi="Times New Roman"/>
          <w:noProof/>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207"/>
      </w:r>
      <w:r>
        <w:rPr>
          <w:rFonts w:ascii="Times New Roman" w:hAnsi="Times New Roman"/>
          <w:noProof/>
        </w:rPr>
        <w:t>; III) jätteen kaatopaikkoihin, polttolaitoksiin</w:t>
      </w:r>
      <w:r>
        <w:rPr>
          <w:rStyle w:val="FootnoteReference"/>
          <w:rFonts w:ascii="Times New Roman" w:hAnsi="Times New Roman" w:cs="Times New Roman"/>
          <w:noProof/>
        </w:rPr>
        <w:footnoteReference w:id="20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209"/>
      </w:r>
      <w:r>
        <w:rPr>
          <w:rFonts w:ascii="Times New Roman" w:hAnsi="Times New Roman"/>
          <w:noProof/>
        </w:rPr>
        <w:t>; ja iv) toiminnot, joissa jätteiden pitkän aikavälin loppukäsittely voi aiheuttaa haittaa ympäristölle. Tehtävänkuvauksessa edellytetään lisäksi, että voidaan valita ainoastaan toimintoja, jotka ovat asiaa koskevan EU:n ja kansallisen ympäristölainsäädännön mukaisia.</w:t>
      </w:r>
    </w:p>
    <w:p w14:paraId="3B69C578" w14:textId="7FE1373B" w:rsidR="0065073E" w:rsidRDefault="000A0998">
      <w:pPr>
        <w:pStyle w:val="P68B1DB1-Normal4"/>
        <w:spacing w:before="120" w:after="120" w:line="240" w:lineRule="auto"/>
        <w:jc w:val="both"/>
        <w:rPr>
          <w:rFonts w:cs="Times New Roman"/>
          <w:noProof/>
        </w:rPr>
      </w:pPr>
      <w:r>
        <w:rPr>
          <w:noProof/>
        </w:rPr>
        <w:t xml:space="preserve">Investoinnin toteutus on saatettava päätökseen 31 päivään joulukuuta 2023 mennessä. </w:t>
      </w:r>
    </w:p>
    <w:p w14:paraId="3E211C61" w14:textId="77777777"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X.2.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74A8B55"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p w14:paraId="21D00A68" w14:textId="77777777" w:rsidR="0065073E" w:rsidRDefault="0065073E">
      <w:pPr>
        <w:spacing w:before="120" w:after="120" w:line="240" w:lineRule="auto"/>
        <w:jc w:val="both"/>
        <w:rPr>
          <w:rFonts w:ascii="Times New Roman" w:hAnsi="Times New Roman" w:cs="Times New Roman"/>
          <w:noProof/>
          <w:sz w:val="24"/>
        </w:rPr>
        <w:sectPr w:rsidR="0065073E" w:rsidSect="00B511EF">
          <w:headerReference w:type="even" r:id="rId523"/>
          <w:headerReference w:type="default" r:id="rId524"/>
          <w:footerReference w:type="even" r:id="rId525"/>
          <w:footerReference w:type="default" r:id="rId526"/>
          <w:headerReference w:type="first" r:id="rId527"/>
          <w:footerReference w:type="first" r:id="rId528"/>
          <w:pgSz w:w="11907" w:h="16839"/>
          <w:pgMar w:top="1134" w:right="1134" w:bottom="1134" w:left="1134" w:header="567" w:footer="567"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968"/>
        <w:gridCol w:w="828"/>
        <w:gridCol w:w="1655"/>
        <w:gridCol w:w="966"/>
        <w:gridCol w:w="691"/>
        <w:gridCol w:w="966"/>
        <w:gridCol w:w="691"/>
        <w:gridCol w:w="691"/>
        <w:gridCol w:w="553"/>
        <w:gridCol w:w="6646"/>
      </w:tblGrid>
      <w:tr w:rsidR="0065073E" w14:paraId="47E093BB" w14:textId="77777777">
        <w:trPr>
          <w:trHeight w:val="309"/>
          <w:tblHeader/>
        </w:trPr>
        <w:tc>
          <w:tcPr>
            <w:tcW w:w="851" w:type="dxa"/>
            <w:tcBorders>
              <w:bottom w:val="nil"/>
            </w:tcBorders>
            <w:shd w:val="clear" w:color="auto" w:fill="C6D9F1" w:themeFill="text2" w:themeFillTint="33"/>
            <w:noWrap/>
            <w:vAlign w:val="center"/>
          </w:tcPr>
          <w:p w14:paraId="452BF90B" w14:textId="77777777" w:rsidR="0065073E" w:rsidRDefault="000A0998">
            <w:pPr>
              <w:pStyle w:val="P68B1DB1-Normal8"/>
              <w:spacing w:after="0" w:line="240" w:lineRule="auto"/>
              <w:jc w:val="center"/>
              <w:rPr>
                <w:rFonts w:cs="Times New Roman"/>
                <w:noProof/>
              </w:rPr>
            </w:pPr>
            <w:r>
              <w:rPr>
                <w:noProof/>
              </w:rPr>
              <w:t>Määrä</w:t>
            </w:r>
          </w:p>
        </w:tc>
        <w:tc>
          <w:tcPr>
            <w:tcW w:w="993" w:type="dxa"/>
            <w:tcBorders>
              <w:bottom w:val="nil"/>
            </w:tcBorders>
            <w:shd w:val="clear" w:color="auto" w:fill="C6D9F1" w:themeFill="text2" w:themeFillTint="33"/>
            <w:noWrap/>
            <w:vAlign w:val="center"/>
          </w:tcPr>
          <w:p w14:paraId="42FDFCDA" w14:textId="77777777" w:rsidR="0065073E" w:rsidRDefault="000A0998">
            <w:pPr>
              <w:pStyle w:val="P68B1DB1-Normal8"/>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24DA1994"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701" w:type="dxa"/>
            <w:tcBorders>
              <w:bottom w:val="nil"/>
            </w:tcBorders>
            <w:shd w:val="clear" w:color="auto" w:fill="C6D9F1" w:themeFill="text2" w:themeFillTint="33"/>
            <w:noWrap/>
            <w:vAlign w:val="center"/>
          </w:tcPr>
          <w:p w14:paraId="5E140932" w14:textId="77777777" w:rsidR="0065073E" w:rsidRDefault="000A0998">
            <w:pPr>
              <w:pStyle w:val="P68B1DB1-Normal8"/>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41B1B97A"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vAlign w:val="center"/>
          </w:tcPr>
          <w:p w14:paraId="5A254FE4"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276" w:type="dxa"/>
            <w:gridSpan w:val="2"/>
            <w:shd w:val="clear" w:color="auto" w:fill="C6D9F1" w:themeFill="text2" w:themeFillTint="33"/>
            <w:noWrap/>
            <w:vAlign w:val="center"/>
          </w:tcPr>
          <w:p w14:paraId="6476BE1C" w14:textId="77777777" w:rsidR="0065073E" w:rsidRDefault="000A0998">
            <w:pPr>
              <w:pStyle w:val="P68B1DB1-Normal8"/>
              <w:spacing w:after="0" w:line="240" w:lineRule="auto"/>
              <w:jc w:val="center"/>
              <w:rPr>
                <w:rFonts w:cs="Times New Roman"/>
                <w:noProof/>
              </w:rPr>
            </w:pPr>
            <w:r>
              <w:rPr>
                <w:noProof/>
              </w:rPr>
              <w:t>Aika</w:t>
            </w:r>
          </w:p>
        </w:tc>
        <w:tc>
          <w:tcPr>
            <w:tcW w:w="6837" w:type="dxa"/>
            <w:tcBorders>
              <w:bottom w:val="nil"/>
            </w:tcBorders>
            <w:shd w:val="clear" w:color="auto" w:fill="C6D9F1" w:themeFill="text2" w:themeFillTint="33"/>
            <w:noWrap/>
            <w:vAlign w:val="center"/>
          </w:tcPr>
          <w:p w14:paraId="3A6821AC"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7B4E4ABA" w14:textId="77777777">
        <w:trPr>
          <w:trHeight w:val="309"/>
          <w:tblHeader/>
        </w:trPr>
        <w:tc>
          <w:tcPr>
            <w:tcW w:w="851" w:type="dxa"/>
            <w:tcBorders>
              <w:top w:val="nil"/>
            </w:tcBorders>
            <w:shd w:val="clear" w:color="auto" w:fill="C6D9F1" w:themeFill="text2" w:themeFillTint="33"/>
            <w:noWrap/>
          </w:tcPr>
          <w:p w14:paraId="0D905B62" w14:textId="77777777" w:rsidR="0065073E" w:rsidRDefault="0065073E">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60E6809" w14:textId="77777777" w:rsidR="0065073E" w:rsidRDefault="0065073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1BA0C45" w14:textId="77777777" w:rsidR="0065073E" w:rsidRDefault="0065073E">
            <w:pPr>
              <w:spacing w:after="0" w:line="240" w:lineRule="auto"/>
              <w:jc w:val="center"/>
              <w:rPr>
                <w:rFonts w:ascii="Times New Roman" w:hAnsi="Times New Roman" w:cs="Times New Roman"/>
                <w:b/>
                <w:noProof/>
                <w:sz w:val="18"/>
              </w:rPr>
            </w:pPr>
          </w:p>
        </w:tc>
        <w:tc>
          <w:tcPr>
            <w:tcW w:w="1701" w:type="dxa"/>
            <w:tcBorders>
              <w:top w:val="nil"/>
            </w:tcBorders>
            <w:shd w:val="clear" w:color="auto" w:fill="C6D9F1" w:themeFill="text2" w:themeFillTint="33"/>
            <w:noWrap/>
          </w:tcPr>
          <w:p w14:paraId="7975753A" w14:textId="77777777" w:rsidR="0065073E" w:rsidRDefault="0065073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A1F1AD2" w14:textId="77777777" w:rsidR="0065073E" w:rsidRDefault="0065073E">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0654C1BC" w14:textId="77777777" w:rsidR="0065073E" w:rsidRDefault="000A0998">
            <w:pPr>
              <w:pStyle w:val="P68B1DB1-Normal8"/>
              <w:spacing w:after="0" w:line="240" w:lineRule="auto"/>
              <w:jc w:val="center"/>
              <w:rPr>
                <w:rFonts w:cs="Times New Roman"/>
                <w:noProof/>
              </w:rPr>
            </w:pPr>
            <w:r>
              <w:rPr>
                <w:noProof/>
              </w:rPr>
              <w:t>Yksikkö</w:t>
            </w:r>
          </w:p>
        </w:tc>
        <w:tc>
          <w:tcPr>
            <w:tcW w:w="992" w:type="dxa"/>
            <w:shd w:val="clear" w:color="auto" w:fill="C6D9F1" w:themeFill="text2" w:themeFillTint="33"/>
            <w:noWrap/>
            <w:vAlign w:val="center"/>
          </w:tcPr>
          <w:p w14:paraId="7C98FBCC" w14:textId="1816274F" w:rsidR="0065073E" w:rsidRDefault="000A0998">
            <w:pPr>
              <w:pStyle w:val="P68B1DB1-Normal8"/>
              <w:spacing w:after="0" w:line="240" w:lineRule="auto"/>
              <w:jc w:val="center"/>
              <w:rPr>
                <w:rFonts w:cs="Times New Roman"/>
                <w:noProof/>
              </w:rPr>
            </w:pPr>
            <w:r>
              <w:rPr>
                <w:noProof/>
              </w:rPr>
              <w:t>Lähtötaso</w:t>
            </w:r>
          </w:p>
        </w:tc>
        <w:tc>
          <w:tcPr>
            <w:tcW w:w="709" w:type="dxa"/>
            <w:shd w:val="clear" w:color="auto" w:fill="C6D9F1" w:themeFill="text2" w:themeFillTint="33"/>
            <w:noWrap/>
            <w:vAlign w:val="center"/>
          </w:tcPr>
          <w:p w14:paraId="1400AB49" w14:textId="77777777" w:rsidR="0065073E" w:rsidRDefault="000A0998">
            <w:pPr>
              <w:pStyle w:val="P68B1DB1-Normal8"/>
              <w:spacing w:after="0" w:line="240" w:lineRule="auto"/>
              <w:jc w:val="center"/>
              <w:rPr>
                <w:rFonts w:cs="Times New Roman"/>
                <w:noProof/>
              </w:rPr>
            </w:pPr>
            <w:r>
              <w:rPr>
                <w:noProof/>
              </w:rPr>
              <w:t>Päämäärä</w:t>
            </w:r>
          </w:p>
        </w:tc>
        <w:tc>
          <w:tcPr>
            <w:tcW w:w="709" w:type="dxa"/>
            <w:shd w:val="clear" w:color="auto" w:fill="C6D9F1" w:themeFill="text2" w:themeFillTint="33"/>
            <w:noWrap/>
            <w:vAlign w:val="center"/>
          </w:tcPr>
          <w:p w14:paraId="78B7D1D4" w14:textId="77777777" w:rsidR="0065073E" w:rsidRDefault="000A0998">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EF9A8B4" w14:textId="77777777" w:rsidR="0065073E" w:rsidRDefault="000A0998">
            <w:pPr>
              <w:pStyle w:val="P68B1DB1-Normal8"/>
              <w:spacing w:after="0" w:line="240" w:lineRule="auto"/>
              <w:jc w:val="center"/>
              <w:rPr>
                <w:rFonts w:cs="Times New Roman"/>
                <w:noProof/>
              </w:rPr>
            </w:pPr>
            <w:r>
              <w:rPr>
                <w:noProof/>
              </w:rPr>
              <w:t>Vuosi</w:t>
            </w:r>
          </w:p>
        </w:tc>
        <w:tc>
          <w:tcPr>
            <w:tcW w:w="6837" w:type="dxa"/>
            <w:tcBorders>
              <w:top w:val="nil"/>
            </w:tcBorders>
            <w:shd w:val="clear" w:color="auto" w:fill="C6D9F1" w:themeFill="text2" w:themeFillTint="33"/>
            <w:noWrap/>
          </w:tcPr>
          <w:p w14:paraId="0AC9D072" w14:textId="77777777" w:rsidR="0065073E" w:rsidRDefault="0065073E">
            <w:pPr>
              <w:spacing w:after="0" w:line="240" w:lineRule="auto"/>
              <w:rPr>
                <w:rFonts w:ascii="Times New Roman" w:hAnsi="Times New Roman" w:cs="Times New Roman"/>
                <w:b/>
                <w:noProof/>
                <w:sz w:val="18"/>
              </w:rPr>
            </w:pPr>
          </w:p>
        </w:tc>
      </w:tr>
      <w:tr w:rsidR="0065073E" w14:paraId="5984E482" w14:textId="77777777">
        <w:trPr>
          <w:trHeight w:val="309"/>
        </w:trPr>
        <w:tc>
          <w:tcPr>
            <w:tcW w:w="851" w:type="dxa"/>
            <w:shd w:val="clear" w:color="auto" w:fill="C6EFCE"/>
            <w:noWrap/>
          </w:tcPr>
          <w:p w14:paraId="0595ACF2" w14:textId="77777777" w:rsidR="0065073E" w:rsidRDefault="000A0998">
            <w:pPr>
              <w:pStyle w:val="P68B1DB1-Normal12"/>
              <w:spacing w:after="0" w:line="240" w:lineRule="auto"/>
              <w:jc w:val="center"/>
              <w:rPr>
                <w:rFonts w:eastAsia="Times New Roman" w:cs="Times New Roman"/>
                <w:noProof/>
              </w:rPr>
            </w:pPr>
            <w:r>
              <w:rPr>
                <w:noProof/>
              </w:rPr>
              <w:t>352</w:t>
            </w:r>
          </w:p>
        </w:tc>
        <w:tc>
          <w:tcPr>
            <w:tcW w:w="993" w:type="dxa"/>
            <w:shd w:val="clear" w:color="auto" w:fill="C6EFCE"/>
            <w:noWrap/>
          </w:tcPr>
          <w:p w14:paraId="5A187EA1" w14:textId="77777777" w:rsidR="0065073E" w:rsidRDefault="000A0998">
            <w:pPr>
              <w:pStyle w:val="P68B1DB1-Normal12"/>
              <w:spacing w:after="0" w:line="240" w:lineRule="auto"/>
              <w:jc w:val="center"/>
              <w:rPr>
                <w:rFonts w:eastAsia="Times New Roman" w:cs="Times New Roman"/>
                <w:noProof/>
              </w:rPr>
            </w:pPr>
            <w:r>
              <w:rPr>
                <w:noProof/>
              </w:rPr>
              <w:t>C24.R1</w:t>
            </w:r>
          </w:p>
        </w:tc>
        <w:tc>
          <w:tcPr>
            <w:tcW w:w="850" w:type="dxa"/>
            <w:shd w:val="clear" w:color="auto" w:fill="C6EFCE"/>
            <w:noWrap/>
          </w:tcPr>
          <w:p w14:paraId="78BEC199" w14:textId="77777777" w:rsidR="0065073E" w:rsidRDefault="000A0998">
            <w:pPr>
              <w:pStyle w:val="P68B1DB1-Normal12"/>
              <w:spacing w:after="0" w:line="240" w:lineRule="auto"/>
              <w:jc w:val="center"/>
              <w:rPr>
                <w:rFonts w:eastAsia="Times New Roman" w:cs="Times New Roman"/>
                <w:noProof/>
              </w:rPr>
            </w:pPr>
            <w:r>
              <w:rPr>
                <w:noProof/>
              </w:rPr>
              <w:t>M</w:t>
            </w:r>
          </w:p>
        </w:tc>
        <w:tc>
          <w:tcPr>
            <w:tcW w:w="1701" w:type="dxa"/>
            <w:shd w:val="clear" w:color="auto" w:fill="C6EFCE"/>
            <w:noWrap/>
          </w:tcPr>
          <w:p w14:paraId="491605FD" w14:textId="77777777" w:rsidR="0065073E" w:rsidRDefault="000A0998">
            <w:pPr>
              <w:pStyle w:val="P68B1DB1-Normal12"/>
              <w:spacing w:after="0" w:line="240" w:lineRule="auto"/>
              <w:rPr>
                <w:rFonts w:eastAsia="Times New Roman" w:cs="Times New Roman"/>
                <w:noProof/>
              </w:rPr>
            </w:pPr>
            <w:r>
              <w:rPr>
                <w:noProof/>
              </w:rPr>
              <w:t>Taiteilijan perussäännön, sponsoroinnin ja verokannustinjärjestelmän voimaantulo.</w:t>
            </w:r>
          </w:p>
        </w:tc>
        <w:tc>
          <w:tcPr>
            <w:tcW w:w="992" w:type="dxa"/>
            <w:shd w:val="clear" w:color="auto" w:fill="C6EFCE"/>
            <w:noWrap/>
          </w:tcPr>
          <w:p w14:paraId="6CF09B0A" w14:textId="77777777" w:rsidR="0065073E" w:rsidRDefault="000A0998">
            <w:pPr>
              <w:pStyle w:val="P68B1DB1-Normal12"/>
              <w:spacing w:after="0" w:line="240" w:lineRule="auto"/>
              <w:jc w:val="center"/>
              <w:rPr>
                <w:rFonts w:eastAsia="Times New Roman" w:cs="Times New Roman"/>
                <w:noProof/>
              </w:rPr>
            </w:pPr>
            <w:r>
              <w:rPr>
                <w:noProof/>
              </w:rPr>
              <w:t>Asetuksen voimaantuloa koskevat säännökset</w:t>
            </w:r>
          </w:p>
        </w:tc>
        <w:tc>
          <w:tcPr>
            <w:tcW w:w="709" w:type="dxa"/>
            <w:shd w:val="clear" w:color="auto" w:fill="C6EFCE"/>
            <w:noWrap/>
          </w:tcPr>
          <w:p w14:paraId="6578D08E"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6E5D69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A663420"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DEA7E39"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7F93F4E"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837" w:type="dxa"/>
            <w:shd w:val="clear" w:color="auto" w:fill="C6EFCE"/>
            <w:noWrap/>
          </w:tcPr>
          <w:p w14:paraId="7FFE4AB4" w14:textId="77777777" w:rsidR="0065073E" w:rsidRDefault="000A0998">
            <w:pPr>
              <w:pStyle w:val="P68B1DB1-Normal12"/>
              <w:spacing w:after="0" w:line="240" w:lineRule="auto"/>
              <w:rPr>
                <w:rFonts w:eastAsia="Times New Roman" w:cs="Times New Roman"/>
                <w:noProof/>
              </w:rPr>
            </w:pPr>
            <w:r>
              <w:rPr>
                <w:noProof/>
              </w:rPr>
              <w:t>Taiteilijan perussäännön täytäntöönpanoa koskevien sääntelymuutosten voimaantulo ja seuraavien näkökohtien sääntely, joilla pyritään parantamaan taiteilijoiden työoloja: alv:n riittävyys; henkilökohtainen tulovero; julkisilla ammateilla toimivien taiteilijoiden ammattijärjestöjen edustavuus, terveys ja erityiset työsuhteet; sponsoroinnin sääntelyn parantaminen ja verokannustinjärjestelmä.</w:t>
            </w:r>
          </w:p>
        </w:tc>
      </w:tr>
      <w:tr w:rsidR="0065073E" w14:paraId="7E3571B0" w14:textId="77777777">
        <w:trPr>
          <w:trHeight w:val="309"/>
        </w:trPr>
        <w:tc>
          <w:tcPr>
            <w:tcW w:w="851" w:type="dxa"/>
            <w:shd w:val="clear" w:color="auto" w:fill="C6EFCE"/>
            <w:noWrap/>
          </w:tcPr>
          <w:p w14:paraId="5A3F38A6" w14:textId="77777777" w:rsidR="0065073E" w:rsidRDefault="000A0998">
            <w:pPr>
              <w:pStyle w:val="P68B1DB1-Normal12"/>
              <w:spacing w:after="0" w:line="240" w:lineRule="auto"/>
              <w:jc w:val="center"/>
              <w:rPr>
                <w:rFonts w:eastAsia="Times New Roman" w:cs="Times New Roman"/>
                <w:noProof/>
              </w:rPr>
            </w:pPr>
            <w:r>
              <w:rPr>
                <w:noProof/>
              </w:rPr>
              <w:t>353</w:t>
            </w:r>
          </w:p>
        </w:tc>
        <w:tc>
          <w:tcPr>
            <w:tcW w:w="993" w:type="dxa"/>
            <w:shd w:val="clear" w:color="auto" w:fill="C6EFCE"/>
            <w:noWrap/>
          </w:tcPr>
          <w:p w14:paraId="466D27F3" w14:textId="77777777" w:rsidR="0065073E" w:rsidRDefault="000A0998">
            <w:pPr>
              <w:pStyle w:val="P68B1DB1-Normal12"/>
              <w:spacing w:after="0" w:line="240" w:lineRule="auto"/>
              <w:jc w:val="center"/>
              <w:rPr>
                <w:rFonts w:eastAsia="Times New Roman" w:cs="Times New Roman"/>
                <w:noProof/>
              </w:rPr>
            </w:pPr>
            <w:r>
              <w:rPr>
                <w:noProof/>
              </w:rPr>
              <w:t>C24.R2</w:t>
            </w:r>
          </w:p>
        </w:tc>
        <w:tc>
          <w:tcPr>
            <w:tcW w:w="850" w:type="dxa"/>
            <w:shd w:val="clear" w:color="auto" w:fill="C6EFCE"/>
            <w:noWrap/>
          </w:tcPr>
          <w:p w14:paraId="64A2617A" w14:textId="77777777" w:rsidR="0065073E" w:rsidRDefault="000A0998">
            <w:pPr>
              <w:pStyle w:val="P68B1DB1-Normal12"/>
              <w:spacing w:after="0" w:line="240" w:lineRule="auto"/>
              <w:jc w:val="center"/>
              <w:rPr>
                <w:rFonts w:eastAsia="Times New Roman" w:cs="Times New Roman"/>
                <w:noProof/>
              </w:rPr>
            </w:pPr>
            <w:r>
              <w:rPr>
                <w:noProof/>
              </w:rPr>
              <w:t>M</w:t>
            </w:r>
          </w:p>
        </w:tc>
        <w:tc>
          <w:tcPr>
            <w:tcW w:w="1701" w:type="dxa"/>
            <w:shd w:val="clear" w:color="auto" w:fill="C6EFCE"/>
            <w:noWrap/>
          </w:tcPr>
          <w:p w14:paraId="44827B1C" w14:textId="77777777" w:rsidR="0065073E" w:rsidRDefault="000A0998">
            <w:pPr>
              <w:pStyle w:val="P68B1DB1-Normal12"/>
              <w:spacing w:after="0" w:line="240" w:lineRule="auto"/>
              <w:rPr>
                <w:rFonts w:eastAsia="Times New Roman" w:cs="Times New Roman"/>
                <w:noProof/>
              </w:rPr>
            </w:pPr>
            <w:r>
              <w:rPr>
                <w:noProof/>
              </w:rPr>
              <w:t>Tekijänoikeuden ja lähioikeuksien vahvistamista koskevien lainsäädäntö- ja sääntelytoimenpiteiden voimaantulo</w:t>
            </w:r>
          </w:p>
        </w:tc>
        <w:tc>
          <w:tcPr>
            <w:tcW w:w="992" w:type="dxa"/>
            <w:shd w:val="clear" w:color="auto" w:fill="C6EFCE"/>
            <w:noWrap/>
          </w:tcPr>
          <w:p w14:paraId="5CB9A954" w14:textId="77777777" w:rsidR="0065073E" w:rsidRDefault="000A0998">
            <w:pPr>
              <w:pStyle w:val="P68B1DB1-Normal12"/>
              <w:spacing w:after="0" w:line="240" w:lineRule="auto"/>
              <w:jc w:val="center"/>
              <w:rPr>
                <w:rFonts w:eastAsia="Times New Roman" w:cs="Times New Roman"/>
                <w:noProof/>
              </w:rPr>
            </w:pPr>
            <w:r>
              <w:rPr>
                <w:noProof/>
              </w:rPr>
              <w:t>Voimaantuloon liittyvien säädösten säännökset</w:t>
            </w:r>
          </w:p>
        </w:tc>
        <w:tc>
          <w:tcPr>
            <w:tcW w:w="709" w:type="dxa"/>
            <w:shd w:val="clear" w:color="auto" w:fill="C6EFCE"/>
            <w:noWrap/>
          </w:tcPr>
          <w:p w14:paraId="59A1D248"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00CFB09"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D074ACD"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BCDA611"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B689CF0"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837" w:type="dxa"/>
            <w:shd w:val="clear" w:color="auto" w:fill="C6EFCE"/>
            <w:noWrap/>
          </w:tcPr>
          <w:p w14:paraId="375976F5" w14:textId="77777777" w:rsidR="0065073E" w:rsidRDefault="000A0998">
            <w:pPr>
              <w:pStyle w:val="P68B1DB1-Normal12"/>
              <w:spacing w:after="0" w:line="240" w:lineRule="auto"/>
              <w:rPr>
                <w:rFonts w:eastAsia="Times New Roman" w:cs="Times New Roman"/>
                <w:noProof/>
              </w:rPr>
            </w:pPr>
            <w:r>
              <w:rPr>
                <w:noProof/>
              </w:rPr>
              <w:t>1) Teollis- ja tekijänoikeuksia Euroopan digitaalisilla sisämarkkinoilla koskevan lain hyväksyminen saattamalla kokonaisuudessaan osaksi kansallista lainsäädäntöä direktiivit 2019/789 SatCab ja 2019/790; 2) Teollis- ja tekijänoikeuksien rekisteriä koskevan asetuksen hyväksymisestä annettu kuninkaallinen asetus; 3) kuninkaallinen asetus teollis- ja tekijänoikeuksia käsittelevän toimikunnan toiminnasta 30 päivänä joulukuuta 2006 annetun kuninkaallisen asetuksen 1889/2011 muuttamisesta; ja 4) Asianmukaisen normatiivisen välineen ja Espanjan tekijänoikeusviraston perussäännön hyväksyminen</w:t>
            </w:r>
          </w:p>
        </w:tc>
      </w:tr>
      <w:tr w:rsidR="0065073E" w14:paraId="6ECFC41B" w14:textId="77777777">
        <w:trPr>
          <w:trHeight w:val="309"/>
        </w:trPr>
        <w:tc>
          <w:tcPr>
            <w:tcW w:w="851" w:type="dxa"/>
            <w:shd w:val="clear" w:color="auto" w:fill="C6EFCE"/>
            <w:noWrap/>
          </w:tcPr>
          <w:p w14:paraId="63576139" w14:textId="77777777" w:rsidR="0065073E" w:rsidRDefault="000A0998">
            <w:pPr>
              <w:pStyle w:val="P68B1DB1-Normal12"/>
              <w:spacing w:after="0" w:line="240" w:lineRule="auto"/>
              <w:jc w:val="center"/>
              <w:rPr>
                <w:rFonts w:eastAsia="Times New Roman" w:cs="Times New Roman"/>
                <w:noProof/>
              </w:rPr>
            </w:pPr>
            <w:r>
              <w:rPr>
                <w:noProof/>
              </w:rPr>
              <w:t>354</w:t>
            </w:r>
          </w:p>
        </w:tc>
        <w:tc>
          <w:tcPr>
            <w:tcW w:w="993" w:type="dxa"/>
            <w:shd w:val="clear" w:color="auto" w:fill="C6EFCE"/>
            <w:noWrap/>
          </w:tcPr>
          <w:p w14:paraId="2A39C450" w14:textId="77777777" w:rsidR="0065073E" w:rsidRDefault="000A0998">
            <w:pPr>
              <w:pStyle w:val="P68B1DB1-Normal12"/>
              <w:spacing w:after="0" w:line="240" w:lineRule="auto"/>
              <w:jc w:val="center"/>
              <w:rPr>
                <w:rFonts w:eastAsia="Times New Roman" w:cs="Times New Roman"/>
                <w:noProof/>
              </w:rPr>
            </w:pPr>
            <w:r>
              <w:rPr>
                <w:noProof/>
              </w:rPr>
              <w:t>C24.I1</w:t>
            </w:r>
          </w:p>
        </w:tc>
        <w:tc>
          <w:tcPr>
            <w:tcW w:w="850" w:type="dxa"/>
            <w:shd w:val="clear" w:color="auto" w:fill="C6EFCE"/>
            <w:noWrap/>
          </w:tcPr>
          <w:p w14:paraId="052D0D87" w14:textId="77777777" w:rsidR="0065073E" w:rsidRDefault="000A0998">
            <w:pPr>
              <w:pStyle w:val="P68B1DB1-Normal12"/>
              <w:spacing w:after="0" w:line="240" w:lineRule="auto"/>
              <w:jc w:val="center"/>
              <w:rPr>
                <w:rFonts w:eastAsia="Times New Roman" w:cs="Times New Roman"/>
                <w:noProof/>
              </w:rPr>
            </w:pPr>
            <w:r>
              <w:rPr>
                <w:noProof/>
              </w:rPr>
              <w:t>T</w:t>
            </w:r>
          </w:p>
        </w:tc>
        <w:tc>
          <w:tcPr>
            <w:tcW w:w="1701" w:type="dxa"/>
            <w:shd w:val="clear" w:color="auto" w:fill="C6EFCE"/>
            <w:noWrap/>
          </w:tcPr>
          <w:p w14:paraId="2C6CAD11" w14:textId="77777777" w:rsidR="0065073E" w:rsidRDefault="000A0998">
            <w:pPr>
              <w:pStyle w:val="P68B1DB1-Normal12"/>
              <w:spacing w:after="0" w:line="240" w:lineRule="auto"/>
              <w:rPr>
                <w:rFonts w:cs="Times New Roman"/>
                <w:noProof/>
              </w:rPr>
            </w:pPr>
            <w:r>
              <w:rPr>
                <w:noProof/>
              </w:rPr>
              <w:t xml:space="preserve">Kulttuuriteollisuuden kilpailukyvyn vahvistaminen </w:t>
            </w:r>
          </w:p>
        </w:tc>
        <w:tc>
          <w:tcPr>
            <w:tcW w:w="992" w:type="dxa"/>
            <w:shd w:val="clear" w:color="auto" w:fill="C6EFCE"/>
            <w:noWrap/>
          </w:tcPr>
          <w:p w14:paraId="6038216B"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466E135"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59DA9834"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20DD696" w14:textId="77777777" w:rsidR="0065073E" w:rsidRDefault="000A0998">
            <w:pPr>
              <w:pStyle w:val="P68B1DB1-Normal12"/>
              <w:spacing w:after="0" w:line="240" w:lineRule="auto"/>
              <w:jc w:val="right"/>
              <w:rPr>
                <w:rFonts w:eastAsia="Times New Roman" w:cs="Times New Roman"/>
                <w:noProof/>
              </w:rPr>
            </w:pPr>
            <w:r>
              <w:rPr>
                <w:noProof/>
              </w:rPr>
              <w:t>1 216</w:t>
            </w:r>
          </w:p>
        </w:tc>
        <w:tc>
          <w:tcPr>
            <w:tcW w:w="709" w:type="dxa"/>
            <w:shd w:val="clear" w:color="auto" w:fill="C6EFCE"/>
            <w:noWrap/>
          </w:tcPr>
          <w:p w14:paraId="57EE0E36"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62A3FFA9"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837" w:type="dxa"/>
            <w:shd w:val="clear" w:color="auto" w:fill="C6EFCE"/>
            <w:noWrap/>
          </w:tcPr>
          <w:p w14:paraId="4893F2A0"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Niiden yhteisöjen ja hankkeiden lukumäärä, jotka saavat rahoitusta tukijärjestelmästä: </w:t>
            </w:r>
            <w:r>
              <w:rPr>
                <w:noProof/>
              </w:rPr>
              <w:t xml:space="preserve"> </w:t>
            </w:r>
            <w:r>
              <w:rPr>
                <w:noProof/>
              </w:rPr>
              <w:br/>
            </w:r>
            <w:r>
              <w:rPr>
                <w:rFonts w:ascii="Times New Roman" w:hAnsi="Times New Roman"/>
                <w:noProof/>
                <w:sz w:val="18"/>
              </w:rPr>
              <w:t>— kulttuurialan ja luovien toimialojen ammattilaisten yrittäjyys- ja taloustaidot (vähintään 900 yksikköä)</w:t>
            </w:r>
            <w:r>
              <w:rPr>
                <w:noProof/>
              </w:rPr>
              <w:t xml:space="preserve"> </w:t>
            </w:r>
            <w:r>
              <w:rPr>
                <w:noProof/>
              </w:rPr>
              <w:br/>
            </w:r>
            <w:r>
              <w:rPr>
                <w:rFonts w:ascii="Times New Roman" w:hAnsi="Times New Roman"/>
                <w:noProof/>
                <w:sz w:val="18"/>
              </w:rPr>
              <w:t>— digitalisaatiosuunnittelun toteuttaminen ja digitalisaatiosta käytävää keskustelua varten luodut välineet (vähintään 16 hanketta)</w:t>
            </w:r>
            <w:r>
              <w:rPr>
                <w:noProof/>
              </w:rPr>
              <w:t xml:space="preserve"> </w:t>
            </w:r>
            <w:r>
              <w:rPr>
                <w:noProof/>
              </w:rPr>
              <w:br/>
            </w:r>
            <w:r>
              <w:rPr>
                <w:rFonts w:ascii="Times New Roman" w:hAnsi="Times New Roman"/>
                <w:noProof/>
                <w:sz w:val="18"/>
              </w:rPr>
              <w:t>— kulttuurialan ja luovien alojen kansainvälistyminen (vähintään 300 yhteisöä).</w:t>
            </w:r>
            <w:r>
              <w:rPr>
                <w:noProof/>
              </w:rPr>
              <w:t xml:space="preserve"> </w:t>
            </w:r>
            <w:r>
              <w:rPr>
                <w:noProof/>
              </w:rPr>
              <w:br/>
            </w:r>
            <w:r>
              <w:rPr>
                <w:rFonts w:ascii="Times New Roman" w:hAnsi="Times New Roman"/>
                <w:noProof/>
                <w:sz w:val="18"/>
              </w:rPr>
              <w:t>Hankkeiden on oltava ”ei merkittävää haittaa” -periaatetta koskevien teknisten ohjeiden (2021/C58/01) mukaisia käyttämällä poissulkemisluetteloa ja vaatimusta asiaa koskevan EU:n ja kansallisen ympäristölainsäädännön noudattamisesta.</w:t>
            </w:r>
          </w:p>
        </w:tc>
      </w:tr>
      <w:tr w:rsidR="0065073E" w14:paraId="3BF070AF" w14:textId="77777777">
        <w:trPr>
          <w:trHeight w:val="309"/>
        </w:trPr>
        <w:tc>
          <w:tcPr>
            <w:tcW w:w="851" w:type="dxa"/>
            <w:shd w:val="clear" w:color="auto" w:fill="C6EFCE"/>
            <w:noWrap/>
          </w:tcPr>
          <w:p w14:paraId="4BFC32D5" w14:textId="5211CAC5" w:rsidR="0065073E" w:rsidRDefault="000A0998">
            <w:pPr>
              <w:pStyle w:val="P68B1DB1-Normal12"/>
              <w:spacing w:after="0" w:line="240" w:lineRule="auto"/>
              <w:jc w:val="center"/>
              <w:rPr>
                <w:rFonts w:cs="Times New Roman"/>
                <w:noProof/>
              </w:rPr>
            </w:pPr>
            <w:r>
              <w:rPr>
                <w:noProof/>
              </w:rPr>
              <w:t>475</w:t>
            </w:r>
          </w:p>
        </w:tc>
        <w:tc>
          <w:tcPr>
            <w:tcW w:w="993" w:type="dxa"/>
            <w:shd w:val="clear" w:color="auto" w:fill="C6EFCE"/>
            <w:noWrap/>
          </w:tcPr>
          <w:p w14:paraId="2536F61D" w14:textId="0F9CC23C" w:rsidR="0065073E" w:rsidRDefault="000A0998">
            <w:pPr>
              <w:pStyle w:val="P68B1DB1-Normal12"/>
              <w:spacing w:after="0" w:line="240" w:lineRule="auto"/>
              <w:jc w:val="center"/>
              <w:rPr>
                <w:rFonts w:cs="Times New Roman"/>
                <w:noProof/>
              </w:rPr>
            </w:pPr>
            <w:r>
              <w:rPr>
                <w:noProof/>
              </w:rPr>
              <w:t>C24.I1</w:t>
            </w:r>
          </w:p>
        </w:tc>
        <w:tc>
          <w:tcPr>
            <w:tcW w:w="850" w:type="dxa"/>
            <w:shd w:val="clear" w:color="auto" w:fill="C6EFCE"/>
            <w:noWrap/>
          </w:tcPr>
          <w:p w14:paraId="488C7D1E" w14:textId="0BD42309"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50A8C5C8" w14:textId="31CADCD5" w:rsidR="0065073E" w:rsidRDefault="000A0998">
            <w:pPr>
              <w:pStyle w:val="P68B1DB1-Normal12"/>
              <w:spacing w:after="0" w:line="240" w:lineRule="auto"/>
              <w:rPr>
                <w:rFonts w:cs="Times New Roman"/>
                <w:noProof/>
              </w:rPr>
            </w:pPr>
            <w:r>
              <w:rPr>
                <w:noProof/>
              </w:rPr>
              <w:t>Kulttuuriteollisuuden kilpailukyvyn vahvistamiseen tähtäävien aloitteiden ja hankkeiden loppuun saattaminen</w:t>
            </w:r>
          </w:p>
        </w:tc>
        <w:tc>
          <w:tcPr>
            <w:tcW w:w="992" w:type="dxa"/>
            <w:shd w:val="clear" w:color="auto" w:fill="C6EFCE"/>
            <w:noWrap/>
          </w:tcPr>
          <w:p w14:paraId="75B87A58" w14:textId="77777777" w:rsidR="0065073E" w:rsidRDefault="0065073E">
            <w:pPr>
              <w:spacing w:after="0" w:line="240" w:lineRule="auto"/>
              <w:jc w:val="center"/>
              <w:rPr>
                <w:rFonts w:ascii="Times New Roman" w:hAnsi="Times New Roman" w:cs="Times New Roman"/>
                <w:noProof/>
                <w:sz w:val="18"/>
              </w:rPr>
            </w:pPr>
          </w:p>
        </w:tc>
        <w:tc>
          <w:tcPr>
            <w:tcW w:w="709" w:type="dxa"/>
            <w:shd w:val="clear" w:color="auto" w:fill="C6EFCE"/>
            <w:noWrap/>
          </w:tcPr>
          <w:p w14:paraId="413A895D" w14:textId="0855B4DE" w:rsidR="0065073E" w:rsidRDefault="000A0998">
            <w:pPr>
              <w:pStyle w:val="P68B1DB1-Normal12"/>
              <w:spacing w:after="0" w:line="240" w:lineRule="auto"/>
              <w:jc w:val="center"/>
              <w:rPr>
                <w:rFonts w:cs="Times New Roman"/>
                <w:noProof/>
              </w:rPr>
            </w:pPr>
            <w:r>
              <w:rPr>
                <w:noProof/>
              </w:rPr>
              <w:t>Määrä</w:t>
            </w:r>
          </w:p>
        </w:tc>
        <w:tc>
          <w:tcPr>
            <w:tcW w:w="992" w:type="dxa"/>
            <w:shd w:val="clear" w:color="auto" w:fill="C6EFCE"/>
            <w:noWrap/>
          </w:tcPr>
          <w:p w14:paraId="7DB49750" w14:textId="5B084DA9"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141DD2CC" w14:textId="68984241" w:rsidR="0065073E" w:rsidRDefault="000A0998">
            <w:pPr>
              <w:pStyle w:val="P68B1DB1-Normal12"/>
              <w:spacing w:after="0" w:line="240" w:lineRule="auto"/>
              <w:jc w:val="right"/>
              <w:rPr>
                <w:rFonts w:cs="Times New Roman"/>
                <w:noProof/>
              </w:rPr>
            </w:pPr>
            <w:r>
              <w:rPr>
                <w:noProof/>
              </w:rPr>
              <w:t>1 216</w:t>
            </w:r>
          </w:p>
        </w:tc>
        <w:tc>
          <w:tcPr>
            <w:tcW w:w="709" w:type="dxa"/>
            <w:shd w:val="clear" w:color="auto" w:fill="C6EFCE"/>
            <w:noWrap/>
          </w:tcPr>
          <w:p w14:paraId="572CA3F7" w14:textId="3432AD1A" w:rsidR="0065073E" w:rsidRDefault="000A0998">
            <w:pPr>
              <w:spacing w:after="0" w:line="240" w:lineRule="auto"/>
              <w:jc w:val="center"/>
              <w:rPr>
                <w:rFonts w:ascii="Times New Roman" w:hAnsi="Times New Roman" w:cs="Times New Roman"/>
                <w:noProof/>
                <w:sz w:val="18"/>
              </w:rPr>
            </w:pPr>
            <w:r>
              <w:rPr>
                <w:noProof/>
              </w:rPr>
              <w:t>TOINEN VUOSINELJÄNNES</w:t>
            </w:r>
          </w:p>
        </w:tc>
        <w:tc>
          <w:tcPr>
            <w:tcW w:w="567" w:type="dxa"/>
            <w:shd w:val="clear" w:color="auto" w:fill="C6EFCE"/>
            <w:noWrap/>
          </w:tcPr>
          <w:p w14:paraId="669B1BFC" w14:textId="17279118" w:rsidR="0065073E" w:rsidRDefault="000A0998">
            <w:pPr>
              <w:pStyle w:val="P68B1DB1-Normal12"/>
              <w:spacing w:after="0" w:line="240" w:lineRule="auto"/>
              <w:jc w:val="center"/>
              <w:rPr>
                <w:rFonts w:cs="Times New Roman"/>
                <w:noProof/>
              </w:rPr>
            </w:pPr>
            <w:r>
              <w:rPr>
                <w:noProof/>
              </w:rPr>
              <w:t>2026</w:t>
            </w:r>
          </w:p>
        </w:tc>
        <w:tc>
          <w:tcPr>
            <w:tcW w:w="6837" w:type="dxa"/>
            <w:shd w:val="clear" w:color="auto" w:fill="C6EFCE"/>
            <w:noWrap/>
          </w:tcPr>
          <w:p w14:paraId="678D89E8" w14:textId="63F6069B" w:rsidR="0065073E" w:rsidRDefault="000A0998">
            <w:pPr>
              <w:spacing w:after="0" w:line="240" w:lineRule="auto"/>
              <w:rPr>
                <w:rFonts w:ascii="Times New Roman" w:hAnsi="Times New Roman" w:cs="Times New Roman"/>
                <w:noProof/>
                <w:sz w:val="18"/>
              </w:rPr>
            </w:pPr>
            <w:r>
              <w:rPr>
                <w:rFonts w:ascii="Times New Roman" w:hAnsi="Times New Roman"/>
                <w:noProof/>
                <w:sz w:val="18"/>
              </w:rPr>
              <w:t>Saatetaan päätökseen 1216 toimea, joilla edistetään kulttuuriteollisuuden kilpailukykyä seuraavin keinoin:</w:t>
            </w:r>
            <w:r>
              <w:rPr>
                <w:noProof/>
              </w:rPr>
              <w:t xml:space="preserve"> </w:t>
            </w:r>
            <w:r>
              <w:rPr>
                <w:noProof/>
              </w:rPr>
              <w:br/>
            </w:r>
            <w:r>
              <w:rPr>
                <w:rFonts w:ascii="Times New Roman" w:hAnsi="Times New Roman"/>
                <w:noProof/>
                <w:sz w:val="18"/>
              </w:rPr>
              <w:t>— kulttuurialan ja luovien toimialojen ammattilaisten yrittäjyys- ja taloustaidot (vähintään 900 yksikköä)</w:t>
            </w:r>
            <w:r>
              <w:rPr>
                <w:noProof/>
              </w:rPr>
              <w:t xml:space="preserve"> </w:t>
            </w:r>
            <w:r>
              <w:rPr>
                <w:noProof/>
              </w:rPr>
              <w:br/>
            </w:r>
            <w:r>
              <w:rPr>
                <w:rFonts w:ascii="Times New Roman" w:hAnsi="Times New Roman"/>
                <w:noProof/>
                <w:sz w:val="18"/>
              </w:rPr>
              <w:t>— digitalisaatiosuunnittelun toteuttaminen ja digitalisaatiosta käytävää keskustelua varten luodut välineet (vähintään 16 hanketta)</w:t>
            </w:r>
            <w:r>
              <w:rPr>
                <w:noProof/>
              </w:rPr>
              <w:t xml:space="preserve"> </w:t>
            </w:r>
            <w:r>
              <w:rPr>
                <w:noProof/>
              </w:rPr>
              <w:br/>
            </w:r>
            <w:r>
              <w:rPr>
                <w:rFonts w:ascii="Times New Roman" w:hAnsi="Times New Roman"/>
                <w:noProof/>
                <w:sz w:val="18"/>
              </w:rPr>
              <w:t>— kulttuurialan ja luovien alojen kansainvälistyminen (vähintään 300 yhteisöä).</w:t>
            </w:r>
          </w:p>
        </w:tc>
      </w:tr>
      <w:tr w:rsidR="0065073E" w14:paraId="0CB8057E" w14:textId="77777777">
        <w:trPr>
          <w:trHeight w:val="309"/>
        </w:trPr>
        <w:tc>
          <w:tcPr>
            <w:tcW w:w="851" w:type="dxa"/>
            <w:shd w:val="clear" w:color="auto" w:fill="C6EFCE"/>
            <w:noWrap/>
          </w:tcPr>
          <w:p w14:paraId="33A333CC" w14:textId="77777777" w:rsidR="0065073E" w:rsidRDefault="000A0998">
            <w:pPr>
              <w:pStyle w:val="P68B1DB1-Normal12"/>
              <w:spacing w:after="0" w:line="240" w:lineRule="auto"/>
              <w:jc w:val="center"/>
              <w:rPr>
                <w:rFonts w:eastAsia="Times New Roman" w:cs="Times New Roman"/>
                <w:noProof/>
              </w:rPr>
            </w:pPr>
            <w:r>
              <w:rPr>
                <w:noProof/>
              </w:rPr>
              <w:t>355</w:t>
            </w:r>
          </w:p>
        </w:tc>
        <w:tc>
          <w:tcPr>
            <w:tcW w:w="993" w:type="dxa"/>
            <w:shd w:val="clear" w:color="auto" w:fill="C6EFCE"/>
            <w:noWrap/>
          </w:tcPr>
          <w:p w14:paraId="1706F9D8" w14:textId="77777777" w:rsidR="0065073E" w:rsidRDefault="000A0998">
            <w:pPr>
              <w:pStyle w:val="P68B1DB1-Normal12"/>
              <w:spacing w:after="0" w:line="240" w:lineRule="auto"/>
              <w:jc w:val="center"/>
              <w:rPr>
                <w:rFonts w:eastAsia="Times New Roman" w:cs="Times New Roman"/>
                <w:noProof/>
              </w:rPr>
            </w:pPr>
            <w:r>
              <w:rPr>
                <w:noProof/>
              </w:rPr>
              <w:t>C24.I2</w:t>
            </w:r>
          </w:p>
        </w:tc>
        <w:tc>
          <w:tcPr>
            <w:tcW w:w="850" w:type="dxa"/>
            <w:shd w:val="clear" w:color="auto" w:fill="C6EFCE"/>
            <w:noWrap/>
          </w:tcPr>
          <w:p w14:paraId="01AB9A0E" w14:textId="77777777" w:rsidR="0065073E" w:rsidRDefault="000A0998">
            <w:pPr>
              <w:pStyle w:val="P68B1DB1-Normal12"/>
              <w:spacing w:after="0" w:line="240" w:lineRule="auto"/>
              <w:jc w:val="center"/>
              <w:rPr>
                <w:rFonts w:eastAsia="Times New Roman" w:cs="Times New Roman"/>
                <w:noProof/>
              </w:rPr>
            </w:pPr>
            <w:r>
              <w:rPr>
                <w:noProof/>
              </w:rPr>
              <w:t>T</w:t>
            </w:r>
          </w:p>
        </w:tc>
        <w:tc>
          <w:tcPr>
            <w:tcW w:w="1701" w:type="dxa"/>
            <w:shd w:val="clear" w:color="auto" w:fill="C6EFCE"/>
            <w:noWrap/>
          </w:tcPr>
          <w:p w14:paraId="2F41C29C" w14:textId="77777777" w:rsidR="0065073E" w:rsidRDefault="000A0998">
            <w:pPr>
              <w:pStyle w:val="P68B1DB1-Normal12"/>
              <w:spacing w:after="0" w:line="240" w:lineRule="auto"/>
              <w:rPr>
                <w:rFonts w:eastAsia="Times New Roman" w:cs="Times New Roman"/>
                <w:noProof/>
              </w:rPr>
            </w:pPr>
            <w:r>
              <w:rPr>
                <w:noProof/>
              </w:rPr>
              <w:t>Esittävän taiteen ja musiikkitaiteen infrastruktuurin nykyaikaistaminen ja kestävä hallinnointi</w:t>
            </w:r>
          </w:p>
        </w:tc>
        <w:tc>
          <w:tcPr>
            <w:tcW w:w="992" w:type="dxa"/>
            <w:shd w:val="clear" w:color="auto" w:fill="C6EFCE"/>
            <w:noWrap/>
          </w:tcPr>
          <w:p w14:paraId="08D3A502"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A6DE909"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2591D7A9"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670B3C9E" w14:textId="77777777" w:rsidR="0065073E" w:rsidRDefault="000A0998">
            <w:pPr>
              <w:pStyle w:val="P68B1DB1-Normal12"/>
              <w:spacing w:after="0" w:line="240" w:lineRule="auto"/>
              <w:jc w:val="center"/>
              <w:rPr>
                <w:rFonts w:eastAsia="Times New Roman" w:cs="Times New Roman"/>
                <w:noProof/>
              </w:rPr>
            </w:pPr>
            <w:r>
              <w:rPr>
                <w:noProof/>
              </w:rPr>
              <w:t>200</w:t>
            </w:r>
          </w:p>
        </w:tc>
        <w:tc>
          <w:tcPr>
            <w:tcW w:w="709" w:type="dxa"/>
            <w:shd w:val="clear" w:color="auto" w:fill="C6EFCE"/>
            <w:noWrap/>
          </w:tcPr>
          <w:p w14:paraId="35216B84"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5E2672EE"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837" w:type="dxa"/>
            <w:shd w:val="clear" w:color="auto" w:fill="C6EFCE"/>
            <w:noWrap/>
          </w:tcPr>
          <w:p w14:paraId="0413F559" w14:textId="77777777" w:rsidR="0065073E" w:rsidRDefault="000A0998">
            <w:pPr>
              <w:pStyle w:val="P68B1DB1-Normal12"/>
              <w:spacing w:after="0" w:line="240" w:lineRule="auto"/>
              <w:rPr>
                <w:rFonts w:eastAsia="Times New Roman" w:cs="Times New Roman"/>
                <w:noProof/>
              </w:rPr>
            </w:pPr>
            <w:r>
              <w:rPr>
                <w:noProof/>
              </w:rPr>
              <w:t>Ikääntyvän esittävän taiteen ja musiikkitaiteen infrastruktuurin nykyaikaistaminen ja kestävä hallinta: vähintään 200 toimea, jotka on toteutettu vähintään 17 alueella noudattaen ”ei merkittävää haittaa” -periaatteen (2021/C58/01) mukaisia poissulkemisluetteloa ja vaatimusta asiaa koskevan EU:n ja kansallisen ympäristölainsäädännön noudattamisesta.</w:t>
            </w:r>
          </w:p>
        </w:tc>
      </w:tr>
      <w:tr w:rsidR="0065073E" w14:paraId="3C74A095" w14:textId="77777777">
        <w:trPr>
          <w:trHeight w:val="309"/>
        </w:trPr>
        <w:tc>
          <w:tcPr>
            <w:tcW w:w="851" w:type="dxa"/>
            <w:shd w:val="clear" w:color="auto" w:fill="C6EFCE"/>
            <w:noWrap/>
          </w:tcPr>
          <w:p w14:paraId="3DC32C70" w14:textId="331FCEF3" w:rsidR="0065073E" w:rsidRDefault="000A0998">
            <w:pPr>
              <w:pStyle w:val="P68B1DB1-Normal12"/>
              <w:spacing w:after="0" w:line="240" w:lineRule="auto"/>
              <w:jc w:val="center"/>
              <w:rPr>
                <w:rFonts w:cs="Times New Roman"/>
                <w:noProof/>
              </w:rPr>
            </w:pPr>
            <w:r>
              <w:rPr>
                <w:noProof/>
              </w:rPr>
              <w:t>357</w:t>
            </w:r>
          </w:p>
        </w:tc>
        <w:tc>
          <w:tcPr>
            <w:tcW w:w="993" w:type="dxa"/>
            <w:shd w:val="clear" w:color="auto" w:fill="C6EFCE"/>
            <w:noWrap/>
          </w:tcPr>
          <w:p w14:paraId="038CA8F2" w14:textId="6653001D" w:rsidR="0065073E" w:rsidRDefault="000A0998">
            <w:pPr>
              <w:pStyle w:val="P68B1DB1-Normal12"/>
              <w:spacing w:after="0" w:line="240" w:lineRule="auto"/>
              <w:jc w:val="center"/>
              <w:rPr>
                <w:rFonts w:cs="Times New Roman"/>
                <w:noProof/>
              </w:rPr>
            </w:pPr>
            <w:r>
              <w:rPr>
                <w:noProof/>
              </w:rPr>
              <w:t>C24.I2</w:t>
            </w:r>
          </w:p>
        </w:tc>
        <w:tc>
          <w:tcPr>
            <w:tcW w:w="850" w:type="dxa"/>
            <w:shd w:val="clear" w:color="auto" w:fill="C6EFCE"/>
            <w:noWrap/>
          </w:tcPr>
          <w:p w14:paraId="463A00BD" w14:textId="19384F73"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3A3B2EAC" w14:textId="204CAC5F" w:rsidR="0065073E" w:rsidRDefault="000A0998">
            <w:pPr>
              <w:pStyle w:val="P68B1DB1-Normal12"/>
              <w:spacing w:after="0" w:line="240" w:lineRule="auto"/>
              <w:rPr>
                <w:rFonts w:cs="Times New Roman"/>
                <w:noProof/>
              </w:rPr>
            </w:pPr>
            <w:r>
              <w:rPr>
                <w:noProof/>
              </w:rPr>
              <w:t>Kirjastojen sähköisten kirjojen lisenssit</w:t>
            </w:r>
          </w:p>
        </w:tc>
        <w:tc>
          <w:tcPr>
            <w:tcW w:w="992" w:type="dxa"/>
            <w:shd w:val="clear" w:color="auto" w:fill="C6EFCE"/>
            <w:noWrap/>
          </w:tcPr>
          <w:p w14:paraId="0B7A586D" w14:textId="387D77D4" w:rsidR="0065073E" w:rsidRDefault="000A0998">
            <w:pPr>
              <w:pStyle w:val="P68B1DB1-Normal12"/>
              <w:spacing w:after="0" w:line="240" w:lineRule="auto"/>
              <w:jc w:val="center"/>
              <w:rPr>
                <w:rFonts w:cs="Times New Roman"/>
                <w:noProof/>
              </w:rPr>
            </w:pPr>
            <w:r>
              <w:rPr>
                <w:noProof/>
              </w:rPr>
              <w:t>—</w:t>
            </w:r>
          </w:p>
        </w:tc>
        <w:tc>
          <w:tcPr>
            <w:tcW w:w="709" w:type="dxa"/>
            <w:shd w:val="clear" w:color="auto" w:fill="C6EFCE"/>
            <w:noWrap/>
          </w:tcPr>
          <w:p w14:paraId="6F9EFC33" w14:textId="406AC626" w:rsidR="0065073E" w:rsidRDefault="000A0998">
            <w:pPr>
              <w:pStyle w:val="P68B1DB1-Normal12"/>
              <w:spacing w:after="0" w:line="240" w:lineRule="auto"/>
              <w:jc w:val="center"/>
              <w:rPr>
                <w:rFonts w:cs="Times New Roman"/>
                <w:noProof/>
              </w:rPr>
            </w:pPr>
            <w:r>
              <w:rPr>
                <w:noProof/>
              </w:rPr>
              <w:t>Määrä</w:t>
            </w:r>
          </w:p>
        </w:tc>
        <w:tc>
          <w:tcPr>
            <w:tcW w:w="992" w:type="dxa"/>
            <w:shd w:val="clear" w:color="auto" w:fill="C6EFCE"/>
            <w:noWrap/>
          </w:tcPr>
          <w:p w14:paraId="413E2FFB" w14:textId="5B407A3E"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09C388FA" w14:textId="539E7F94" w:rsidR="0065073E" w:rsidRDefault="000A0998">
            <w:pPr>
              <w:pStyle w:val="P68B1DB1-Normal12"/>
              <w:spacing w:after="0" w:line="240" w:lineRule="auto"/>
              <w:jc w:val="center"/>
              <w:rPr>
                <w:rFonts w:cs="Times New Roman"/>
                <w:noProof/>
              </w:rPr>
            </w:pPr>
            <w:r>
              <w:rPr>
                <w:noProof/>
              </w:rPr>
              <w:t>300 000</w:t>
            </w:r>
          </w:p>
        </w:tc>
        <w:tc>
          <w:tcPr>
            <w:tcW w:w="709" w:type="dxa"/>
            <w:shd w:val="clear" w:color="auto" w:fill="C6EFCE"/>
            <w:noWrap/>
          </w:tcPr>
          <w:p w14:paraId="2D6A9BAA" w14:textId="02912F8E"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6DE28F1D" w14:textId="16DA0573" w:rsidR="0065073E" w:rsidRDefault="000A0998">
            <w:pPr>
              <w:pStyle w:val="P68B1DB1-Normal12"/>
              <w:spacing w:after="0" w:line="240" w:lineRule="auto"/>
              <w:jc w:val="center"/>
              <w:rPr>
                <w:rFonts w:cs="Times New Roman"/>
                <w:noProof/>
              </w:rPr>
            </w:pPr>
            <w:r>
              <w:rPr>
                <w:noProof/>
              </w:rPr>
              <w:t>2023</w:t>
            </w:r>
          </w:p>
        </w:tc>
        <w:tc>
          <w:tcPr>
            <w:tcW w:w="6837" w:type="dxa"/>
            <w:shd w:val="clear" w:color="auto" w:fill="C6EFCE"/>
            <w:noWrap/>
          </w:tcPr>
          <w:p w14:paraId="27993AE1" w14:textId="450FBC5C" w:rsidR="0065073E" w:rsidRDefault="000A0998">
            <w:pPr>
              <w:pStyle w:val="P68B1DB1-Normal12"/>
              <w:spacing w:after="0" w:line="240" w:lineRule="auto"/>
              <w:rPr>
                <w:rFonts w:cs="Times New Roman"/>
                <w:noProof/>
              </w:rPr>
            </w:pPr>
            <w:r>
              <w:rPr>
                <w:noProof/>
              </w:rPr>
              <w:t xml:space="preserve">Sähkökirjojen lisenssejä, jotka on ostettu ja toimitettu yleisille kirjastoille (vähintään 300000) </w:t>
            </w:r>
          </w:p>
        </w:tc>
      </w:tr>
      <w:tr w:rsidR="0065073E" w14:paraId="007BE4E8" w14:textId="77777777">
        <w:trPr>
          <w:trHeight w:val="309"/>
        </w:trPr>
        <w:tc>
          <w:tcPr>
            <w:tcW w:w="851" w:type="dxa"/>
            <w:shd w:val="clear" w:color="auto" w:fill="C6EFCE"/>
            <w:noWrap/>
          </w:tcPr>
          <w:p w14:paraId="476522C9" w14:textId="23ED8A21" w:rsidR="0065073E" w:rsidRDefault="000A0998">
            <w:pPr>
              <w:pStyle w:val="P68B1DB1-Normal12"/>
              <w:spacing w:after="0" w:line="240" w:lineRule="auto"/>
              <w:jc w:val="center"/>
              <w:rPr>
                <w:rFonts w:cs="Times New Roman"/>
                <w:noProof/>
              </w:rPr>
            </w:pPr>
            <w:r>
              <w:rPr>
                <w:noProof/>
              </w:rPr>
              <w:t>359</w:t>
            </w:r>
          </w:p>
        </w:tc>
        <w:tc>
          <w:tcPr>
            <w:tcW w:w="993" w:type="dxa"/>
            <w:shd w:val="clear" w:color="auto" w:fill="C6EFCE"/>
            <w:noWrap/>
          </w:tcPr>
          <w:p w14:paraId="0DF44586" w14:textId="6AD8D732" w:rsidR="0065073E" w:rsidRDefault="000A0998">
            <w:pPr>
              <w:pStyle w:val="P68B1DB1-Normal12"/>
              <w:spacing w:after="0" w:line="240" w:lineRule="auto"/>
              <w:jc w:val="center"/>
              <w:rPr>
                <w:rFonts w:cs="Times New Roman"/>
                <w:noProof/>
              </w:rPr>
            </w:pPr>
            <w:r>
              <w:rPr>
                <w:noProof/>
              </w:rPr>
              <w:t>C24.I2</w:t>
            </w:r>
          </w:p>
        </w:tc>
        <w:tc>
          <w:tcPr>
            <w:tcW w:w="850" w:type="dxa"/>
            <w:shd w:val="clear" w:color="auto" w:fill="C6EFCE"/>
            <w:noWrap/>
          </w:tcPr>
          <w:p w14:paraId="6F1BEA9C" w14:textId="1BC496BF"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1D046713" w14:textId="5FD7E158" w:rsidR="0065073E" w:rsidRDefault="000A0998">
            <w:pPr>
              <w:pStyle w:val="P68B1DB1-Normal12"/>
              <w:spacing w:after="0" w:line="240" w:lineRule="auto"/>
              <w:rPr>
                <w:rFonts w:cs="Times New Roman"/>
                <w:noProof/>
              </w:rPr>
            </w:pPr>
            <w:r>
              <w:rPr>
                <w:noProof/>
              </w:rPr>
              <w:t xml:space="preserve">Kulttuurialan ja luovien alojen aloitteiden edistäminen </w:t>
            </w:r>
          </w:p>
        </w:tc>
        <w:tc>
          <w:tcPr>
            <w:tcW w:w="992" w:type="dxa"/>
            <w:shd w:val="clear" w:color="auto" w:fill="C6EFCE"/>
            <w:noWrap/>
          </w:tcPr>
          <w:p w14:paraId="4CF2F5E1" w14:textId="77ECE381" w:rsidR="0065073E" w:rsidRDefault="000A0998">
            <w:pPr>
              <w:pStyle w:val="P68B1DB1-Normal12"/>
              <w:spacing w:after="0" w:line="240" w:lineRule="auto"/>
              <w:jc w:val="center"/>
              <w:rPr>
                <w:rFonts w:cs="Times New Roman"/>
                <w:noProof/>
              </w:rPr>
            </w:pPr>
            <w:r>
              <w:rPr>
                <w:noProof/>
              </w:rPr>
              <w:t>—</w:t>
            </w:r>
          </w:p>
        </w:tc>
        <w:tc>
          <w:tcPr>
            <w:tcW w:w="709" w:type="dxa"/>
            <w:shd w:val="clear" w:color="auto" w:fill="C6EFCE"/>
            <w:noWrap/>
          </w:tcPr>
          <w:p w14:paraId="1FCF9880" w14:textId="55E0B357" w:rsidR="0065073E" w:rsidRDefault="000A0998">
            <w:pPr>
              <w:pStyle w:val="P68B1DB1-Normal12"/>
              <w:spacing w:after="0" w:line="240" w:lineRule="auto"/>
              <w:jc w:val="center"/>
              <w:rPr>
                <w:rFonts w:cs="Times New Roman"/>
                <w:noProof/>
              </w:rPr>
            </w:pPr>
            <w:r>
              <w:rPr>
                <w:noProof/>
              </w:rPr>
              <w:t>Määrä</w:t>
            </w:r>
          </w:p>
        </w:tc>
        <w:tc>
          <w:tcPr>
            <w:tcW w:w="992" w:type="dxa"/>
            <w:shd w:val="clear" w:color="auto" w:fill="C6EFCE"/>
            <w:noWrap/>
          </w:tcPr>
          <w:p w14:paraId="7A1A1F38" w14:textId="284CE49A"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572C9470" w14:textId="28EAB32D" w:rsidR="0065073E" w:rsidRDefault="000A0998">
            <w:pPr>
              <w:pStyle w:val="P68B1DB1-Normal12"/>
              <w:spacing w:after="0" w:line="240" w:lineRule="auto"/>
              <w:jc w:val="center"/>
              <w:rPr>
                <w:rFonts w:cs="Times New Roman"/>
                <w:noProof/>
              </w:rPr>
            </w:pPr>
            <w:r>
              <w:rPr>
                <w:noProof/>
              </w:rPr>
              <w:t>400</w:t>
            </w:r>
          </w:p>
        </w:tc>
        <w:tc>
          <w:tcPr>
            <w:tcW w:w="709" w:type="dxa"/>
            <w:shd w:val="clear" w:color="auto" w:fill="C6EFCE"/>
            <w:noWrap/>
          </w:tcPr>
          <w:p w14:paraId="64477882" w14:textId="4EE886E9"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24E6FBAE" w14:textId="498C7003" w:rsidR="0065073E" w:rsidRDefault="000A0998">
            <w:pPr>
              <w:pStyle w:val="P68B1DB1-Normal12"/>
              <w:spacing w:after="0" w:line="240" w:lineRule="auto"/>
              <w:jc w:val="center"/>
              <w:rPr>
                <w:rFonts w:cs="Times New Roman"/>
                <w:noProof/>
              </w:rPr>
            </w:pPr>
            <w:r>
              <w:rPr>
                <w:noProof/>
              </w:rPr>
              <w:t>2023</w:t>
            </w:r>
          </w:p>
        </w:tc>
        <w:tc>
          <w:tcPr>
            <w:tcW w:w="6837" w:type="dxa"/>
            <w:shd w:val="clear" w:color="auto" w:fill="C6EFCE"/>
            <w:noWrap/>
          </w:tcPr>
          <w:p w14:paraId="4C51FDA1" w14:textId="2BB1F4FD" w:rsidR="0065073E" w:rsidRDefault="000A0998">
            <w:pPr>
              <w:pStyle w:val="P68B1DB1-Normal12"/>
              <w:spacing w:after="0" w:line="240" w:lineRule="auto"/>
              <w:rPr>
                <w:rFonts w:cs="Times New Roman"/>
                <w:noProof/>
              </w:rPr>
            </w:pPr>
            <w:r>
              <w:rPr>
                <w:noProof/>
              </w:rPr>
              <w:t>Edistetään voittoa tavoittelevien ja voittoa tavoittelemattomien järjestöjen kulttuuritoimintaa kaupunkien ulkopuolisilla alueilla (vähintään 400 aloitetta).</w:t>
            </w:r>
          </w:p>
        </w:tc>
      </w:tr>
      <w:tr w:rsidR="0065073E" w14:paraId="088863CB" w14:textId="77777777">
        <w:trPr>
          <w:trHeight w:val="309"/>
        </w:trPr>
        <w:tc>
          <w:tcPr>
            <w:tcW w:w="851" w:type="dxa"/>
            <w:shd w:val="clear" w:color="auto" w:fill="C6EFCE"/>
            <w:noWrap/>
          </w:tcPr>
          <w:p w14:paraId="43E4F141" w14:textId="61730DA1" w:rsidR="0065073E" w:rsidRDefault="000A0998">
            <w:pPr>
              <w:pStyle w:val="P68B1DB1-Normal12"/>
              <w:spacing w:after="0" w:line="240" w:lineRule="auto"/>
              <w:jc w:val="center"/>
              <w:rPr>
                <w:rFonts w:cs="Times New Roman"/>
                <w:noProof/>
              </w:rPr>
            </w:pPr>
            <w:r>
              <w:rPr>
                <w:noProof/>
              </w:rPr>
              <w:t>358</w:t>
            </w:r>
          </w:p>
        </w:tc>
        <w:tc>
          <w:tcPr>
            <w:tcW w:w="993" w:type="dxa"/>
            <w:shd w:val="clear" w:color="auto" w:fill="C6EFCE"/>
            <w:noWrap/>
          </w:tcPr>
          <w:p w14:paraId="4108274D" w14:textId="15DEBE32" w:rsidR="0065073E" w:rsidRDefault="000A0998">
            <w:pPr>
              <w:pStyle w:val="P68B1DB1-Normal12"/>
              <w:spacing w:after="0" w:line="240" w:lineRule="auto"/>
              <w:jc w:val="center"/>
              <w:rPr>
                <w:rFonts w:cs="Times New Roman"/>
                <w:noProof/>
              </w:rPr>
            </w:pPr>
            <w:r>
              <w:rPr>
                <w:noProof/>
              </w:rPr>
              <w:t>C24.I2</w:t>
            </w:r>
          </w:p>
        </w:tc>
        <w:tc>
          <w:tcPr>
            <w:tcW w:w="850" w:type="dxa"/>
            <w:shd w:val="clear" w:color="auto" w:fill="C6EFCE"/>
            <w:noWrap/>
          </w:tcPr>
          <w:p w14:paraId="70D882E5" w14:textId="1D3347E7"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3D2287CC" w14:textId="535A242F" w:rsidR="0065073E" w:rsidRDefault="000A0998">
            <w:pPr>
              <w:pStyle w:val="P68B1DB1-Normal12"/>
              <w:spacing w:after="0" w:line="240" w:lineRule="auto"/>
              <w:rPr>
                <w:rFonts w:cs="Times New Roman"/>
                <w:noProof/>
              </w:rPr>
            </w:pPr>
            <w:r>
              <w:rPr>
                <w:noProof/>
              </w:rPr>
              <w:t>Kirjastojen kirjaostot</w:t>
            </w:r>
          </w:p>
        </w:tc>
        <w:tc>
          <w:tcPr>
            <w:tcW w:w="992" w:type="dxa"/>
            <w:shd w:val="clear" w:color="auto" w:fill="C6EFCE"/>
            <w:noWrap/>
          </w:tcPr>
          <w:p w14:paraId="70C079A5" w14:textId="442B12EA" w:rsidR="0065073E" w:rsidRDefault="000A0998">
            <w:pPr>
              <w:pStyle w:val="P68B1DB1-Normal12"/>
              <w:spacing w:after="0" w:line="240" w:lineRule="auto"/>
              <w:jc w:val="center"/>
              <w:rPr>
                <w:rFonts w:cs="Times New Roman"/>
                <w:noProof/>
              </w:rPr>
            </w:pPr>
            <w:r>
              <w:rPr>
                <w:noProof/>
              </w:rPr>
              <w:t>—</w:t>
            </w:r>
          </w:p>
        </w:tc>
        <w:tc>
          <w:tcPr>
            <w:tcW w:w="709" w:type="dxa"/>
            <w:shd w:val="clear" w:color="auto" w:fill="C6EFCE"/>
            <w:noWrap/>
          </w:tcPr>
          <w:p w14:paraId="2307954C" w14:textId="43816DCE" w:rsidR="0065073E" w:rsidRDefault="000A0998">
            <w:pPr>
              <w:pStyle w:val="P68B1DB1-Normal12"/>
              <w:spacing w:after="0" w:line="240" w:lineRule="auto"/>
              <w:jc w:val="center"/>
              <w:rPr>
                <w:rFonts w:cs="Times New Roman"/>
                <w:noProof/>
              </w:rPr>
            </w:pPr>
            <w:r>
              <w:rPr>
                <w:noProof/>
              </w:rPr>
              <w:t>Määrä</w:t>
            </w:r>
          </w:p>
        </w:tc>
        <w:tc>
          <w:tcPr>
            <w:tcW w:w="992" w:type="dxa"/>
            <w:shd w:val="clear" w:color="auto" w:fill="C6EFCE"/>
            <w:noWrap/>
          </w:tcPr>
          <w:p w14:paraId="74F73CE1" w14:textId="575E46A9" w:rsidR="0065073E" w:rsidRDefault="000A0998">
            <w:pPr>
              <w:pStyle w:val="P68B1DB1-Normal12"/>
              <w:spacing w:after="0" w:line="240" w:lineRule="auto"/>
              <w:jc w:val="right"/>
              <w:rPr>
                <w:rFonts w:cs="Times New Roman"/>
                <w:noProof/>
              </w:rPr>
            </w:pPr>
            <w:r>
              <w:rPr>
                <w:noProof/>
              </w:rPr>
              <w:t>0</w:t>
            </w:r>
          </w:p>
        </w:tc>
        <w:tc>
          <w:tcPr>
            <w:tcW w:w="709" w:type="dxa"/>
            <w:shd w:val="clear" w:color="auto" w:fill="C6EFCE"/>
            <w:noWrap/>
          </w:tcPr>
          <w:p w14:paraId="4BE76D63" w14:textId="56C99E88" w:rsidR="0065073E" w:rsidRDefault="000A0998">
            <w:pPr>
              <w:pStyle w:val="P68B1DB1-Normal12"/>
              <w:spacing w:after="0" w:line="240" w:lineRule="auto"/>
              <w:jc w:val="center"/>
              <w:rPr>
                <w:rFonts w:cs="Times New Roman"/>
                <w:noProof/>
              </w:rPr>
            </w:pPr>
            <w:r>
              <w:rPr>
                <w:noProof/>
              </w:rPr>
              <w:t>450 000</w:t>
            </w:r>
          </w:p>
        </w:tc>
        <w:tc>
          <w:tcPr>
            <w:tcW w:w="709" w:type="dxa"/>
            <w:shd w:val="clear" w:color="auto" w:fill="C6EFCE"/>
            <w:noWrap/>
          </w:tcPr>
          <w:p w14:paraId="085C4D4E" w14:textId="0FD398C8"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580E50BF" w14:textId="4398EE2C" w:rsidR="0065073E" w:rsidRDefault="000A0998">
            <w:pPr>
              <w:pStyle w:val="P68B1DB1-Normal12"/>
              <w:spacing w:after="0" w:line="240" w:lineRule="auto"/>
              <w:jc w:val="center"/>
              <w:rPr>
                <w:rFonts w:cs="Times New Roman"/>
                <w:noProof/>
              </w:rPr>
            </w:pPr>
            <w:r>
              <w:rPr>
                <w:noProof/>
              </w:rPr>
              <w:t>2024</w:t>
            </w:r>
          </w:p>
        </w:tc>
        <w:tc>
          <w:tcPr>
            <w:tcW w:w="6837" w:type="dxa"/>
            <w:shd w:val="clear" w:color="auto" w:fill="C6EFCE"/>
            <w:noWrap/>
          </w:tcPr>
          <w:p w14:paraId="383C9E0E" w14:textId="5CF5ECB1" w:rsidR="0065073E" w:rsidRDefault="000A0998">
            <w:pPr>
              <w:pStyle w:val="P68B1DB1-Normal12"/>
              <w:spacing w:after="0" w:line="240" w:lineRule="auto"/>
              <w:rPr>
                <w:rFonts w:cs="Times New Roman"/>
                <w:noProof/>
              </w:rPr>
            </w:pPr>
            <w:r>
              <w:rPr>
                <w:noProof/>
              </w:rPr>
              <w:t xml:space="preserve">Julkisille kirjastoille ostetut ja siirretyt paperikirjat (vähintään 450000) </w:t>
            </w:r>
          </w:p>
        </w:tc>
      </w:tr>
      <w:tr w:rsidR="0065073E" w14:paraId="7A3790D5" w14:textId="77777777">
        <w:trPr>
          <w:trHeight w:val="309"/>
        </w:trPr>
        <w:tc>
          <w:tcPr>
            <w:tcW w:w="851" w:type="dxa"/>
            <w:shd w:val="clear" w:color="auto" w:fill="C6EFCE"/>
            <w:noWrap/>
          </w:tcPr>
          <w:p w14:paraId="0AB7620F" w14:textId="77777777" w:rsidR="0065073E" w:rsidRDefault="000A0998">
            <w:pPr>
              <w:pStyle w:val="P68B1DB1-Normal12"/>
              <w:spacing w:after="0" w:line="240" w:lineRule="auto"/>
              <w:jc w:val="center"/>
              <w:rPr>
                <w:rFonts w:eastAsia="Times New Roman" w:cs="Times New Roman"/>
                <w:noProof/>
              </w:rPr>
            </w:pPr>
            <w:r>
              <w:rPr>
                <w:noProof/>
              </w:rPr>
              <w:t>356</w:t>
            </w:r>
          </w:p>
        </w:tc>
        <w:tc>
          <w:tcPr>
            <w:tcW w:w="993" w:type="dxa"/>
            <w:shd w:val="clear" w:color="auto" w:fill="C6EFCE"/>
            <w:noWrap/>
          </w:tcPr>
          <w:p w14:paraId="38397E2A" w14:textId="77777777" w:rsidR="0065073E" w:rsidRDefault="000A0998">
            <w:pPr>
              <w:pStyle w:val="P68B1DB1-Normal12"/>
              <w:spacing w:after="0" w:line="240" w:lineRule="auto"/>
              <w:jc w:val="center"/>
              <w:rPr>
                <w:rFonts w:eastAsia="Times New Roman" w:cs="Times New Roman"/>
                <w:noProof/>
              </w:rPr>
            </w:pPr>
            <w:r>
              <w:rPr>
                <w:noProof/>
              </w:rPr>
              <w:t>C24.I2</w:t>
            </w:r>
          </w:p>
        </w:tc>
        <w:tc>
          <w:tcPr>
            <w:tcW w:w="850" w:type="dxa"/>
            <w:shd w:val="clear" w:color="auto" w:fill="C6EFCE"/>
            <w:noWrap/>
          </w:tcPr>
          <w:p w14:paraId="10A9EB40" w14:textId="77777777" w:rsidR="0065073E" w:rsidRDefault="000A0998">
            <w:pPr>
              <w:pStyle w:val="P68B1DB1-Normal12"/>
              <w:spacing w:after="0" w:line="240" w:lineRule="auto"/>
              <w:jc w:val="center"/>
              <w:rPr>
                <w:rFonts w:eastAsia="Times New Roman" w:cs="Times New Roman"/>
                <w:noProof/>
              </w:rPr>
            </w:pPr>
            <w:r>
              <w:rPr>
                <w:noProof/>
              </w:rPr>
              <w:t>T</w:t>
            </w:r>
          </w:p>
        </w:tc>
        <w:tc>
          <w:tcPr>
            <w:tcW w:w="1701" w:type="dxa"/>
            <w:shd w:val="clear" w:color="auto" w:fill="C6EFCE"/>
            <w:noWrap/>
          </w:tcPr>
          <w:p w14:paraId="61B2AF7E" w14:textId="77777777" w:rsidR="0065073E" w:rsidRDefault="000A0998">
            <w:pPr>
              <w:pStyle w:val="P68B1DB1-Normal12"/>
              <w:spacing w:after="0" w:line="240" w:lineRule="auto"/>
              <w:rPr>
                <w:rFonts w:eastAsia="Times New Roman" w:cs="Times New Roman"/>
                <w:noProof/>
              </w:rPr>
            </w:pPr>
            <w:r>
              <w:rPr>
                <w:noProof/>
              </w:rPr>
              <w:t>Espanjan kulttuuriperinnön säilyttäminen, ennallistaminen ja vaaliminen</w:t>
            </w:r>
          </w:p>
        </w:tc>
        <w:tc>
          <w:tcPr>
            <w:tcW w:w="992" w:type="dxa"/>
            <w:shd w:val="clear" w:color="auto" w:fill="C6EFCE"/>
            <w:noWrap/>
          </w:tcPr>
          <w:p w14:paraId="1F036C49"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15DFB7E"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6D85FBD8"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81B7CF6" w14:textId="65448DF9" w:rsidR="0065073E" w:rsidRDefault="000A0998">
            <w:pPr>
              <w:pStyle w:val="P68B1DB1-Normal12"/>
              <w:spacing w:after="0" w:line="240" w:lineRule="auto"/>
              <w:jc w:val="center"/>
              <w:rPr>
                <w:rFonts w:eastAsia="Times New Roman" w:cs="Times New Roman"/>
                <w:noProof/>
              </w:rPr>
            </w:pPr>
            <w:r>
              <w:rPr>
                <w:noProof/>
              </w:rPr>
              <w:t>19</w:t>
            </w:r>
          </w:p>
        </w:tc>
        <w:tc>
          <w:tcPr>
            <w:tcW w:w="709" w:type="dxa"/>
            <w:shd w:val="clear" w:color="auto" w:fill="C6EFCE"/>
            <w:noWrap/>
          </w:tcPr>
          <w:p w14:paraId="6195CDFF" w14:textId="44759E5F"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4B0C874D" w14:textId="6F4976BB" w:rsidR="0065073E" w:rsidRDefault="000A0998">
            <w:pPr>
              <w:pStyle w:val="P68B1DB1-Normal12"/>
              <w:spacing w:after="0" w:line="240" w:lineRule="auto"/>
              <w:jc w:val="center"/>
              <w:rPr>
                <w:rFonts w:eastAsia="Times New Roman" w:cs="Times New Roman"/>
                <w:noProof/>
              </w:rPr>
            </w:pPr>
            <w:r>
              <w:rPr>
                <w:noProof/>
              </w:rPr>
              <w:t>2025</w:t>
            </w:r>
          </w:p>
        </w:tc>
        <w:tc>
          <w:tcPr>
            <w:tcW w:w="6837" w:type="dxa"/>
            <w:shd w:val="clear" w:color="auto" w:fill="C6EFCE"/>
            <w:noWrap/>
          </w:tcPr>
          <w:p w14:paraId="3AAF82BE" w14:textId="705CC410" w:rsidR="0065073E" w:rsidRDefault="000A0998">
            <w:pPr>
              <w:pStyle w:val="P68B1DB1-Normal12"/>
              <w:spacing w:after="0" w:line="240" w:lineRule="auto"/>
              <w:rPr>
                <w:rFonts w:eastAsia="Times New Roman" w:cs="Times New Roman"/>
                <w:noProof/>
              </w:rPr>
            </w:pPr>
            <w:r>
              <w:rPr>
                <w:noProof/>
              </w:rPr>
              <w:t xml:space="preserve">Kulttuurikohteet, joita tuetaan Espanjan kulttuuriperinnön säilyttämistä, restaurointia ja parantamista koskevilla toimenpiteillä: vähintään 19 paikkaa vähintään 15 alueella noudattaen ”ei merkittävää haittaa” -periaatteen mukaisia teknisiä ohjeita (2021/C58/01) poissulkemisluetteloa ja vaatimusta asiaa koskevan EU:n ja kansallisen ympäristölainsäädännön noudattamisesta. </w:t>
            </w:r>
          </w:p>
        </w:tc>
      </w:tr>
      <w:tr w:rsidR="0065073E" w14:paraId="08616C98" w14:textId="77777777">
        <w:trPr>
          <w:trHeight w:val="309"/>
        </w:trPr>
        <w:tc>
          <w:tcPr>
            <w:tcW w:w="851" w:type="dxa"/>
            <w:shd w:val="clear" w:color="auto" w:fill="C6EFCE"/>
            <w:noWrap/>
          </w:tcPr>
          <w:p w14:paraId="7998F435" w14:textId="1B76DA72" w:rsidR="0065073E" w:rsidRDefault="000A0998">
            <w:pPr>
              <w:pStyle w:val="P68B1DB1-Normal12"/>
              <w:spacing w:after="0" w:line="240" w:lineRule="auto"/>
              <w:jc w:val="center"/>
              <w:rPr>
                <w:rFonts w:cs="Times New Roman"/>
                <w:noProof/>
              </w:rPr>
            </w:pPr>
            <w:r>
              <w:rPr>
                <w:noProof/>
              </w:rPr>
              <w:t>474</w:t>
            </w:r>
          </w:p>
        </w:tc>
        <w:tc>
          <w:tcPr>
            <w:tcW w:w="993" w:type="dxa"/>
            <w:shd w:val="clear" w:color="auto" w:fill="C6EFCE"/>
            <w:noWrap/>
          </w:tcPr>
          <w:p w14:paraId="7BDD887E" w14:textId="39A7132B" w:rsidR="0065073E" w:rsidRDefault="000A0998">
            <w:pPr>
              <w:pStyle w:val="P68B1DB1-Normal12"/>
              <w:spacing w:after="0" w:line="240" w:lineRule="auto"/>
              <w:jc w:val="center"/>
              <w:rPr>
                <w:rFonts w:cs="Times New Roman"/>
                <w:noProof/>
              </w:rPr>
            </w:pPr>
            <w:r>
              <w:rPr>
                <w:noProof/>
              </w:rPr>
              <w:t>C24.I2</w:t>
            </w:r>
          </w:p>
        </w:tc>
        <w:tc>
          <w:tcPr>
            <w:tcW w:w="850" w:type="dxa"/>
            <w:shd w:val="clear" w:color="auto" w:fill="C6EFCE"/>
            <w:noWrap/>
          </w:tcPr>
          <w:p w14:paraId="7CCA31B2" w14:textId="59972499"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73E17777" w14:textId="1663E278" w:rsidR="0065073E" w:rsidRDefault="000A0998">
            <w:pPr>
              <w:pStyle w:val="P68B1DB1-Normal12"/>
              <w:spacing w:after="0" w:line="240" w:lineRule="auto"/>
              <w:rPr>
                <w:rFonts w:cs="Times New Roman"/>
                <w:noProof/>
              </w:rPr>
            </w:pPr>
            <w:r>
              <w:rPr>
                <w:noProof/>
              </w:rPr>
              <w:t>Espanjan kulttuuriperinnön säilyttäminen, restaurointi ja vaaliminen (Tabacalera)</w:t>
            </w:r>
          </w:p>
        </w:tc>
        <w:tc>
          <w:tcPr>
            <w:tcW w:w="992" w:type="dxa"/>
            <w:shd w:val="clear" w:color="auto" w:fill="C6EFCE"/>
            <w:noWrap/>
          </w:tcPr>
          <w:p w14:paraId="2BB10F89" w14:textId="77777777" w:rsidR="0065073E" w:rsidRDefault="0065073E">
            <w:pPr>
              <w:spacing w:after="0" w:line="240" w:lineRule="auto"/>
              <w:jc w:val="center"/>
              <w:rPr>
                <w:rFonts w:ascii="Times New Roman" w:hAnsi="Times New Roman" w:cs="Times New Roman"/>
                <w:noProof/>
                <w:sz w:val="18"/>
              </w:rPr>
            </w:pPr>
          </w:p>
        </w:tc>
        <w:tc>
          <w:tcPr>
            <w:tcW w:w="709" w:type="dxa"/>
            <w:shd w:val="clear" w:color="auto" w:fill="C6EFCE"/>
            <w:noWrap/>
          </w:tcPr>
          <w:p w14:paraId="42ADC5A0" w14:textId="77777777" w:rsidR="0065073E" w:rsidRDefault="0065073E">
            <w:pPr>
              <w:spacing w:after="0" w:line="240" w:lineRule="auto"/>
              <w:jc w:val="center"/>
              <w:rPr>
                <w:rFonts w:ascii="Times New Roman" w:hAnsi="Times New Roman" w:cs="Times New Roman"/>
                <w:noProof/>
                <w:sz w:val="18"/>
              </w:rPr>
            </w:pPr>
          </w:p>
        </w:tc>
        <w:tc>
          <w:tcPr>
            <w:tcW w:w="992" w:type="dxa"/>
            <w:shd w:val="clear" w:color="auto" w:fill="C6EFCE"/>
            <w:noWrap/>
          </w:tcPr>
          <w:p w14:paraId="1F835036" w14:textId="77777777" w:rsidR="0065073E" w:rsidRDefault="0065073E">
            <w:pPr>
              <w:spacing w:after="0" w:line="240" w:lineRule="auto"/>
              <w:jc w:val="right"/>
              <w:rPr>
                <w:rFonts w:ascii="Times New Roman" w:hAnsi="Times New Roman" w:cs="Times New Roman"/>
                <w:noProof/>
                <w:sz w:val="18"/>
              </w:rPr>
            </w:pPr>
          </w:p>
        </w:tc>
        <w:tc>
          <w:tcPr>
            <w:tcW w:w="709" w:type="dxa"/>
            <w:shd w:val="clear" w:color="auto" w:fill="C6EFCE"/>
            <w:noWrap/>
          </w:tcPr>
          <w:p w14:paraId="0BA8ED3B" w14:textId="77777777" w:rsidR="0065073E" w:rsidRDefault="0065073E">
            <w:pPr>
              <w:spacing w:after="0" w:line="240" w:lineRule="auto"/>
              <w:jc w:val="center"/>
              <w:rPr>
                <w:rFonts w:ascii="Times New Roman" w:hAnsi="Times New Roman" w:cs="Times New Roman"/>
                <w:noProof/>
                <w:sz w:val="18"/>
              </w:rPr>
            </w:pPr>
          </w:p>
        </w:tc>
        <w:tc>
          <w:tcPr>
            <w:tcW w:w="709" w:type="dxa"/>
            <w:shd w:val="clear" w:color="auto" w:fill="C6EFCE"/>
            <w:noWrap/>
          </w:tcPr>
          <w:p w14:paraId="6AA19A17" w14:textId="10F3C3C1" w:rsidR="0065073E" w:rsidRDefault="000A0998">
            <w:pPr>
              <w:pStyle w:val="P68B1DB1-Normal12"/>
              <w:spacing w:after="0" w:line="240" w:lineRule="auto"/>
              <w:jc w:val="center"/>
              <w:rPr>
                <w:rFonts w:cs="Times New Roman"/>
                <w:noProof/>
              </w:rPr>
            </w:pPr>
            <w:r>
              <w:rPr>
                <w:noProof/>
              </w:rPr>
              <w:t>TOINEN VUOSINELJÄNNES</w:t>
            </w:r>
          </w:p>
        </w:tc>
        <w:tc>
          <w:tcPr>
            <w:tcW w:w="567" w:type="dxa"/>
            <w:shd w:val="clear" w:color="auto" w:fill="C6EFCE"/>
            <w:noWrap/>
          </w:tcPr>
          <w:p w14:paraId="54A16442" w14:textId="72A97264" w:rsidR="0065073E" w:rsidRDefault="000A0998">
            <w:pPr>
              <w:pStyle w:val="P68B1DB1-Normal12"/>
              <w:spacing w:after="0" w:line="240" w:lineRule="auto"/>
              <w:jc w:val="center"/>
              <w:rPr>
                <w:rFonts w:cs="Times New Roman"/>
                <w:noProof/>
              </w:rPr>
            </w:pPr>
            <w:r>
              <w:rPr>
                <w:noProof/>
              </w:rPr>
              <w:t>2026</w:t>
            </w:r>
          </w:p>
        </w:tc>
        <w:tc>
          <w:tcPr>
            <w:tcW w:w="6837" w:type="dxa"/>
            <w:shd w:val="clear" w:color="auto" w:fill="C6EFCE"/>
            <w:noWrap/>
          </w:tcPr>
          <w:p w14:paraId="4E901423" w14:textId="699657C4" w:rsidR="0065073E" w:rsidRDefault="000A0998">
            <w:pPr>
              <w:pStyle w:val="P68B1DB1-Normal12"/>
              <w:spacing w:after="0" w:line="240" w:lineRule="auto"/>
              <w:rPr>
                <w:rFonts w:cs="Times New Roman"/>
                <w:noProof/>
              </w:rPr>
            </w:pPr>
            <w:r>
              <w:rPr>
                <w:noProof/>
              </w:rPr>
              <w:t>Madridissa sijaitseva Tabacaleran kulttuurikohde sai tukea Espanjan kulttuuriperinnön säilyttämiseen, restaurointiin ja parantamiseen tähtäävillä toimenpiteillä.</w:t>
            </w:r>
          </w:p>
        </w:tc>
      </w:tr>
      <w:tr w:rsidR="0065073E" w14:paraId="339482E8" w14:textId="77777777">
        <w:trPr>
          <w:trHeight w:val="309"/>
        </w:trPr>
        <w:tc>
          <w:tcPr>
            <w:tcW w:w="851" w:type="dxa"/>
            <w:shd w:val="clear" w:color="auto" w:fill="C6EFCE"/>
            <w:noWrap/>
          </w:tcPr>
          <w:p w14:paraId="4ED03302" w14:textId="77777777" w:rsidR="0065073E" w:rsidRDefault="000A0998">
            <w:pPr>
              <w:pStyle w:val="P68B1DB1-Normal12"/>
              <w:spacing w:after="0" w:line="240" w:lineRule="auto"/>
              <w:jc w:val="center"/>
              <w:rPr>
                <w:rFonts w:eastAsia="Times New Roman" w:cs="Times New Roman"/>
                <w:noProof/>
              </w:rPr>
            </w:pPr>
            <w:r>
              <w:rPr>
                <w:noProof/>
              </w:rPr>
              <w:t>360</w:t>
            </w:r>
          </w:p>
        </w:tc>
        <w:tc>
          <w:tcPr>
            <w:tcW w:w="993" w:type="dxa"/>
            <w:shd w:val="clear" w:color="auto" w:fill="C6EFCE"/>
            <w:noWrap/>
          </w:tcPr>
          <w:p w14:paraId="2441C253" w14:textId="77777777" w:rsidR="0065073E" w:rsidRDefault="000A0998">
            <w:pPr>
              <w:pStyle w:val="P68B1DB1-Normal12"/>
              <w:spacing w:after="0" w:line="240" w:lineRule="auto"/>
              <w:jc w:val="center"/>
              <w:rPr>
                <w:rFonts w:eastAsia="Times New Roman" w:cs="Times New Roman"/>
                <w:noProof/>
              </w:rPr>
            </w:pPr>
            <w:r>
              <w:rPr>
                <w:noProof/>
              </w:rPr>
              <w:t>C24.I3</w:t>
            </w:r>
          </w:p>
        </w:tc>
        <w:tc>
          <w:tcPr>
            <w:tcW w:w="850" w:type="dxa"/>
            <w:shd w:val="clear" w:color="auto" w:fill="C6EFCE"/>
            <w:noWrap/>
          </w:tcPr>
          <w:p w14:paraId="09C8B888" w14:textId="77777777" w:rsidR="0065073E" w:rsidRDefault="000A0998">
            <w:pPr>
              <w:pStyle w:val="P68B1DB1-Normal12"/>
              <w:spacing w:after="0" w:line="240" w:lineRule="auto"/>
              <w:jc w:val="center"/>
              <w:rPr>
                <w:rFonts w:eastAsia="Times New Roman" w:cs="Times New Roman"/>
                <w:noProof/>
              </w:rPr>
            </w:pPr>
            <w:r>
              <w:rPr>
                <w:noProof/>
              </w:rPr>
              <w:t>T</w:t>
            </w:r>
          </w:p>
        </w:tc>
        <w:tc>
          <w:tcPr>
            <w:tcW w:w="1701" w:type="dxa"/>
            <w:shd w:val="clear" w:color="auto" w:fill="C6EFCE"/>
            <w:noWrap/>
          </w:tcPr>
          <w:p w14:paraId="745BECBB" w14:textId="77777777" w:rsidR="0065073E" w:rsidRDefault="000A0998">
            <w:pPr>
              <w:pStyle w:val="P68B1DB1-Normal12"/>
              <w:spacing w:after="0" w:line="240" w:lineRule="auto"/>
              <w:rPr>
                <w:rFonts w:eastAsia="Times New Roman" w:cs="Times New Roman"/>
                <w:noProof/>
              </w:rPr>
            </w:pPr>
            <w:r>
              <w:rPr>
                <w:noProof/>
              </w:rPr>
              <w:t xml:space="preserve">Digitalisaatio ja tärkeimpien kulttuuripalvelujen edistäminen </w:t>
            </w:r>
          </w:p>
        </w:tc>
        <w:tc>
          <w:tcPr>
            <w:tcW w:w="992" w:type="dxa"/>
            <w:shd w:val="clear" w:color="auto" w:fill="C6EFCE"/>
            <w:noWrap/>
          </w:tcPr>
          <w:p w14:paraId="0595AC09"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9F59089" w14:textId="77777777" w:rsidR="0065073E" w:rsidRDefault="000A0998">
            <w:pPr>
              <w:pStyle w:val="P68B1DB1-Normal12"/>
              <w:spacing w:after="0" w:line="240" w:lineRule="auto"/>
              <w:jc w:val="center"/>
              <w:rPr>
                <w:rFonts w:eastAsia="Times New Roman" w:cs="Times New Roman"/>
                <w:noProof/>
              </w:rPr>
            </w:pPr>
            <w:r>
              <w:rPr>
                <w:noProof/>
              </w:rPr>
              <w:t>Miljoonaa euroa</w:t>
            </w:r>
          </w:p>
        </w:tc>
        <w:tc>
          <w:tcPr>
            <w:tcW w:w="992" w:type="dxa"/>
            <w:shd w:val="clear" w:color="auto" w:fill="C6EFCE"/>
            <w:noWrap/>
          </w:tcPr>
          <w:p w14:paraId="3CB6CB9C"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BADF278" w14:textId="77777777" w:rsidR="0065073E" w:rsidRDefault="000A0998">
            <w:pPr>
              <w:pStyle w:val="P68B1DB1-Normal12"/>
              <w:spacing w:after="0" w:line="240" w:lineRule="auto"/>
              <w:jc w:val="center"/>
              <w:rPr>
                <w:rFonts w:eastAsia="Times New Roman" w:cs="Times New Roman"/>
                <w:noProof/>
              </w:rPr>
            </w:pPr>
            <w:r>
              <w:rPr>
                <w:noProof/>
              </w:rPr>
              <w:t>40</w:t>
            </w:r>
          </w:p>
        </w:tc>
        <w:tc>
          <w:tcPr>
            <w:tcW w:w="709" w:type="dxa"/>
            <w:shd w:val="clear" w:color="auto" w:fill="C6EFCE"/>
            <w:noWrap/>
          </w:tcPr>
          <w:p w14:paraId="6B3BB46A"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67" w:type="dxa"/>
            <w:shd w:val="clear" w:color="auto" w:fill="C6EFCE"/>
            <w:noWrap/>
          </w:tcPr>
          <w:p w14:paraId="6C854A01"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837" w:type="dxa"/>
            <w:shd w:val="clear" w:color="auto" w:fill="C6EFCE"/>
            <w:noWrap/>
          </w:tcPr>
          <w:p w14:paraId="5075002C"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Vähintään 40000000 euron kumulatiivinen talousarvio, joka on sidottu seuraavien rahoittamiseen: a) kansallisen Pradon museon ja Reina Sofia -museon edistäminen ja digitalisointi; </w:t>
            </w:r>
            <w:r>
              <w:rPr>
                <w:noProof/>
              </w:rPr>
              <w:t xml:space="preserve"> </w:t>
            </w:r>
            <w:r>
              <w:rPr>
                <w:noProof/>
              </w:rPr>
              <w:br/>
            </w:r>
            <w:r>
              <w:rPr>
                <w:rFonts w:ascii="Times New Roman" w:hAnsi="Times New Roman"/>
                <w:noProof/>
                <w:sz w:val="18"/>
              </w:rPr>
              <w:t>— Toimet Espanjan kansalliskirjaston digitaalisen kokoelman vuotuisten käyttäjien lisäämiseksi</w:t>
            </w:r>
            <w:r>
              <w:rPr>
                <w:noProof/>
              </w:rPr>
              <w:t xml:space="preserve"> </w:t>
            </w:r>
            <w:r>
              <w:rPr>
                <w:noProof/>
              </w:rPr>
              <w:br/>
              <w:t xml:space="preserve"> </w:t>
            </w:r>
            <w:r>
              <w:rPr>
                <w:rFonts w:ascii="Times New Roman" w:hAnsi="Times New Roman"/>
                <w:noProof/>
                <w:sz w:val="18"/>
              </w:rPr>
              <w:t>— Muun bibliografisen perinnön digitalisointi [digitoidut kulttuuriperintökokoelmat];</w:t>
            </w:r>
            <w:r>
              <w:rPr>
                <w:noProof/>
              </w:rPr>
              <w:t xml:space="preserve"> </w:t>
            </w:r>
            <w:r>
              <w:rPr>
                <w:noProof/>
              </w:rPr>
              <w:br/>
            </w:r>
            <w:r>
              <w:rPr>
                <w:rFonts w:ascii="Times New Roman" w:hAnsi="Times New Roman"/>
                <w:noProof/>
                <w:sz w:val="18"/>
              </w:rPr>
              <w:t>— Digitaalinen pääsy bibliografiseen perintöön ja kaikentyyppisten julkisten arkistojärjestelmien yhteentoimivuus sekä Espanjan historiallisen perinnön inventaarion ja arkistointijärjestelmien tiedontallennuskapasiteetin laajentaminen;</w:t>
            </w:r>
            <w:r>
              <w:rPr>
                <w:noProof/>
              </w:rPr>
              <w:t xml:space="preserve"> </w:t>
            </w:r>
            <w:r>
              <w:rPr>
                <w:noProof/>
              </w:rPr>
              <w:br/>
            </w:r>
            <w:r>
              <w:rPr>
                <w:rFonts w:ascii="Times New Roman" w:hAnsi="Times New Roman"/>
                <w:noProof/>
                <w:sz w:val="18"/>
              </w:rPr>
              <w:t>INAEMin resurssien, varojen, rakenteiden ja infrastruktuurin digitalisointia ja luettelointia koskevan yhdennetyn järjestelmän toteuttaminen</w:t>
            </w:r>
          </w:p>
        </w:tc>
      </w:tr>
      <w:tr w:rsidR="0065073E" w14:paraId="6111FB52" w14:textId="77777777">
        <w:trPr>
          <w:trHeight w:val="309"/>
        </w:trPr>
        <w:tc>
          <w:tcPr>
            <w:tcW w:w="851" w:type="dxa"/>
            <w:shd w:val="clear" w:color="auto" w:fill="C6EFCE"/>
            <w:noWrap/>
          </w:tcPr>
          <w:p w14:paraId="636EDFD6" w14:textId="77777777" w:rsidR="0065073E" w:rsidRDefault="000A0998">
            <w:pPr>
              <w:pStyle w:val="P68B1DB1-Normal12"/>
              <w:spacing w:after="0" w:line="240" w:lineRule="auto"/>
              <w:jc w:val="center"/>
              <w:rPr>
                <w:rFonts w:eastAsia="Times New Roman" w:cs="Times New Roman"/>
                <w:noProof/>
              </w:rPr>
            </w:pPr>
            <w:r>
              <w:rPr>
                <w:noProof/>
              </w:rPr>
              <w:t>361</w:t>
            </w:r>
          </w:p>
        </w:tc>
        <w:tc>
          <w:tcPr>
            <w:tcW w:w="993" w:type="dxa"/>
            <w:shd w:val="clear" w:color="auto" w:fill="C6EFCE"/>
            <w:noWrap/>
          </w:tcPr>
          <w:p w14:paraId="2F8E019D" w14:textId="77777777" w:rsidR="0065073E" w:rsidRDefault="000A0998">
            <w:pPr>
              <w:pStyle w:val="P68B1DB1-Normal12"/>
              <w:spacing w:after="0" w:line="240" w:lineRule="auto"/>
              <w:jc w:val="center"/>
              <w:rPr>
                <w:rFonts w:eastAsia="Times New Roman" w:cs="Times New Roman"/>
                <w:noProof/>
              </w:rPr>
            </w:pPr>
            <w:r>
              <w:rPr>
                <w:noProof/>
              </w:rPr>
              <w:t>C24.I3</w:t>
            </w:r>
          </w:p>
        </w:tc>
        <w:tc>
          <w:tcPr>
            <w:tcW w:w="850" w:type="dxa"/>
            <w:shd w:val="clear" w:color="auto" w:fill="C6EFCE"/>
            <w:noWrap/>
          </w:tcPr>
          <w:p w14:paraId="75E0BAF3" w14:textId="77777777" w:rsidR="0065073E" w:rsidRDefault="000A0998">
            <w:pPr>
              <w:pStyle w:val="P68B1DB1-Normal12"/>
              <w:spacing w:after="0" w:line="240" w:lineRule="auto"/>
              <w:jc w:val="center"/>
              <w:rPr>
                <w:rFonts w:eastAsia="Times New Roman" w:cs="Times New Roman"/>
                <w:noProof/>
              </w:rPr>
            </w:pPr>
            <w:r>
              <w:rPr>
                <w:noProof/>
              </w:rPr>
              <w:t>T</w:t>
            </w:r>
          </w:p>
        </w:tc>
        <w:tc>
          <w:tcPr>
            <w:tcW w:w="1701" w:type="dxa"/>
            <w:shd w:val="clear" w:color="auto" w:fill="C6EFCE"/>
            <w:noWrap/>
          </w:tcPr>
          <w:p w14:paraId="4970F117" w14:textId="77777777" w:rsidR="0065073E" w:rsidRDefault="000A0998">
            <w:pPr>
              <w:pStyle w:val="P68B1DB1-Normal12"/>
              <w:spacing w:after="0" w:line="240" w:lineRule="auto"/>
              <w:rPr>
                <w:rFonts w:eastAsia="Times New Roman" w:cs="Times New Roman"/>
                <w:noProof/>
              </w:rPr>
            </w:pPr>
            <w:r>
              <w:rPr>
                <w:noProof/>
              </w:rPr>
              <w:t xml:space="preserve">Digitalisaation loppuun saattaminen ja tärkeimpien kulttuuripalvelujen edistäminen </w:t>
            </w:r>
          </w:p>
        </w:tc>
        <w:tc>
          <w:tcPr>
            <w:tcW w:w="992" w:type="dxa"/>
            <w:shd w:val="clear" w:color="auto" w:fill="C6EFCE"/>
            <w:noWrap/>
          </w:tcPr>
          <w:p w14:paraId="0CDDE017" w14:textId="77777777" w:rsidR="0065073E" w:rsidRDefault="000A0998">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6EA98F0"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92" w:type="dxa"/>
            <w:shd w:val="clear" w:color="auto" w:fill="C6EFCE"/>
            <w:noWrap/>
          </w:tcPr>
          <w:p w14:paraId="60FA0D12" w14:textId="77777777" w:rsidR="0065073E" w:rsidRDefault="000A0998">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3D45C3A" w14:textId="77777777" w:rsidR="0065073E" w:rsidRDefault="000A0998">
            <w:pPr>
              <w:pStyle w:val="P68B1DB1-Normal12"/>
              <w:spacing w:after="0" w:line="240" w:lineRule="auto"/>
              <w:jc w:val="center"/>
              <w:rPr>
                <w:rFonts w:eastAsia="Times New Roman" w:cs="Times New Roman"/>
                <w:noProof/>
              </w:rPr>
            </w:pPr>
            <w:r>
              <w:rPr>
                <w:noProof/>
              </w:rPr>
              <w:t>200</w:t>
            </w:r>
          </w:p>
        </w:tc>
        <w:tc>
          <w:tcPr>
            <w:tcW w:w="709" w:type="dxa"/>
            <w:shd w:val="clear" w:color="auto" w:fill="C6EFCE"/>
            <w:noWrap/>
          </w:tcPr>
          <w:p w14:paraId="34E32477" w14:textId="77777777" w:rsidR="0065073E" w:rsidRDefault="000A0998">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8FACBC4"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837" w:type="dxa"/>
            <w:shd w:val="clear" w:color="auto" w:fill="C6EFCE"/>
            <w:noWrap/>
          </w:tcPr>
          <w:p w14:paraId="1867CC36" w14:textId="77777777" w:rsidR="0065073E" w:rsidRDefault="000A0998">
            <w:pPr>
              <w:spacing w:after="0" w:line="240" w:lineRule="auto"/>
              <w:rPr>
                <w:rFonts w:ascii="Times New Roman" w:eastAsia="Times New Roman" w:hAnsi="Times New Roman" w:cs="Times New Roman"/>
                <w:noProof/>
                <w:sz w:val="18"/>
              </w:rPr>
            </w:pPr>
            <w:r>
              <w:rPr>
                <w:rFonts w:ascii="Times New Roman" w:hAnsi="Times New Roman"/>
                <w:noProof/>
                <w:sz w:val="18"/>
              </w:rPr>
              <w:t>Saatetaan päätökseen vähintään 200 hanketta ”ei merkittävää haittaa” -periaatteen (2021/C58/01) teknisten ohjeiden (2021/C58/01) mukaisesti käyttämällä poissulkemisluetteloa ja EU:n ja kansallisen ympäristölainsäädännön noudattamista koskevaa vaatimusta, jotta voidaan</w:t>
            </w:r>
            <w:r>
              <w:rPr>
                <w:noProof/>
              </w:rPr>
              <w:t xml:space="preserve"> </w:t>
            </w:r>
            <w:r>
              <w:rPr>
                <w:noProof/>
              </w:rPr>
              <w:br/>
            </w:r>
            <w:r>
              <w:rPr>
                <w:rFonts w:ascii="Times New Roman" w:hAnsi="Times New Roman"/>
                <w:noProof/>
                <w:sz w:val="18"/>
              </w:rPr>
              <w:t xml:space="preserve">— Kansallisen Pradon museon ja Reina Sofia -museon vauhdittaminen ja digitalisointi; </w:t>
            </w:r>
            <w:r>
              <w:rPr>
                <w:noProof/>
              </w:rPr>
              <w:t xml:space="preserve"> </w:t>
            </w:r>
            <w:r>
              <w:rPr>
                <w:noProof/>
              </w:rPr>
              <w:br/>
            </w:r>
            <w:r>
              <w:rPr>
                <w:rFonts w:ascii="Times New Roman" w:hAnsi="Times New Roman"/>
                <w:noProof/>
                <w:sz w:val="18"/>
              </w:rPr>
              <w:t>— Toimet, joilla lisätään Espanjan kansalliskirjaston digitaalisen kokoelman vuotuisia käyttäjiä;</w:t>
            </w:r>
            <w:r>
              <w:rPr>
                <w:noProof/>
              </w:rPr>
              <w:t xml:space="preserve"> </w:t>
            </w:r>
            <w:r>
              <w:rPr>
                <w:noProof/>
              </w:rPr>
              <w:br/>
            </w:r>
            <w:r>
              <w:rPr>
                <w:rFonts w:ascii="Times New Roman" w:hAnsi="Times New Roman"/>
                <w:noProof/>
                <w:sz w:val="18"/>
              </w:rPr>
              <w:t>— Digitaalinen pääsy bibliografiseen perintöön ja kaikentyyppisten julkisten arkistojärjestelmien yhteentoimivuus sekä Espanjan historiallisen perinnön inventaarion ja arkistointijärjestelmien tiedontallennuskapasiteetin laajentaminen;</w:t>
            </w:r>
            <w:r>
              <w:rPr>
                <w:noProof/>
              </w:rPr>
              <w:t xml:space="preserve"> </w:t>
            </w:r>
            <w:r>
              <w:rPr>
                <w:noProof/>
              </w:rPr>
              <w:br/>
            </w:r>
            <w:r>
              <w:rPr>
                <w:rFonts w:ascii="Times New Roman" w:hAnsi="Times New Roman"/>
                <w:noProof/>
                <w:sz w:val="18"/>
              </w:rPr>
              <w:t>— INAEMin resurssien, varojen, rakenteiden ja infrastruktuurin digitalisointia ja luettelointia koskevan yhdennetyn järjestelmän toteuttaminen.</w:t>
            </w:r>
          </w:p>
        </w:tc>
      </w:tr>
      <w:tr w:rsidR="0065073E" w14:paraId="111C0343" w14:textId="77777777">
        <w:trPr>
          <w:trHeight w:val="309"/>
        </w:trPr>
        <w:tc>
          <w:tcPr>
            <w:tcW w:w="851" w:type="dxa"/>
            <w:shd w:val="clear" w:color="auto" w:fill="C6EFCE"/>
            <w:noWrap/>
          </w:tcPr>
          <w:p w14:paraId="09E3727A" w14:textId="77777777" w:rsidR="0065073E" w:rsidRDefault="000A0998">
            <w:pPr>
              <w:pStyle w:val="P68B1DB1-Normal12"/>
              <w:spacing w:after="0" w:line="240" w:lineRule="auto"/>
              <w:jc w:val="center"/>
              <w:rPr>
                <w:rFonts w:cs="Times New Roman"/>
                <w:noProof/>
              </w:rPr>
            </w:pPr>
            <w:r>
              <w:rPr>
                <w:noProof/>
              </w:rPr>
              <w:t>362</w:t>
            </w:r>
          </w:p>
        </w:tc>
        <w:tc>
          <w:tcPr>
            <w:tcW w:w="993" w:type="dxa"/>
            <w:shd w:val="clear" w:color="auto" w:fill="C6EFCE"/>
            <w:noWrap/>
          </w:tcPr>
          <w:p w14:paraId="75AB6532" w14:textId="77777777" w:rsidR="0065073E" w:rsidRDefault="000A0998">
            <w:pPr>
              <w:pStyle w:val="P68B1DB1-Normal12"/>
              <w:spacing w:after="0" w:line="240" w:lineRule="auto"/>
              <w:jc w:val="center"/>
              <w:rPr>
                <w:rFonts w:cs="Times New Roman"/>
                <w:noProof/>
              </w:rPr>
            </w:pPr>
            <w:r>
              <w:rPr>
                <w:noProof/>
              </w:rPr>
              <w:t>C24.I3</w:t>
            </w:r>
          </w:p>
        </w:tc>
        <w:tc>
          <w:tcPr>
            <w:tcW w:w="850" w:type="dxa"/>
            <w:shd w:val="clear" w:color="auto" w:fill="C6EFCE"/>
            <w:noWrap/>
          </w:tcPr>
          <w:p w14:paraId="4B5615D1" w14:textId="77777777" w:rsidR="0065073E" w:rsidRDefault="000A0998">
            <w:pPr>
              <w:pStyle w:val="P68B1DB1-Normal12"/>
              <w:spacing w:after="0" w:line="240" w:lineRule="auto"/>
              <w:jc w:val="center"/>
              <w:rPr>
                <w:rFonts w:cs="Times New Roman"/>
                <w:noProof/>
              </w:rPr>
            </w:pPr>
            <w:r>
              <w:rPr>
                <w:noProof/>
              </w:rPr>
              <w:t>T</w:t>
            </w:r>
          </w:p>
        </w:tc>
        <w:tc>
          <w:tcPr>
            <w:tcW w:w="1701" w:type="dxa"/>
            <w:shd w:val="clear" w:color="auto" w:fill="C6EFCE"/>
            <w:noWrap/>
          </w:tcPr>
          <w:p w14:paraId="408FC712" w14:textId="77777777" w:rsidR="0065073E" w:rsidRDefault="000A0998">
            <w:pPr>
              <w:pStyle w:val="P68B1DB1-Normal12"/>
              <w:spacing w:after="0" w:line="240" w:lineRule="auto"/>
              <w:rPr>
                <w:rFonts w:cs="Times New Roman"/>
                <w:noProof/>
              </w:rPr>
            </w:pPr>
            <w:r>
              <w:rPr>
                <w:noProof/>
              </w:rPr>
              <w:t xml:space="preserve">Bibliografisen perinnön digitalisoinnin loppuun saattaminen </w:t>
            </w:r>
          </w:p>
        </w:tc>
        <w:tc>
          <w:tcPr>
            <w:tcW w:w="992" w:type="dxa"/>
            <w:shd w:val="clear" w:color="auto" w:fill="C6EFCE"/>
            <w:noWrap/>
          </w:tcPr>
          <w:p w14:paraId="66D4D6B4" w14:textId="77777777" w:rsidR="0065073E" w:rsidRDefault="000A0998">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0E3D9714" w14:textId="77777777" w:rsidR="0065073E" w:rsidRDefault="000A0998">
            <w:pPr>
              <w:pStyle w:val="P68B1DB1-Normal12"/>
              <w:spacing w:after="0" w:line="240" w:lineRule="auto"/>
              <w:jc w:val="center"/>
              <w:rPr>
                <w:rFonts w:cs="Times New Roman"/>
                <w:noProof/>
              </w:rPr>
            </w:pPr>
            <w:r>
              <w:rPr>
                <w:noProof/>
              </w:rPr>
              <w:t>Määrä (milj.)</w:t>
            </w:r>
          </w:p>
        </w:tc>
        <w:tc>
          <w:tcPr>
            <w:tcW w:w="992" w:type="dxa"/>
            <w:shd w:val="clear" w:color="auto" w:fill="C6EFCE"/>
            <w:noWrap/>
          </w:tcPr>
          <w:p w14:paraId="6BD98C04" w14:textId="77777777" w:rsidR="0065073E" w:rsidRDefault="000A0998">
            <w:pPr>
              <w:pStyle w:val="P68B1DB1-Normal12"/>
              <w:spacing w:after="0" w:line="240" w:lineRule="auto"/>
              <w:jc w:val="right"/>
              <w:rPr>
                <w:rFonts w:cs="Times New Roman"/>
                <w:noProof/>
              </w:rPr>
            </w:pPr>
            <w:r>
              <w:rPr>
                <w:noProof/>
              </w:rPr>
              <w:t>10</w:t>
            </w:r>
          </w:p>
        </w:tc>
        <w:tc>
          <w:tcPr>
            <w:tcW w:w="709" w:type="dxa"/>
            <w:shd w:val="clear" w:color="auto" w:fill="C6EFCE"/>
            <w:noWrap/>
          </w:tcPr>
          <w:p w14:paraId="13DD66AC" w14:textId="77777777" w:rsidR="0065073E" w:rsidRDefault="000A0998">
            <w:pPr>
              <w:pStyle w:val="P68B1DB1-Normal12"/>
              <w:spacing w:after="0" w:line="240" w:lineRule="auto"/>
              <w:jc w:val="center"/>
              <w:rPr>
                <w:rFonts w:cs="Times New Roman"/>
                <w:noProof/>
              </w:rPr>
            </w:pPr>
            <w:r>
              <w:rPr>
                <w:noProof/>
              </w:rPr>
              <w:t>12</w:t>
            </w:r>
          </w:p>
        </w:tc>
        <w:tc>
          <w:tcPr>
            <w:tcW w:w="709" w:type="dxa"/>
            <w:shd w:val="clear" w:color="auto" w:fill="C6EFCE"/>
            <w:noWrap/>
          </w:tcPr>
          <w:p w14:paraId="2FB899A5" w14:textId="77777777" w:rsidR="0065073E" w:rsidRDefault="000A0998">
            <w:pPr>
              <w:pStyle w:val="P68B1DB1-Normal12"/>
              <w:spacing w:after="0" w:line="240" w:lineRule="auto"/>
              <w:jc w:val="center"/>
              <w:rPr>
                <w:rFonts w:cs="Times New Roman"/>
                <w:noProof/>
              </w:rPr>
            </w:pPr>
            <w:r>
              <w:rPr>
                <w:noProof/>
              </w:rPr>
              <w:t>Q4</w:t>
            </w:r>
          </w:p>
        </w:tc>
        <w:tc>
          <w:tcPr>
            <w:tcW w:w="567" w:type="dxa"/>
            <w:shd w:val="clear" w:color="auto" w:fill="C6EFCE"/>
            <w:noWrap/>
          </w:tcPr>
          <w:p w14:paraId="57EB1B84" w14:textId="77777777" w:rsidR="0065073E" w:rsidRDefault="000A0998">
            <w:pPr>
              <w:pStyle w:val="P68B1DB1-Normal12"/>
              <w:spacing w:after="0" w:line="240" w:lineRule="auto"/>
              <w:jc w:val="center"/>
              <w:rPr>
                <w:rFonts w:cs="Times New Roman"/>
                <w:noProof/>
              </w:rPr>
            </w:pPr>
            <w:r>
              <w:rPr>
                <w:noProof/>
              </w:rPr>
              <w:t>2023</w:t>
            </w:r>
          </w:p>
        </w:tc>
        <w:tc>
          <w:tcPr>
            <w:tcW w:w="6837" w:type="dxa"/>
            <w:shd w:val="clear" w:color="auto" w:fill="C6EFCE"/>
            <w:noWrap/>
          </w:tcPr>
          <w:p w14:paraId="718B8937" w14:textId="77777777" w:rsidR="0065073E" w:rsidRDefault="000A0998">
            <w:pPr>
              <w:pStyle w:val="P68B1DB1-Normal12"/>
              <w:spacing w:after="0" w:line="240" w:lineRule="auto"/>
              <w:rPr>
                <w:rFonts w:cs="Times New Roman"/>
                <w:noProof/>
              </w:rPr>
            </w:pPr>
            <w:r>
              <w:rPr>
                <w:noProof/>
              </w:rPr>
              <w:t>— Bibliografisen perinnön digitalisointi (julkiset ja yksityiset kokoelmat) (yhteensä 12 miljoonaa perinnön käyttäjää/kokoelmaa digitoitu)</w:t>
            </w:r>
          </w:p>
        </w:tc>
      </w:tr>
    </w:tbl>
    <w:p w14:paraId="3AB46BF3" w14:textId="5E8B3104" w:rsidR="0065073E" w:rsidRDefault="0065073E">
      <w:pPr>
        <w:keepNext/>
        <w:spacing w:before="120" w:after="360" w:line="240" w:lineRule="auto"/>
        <w:rPr>
          <w:rFonts w:ascii="Times New Roman" w:hAnsi="Times New Roman" w:cs="Times New Roman"/>
          <w:b/>
          <w:smallCaps/>
          <w:noProof/>
          <w:sz w:val="28"/>
        </w:rPr>
        <w:sectPr w:rsidR="0065073E" w:rsidSect="00B511EF">
          <w:headerReference w:type="even" r:id="rId529"/>
          <w:headerReference w:type="default" r:id="rId530"/>
          <w:footerReference w:type="even" r:id="rId531"/>
          <w:footerReference w:type="default" r:id="rId532"/>
          <w:headerReference w:type="first" r:id="rId533"/>
          <w:footerReference w:type="first" r:id="rId534"/>
          <w:pgSz w:w="16839" w:h="11907" w:orient="landscape"/>
          <w:pgMar w:top="1134" w:right="1134" w:bottom="1134" w:left="1134" w:header="567" w:footer="567" w:gutter="0"/>
          <w:cols w:space="720"/>
          <w:docGrid w:linePitch="360"/>
        </w:sectPr>
      </w:pPr>
    </w:p>
    <w:p w14:paraId="60B46F4E" w14:textId="77777777" w:rsidR="0065073E" w:rsidRDefault="000A0998">
      <w:pPr>
        <w:pStyle w:val="P68B1DB1-Heading12"/>
        <w:rPr>
          <w:rFonts w:cs="Times New Roman"/>
          <w:noProof/>
        </w:rPr>
      </w:pPr>
      <w:r>
        <w:rPr>
          <w:noProof/>
        </w:rPr>
        <w:t>Y. OSA 25: Espanjan audiovisuaalinen keskus</w:t>
      </w:r>
    </w:p>
    <w:p w14:paraId="051EE69F" w14:textId="77777777" w:rsidR="0065073E" w:rsidRDefault="000A0998">
      <w:pPr>
        <w:pStyle w:val="P68B1DB1-Normal4"/>
        <w:tabs>
          <w:tab w:val="left" w:pos="1134"/>
        </w:tabs>
        <w:spacing w:before="120" w:after="120" w:line="240" w:lineRule="auto"/>
        <w:jc w:val="both"/>
        <w:rPr>
          <w:rFonts w:cs="Times New Roman"/>
          <w:noProof/>
        </w:rPr>
      </w:pPr>
      <w:r>
        <w:rPr>
          <w:noProof/>
        </w:rPr>
        <w:t xml:space="preserve">Tähän Espanjan elpymis- ja palautumissuunnitelman osaan kootaan joukko investointeja ja uudistuksia, joilla pyritään elvyttämään ja vahvistamaan audiovisuaalialaa. Sen tavoitteena on parantaa investointiympäristöä, vakiinnuttaa Espanja audiovisuaalisten investointien kansainvälisenä foorumina ja tehdä Espanjasta viitekehys audiovisuaalisten tuotteiden, kuten videopelien ja digitaalisen luomisen, viennissä. Tähän komponenttiin sisältyy myös toimia, joilla edistetään yritysten kansainvälistymistä, edistetään alan innovointia ja parannetaan sääntelyä. </w:t>
      </w:r>
    </w:p>
    <w:p w14:paraId="0D8208BA" w14:textId="77777777" w:rsidR="0065073E" w:rsidRDefault="000A0998">
      <w:pPr>
        <w:pStyle w:val="P68B1DB1-Normal4"/>
        <w:tabs>
          <w:tab w:val="left" w:pos="1134"/>
        </w:tabs>
        <w:spacing w:before="120" w:after="120" w:line="240" w:lineRule="auto"/>
        <w:jc w:val="both"/>
        <w:rPr>
          <w:rFonts w:cs="Times New Roman"/>
          <w:noProof/>
        </w:rPr>
      </w:pPr>
      <w:r>
        <w:rPr>
          <w:noProof/>
        </w:rPr>
        <w:t xml:space="preserve">Espanjan digitaalistrategia 2025 -suunnitelman ja äskettäin hyväksytyn suunnitelman ”Plan Spain Audio- Audiovisual Hub of Europe” mukaisesti komponentin odotetaan tukevan työpaikkojen luomista erityisesti nuorten ja matkailualan keskuudessa, ja siihen sisältyy toimia sukupuolten välisen kuilun kaventamiseksi. </w:t>
      </w:r>
    </w:p>
    <w:p w14:paraId="50958C6E" w14:textId="77777777" w:rsidR="0065073E" w:rsidRDefault="000A0998">
      <w:pPr>
        <w:pStyle w:val="P68B1DB1-Normal4"/>
        <w:tabs>
          <w:tab w:val="left" w:pos="1134"/>
        </w:tabs>
        <w:spacing w:before="120" w:after="120" w:line="240" w:lineRule="auto"/>
        <w:jc w:val="both"/>
        <w:rPr>
          <w:rFonts w:cs="Times New Roman"/>
          <w:noProof/>
        </w:rPr>
      </w:pPr>
      <w:r>
        <w:rPr>
          <w:noProof/>
        </w:rPr>
        <w:t>Komponentissa otetaan huomioon maakohtaiset suositukset innovointiin tehtävien investointien edistämisestä (maakohtainen suositus 3 2019) ja investointien keskittämisestä vihreään ja digitaaliseen siirtymään (maakohtainen suositus 3 2020).</w:t>
      </w:r>
    </w:p>
    <w:p w14:paraId="14392F08" w14:textId="77777777" w:rsidR="0065073E" w:rsidRDefault="000A0998">
      <w:pPr>
        <w:pStyle w:val="P68B1DB1-Normal4"/>
        <w:tabs>
          <w:tab w:val="left" w:pos="1134"/>
        </w:tabs>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70CDFBED" w14:textId="77777777" w:rsidR="0065073E" w:rsidRDefault="000A0998">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Y.1 </w:t>
      </w:r>
      <w:r>
        <w:rPr>
          <w:noProof/>
        </w:rPr>
        <w:t xml:space="preserve"> </w:t>
      </w:r>
      <w:r>
        <w:rPr>
          <w:rFonts w:ascii="Times New Roman" w:hAnsi="Times New Roman"/>
          <w:b/>
          <w:noProof/>
          <w:sz w:val="24"/>
          <w:u w:val="single"/>
        </w:rPr>
        <w:t>Kuvaus uudistuksista ja investoinneista, joita rahoitetaan rahoitustuella, jota ei makseta takaisin</w:t>
      </w:r>
    </w:p>
    <w:p w14:paraId="2946B1E1" w14:textId="77777777" w:rsidR="0065073E" w:rsidRDefault="000A0998">
      <w:pPr>
        <w:pStyle w:val="P68B1DB1-Normal5"/>
        <w:spacing w:before="120" w:after="120" w:line="240" w:lineRule="auto"/>
        <w:jc w:val="both"/>
        <w:rPr>
          <w:rFonts w:cs="Times New Roman"/>
          <w:noProof/>
        </w:rPr>
      </w:pPr>
      <w:r>
        <w:rPr>
          <w:noProof/>
        </w:rPr>
        <w:t xml:space="preserve">Uudistus 1 (C25.R1):  Audiovisuaalialan sääntelykehyksen uudistaminen </w:t>
      </w:r>
    </w:p>
    <w:p w14:paraId="1822C51B" w14:textId="77777777" w:rsidR="0065073E" w:rsidRDefault="000A0998">
      <w:pPr>
        <w:pStyle w:val="P68B1DB1-Normal4"/>
        <w:spacing w:before="120" w:after="120" w:line="240" w:lineRule="auto"/>
        <w:jc w:val="both"/>
        <w:rPr>
          <w:rFonts w:cs="Times New Roman"/>
          <w:noProof/>
        </w:rPr>
      </w:pPr>
      <w:r>
        <w:rPr>
          <w:noProof/>
        </w:rPr>
        <w:t>Audiovisuaalialan sääntelykehyksen uudistamiseen kuuluu kahden lain hyväksyminen ja alakohtaisen suunnitelman hyväksyminen:</w:t>
      </w:r>
    </w:p>
    <w:p w14:paraId="08F05169" w14:textId="77777777" w:rsidR="0065073E" w:rsidRDefault="000A0998">
      <w:pPr>
        <w:pStyle w:val="P68B1DB1-Normal4"/>
        <w:numPr>
          <w:ilvl w:val="0"/>
          <w:numId w:val="161"/>
        </w:numPr>
        <w:spacing w:before="120" w:after="120" w:line="240" w:lineRule="auto"/>
        <w:jc w:val="both"/>
        <w:rPr>
          <w:rFonts w:cs="Times New Roman"/>
          <w:noProof/>
        </w:rPr>
      </w:pPr>
      <w:r>
        <w:rPr>
          <w:noProof/>
        </w:rPr>
        <w:t xml:space="preserve">Audiovisuaalisesta viestinnästä annetun yleisen lain voimaantulo, jolla on erilaiset tavoitteet. Ensinnäkin mukautetaan ja nykyaikaistetaan audiovisuaalisia mediapalveluja ja alustavideonvaihtopalveluja koskevaa oikeudellista kehystä Espanjassa. Toiseksi on otettava käyttöön mekanismeja, joilla taataan käyttäjien oikeudet, kuten alaikäisten ja yleisön suojelu tietyntyyppiseltä sisällöltä. Kolmanneksi edistetään eurooppalaista audiovisuaalista työtä kaksinkertaistamalla tuki riippumattomalle audiovisuaaliselle tuotannolle. Neljänneksi vammaisten henkilöiden integroinnin parantaminen. Laki tulee voimaan vuoden 2022 ensimmäisen neljänneksen loppuun mennessä. </w:t>
      </w:r>
    </w:p>
    <w:p w14:paraId="066FF041" w14:textId="77777777" w:rsidR="0065073E" w:rsidRDefault="000A0998">
      <w:pPr>
        <w:pStyle w:val="P68B1DB1-Normal4"/>
        <w:numPr>
          <w:ilvl w:val="0"/>
          <w:numId w:val="161"/>
        </w:numPr>
        <w:spacing w:before="120" w:after="120" w:line="240" w:lineRule="auto"/>
        <w:jc w:val="both"/>
        <w:rPr>
          <w:rFonts w:cs="Times New Roman"/>
          <w:noProof/>
        </w:rPr>
      </w:pPr>
      <w:r>
        <w:rPr>
          <w:noProof/>
        </w:rPr>
        <w:t xml:space="preserve">Elokuvalain 55/2007 uudistus, jolla pyritään i) saattamaan lain säännökset vastaamaan alan uutta todellisuutta; II) yhdenmukaistetaan sääntelykehys EU:n oikeudellisen kehyksen kanssa, valtiontukisäännöt mukaan luettuina; ja iii) päivitetään ja muutetaan mekanismia taloudellisen tuen antamiseksi audiovisuaalialalle. Tämä on tehtävä viimeistään 31 päivänä joulukuuta 2023.   </w:t>
      </w:r>
    </w:p>
    <w:p w14:paraId="0F60AF8E" w14:textId="77777777" w:rsidR="0065073E" w:rsidRDefault="000A0998">
      <w:pPr>
        <w:pStyle w:val="P68B1DB1-Normal4"/>
        <w:numPr>
          <w:ilvl w:val="0"/>
          <w:numId w:val="161"/>
        </w:numPr>
        <w:spacing w:before="120" w:after="120" w:line="240" w:lineRule="auto"/>
        <w:jc w:val="both"/>
        <w:rPr>
          <w:rFonts w:cs="Times New Roman"/>
          <w:noProof/>
        </w:rPr>
      </w:pPr>
      <w:r>
        <w:rPr>
          <w:noProof/>
        </w:rPr>
        <w:t>Hyväksytään ja pannaan täytäntöön Espanjan audiovisuaalikeskusta koskeva suunnitelma, jolla pyritään tekemään Espanjasta maailmanlaajuinen investointifoorumi, houkuttelemaan ulkomaisia investointeja ja viemään audiovisuaalisia tuotteita. Ministerineuvosto hyväksyi suunnitelman maaliskuussa 2021. Siihen sisältyy investointeja, joilla parannetaan audiovisuaalialan koko arvoketjua Espanjan alan suhteellisten etujen perusteella, mukaan lukien vakiintunut audiovisuaaliala, hyvin koulutettu inhimillinen pääoma ja maailmanlaajuisesti tunnustettu luova kapasiteetti. Suunnitelma kattaa kaikki audiovisuaalisen alan muodot (kuten elokuvat, sarjat, mainonta, videopelit ja animaatiot). Espanjan audiovisuaalisen keskuksen tavoitteena on luoda synergioita muiden alojen, kuten kulttuurin ja matkailun, kanssa. Toimenpiteet perustuvat neljään painopisteeseen: I) tehdään Espanjasta houkutteleva tekijä audiovisuaalisen tuotannon kannalta, ii) vähennetään alaan liittyviä hallinnollisia ja sääntelyyn liittyviä kustannuksia, iii) parannetaan alan yritysten kilpailukykyä investoimalla niiden digitalisointiin ja iv) luodaan lahjakkuuksia ja kavennetaan sukupuolten välistä kuilua.</w:t>
      </w:r>
    </w:p>
    <w:p w14:paraId="0B3B8812" w14:textId="77777777" w:rsidR="0065073E" w:rsidRDefault="000A0998">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2023 mennessä. </w:t>
      </w:r>
    </w:p>
    <w:p w14:paraId="05DFD7D6" w14:textId="77777777" w:rsidR="0065073E" w:rsidRDefault="000A0998">
      <w:pPr>
        <w:pStyle w:val="P68B1DB1-Normal5"/>
        <w:spacing w:before="120" w:after="120" w:line="240" w:lineRule="auto"/>
        <w:jc w:val="both"/>
        <w:rPr>
          <w:rFonts w:cs="Times New Roman"/>
          <w:noProof/>
        </w:rPr>
      </w:pPr>
      <w:r>
        <w:rPr>
          <w:noProof/>
        </w:rPr>
        <w:t xml:space="preserve">Investointi 1 (C25.I1): Audiovisuaalialan edistämistä, nykyaikaistamista ja digitalisointia koskeva ohjelma </w:t>
      </w:r>
    </w:p>
    <w:p w14:paraId="7767D02E" w14:textId="77777777" w:rsidR="0065073E" w:rsidRDefault="000A0998">
      <w:pPr>
        <w:pStyle w:val="P68B1DB1-Normal4"/>
        <w:spacing w:before="120" w:after="120" w:line="240" w:lineRule="auto"/>
        <w:jc w:val="both"/>
        <w:rPr>
          <w:rFonts w:cs="Times New Roman"/>
          <w:noProof/>
        </w:rPr>
      </w:pPr>
      <w:r>
        <w:rPr>
          <w:noProof/>
        </w:rPr>
        <w:t xml:space="preserve">Tällä investoinnilla pyritään parantamaan audiovisuaalialan yritysten ja luovan rakenteen kilpailukykyä ja häiriönsietokykyä sekä edistämään alan kansainvälistymistä ja houkuttelemaan ulkomaisia investointeja. Tätä varten investointiin sisältyy kolme erillistä ohjelmaa. </w:t>
      </w:r>
    </w:p>
    <w:p w14:paraId="64AA71B0" w14:textId="77777777" w:rsidR="0065073E" w:rsidRDefault="000A0998">
      <w:pPr>
        <w:pStyle w:val="P68B1DB1-Normal4"/>
        <w:numPr>
          <w:ilvl w:val="0"/>
          <w:numId w:val="160"/>
        </w:numPr>
        <w:spacing w:before="120" w:after="120" w:line="240" w:lineRule="auto"/>
        <w:jc w:val="both"/>
        <w:rPr>
          <w:rFonts w:cs="Times New Roman"/>
          <w:noProof/>
        </w:rPr>
      </w:pPr>
      <w:r>
        <w:rPr>
          <w:noProof/>
        </w:rPr>
        <w:t xml:space="preserve">Ohjelma, jolla edistetään, nykyaikaistetaan ja digitalisoidaan audiovisuaalialaa sekä parannetaan audiovisuaalialan yritysten ja luovien rakenteiden kilpailukykyä ja häiriönsietokykyä. Ohjelmalla tuetaan myös digitaaliteknologian käyttöönottoa ja integrointia audiovisuaalisen sisällön tuotannossa ja edistämisessä sekä luovan työn tekijöiden korvausvälineen digitalisointia. </w:t>
      </w:r>
    </w:p>
    <w:p w14:paraId="79D86C3D" w14:textId="77777777" w:rsidR="0065073E" w:rsidRDefault="000A0998">
      <w:pPr>
        <w:pStyle w:val="P68B1DB1-Normal4"/>
        <w:numPr>
          <w:ilvl w:val="0"/>
          <w:numId w:val="160"/>
        </w:numPr>
        <w:spacing w:before="120" w:after="120" w:line="240" w:lineRule="auto"/>
        <w:jc w:val="both"/>
        <w:rPr>
          <w:rFonts w:cs="Times New Roman"/>
          <w:noProof/>
        </w:rPr>
      </w:pPr>
      <w:r>
        <w:rPr>
          <w:noProof/>
        </w:rPr>
        <w:t xml:space="preserve">Ohjelma, jolla edistetään audiovisuaalialan sisäistämistä osallistumalla audiovisuaalialan konferensseihin, alustoihin ja hankekehityslaboratorioihin sekä messuille. Tavoitteena on ottaa käyttöön erilaisia mekanismeja Espanjan audiovisuaalialan koko potentiaalin hyödyntämiseksi ja paikallisten lahjakkuuksien edistämiseksi globaalissa ympäristössä. </w:t>
      </w:r>
    </w:p>
    <w:p w14:paraId="7EBD514C" w14:textId="77777777" w:rsidR="0065073E" w:rsidRDefault="000A0998">
      <w:pPr>
        <w:pStyle w:val="P68B1DB1-Normal4"/>
        <w:numPr>
          <w:ilvl w:val="0"/>
          <w:numId w:val="160"/>
        </w:numPr>
        <w:spacing w:before="120" w:after="120" w:line="240" w:lineRule="auto"/>
        <w:jc w:val="both"/>
        <w:rPr>
          <w:rFonts w:cs="Times New Roman"/>
          <w:noProof/>
        </w:rPr>
      </w:pPr>
      <w:r>
        <w:rPr>
          <w:noProof/>
        </w:rPr>
        <w:t xml:space="preserve">Ohjelma ulkomaisten suorien sijoitusten houkuttelemiseksi audiovisuaalialalle luomalla houkutteleva investointiympäristö, keventämällä hallinnollista taakkaa ja helpottamalla erilaisia hallinnollisia menettelyjä (joihin liittyy yhteyksiä julkishallintoon yleisellä, alueellisella ja paikallisella tasolla).  </w:t>
      </w:r>
    </w:p>
    <w:p w14:paraId="3FE4DB9A" w14:textId="77777777" w:rsidR="0065073E" w:rsidRDefault="000A0998">
      <w:pPr>
        <w:pStyle w:val="P68B1DB1-Normal4"/>
        <w:spacing w:before="120" w:after="120" w:line="240" w:lineRule="auto"/>
        <w:jc w:val="both"/>
        <w:rPr>
          <w:rFonts w:cs="Times New Roman"/>
          <w:noProof/>
        </w:rPr>
      </w:pPr>
      <w:r>
        <w:rPr>
          <w:noProof/>
        </w:rPr>
        <w:t xml:space="preserve">Tämä investointi toteutetaan julkisten ja yksityisten tahojen kanssa tehdyillä sopimuksilla, hakupyynnöillä, joilla tuetaan digitaaliteknologian sisällyttämistä audiovisuaalisiin tuotteisiin ja palveluihin, tukemalla innovointia audiovisuaalisen ja digitaalisen sisällön luomiseksi ja kehittämiseksi sen eri muodoissa, digitoinnin ja data-analyysin alalla sekä uusia välineitä audiovisuaalisen sisällön kansainvälistä edistämistä ja digitaalista markkinointia varten, kuten B2B- ja B2C-verkkotyökalut. </w:t>
      </w:r>
    </w:p>
    <w:p w14:paraId="49C97AB0" w14:textId="77777777" w:rsidR="0065073E" w:rsidRDefault="000A0998">
      <w:pPr>
        <w:pStyle w:val="P68B1DB1-Normal4"/>
        <w:spacing w:before="120" w:after="120" w:line="240" w:lineRule="auto"/>
        <w:jc w:val="both"/>
        <w:rPr>
          <w:rFonts w:cs="Times New Roman"/>
          <w:noProof/>
        </w:rPr>
      </w:pPr>
      <w:r>
        <w:rPr>
          <w:noProof/>
        </w:rPr>
        <w:t xml:space="preserve">Tämä investointi kohdistuu yrityksiin, ammattilaisiin ja toimijoihin koko audiovisuaalisessa arvoketjussa, ja siinä keskitytään erityisesti audiovisuaalista sisältöä tuottaviin pk-yrityksiin, luovan työn tekijöiden palkitsemiseen erikoistuneisiin pk-yrityksiin sekä teknologiakonsultteihin, jotka voivat kehittää kaikille sidosryhmille avoimia alustoja. </w:t>
      </w:r>
    </w:p>
    <w:p w14:paraId="51748050" w14:textId="2A985A19"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joulukuuta 2024 mennessä.</w:t>
      </w:r>
    </w:p>
    <w:p w14:paraId="7D6B56C0" w14:textId="77777777"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Y.2 </w:t>
      </w:r>
      <w:r>
        <w:rPr>
          <w:noProof/>
        </w:rPr>
        <w:t xml:space="preserve"> </w:t>
      </w:r>
      <w:r>
        <w:rPr>
          <w:rFonts w:ascii="Times New Roman" w:hAnsi="Times New Roman"/>
          <w:b/>
          <w:noProof/>
          <w:sz w:val="24"/>
          <w:u w:val="single"/>
        </w:rPr>
        <w:t>Seurantaa ja täytäntöönpanoa koskevat välitavoitteet, tavoitteet, indikaattorit ja aikataulu – rahoitustuki, jota ei makseta takaisin</w:t>
      </w:r>
    </w:p>
    <w:p w14:paraId="19EBEDDA" w14:textId="77777777" w:rsidR="0065073E" w:rsidRDefault="000A0998">
      <w:pPr>
        <w:pStyle w:val="P68B1DB1-Normal4"/>
        <w:spacing w:before="120" w:after="120" w:line="240" w:lineRule="auto"/>
        <w:rPr>
          <w:rFonts w:cs="Times New Roman"/>
          <w:b/>
          <w:noProof/>
          <w:u w:val="single"/>
        </w:rPr>
      </w:pPr>
      <w:r>
        <w:rPr>
          <w:i/>
          <w:noProof/>
        </w:rPr>
        <w:t>Ks. taulukko jäljempänä.</w:t>
      </w:r>
      <w:r>
        <w:rPr>
          <w:noProof/>
        </w:rPr>
        <w:t xml:space="preserve"> </w:t>
      </w:r>
      <w:r>
        <w:rPr>
          <w:i/>
          <w:noProof/>
        </w:rPr>
        <w:t>Kaikkien indikaattoreiden perustason päivämäärä on toimen alkamisajankohta, ellei toimen kuvauksessa toisin ilmoiteta. Taulukossa esitetyt määrät eivät sisällä arvonlisäveroa.</w:t>
      </w:r>
    </w:p>
    <w:p w14:paraId="0B107F78" w14:textId="77777777" w:rsidR="0065073E" w:rsidRDefault="0065073E">
      <w:pPr>
        <w:rPr>
          <w:rFonts w:ascii="Times New Roman" w:hAnsi="Times New Roman" w:cs="Times New Roman"/>
          <w:b/>
          <w:noProof/>
          <w:sz w:val="24"/>
          <w:u w:val="single"/>
        </w:rPr>
        <w:sectPr w:rsidR="0065073E" w:rsidSect="00B511EF">
          <w:headerReference w:type="even" r:id="rId535"/>
          <w:headerReference w:type="default" r:id="rId536"/>
          <w:footerReference w:type="even" r:id="rId537"/>
          <w:footerReference w:type="default" r:id="rId538"/>
          <w:headerReference w:type="first" r:id="rId539"/>
          <w:footerReference w:type="first" r:id="rId540"/>
          <w:pgSz w:w="11907" w:h="16839"/>
          <w:pgMar w:top="1134" w:right="1134" w:bottom="1134" w:left="1134" w:header="567" w:footer="567" w:gutter="0"/>
          <w:cols w:space="720"/>
          <w:docGrid w:linePitch="360"/>
        </w:sectPr>
      </w:pPr>
    </w:p>
    <w:p w14:paraId="12F6C5B6" w14:textId="77777777" w:rsidR="0065073E" w:rsidRDefault="0065073E">
      <w:pPr>
        <w:spacing w:before="120" w:after="120" w:line="240" w:lineRule="auto"/>
        <w:jc w:val="both"/>
        <w:rPr>
          <w:rFonts w:ascii="Times New Roman" w:hAnsi="Times New Roman" w:cs="Times New Roman"/>
          <w:b/>
          <w:noProof/>
          <w:sz w:val="24"/>
          <w:u w:val="single"/>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829"/>
        <w:gridCol w:w="828"/>
        <w:gridCol w:w="2343"/>
        <w:gridCol w:w="966"/>
        <w:gridCol w:w="829"/>
        <w:gridCol w:w="966"/>
        <w:gridCol w:w="553"/>
        <w:gridCol w:w="415"/>
        <w:gridCol w:w="553"/>
        <w:gridCol w:w="6337"/>
      </w:tblGrid>
      <w:tr w:rsidR="0065073E" w14:paraId="3F5F0FEE" w14:textId="77777777">
        <w:trPr>
          <w:trHeight w:val="309"/>
          <w:tblHeader/>
        </w:trPr>
        <w:tc>
          <w:tcPr>
            <w:tcW w:w="833" w:type="dxa"/>
            <w:tcBorders>
              <w:bottom w:val="nil"/>
            </w:tcBorders>
            <w:shd w:val="clear" w:color="auto" w:fill="C6D9F1" w:themeFill="text2" w:themeFillTint="33"/>
            <w:noWrap/>
            <w:vAlign w:val="center"/>
          </w:tcPr>
          <w:p w14:paraId="200B838D" w14:textId="5F6ED304" w:rsidR="0065073E" w:rsidRDefault="000A0998">
            <w:pPr>
              <w:pStyle w:val="P68B1DB1-Normal8"/>
              <w:spacing w:after="0" w:line="240" w:lineRule="auto"/>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74C2870B" w14:textId="77777777" w:rsidR="0065073E" w:rsidRDefault="000A0998">
            <w:pPr>
              <w:pStyle w:val="P68B1DB1-Normal8"/>
              <w:spacing w:after="0" w:line="240" w:lineRule="auto"/>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65C3B47E"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343" w:type="dxa"/>
            <w:tcBorders>
              <w:bottom w:val="nil"/>
            </w:tcBorders>
            <w:shd w:val="clear" w:color="auto" w:fill="C6D9F1" w:themeFill="text2" w:themeFillTint="33"/>
            <w:noWrap/>
            <w:vAlign w:val="center"/>
          </w:tcPr>
          <w:p w14:paraId="1FF03D96" w14:textId="77777777" w:rsidR="0065073E" w:rsidRDefault="000A0998">
            <w:pPr>
              <w:pStyle w:val="P68B1DB1-Normal8"/>
              <w:spacing w:after="0" w:line="240" w:lineRule="auto"/>
              <w:jc w:val="center"/>
              <w:rPr>
                <w:rFonts w:cs="Times New Roman"/>
                <w:noProof/>
              </w:rPr>
            </w:pPr>
            <w:r>
              <w:rPr>
                <w:noProof/>
              </w:rPr>
              <w:t>Nimi</w:t>
            </w:r>
          </w:p>
        </w:tc>
        <w:tc>
          <w:tcPr>
            <w:tcW w:w="966" w:type="dxa"/>
            <w:tcBorders>
              <w:bottom w:val="nil"/>
            </w:tcBorders>
            <w:shd w:val="clear" w:color="auto" w:fill="C6D9F1" w:themeFill="text2" w:themeFillTint="33"/>
            <w:noWrap/>
            <w:vAlign w:val="center"/>
          </w:tcPr>
          <w:p w14:paraId="5E7767FA"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48" w:type="dxa"/>
            <w:gridSpan w:val="3"/>
            <w:shd w:val="clear" w:color="auto" w:fill="C6D9F1" w:themeFill="text2" w:themeFillTint="33"/>
            <w:noWrap/>
            <w:vAlign w:val="center"/>
          </w:tcPr>
          <w:p w14:paraId="25DCBC69"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8" w:type="dxa"/>
            <w:gridSpan w:val="2"/>
            <w:shd w:val="clear" w:color="auto" w:fill="C6D9F1" w:themeFill="text2" w:themeFillTint="33"/>
            <w:noWrap/>
            <w:vAlign w:val="center"/>
          </w:tcPr>
          <w:p w14:paraId="2034D2C6" w14:textId="77777777" w:rsidR="0065073E" w:rsidRDefault="000A0998">
            <w:pPr>
              <w:pStyle w:val="P68B1DB1-Normal8"/>
              <w:spacing w:after="0" w:line="240" w:lineRule="auto"/>
              <w:jc w:val="center"/>
              <w:rPr>
                <w:rFonts w:cs="Times New Roman"/>
                <w:noProof/>
              </w:rPr>
            </w:pPr>
            <w:r>
              <w:rPr>
                <w:noProof/>
              </w:rPr>
              <w:t>Aika</w:t>
            </w:r>
          </w:p>
        </w:tc>
        <w:tc>
          <w:tcPr>
            <w:tcW w:w="6337" w:type="dxa"/>
            <w:tcBorders>
              <w:bottom w:val="nil"/>
            </w:tcBorders>
            <w:shd w:val="clear" w:color="auto" w:fill="C6D9F1" w:themeFill="text2" w:themeFillTint="33"/>
            <w:noWrap/>
            <w:vAlign w:val="center"/>
          </w:tcPr>
          <w:p w14:paraId="2586CC79"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5464D46B" w14:textId="77777777">
        <w:trPr>
          <w:trHeight w:val="22"/>
          <w:tblHeader/>
        </w:trPr>
        <w:tc>
          <w:tcPr>
            <w:tcW w:w="833" w:type="dxa"/>
            <w:tcBorders>
              <w:top w:val="nil"/>
            </w:tcBorders>
            <w:shd w:val="clear" w:color="auto" w:fill="C6D9F1" w:themeFill="text2" w:themeFillTint="33"/>
            <w:noWrap/>
          </w:tcPr>
          <w:p w14:paraId="3CF2EC5C" w14:textId="77777777" w:rsidR="0065073E" w:rsidRDefault="0065073E">
            <w:pPr>
              <w:spacing w:after="0" w:line="240" w:lineRule="auto"/>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4E626987" w14:textId="77777777" w:rsidR="0065073E" w:rsidRDefault="0065073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30772D4C" w14:textId="77777777" w:rsidR="0065073E" w:rsidRDefault="0065073E">
            <w:pPr>
              <w:spacing w:after="0" w:line="240" w:lineRule="auto"/>
              <w:jc w:val="center"/>
              <w:rPr>
                <w:rFonts w:ascii="Times New Roman" w:hAnsi="Times New Roman" w:cs="Times New Roman"/>
                <w:b/>
                <w:noProof/>
                <w:sz w:val="18"/>
              </w:rPr>
            </w:pPr>
          </w:p>
        </w:tc>
        <w:tc>
          <w:tcPr>
            <w:tcW w:w="2343" w:type="dxa"/>
            <w:tcBorders>
              <w:top w:val="nil"/>
            </w:tcBorders>
            <w:shd w:val="clear" w:color="auto" w:fill="C6D9F1" w:themeFill="text2" w:themeFillTint="33"/>
            <w:noWrap/>
          </w:tcPr>
          <w:p w14:paraId="67117A80" w14:textId="77777777" w:rsidR="0065073E" w:rsidRDefault="0065073E">
            <w:pPr>
              <w:spacing w:after="0" w:line="240" w:lineRule="auto"/>
              <w:rPr>
                <w:rFonts w:ascii="Times New Roman" w:hAnsi="Times New Roman" w:cs="Times New Roman"/>
                <w:b/>
                <w:noProof/>
                <w:sz w:val="18"/>
              </w:rPr>
            </w:pPr>
          </w:p>
        </w:tc>
        <w:tc>
          <w:tcPr>
            <w:tcW w:w="966" w:type="dxa"/>
            <w:tcBorders>
              <w:top w:val="nil"/>
            </w:tcBorders>
            <w:shd w:val="clear" w:color="auto" w:fill="C6D9F1" w:themeFill="text2" w:themeFillTint="33"/>
            <w:noWrap/>
          </w:tcPr>
          <w:p w14:paraId="24955BB1" w14:textId="77777777" w:rsidR="0065073E" w:rsidRDefault="0065073E">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10EB4AF4" w14:textId="77777777" w:rsidR="0065073E" w:rsidRDefault="000A0998">
            <w:pPr>
              <w:pStyle w:val="P68B1DB1-Normal8"/>
              <w:spacing w:after="0" w:line="240" w:lineRule="auto"/>
              <w:jc w:val="center"/>
              <w:rPr>
                <w:rFonts w:cs="Times New Roman"/>
                <w:noProof/>
              </w:rPr>
            </w:pPr>
            <w:r>
              <w:rPr>
                <w:noProof/>
              </w:rPr>
              <w:t>Yksikkö</w:t>
            </w:r>
          </w:p>
        </w:tc>
        <w:tc>
          <w:tcPr>
            <w:tcW w:w="966" w:type="dxa"/>
            <w:shd w:val="clear" w:color="auto" w:fill="C6D9F1" w:themeFill="text2" w:themeFillTint="33"/>
            <w:noWrap/>
          </w:tcPr>
          <w:p w14:paraId="2DA72837" w14:textId="5065571E" w:rsidR="0065073E" w:rsidRDefault="000A0998">
            <w:pPr>
              <w:pStyle w:val="P68B1DB1-Normal8"/>
              <w:spacing w:after="0" w:line="240" w:lineRule="auto"/>
              <w:jc w:val="center"/>
              <w:rPr>
                <w:rFonts w:cs="Times New Roman"/>
                <w:noProof/>
              </w:rPr>
            </w:pPr>
            <w:r>
              <w:rPr>
                <w:noProof/>
              </w:rPr>
              <w:t>Lähtötaso</w:t>
            </w:r>
          </w:p>
        </w:tc>
        <w:tc>
          <w:tcPr>
            <w:tcW w:w="553" w:type="dxa"/>
            <w:shd w:val="clear" w:color="auto" w:fill="C6D9F1" w:themeFill="text2" w:themeFillTint="33"/>
            <w:noWrap/>
          </w:tcPr>
          <w:p w14:paraId="00BE9AF4" w14:textId="77777777" w:rsidR="0065073E" w:rsidRDefault="000A0998">
            <w:pPr>
              <w:pStyle w:val="P68B1DB1-Normal8"/>
              <w:spacing w:after="0" w:line="240" w:lineRule="auto"/>
              <w:jc w:val="center"/>
              <w:rPr>
                <w:rFonts w:cs="Times New Roman"/>
                <w:noProof/>
              </w:rPr>
            </w:pPr>
            <w:r>
              <w:rPr>
                <w:noProof/>
              </w:rPr>
              <w:t>Päämäärä</w:t>
            </w:r>
          </w:p>
        </w:tc>
        <w:tc>
          <w:tcPr>
            <w:tcW w:w="415" w:type="dxa"/>
            <w:shd w:val="clear" w:color="auto" w:fill="C6D9F1" w:themeFill="text2" w:themeFillTint="33"/>
            <w:noWrap/>
          </w:tcPr>
          <w:p w14:paraId="2B4B355E" w14:textId="77777777" w:rsidR="0065073E" w:rsidRDefault="000A0998">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7F4B2FDC" w14:textId="77777777" w:rsidR="0065073E" w:rsidRDefault="000A0998">
            <w:pPr>
              <w:pStyle w:val="P68B1DB1-Normal8"/>
              <w:spacing w:after="0" w:line="240" w:lineRule="auto"/>
              <w:jc w:val="center"/>
              <w:rPr>
                <w:rFonts w:cs="Times New Roman"/>
                <w:noProof/>
              </w:rPr>
            </w:pPr>
            <w:r>
              <w:rPr>
                <w:noProof/>
              </w:rPr>
              <w:t>Vuosi</w:t>
            </w:r>
          </w:p>
        </w:tc>
        <w:tc>
          <w:tcPr>
            <w:tcW w:w="6337" w:type="dxa"/>
            <w:tcBorders>
              <w:top w:val="nil"/>
            </w:tcBorders>
            <w:shd w:val="clear" w:color="auto" w:fill="C6D9F1" w:themeFill="text2" w:themeFillTint="33"/>
            <w:noWrap/>
          </w:tcPr>
          <w:p w14:paraId="02781907" w14:textId="77777777" w:rsidR="0065073E" w:rsidRDefault="0065073E">
            <w:pPr>
              <w:spacing w:after="0" w:line="240" w:lineRule="auto"/>
              <w:rPr>
                <w:rFonts w:ascii="Times New Roman" w:hAnsi="Times New Roman" w:cs="Times New Roman"/>
                <w:b/>
                <w:noProof/>
                <w:sz w:val="18"/>
              </w:rPr>
            </w:pPr>
          </w:p>
        </w:tc>
      </w:tr>
      <w:tr w:rsidR="0065073E" w14:paraId="3F3875A4" w14:textId="77777777">
        <w:trPr>
          <w:trHeight w:val="309"/>
        </w:trPr>
        <w:tc>
          <w:tcPr>
            <w:tcW w:w="833" w:type="dxa"/>
            <w:shd w:val="clear" w:color="auto" w:fill="C6EFCE"/>
            <w:noWrap/>
          </w:tcPr>
          <w:p w14:paraId="3B35F387" w14:textId="77777777" w:rsidR="0065073E" w:rsidRDefault="000A0998">
            <w:pPr>
              <w:pStyle w:val="P68B1DB1-Normal12"/>
              <w:spacing w:after="0" w:line="240" w:lineRule="auto"/>
              <w:jc w:val="center"/>
              <w:rPr>
                <w:rFonts w:eastAsia="Times New Roman" w:cs="Times New Roman"/>
                <w:noProof/>
              </w:rPr>
            </w:pPr>
            <w:r>
              <w:rPr>
                <w:noProof/>
              </w:rPr>
              <w:t>363</w:t>
            </w:r>
          </w:p>
        </w:tc>
        <w:tc>
          <w:tcPr>
            <w:tcW w:w="829" w:type="dxa"/>
            <w:shd w:val="clear" w:color="auto" w:fill="C6EFCE"/>
            <w:noWrap/>
          </w:tcPr>
          <w:p w14:paraId="1FCC46AE" w14:textId="77777777" w:rsidR="0065073E" w:rsidRDefault="000A0998">
            <w:pPr>
              <w:pStyle w:val="P68B1DB1-Normal12"/>
              <w:spacing w:after="0" w:line="240" w:lineRule="auto"/>
              <w:jc w:val="center"/>
              <w:rPr>
                <w:rFonts w:eastAsia="Times New Roman" w:cs="Times New Roman"/>
                <w:noProof/>
              </w:rPr>
            </w:pPr>
            <w:r>
              <w:rPr>
                <w:noProof/>
              </w:rPr>
              <w:t>C25.R1</w:t>
            </w:r>
          </w:p>
        </w:tc>
        <w:tc>
          <w:tcPr>
            <w:tcW w:w="828" w:type="dxa"/>
            <w:shd w:val="clear" w:color="auto" w:fill="C6EFCE"/>
            <w:noWrap/>
          </w:tcPr>
          <w:p w14:paraId="7AC0435F" w14:textId="77777777" w:rsidR="0065073E" w:rsidRDefault="000A0998">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3CE57C43" w14:textId="77777777" w:rsidR="0065073E" w:rsidRDefault="000A0998">
            <w:pPr>
              <w:pStyle w:val="P68B1DB1-Normal12"/>
              <w:spacing w:after="0" w:line="240" w:lineRule="auto"/>
              <w:rPr>
                <w:rFonts w:eastAsia="Times New Roman" w:cs="Times New Roman"/>
                <w:noProof/>
              </w:rPr>
            </w:pPr>
            <w:r>
              <w:rPr>
                <w:noProof/>
              </w:rPr>
              <w:t>Suunnitelma ”Espanja, Euroopan audiovisuaalinen keskus”.</w:t>
            </w:r>
          </w:p>
        </w:tc>
        <w:tc>
          <w:tcPr>
            <w:tcW w:w="966" w:type="dxa"/>
            <w:shd w:val="clear" w:color="auto" w:fill="C6EFCE"/>
            <w:noWrap/>
          </w:tcPr>
          <w:p w14:paraId="4ADCEDC8" w14:textId="77777777" w:rsidR="0065073E" w:rsidRDefault="000A0998">
            <w:pPr>
              <w:pStyle w:val="P68B1DB1-Normal12"/>
              <w:spacing w:after="0" w:line="240" w:lineRule="auto"/>
              <w:jc w:val="center"/>
              <w:rPr>
                <w:rFonts w:eastAsia="Times New Roman" w:cs="Times New Roman"/>
                <w:noProof/>
              </w:rPr>
            </w:pPr>
            <w:r>
              <w:rPr>
                <w:noProof/>
              </w:rPr>
              <w:t>Ministerineuvoston hyväksyntä:</w:t>
            </w:r>
          </w:p>
        </w:tc>
        <w:tc>
          <w:tcPr>
            <w:tcW w:w="829" w:type="dxa"/>
            <w:shd w:val="clear" w:color="auto" w:fill="C6EFCE"/>
            <w:noWrap/>
          </w:tcPr>
          <w:p w14:paraId="189AEA86"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0A23DA7E"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1C81D60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3BFBFA72"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53" w:type="dxa"/>
            <w:shd w:val="clear" w:color="auto" w:fill="C6EFCE"/>
            <w:noWrap/>
          </w:tcPr>
          <w:p w14:paraId="4CC3BA96" w14:textId="77777777" w:rsidR="0065073E" w:rsidRDefault="000A0998">
            <w:pPr>
              <w:pStyle w:val="P68B1DB1-Normal12"/>
              <w:spacing w:after="0" w:line="240" w:lineRule="auto"/>
              <w:jc w:val="center"/>
              <w:rPr>
                <w:rFonts w:eastAsia="Times New Roman" w:cs="Times New Roman"/>
                <w:noProof/>
              </w:rPr>
            </w:pPr>
            <w:r>
              <w:rPr>
                <w:noProof/>
              </w:rPr>
              <w:t>2021</w:t>
            </w:r>
          </w:p>
        </w:tc>
        <w:tc>
          <w:tcPr>
            <w:tcW w:w="6337" w:type="dxa"/>
            <w:shd w:val="clear" w:color="auto" w:fill="C6EFCE"/>
            <w:noWrap/>
          </w:tcPr>
          <w:p w14:paraId="0BD9D7CC" w14:textId="77777777" w:rsidR="0065073E" w:rsidRDefault="000A0998">
            <w:pPr>
              <w:pStyle w:val="P68B1DB1-Normal12"/>
              <w:spacing w:after="0" w:line="240" w:lineRule="auto"/>
              <w:rPr>
                <w:rFonts w:eastAsia="Times New Roman" w:cs="Times New Roman"/>
                <w:noProof/>
              </w:rPr>
            </w:pPr>
            <w:r>
              <w:rPr>
                <w:noProof/>
              </w:rPr>
              <w:t xml:space="preserve">Ministerineuvosto hyväksyi suunnitelman ”Espanja, Euroopan audiovisuaalinen keskus”. Suunnitelmassa yhdistetään julkisia investointeja ja uudistuksia, joiden tavoitteena on i) alan kansainvälistyminen ja Espanjan houkuttelevuuden lisääminen ulkomaisten investointien kohteena, II) vähentää sääntely- ja hallintokustannuksia; III) parantaa kaikkien yritysten kilpailukykyä ottamalla käyttöön uusia teknologioita, joiden avulla yritys voi kilpailla digitaalisilla markkinoilla; ja iv) edistää inhimillistä pääomaa kaventamalla sukupuolten välistä kuilua. </w:t>
            </w:r>
          </w:p>
        </w:tc>
      </w:tr>
      <w:tr w:rsidR="0065073E" w14:paraId="20B60638" w14:textId="77777777">
        <w:trPr>
          <w:trHeight w:val="309"/>
        </w:trPr>
        <w:tc>
          <w:tcPr>
            <w:tcW w:w="833" w:type="dxa"/>
            <w:shd w:val="clear" w:color="auto" w:fill="C6EFCE"/>
            <w:noWrap/>
          </w:tcPr>
          <w:p w14:paraId="7405E7D2" w14:textId="77777777" w:rsidR="0065073E" w:rsidRDefault="000A0998">
            <w:pPr>
              <w:pStyle w:val="P68B1DB1-Normal12"/>
              <w:spacing w:after="0" w:line="240" w:lineRule="auto"/>
              <w:jc w:val="center"/>
              <w:rPr>
                <w:rFonts w:eastAsia="Times New Roman" w:cs="Times New Roman"/>
                <w:noProof/>
              </w:rPr>
            </w:pPr>
            <w:r>
              <w:rPr>
                <w:noProof/>
              </w:rPr>
              <w:t>364</w:t>
            </w:r>
          </w:p>
        </w:tc>
        <w:tc>
          <w:tcPr>
            <w:tcW w:w="829" w:type="dxa"/>
            <w:shd w:val="clear" w:color="auto" w:fill="C6EFCE"/>
            <w:noWrap/>
          </w:tcPr>
          <w:p w14:paraId="219B5BED" w14:textId="77777777" w:rsidR="0065073E" w:rsidRDefault="000A0998">
            <w:pPr>
              <w:pStyle w:val="P68B1DB1-Normal12"/>
              <w:spacing w:after="0" w:line="240" w:lineRule="auto"/>
              <w:jc w:val="center"/>
              <w:rPr>
                <w:rFonts w:eastAsia="Times New Roman" w:cs="Times New Roman"/>
                <w:noProof/>
              </w:rPr>
            </w:pPr>
            <w:r>
              <w:rPr>
                <w:noProof/>
              </w:rPr>
              <w:t>C25.R1</w:t>
            </w:r>
          </w:p>
        </w:tc>
        <w:tc>
          <w:tcPr>
            <w:tcW w:w="828" w:type="dxa"/>
            <w:shd w:val="clear" w:color="auto" w:fill="C6EFCE"/>
            <w:noWrap/>
          </w:tcPr>
          <w:p w14:paraId="602257A8" w14:textId="77777777" w:rsidR="0065073E" w:rsidRDefault="000A0998">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2089A997" w14:textId="77777777" w:rsidR="0065073E" w:rsidRDefault="000A0998">
            <w:pPr>
              <w:pStyle w:val="P68B1DB1-Normal12"/>
              <w:spacing w:after="0" w:line="240" w:lineRule="auto"/>
              <w:rPr>
                <w:rFonts w:eastAsia="Times New Roman" w:cs="Times New Roman"/>
                <w:noProof/>
              </w:rPr>
            </w:pPr>
            <w:r>
              <w:rPr>
                <w:noProof/>
              </w:rPr>
              <w:t>Audiovisuaalisesta viestinnästä annetun yleisen lain voimaantulo.</w:t>
            </w:r>
          </w:p>
        </w:tc>
        <w:tc>
          <w:tcPr>
            <w:tcW w:w="966" w:type="dxa"/>
            <w:shd w:val="clear" w:color="auto" w:fill="C6EFCE"/>
            <w:noWrap/>
          </w:tcPr>
          <w:p w14:paraId="5C3BCC5D" w14:textId="77777777" w:rsidR="0065073E" w:rsidRDefault="000A0998">
            <w:pPr>
              <w:pStyle w:val="P68B1DB1-Normal12"/>
              <w:spacing w:after="0" w:line="240" w:lineRule="auto"/>
              <w:jc w:val="center"/>
              <w:rPr>
                <w:rFonts w:eastAsia="Times New Roman" w:cs="Times New Roman"/>
                <w:noProof/>
              </w:rPr>
            </w:pPr>
            <w:r>
              <w:rPr>
                <w:noProof/>
              </w:rPr>
              <w:t>Voimaantulolain säännökset</w:t>
            </w:r>
          </w:p>
        </w:tc>
        <w:tc>
          <w:tcPr>
            <w:tcW w:w="829" w:type="dxa"/>
            <w:shd w:val="clear" w:color="auto" w:fill="C6EFCE"/>
            <w:noWrap/>
          </w:tcPr>
          <w:p w14:paraId="7D1BE2B3"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31D4E1D7"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4EE8D5D6"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55605FB0" w14:textId="77777777" w:rsidR="0065073E" w:rsidRDefault="000A0998">
            <w:pPr>
              <w:pStyle w:val="P68B1DB1-Normal12"/>
              <w:spacing w:after="0" w:line="240" w:lineRule="auto"/>
              <w:jc w:val="center"/>
              <w:rPr>
                <w:rFonts w:eastAsia="Times New Roman" w:cs="Times New Roman"/>
                <w:noProof/>
              </w:rPr>
            </w:pPr>
            <w:r>
              <w:rPr>
                <w:noProof/>
              </w:rPr>
              <w:t>ENSIMMÄINEN VUOSINELJÄNNES</w:t>
            </w:r>
          </w:p>
        </w:tc>
        <w:tc>
          <w:tcPr>
            <w:tcW w:w="553" w:type="dxa"/>
            <w:shd w:val="clear" w:color="auto" w:fill="C6EFCE"/>
            <w:noWrap/>
          </w:tcPr>
          <w:p w14:paraId="6D43C0D2" w14:textId="77777777" w:rsidR="0065073E" w:rsidRDefault="000A0998">
            <w:pPr>
              <w:pStyle w:val="P68B1DB1-Normal12"/>
              <w:spacing w:after="0" w:line="240" w:lineRule="auto"/>
              <w:jc w:val="center"/>
              <w:rPr>
                <w:rFonts w:eastAsia="Times New Roman" w:cs="Times New Roman"/>
                <w:noProof/>
              </w:rPr>
            </w:pPr>
            <w:r>
              <w:rPr>
                <w:noProof/>
              </w:rPr>
              <w:t>2022</w:t>
            </w:r>
          </w:p>
        </w:tc>
        <w:tc>
          <w:tcPr>
            <w:tcW w:w="6337" w:type="dxa"/>
            <w:shd w:val="clear" w:color="auto" w:fill="C6EFCE"/>
            <w:noWrap/>
          </w:tcPr>
          <w:p w14:paraId="5B4928FB" w14:textId="77777777" w:rsidR="0065073E" w:rsidRDefault="000A0998">
            <w:pPr>
              <w:pStyle w:val="P68B1DB1-Normal12"/>
              <w:spacing w:after="0" w:line="240" w:lineRule="auto"/>
              <w:rPr>
                <w:rFonts w:eastAsia="Times New Roman" w:cs="Times New Roman"/>
                <w:noProof/>
              </w:rPr>
            </w:pPr>
            <w:r>
              <w:rPr>
                <w:noProof/>
              </w:rPr>
              <w:t xml:space="preserve">Audiovisuaalisesta viestinnästä annetun yleisen lain voimaantulo. Tällä lailla säännellään oikeudellista kehystä, joka koskee audiovisuaalisten viestintäpalvelujen tarjoamista Espanjassa, ja audiovisuaalisia viestintäpalveluja koskeva direktiivi 2018/1808 on saatettava tehokkaasti osaksi kansallista oikeusjärjestystä. Sen tarkoituksena on mukauttaa ja päivittää audiovisuaalisten viestintäpalvelujen ja videonjakoalustapalvelujen oikeudellista kehystä Espanjassa. Lailla pyritään myös takaamaan tasapuoliset toimintaedellytykset kaikille markkinoilla toimiville eri toimijoille. Lakiin sisältyy myös mekanismi, jolla taataan käyttäjien oikeudet (kuten alaikäisten ja yleisön suojelu tietyntyyppiseltä sisällöltä). </w:t>
            </w:r>
          </w:p>
        </w:tc>
      </w:tr>
      <w:tr w:rsidR="0065073E" w14:paraId="1788D00F" w14:textId="77777777">
        <w:trPr>
          <w:trHeight w:val="309"/>
        </w:trPr>
        <w:tc>
          <w:tcPr>
            <w:tcW w:w="833" w:type="dxa"/>
            <w:shd w:val="clear" w:color="auto" w:fill="C6EFCE"/>
            <w:noWrap/>
          </w:tcPr>
          <w:p w14:paraId="02194E71" w14:textId="77777777" w:rsidR="0065073E" w:rsidRDefault="000A0998">
            <w:pPr>
              <w:pStyle w:val="P68B1DB1-Normal12"/>
              <w:spacing w:after="0" w:line="240" w:lineRule="auto"/>
              <w:jc w:val="center"/>
              <w:rPr>
                <w:rFonts w:eastAsia="Times New Roman" w:cs="Times New Roman"/>
                <w:noProof/>
              </w:rPr>
            </w:pPr>
            <w:r>
              <w:rPr>
                <w:noProof/>
              </w:rPr>
              <w:t>365</w:t>
            </w:r>
          </w:p>
        </w:tc>
        <w:tc>
          <w:tcPr>
            <w:tcW w:w="829" w:type="dxa"/>
            <w:shd w:val="clear" w:color="auto" w:fill="C6EFCE"/>
            <w:noWrap/>
          </w:tcPr>
          <w:p w14:paraId="1FE2EC17" w14:textId="77777777" w:rsidR="0065073E" w:rsidRDefault="000A0998">
            <w:pPr>
              <w:pStyle w:val="P68B1DB1-Normal12"/>
              <w:spacing w:after="0" w:line="240" w:lineRule="auto"/>
              <w:jc w:val="center"/>
              <w:rPr>
                <w:rFonts w:eastAsia="Times New Roman" w:cs="Times New Roman"/>
                <w:noProof/>
              </w:rPr>
            </w:pPr>
            <w:r>
              <w:rPr>
                <w:noProof/>
              </w:rPr>
              <w:t>C25.R1</w:t>
            </w:r>
          </w:p>
        </w:tc>
        <w:tc>
          <w:tcPr>
            <w:tcW w:w="828" w:type="dxa"/>
            <w:shd w:val="clear" w:color="auto" w:fill="C6EFCE"/>
            <w:noWrap/>
          </w:tcPr>
          <w:p w14:paraId="5F87FA2F" w14:textId="77777777" w:rsidR="0065073E" w:rsidRDefault="000A0998">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7E95C705" w14:textId="77777777" w:rsidR="0065073E" w:rsidRDefault="000A0998">
            <w:pPr>
              <w:pStyle w:val="P68B1DB1-Normal12"/>
              <w:spacing w:after="0" w:line="240" w:lineRule="auto"/>
              <w:rPr>
                <w:rFonts w:eastAsia="Times New Roman" w:cs="Times New Roman"/>
                <w:noProof/>
              </w:rPr>
            </w:pPr>
            <w:r>
              <w:rPr>
                <w:noProof/>
              </w:rPr>
              <w:t xml:space="preserve"> Elokuvalain voimaantulo. </w:t>
            </w:r>
          </w:p>
        </w:tc>
        <w:tc>
          <w:tcPr>
            <w:tcW w:w="966" w:type="dxa"/>
            <w:shd w:val="clear" w:color="auto" w:fill="C6EFCE"/>
            <w:noWrap/>
          </w:tcPr>
          <w:p w14:paraId="530104E0" w14:textId="77777777" w:rsidR="0065073E" w:rsidRDefault="000A0998">
            <w:pPr>
              <w:pStyle w:val="P68B1DB1-Normal12"/>
              <w:spacing w:after="0" w:line="240" w:lineRule="auto"/>
              <w:jc w:val="center"/>
              <w:rPr>
                <w:rFonts w:eastAsia="Times New Roman" w:cs="Times New Roman"/>
                <w:noProof/>
              </w:rPr>
            </w:pPr>
            <w:r>
              <w:rPr>
                <w:noProof/>
              </w:rPr>
              <w:t>Voimaantulolain säännökset</w:t>
            </w:r>
          </w:p>
        </w:tc>
        <w:tc>
          <w:tcPr>
            <w:tcW w:w="829" w:type="dxa"/>
            <w:shd w:val="clear" w:color="auto" w:fill="C6EFCE"/>
            <w:noWrap/>
          </w:tcPr>
          <w:p w14:paraId="6924DB2A" w14:textId="77777777" w:rsidR="0065073E" w:rsidRDefault="000A0998">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45F8D9A3"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76C213F5" w14:textId="77777777" w:rsidR="0065073E" w:rsidRDefault="000A0998">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0E84A4BA"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11B03DD4"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337" w:type="dxa"/>
            <w:shd w:val="clear" w:color="auto" w:fill="C6EFCE"/>
            <w:noWrap/>
          </w:tcPr>
          <w:p w14:paraId="3140A1B8" w14:textId="77777777" w:rsidR="0065073E" w:rsidRDefault="000A0998">
            <w:pPr>
              <w:pStyle w:val="P68B1DB1-Normal12"/>
              <w:spacing w:after="0" w:line="240" w:lineRule="auto"/>
              <w:rPr>
                <w:rFonts w:eastAsia="Times New Roman" w:cs="Times New Roman"/>
                <w:noProof/>
              </w:rPr>
            </w:pPr>
            <w:r>
              <w:rPr>
                <w:noProof/>
              </w:rPr>
              <w:t xml:space="preserve">Elokuvalain hyväksyminen parlamentissa ja voimaantulo. Tällä lailla päivitetään oikeudellinen kehys audiovisuaalialan uuteen todellisuuteen ja tarpeisiin ja yhdenmukaistetaan kansallinen sääntely EU:n oikeudellisen kehyksen kanssa. </w:t>
            </w:r>
          </w:p>
        </w:tc>
      </w:tr>
      <w:tr w:rsidR="0065073E" w14:paraId="488F4E29" w14:textId="77777777">
        <w:trPr>
          <w:trHeight w:val="309"/>
        </w:trPr>
        <w:tc>
          <w:tcPr>
            <w:tcW w:w="833" w:type="dxa"/>
            <w:shd w:val="clear" w:color="auto" w:fill="C6EFCE"/>
            <w:noWrap/>
          </w:tcPr>
          <w:p w14:paraId="76A29C79" w14:textId="77777777" w:rsidR="0065073E" w:rsidRDefault="000A0998">
            <w:pPr>
              <w:pStyle w:val="P68B1DB1-Normal12"/>
              <w:spacing w:after="0" w:line="240" w:lineRule="auto"/>
              <w:jc w:val="center"/>
              <w:rPr>
                <w:rFonts w:eastAsia="Times New Roman" w:cs="Times New Roman"/>
                <w:noProof/>
              </w:rPr>
            </w:pPr>
            <w:bookmarkStart w:id="59" w:name="_Hlk141276036"/>
            <w:r>
              <w:rPr>
                <w:noProof/>
              </w:rPr>
              <w:t>366</w:t>
            </w:r>
          </w:p>
        </w:tc>
        <w:tc>
          <w:tcPr>
            <w:tcW w:w="829" w:type="dxa"/>
            <w:shd w:val="clear" w:color="auto" w:fill="C6EFCE"/>
            <w:noWrap/>
          </w:tcPr>
          <w:p w14:paraId="5759C3AB" w14:textId="77777777" w:rsidR="0065073E" w:rsidRDefault="000A0998">
            <w:pPr>
              <w:pStyle w:val="P68B1DB1-Normal12"/>
              <w:spacing w:after="0" w:line="240" w:lineRule="auto"/>
              <w:jc w:val="center"/>
              <w:rPr>
                <w:rFonts w:eastAsia="Times New Roman" w:cs="Times New Roman"/>
                <w:noProof/>
              </w:rPr>
            </w:pPr>
            <w:r>
              <w:rPr>
                <w:noProof/>
              </w:rPr>
              <w:t>C25.I1</w:t>
            </w:r>
          </w:p>
        </w:tc>
        <w:tc>
          <w:tcPr>
            <w:tcW w:w="828" w:type="dxa"/>
            <w:shd w:val="clear" w:color="auto" w:fill="C6EFCE"/>
            <w:noWrap/>
          </w:tcPr>
          <w:p w14:paraId="29B45EC0" w14:textId="77777777" w:rsidR="0065073E" w:rsidRDefault="000A0998">
            <w:pPr>
              <w:pStyle w:val="P68B1DB1-Normal12"/>
              <w:spacing w:after="0" w:line="240" w:lineRule="auto"/>
              <w:jc w:val="center"/>
              <w:rPr>
                <w:rFonts w:eastAsia="Times New Roman" w:cs="Times New Roman"/>
                <w:noProof/>
              </w:rPr>
            </w:pPr>
            <w:r>
              <w:rPr>
                <w:noProof/>
              </w:rPr>
              <w:t>T</w:t>
            </w:r>
          </w:p>
        </w:tc>
        <w:tc>
          <w:tcPr>
            <w:tcW w:w="2343" w:type="dxa"/>
            <w:shd w:val="clear" w:color="auto" w:fill="C6EFCE"/>
            <w:noWrap/>
          </w:tcPr>
          <w:p w14:paraId="07A3A73F" w14:textId="77777777" w:rsidR="0065073E" w:rsidRDefault="000A0998">
            <w:pPr>
              <w:pStyle w:val="P68B1DB1-Normal12"/>
              <w:spacing w:after="0" w:line="240" w:lineRule="auto"/>
              <w:rPr>
                <w:rFonts w:eastAsia="Times New Roman" w:cs="Times New Roman"/>
                <w:noProof/>
              </w:rPr>
            </w:pPr>
            <w:r>
              <w:rPr>
                <w:noProof/>
              </w:rPr>
              <w:t>Audiovisuaalialan pk-yritysten tukeminen.</w:t>
            </w:r>
          </w:p>
        </w:tc>
        <w:tc>
          <w:tcPr>
            <w:tcW w:w="966" w:type="dxa"/>
            <w:shd w:val="clear" w:color="auto" w:fill="C6EFCE"/>
            <w:noWrap/>
          </w:tcPr>
          <w:p w14:paraId="2C53D7E8" w14:textId="77777777" w:rsidR="0065073E" w:rsidRDefault="000A0998">
            <w:pPr>
              <w:pStyle w:val="P68B1DB1-Normal12"/>
              <w:spacing w:after="0" w:line="240" w:lineRule="auto"/>
              <w:jc w:val="center"/>
              <w:rPr>
                <w:rFonts w:eastAsia="Times New Roman" w:cs="Times New Roman"/>
                <w:noProof/>
              </w:rPr>
            </w:pPr>
            <w:r>
              <w:rPr>
                <w:noProof/>
              </w:rPr>
              <w:t>—</w:t>
            </w:r>
          </w:p>
        </w:tc>
        <w:tc>
          <w:tcPr>
            <w:tcW w:w="829" w:type="dxa"/>
            <w:shd w:val="clear" w:color="auto" w:fill="C6EFCE"/>
            <w:noWrap/>
          </w:tcPr>
          <w:p w14:paraId="278EA5B7"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66" w:type="dxa"/>
            <w:shd w:val="clear" w:color="auto" w:fill="C6EFCE"/>
            <w:noWrap/>
          </w:tcPr>
          <w:p w14:paraId="26782D6E" w14:textId="77777777" w:rsidR="0065073E" w:rsidRDefault="000A0998">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B73A788" w14:textId="77777777" w:rsidR="0065073E" w:rsidRDefault="000A0998">
            <w:pPr>
              <w:pStyle w:val="P68B1DB1-Normal12"/>
              <w:spacing w:after="0" w:line="240" w:lineRule="auto"/>
              <w:jc w:val="right"/>
              <w:rPr>
                <w:rFonts w:eastAsia="Times New Roman" w:cs="Times New Roman"/>
                <w:noProof/>
              </w:rPr>
            </w:pPr>
            <w:r>
              <w:rPr>
                <w:noProof/>
              </w:rPr>
              <w:t>100</w:t>
            </w:r>
          </w:p>
        </w:tc>
        <w:tc>
          <w:tcPr>
            <w:tcW w:w="415" w:type="dxa"/>
            <w:shd w:val="clear" w:color="auto" w:fill="C6EFCE"/>
            <w:noWrap/>
          </w:tcPr>
          <w:p w14:paraId="4EEEECB0" w14:textId="77777777" w:rsidR="0065073E" w:rsidRDefault="000A0998">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3EFB0583" w14:textId="77777777" w:rsidR="0065073E" w:rsidRDefault="000A0998">
            <w:pPr>
              <w:pStyle w:val="P68B1DB1-Normal12"/>
              <w:spacing w:after="0" w:line="240" w:lineRule="auto"/>
              <w:jc w:val="center"/>
              <w:rPr>
                <w:rFonts w:cs="Times New Roman"/>
                <w:noProof/>
              </w:rPr>
            </w:pPr>
            <w:r>
              <w:rPr>
                <w:noProof/>
              </w:rPr>
              <w:t>2023</w:t>
            </w:r>
          </w:p>
        </w:tc>
        <w:tc>
          <w:tcPr>
            <w:tcW w:w="6337" w:type="dxa"/>
            <w:shd w:val="clear" w:color="auto" w:fill="C6EFCE"/>
            <w:noWrap/>
          </w:tcPr>
          <w:p w14:paraId="3F0F49CF" w14:textId="77777777" w:rsidR="0065073E" w:rsidRDefault="000A0998">
            <w:pPr>
              <w:pStyle w:val="P68B1DB1-Normal12"/>
              <w:spacing w:after="0" w:line="240" w:lineRule="auto"/>
              <w:rPr>
                <w:rFonts w:eastAsia="Times New Roman" w:cs="Times New Roman"/>
                <w:noProof/>
              </w:rPr>
            </w:pPr>
            <w:r>
              <w:rPr>
                <w:noProof/>
              </w:rPr>
              <w:t>Audiovisuaalialan pk-yritysten tukeminen niiden digitalisaatiossa, sukupuolten tasa-arvon edistämisessä, kansainvälistymisessä ja ulkomaisten suorien sijoitusten houkuttelemisessa kokonaisohjelman puitteissa; kokonaismäärärahat ovat 200 miljoonaa euroa (tukea myönnetään vähintään 100 pk-yritykselle).</w:t>
            </w:r>
          </w:p>
        </w:tc>
      </w:tr>
      <w:tr w:rsidR="0065073E" w14:paraId="3955C9E0" w14:textId="77777777">
        <w:trPr>
          <w:trHeight w:val="309"/>
        </w:trPr>
        <w:tc>
          <w:tcPr>
            <w:tcW w:w="833" w:type="dxa"/>
            <w:shd w:val="clear" w:color="auto" w:fill="C6EFCE"/>
            <w:noWrap/>
          </w:tcPr>
          <w:p w14:paraId="3CB64B11" w14:textId="76B8BAE8" w:rsidR="0065073E" w:rsidRDefault="000A0998">
            <w:pPr>
              <w:pStyle w:val="P68B1DB1-Normal12"/>
              <w:spacing w:after="0" w:line="240" w:lineRule="auto"/>
              <w:jc w:val="center"/>
              <w:rPr>
                <w:rFonts w:cs="Times New Roman"/>
                <w:noProof/>
              </w:rPr>
            </w:pPr>
            <w:r>
              <w:rPr>
                <w:noProof/>
              </w:rPr>
              <w:t>476</w:t>
            </w:r>
          </w:p>
        </w:tc>
        <w:tc>
          <w:tcPr>
            <w:tcW w:w="829" w:type="dxa"/>
            <w:shd w:val="clear" w:color="auto" w:fill="C6EFCE"/>
            <w:noWrap/>
          </w:tcPr>
          <w:p w14:paraId="386AB2A7" w14:textId="77777777" w:rsidR="0065073E" w:rsidRDefault="000A0998">
            <w:pPr>
              <w:pStyle w:val="P68B1DB1-Normal12"/>
              <w:spacing w:after="0" w:line="240" w:lineRule="auto"/>
              <w:jc w:val="center"/>
              <w:rPr>
                <w:rFonts w:cs="Times New Roman"/>
                <w:noProof/>
              </w:rPr>
            </w:pPr>
            <w:r>
              <w:rPr>
                <w:noProof/>
              </w:rPr>
              <w:t>C25.I1</w:t>
            </w:r>
          </w:p>
        </w:tc>
        <w:tc>
          <w:tcPr>
            <w:tcW w:w="828" w:type="dxa"/>
            <w:shd w:val="clear" w:color="auto" w:fill="C6EFCE"/>
            <w:noWrap/>
          </w:tcPr>
          <w:p w14:paraId="70548496" w14:textId="77777777" w:rsidR="0065073E" w:rsidRDefault="000A0998">
            <w:pPr>
              <w:pStyle w:val="P68B1DB1-Normal12"/>
              <w:spacing w:after="0" w:line="240" w:lineRule="auto"/>
              <w:jc w:val="center"/>
              <w:rPr>
                <w:rFonts w:cs="Times New Roman"/>
                <w:noProof/>
              </w:rPr>
            </w:pPr>
            <w:r>
              <w:rPr>
                <w:noProof/>
              </w:rPr>
              <w:t>T</w:t>
            </w:r>
          </w:p>
        </w:tc>
        <w:tc>
          <w:tcPr>
            <w:tcW w:w="2343" w:type="dxa"/>
            <w:shd w:val="clear" w:color="auto" w:fill="C6EFCE"/>
            <w:noWrap/>
          </w:tcPr>
          <w:p w14:paraId="756F591D" w14:textId="1B8ED1C5" w:rsidR="0065073E" w:rsidRDefault="000A0998">
            <w:pPr>
              <w:pStyle w:val="P68B1DB1-Normal12"/>
              <w:spacing w:after="0" w:line="240" w:lineRule="auto"/>
              <w:rPr>
                <w:rFonts w:cs="Times New Roman"/>
                <w:noProof/>
              </w:rPr>
            </w:pPr>
            <w:r>
              <w:rPr>
                <w:noProof/>
              </w:rPr>
              <w:t>Audiovisuaalialan pk-yrityksiä tukevien hankkeiden loppuun saattaminen</w:t>
            </w:r>
          </w:p>
        </w:tc>
        <w:tc>
          <w:tcPr>
            <w:tcW w:w="966" w:type="dxa"/>
            <w:shd w:val="clear" w:color="auto" w:fill="C6EFCE"/>
            <w:noWrap/>
          </w:tcPr>
          <w:p w14:paraId="4BBA99A8" w14:textId="77777777" w:rsidR="0065073E" w:rsidRDefault="0065073E">
            <w:pPr>
              <w:spacing w:after="0" w:line="240" w:lineRule="auto"/>
              <w:jc w:val="center"/>
              <w:rPr>
                <w:rFonts w:ascii="Times New Roman" w:hAnsi="Times New Roman" w:cs="Times New Roman"/>
                <w:noProof/>
                <w:sz w:val="18"/>
              </w:rPr>
            </w:pPr>
          </w:p>
        </w:tc>
        <w:tc>
          <w:tcPr>
            <w:tcW w:w="829" w:type="dxa"/>
            <w:shd w:val="clear" w:color="auto" w:fill="C6EFCE"/>
            <w:noWrap/>
          </w:tcPr>
          <w:p w14:paraId="50A5A011" w14:textId="77777777" w:rsidR="0065073E" w:rsidRDefault="000A0998">
            <w:pPr>
              <w:pStyle w:val="P68B1DB1-Normal12"/>
              <w:spacing w:after="0" w:line="240" w:lineRule="auto"/>
              <w:jc w:val="center"/>
              <w:rPr>
                <w:rFonts w:cs="Times New Roman"/>
                <w:noProof/>
              </w:rPr>
            </w:pPr>
            <w:r>
              <w:rPr>
                <w:noProof/>
              </w:rPr>
              <w:t>Määrä</w:t>
            </w:r>
          </w:p>
        </w:tc>
        <w:tc>
          <w:tcPr>
            <w:tcW w:w="966" w:type="dxa"/>
            <w:shd w:val="clear" w:color="auto" w:fill="C6EFCE"/>
            <w:noWrap/>
          </w:tcPr>
          <w:p w14:paraId="7CFA8470" w14:textId="77777777" w:rsidR="0065073E" w:rsidRDefault="000A0998">
            <w:pPr>
              <w:pStyle w:val="P68B1DB1-Normal12"/>
              <w:spacing w:after="0" w:line="240" w:lineRule="auto"/>
              <w:jc w:val="right"/>
              <w:rPr>
                <w:rFonts w:cs="Times New Roman"/>
                <w:noProof/>
              </w:rPr>
            </w:pPr>
            <w:r>
              <w:rPr>
                <w:noProof/>
              </w:rPr>
              <w:t>0</w:t>
            </w:r>
          </w:p>
        </w:tc>
        <w:tc>
          <w:tcPr>
            <w:tcW w:w="553" w:type="dxa"/>
            <w:shd w:val="clear" w:color="auto" w:fill="C6EFCE"/>
            <w:noWrap/>
          </w:tcPr>
          <w:p w14:paraId="31B7BBD8" w14:textId="77777777" w:rsidR="0065073E" w:rsidRDefault="000A0998">
            <w:pPr>
              <w:pStyle w:val="P68B1DB1-Normal12"/>
              <w:spacing w:after="0" w:line="240" w:lineRule="auto"/>
              <w:jc w:val="right"/>
              <w:rPr>
                <w:rFonts w:cs="Times New Roman"/>
                <w:noProof/>
              </w:rPr>
            </w:pPr>
            <w:r>
              <w:rPr>
                <w:noProof/>
              </w:rPr>
              <w:t>100</w:t>
            </w:r>
          </w:p>
        </w:tc>
        <w:tc>
          <w:tcPr>
            <w:tcW w:w="415" w:type="dxa"/>
            <w:shd w:val="clear" w:color="auto" w:fill="C6EFCE"/>
            <w:noWrap/>
          </w:tcPr>
          <w:p w14:paraId="70AE0A62" w14:textId="77777777" w:rsidR="0065073E" w:rsidRDefault="000A0998">
            <w:pPr>
              <w:pStyle w:val="P68B1DB1-Normal12"/>
              <w:spacing w:after="0" w:line="240" w:lineRule="auto"/>
              <w:jc w:val="center"/>
              <w:rPr>
                <w:rFonts w:cs="Times New Roman"/>
                <w:noProof/>
              </w:rPr>
            </w:pPr>
            <w:r>
              <w:rPr>
                <w:noProof/>
              </w:rPr>
              <w:t>Q4</w:t>
            </w:r>
          </w:p>
        </w:tc>
        <w:tc>
          <w:tcPr>
            <w:tcW w:w="553" w:type="dxa"/>
            <w:shd w:val="clear" w:color="auto" w:fill="C6EFCE"/>
            <w:noWrap/>
          </w:tcPr>
          <w:p w14:paraId="5FD1454A" w14:textId="77777777" w:rsidR="0065073E" w:rsidRDefault="000A0998">
            <w:pPr>
              <w:pStyle w:val="P68B1DB1-Normal12"/>
              <w:spacing w:after="0" w:line="240" w:lineRule="auto"/>
              <w:jc w:val="center"/>
              <w:rPr>
                <w:rFonts w:cs="Times New Roman"/>
                <w:noProof/>
              </w:rPr>
            </w:pPr>
            <w:r>
              <w:rPr>
                <w:noProof/>
              </w:rPr>
              <w:t>2024</w:t>
            </w:r>
          </w:p>
        </w:tc>
        <w:tc>
          <w:tcPr>
            <w:tcW w:w="6337" w:type="dxa"/>
            <w:shd w:val="clear" w:color="auto" w:fill="C6EFCE"/>
            <w:noWrap/>
          </w:tcPr>
          <w:p w14:paraId="7A5C131A" w14:textId="5F79330A" w:rsidR="0065073E" w:rsidRDefault="000A0998">
            <w:pPr>
              <w:pStyle w:val="P68B1DB1-Normal12"/>
              <w:spacing w:after="0" w:line="240" w:lineRule="auto"/>
              <w:rPr>
                <w:rFonts w:cs="Times New Roman"/>
                <w:noProof/>
              </w:rPr>
            </w:pPr>
            <w:r>
              <w:rPr>
                <w:noProof/>
              </w:rPr>
              <w:t>Audiovisuaalialan pk-yrityksiä tukevien hankkeiden loppuun saattaminen (hankkeet, joilla tuetaan vähintään 100:aa pk-yritystä).</w:t>
            </w:r>
          </w:p>
        </w:tc>
      </w:tr>
      <w:bookmarkEnd w:id="59"/>
    </w:tbl>
    <w:p w14:paraId="2B2E72EA" w14:textId="77777777" w:rsidR="0065073E" w:rsidRDefault="0065073E">
      <w:pPr>
        <w:rPr>
          <w:rFonts w:ascii="Times New Roman" w:hAnsi="Times New Roman" w:cs="Times New Roman"/>
          <w:noProof/>
          <w:sz w:val="24"/>
        </w:rPr>
        <w:sectPr w:rsidR="0065073E" w:rsidSect="00B511EF">
          <w:headerReference w:type="even" r:id="rId541"/>
          <w:headerReference w:type="default" r:id="rId542"/>
          <w:footerReference w:type="even" r:id="rId543"/>
          <w:footerReference w:type="default" r:id="rId544"/>
          <w:headerReference w:type="first" r:id="rId545"/>
          <w:footerReference w:type="first" r:id="rId546"/>
          <w:pgSz w:w="16839" w:h="11907" w:orient="landscape"/>
          <w:pgMar w:top="1134" w:right="1134" w:bottom="1134" w:left="1134" w:header="567" w:footer="567" w:gutter="0"/>
          <w:cols w:space="720"/>
          <w:docGrid w:linePitch="360"/>
        </w:sectPr>
      </w:pPr>
    </w:p>
    <w:p w14:paraId="5413271F" w14:textId="77777777" w:rsidR="0065073E" w:rsidRDefault="000A0998">
      <w:pPr>
        <w:spacing w:before="120" w:after="120" w:line="240" w:lineRule="auto"/>
        <w:ind w:firstLine="720"/>
        <w:jc w:val="both"/>
        <w:rPr>
          <w:rFonts w:ascii="Times New Roman" w:hAnsi="Times New Roman" w:cs="Times New Roman"/>
          <w:b/>
          <w:noProof/>
          <w:sz w:val="24"/>
          <w:u w:val="single"/>
        </w:rPr>
      </w:pPr>
      <w:r>
        <w:rPr>
          <w:rFonts w:ascii="Times New Roman" w:hAnsi="Times New Roman"/>
          <w:b/>
          <w:noProof/>
          <w:sz w:val="24"/>
          <w:u w:val="single"/>
        </w:rPr>
        <w:t xml:space="preserve">Y.3 </w:t>
      </w:r>
      <w:r>
        <w:rPr>
          <w:noProof/>
        </w:rPr>
        <w:t xml:space="preserve"> </w:t>
      </w:r>
      <w:r>
        <w:rPr>
          <w:rFonts w:ascii="Times New Roman" w:hAnsi="Times New Roman"/>
          <w:b/>
          <w:noProof/>
          <w:sz w:val="24"/>
          <w:u w:val="single"/>
        </w:rPr>
        <w:t>Lainatukeen liittyvien uudistusten ja investointien kuvaus</w:t>
      </w:r>
    </w:p>
    <w:p w14:paraId="7DD0ABF8" w14:textId="773FD445" w:rsidR="0065073E" w:rsidRDefault="000A0998">
      <w:pPr>
        <w:pStyle w:val="P68B1DB1-Normal5"/>
        <w:spacing w:before="120" w:after="120" w:line="240" w:lineRule="auto"/>
        <w:jc w:val="both"/>
        <w:rPr>
          <w:rFonts w:cs="Times New Roman"/>
          <w:noProof/>
        </w:rPr>
      </w:pPr>
      <w:r>
        <w:rPr>
          <w:noProof/>
        </w:rPr>
        <w:t xml:space="preserve">Investointi 2 (C25.I2) – PERTE ”Uusi kielitalous”: Tiedot espanjaksi ja muilla virallisilla kielillä. </w:t>
      </w:r>
    </w:p>
    <w:p w14:paraId="496255E2" w14:textId="77777777" w:rsidR="0065073E" w:rsidRDefault="000A0998">
      <w:pPr>
        <w:pStyle w:val="P68B1DB1-Normal4"/>
        <w:spacing w:before="120" w:after="120" w:line="240" w:lineRule="auto"/>
        <w:jc w:val="both"/>
        <w:rPr>
          <w:rFonts w:cs="Times New Roman"/>
          <w:noProof/>
          <w:shd w:val="clear" w:color="auto" w:fill="E6E6E6"/>
        </w:rPr>
      </w:pPr>
      <w:r>
        <w:rPr>
          <w:noProof/>
        </w:rPr>
        <w:t>Investoinnilla pyritään edistämään espanjan kielen ja muiden virallisten kielten taloudellista potentiaalia edistämällä media-alan kansainvälistymistä, levittämistä ja laajentamista näillä kielillä. Tätä varten investoinnilla tuetaan hankkeita, jotka koskevat sisällön digitalisointia ja levittämistä sekä sitä, että media-alan yritykset ottavat käyttöön uusia teknisiä välineitä sisällön hallintaa ja käsittelyä varten espanjan kielellä ja muilla virallisilla kielillä.</w:t>
      </w:r>
      <w:r>
        <w:rPr>
          <w:noProof/>
          <w:shd w:val="clear" w:color="auto" w:fill="E6E6E6"/>
        </w:rPr>
        <w:t xml:space="preserve"> </w:t>
      </w:r>
    </w:p>
    <w:p w14:paraId="5C85A4A1" w14:textId="77777777" w:rsidR="0065073E" w:rsidRDefault="000A0998">
      <w:pPr>
        <w:pStyle w:val="P68B1DB1-Normal4"/>
        <w:spacing w:before="120" w:after="120" w:line="240" w:lineRule="auto"/>
        <w:jc w:val="both"/>
        <w:rPr>
          <w:rFonts w:cs="Times New Roman"/>
          <w:noProof/>
          <w:u w:val="single"/>
        </w:rPr>
      </w:pPr>
      <w:r>
        <w:rPr>
          <w:noProof/>
        </w:rPr>
        <w:t>Toimenpiteen täytäntöönpano on saatettava päätökseen 31 päivään elokuuta 2026 mennessä.</w:t>
      </w:r>
    </w:p>
    <w:p w14:paraId="0E09930D" w14:textId="77777777" w:rsidR="0065073E" w:rsidRDefault="000A0998">
      <w:pPr>
        <w:pStyle w:val="P68B1DB1-Normal5"/>
        <w:spacing w:before="120" w:after="120" w:line="240" w:lineRule="auto"/>
        <w:jc w:val="both"/>
        <w:rPr>
          <w:rFonts w:cs="Times New Roman"/>
          <w:noProof/>
        </w:rPr>
      </w:pPr>
      <w:r>
        <w:rPr>
          <w:noProof/>
        </w:rPr>
        <w:t xml:space="preserve">Investointi 3 (C25.I3) – Audiovisuaalisen keskuksen rahasto </w:t>
      </w:r>
    </w:p>
    <w:p w14:paraId="715AF067" w14:textId="66E94812" w:rsidR="0065073E" w:rsidRDefault="000A0998">
      <w:pPr>
        <w:pStyle w:val="P68B1DB1-LegalNumPar228"/>
        <w:numPr>
          <w:ilvl w:val="1"/>
          <w:numId w:val="0"/>
        </w:numPr>
        <w:spacing w:line="240" w:lineRule="auto"/>
        <w:jc w:val="both"/>
        <w:rPr>
          <w:rFonts w:cs="Times New Roman"/>
          <w:noProof/>
        </w:rPr>
      </w:pPr>
      <w:bookmarkStart w:id="60" w:name="_Hlk145612128"/>
      <w:r>
        <w:rPr>
          <w:noProof/>
        </w:rPr>
        <w:t xml:space="preserve">Tämä toimenpide koostuu julkisesta investoinnista välineeseen, ICO Audio Hub -rahastoon, jotta voidaan kannustaa yksityisiin investointeihin ja parantaa rahoituksen saantia muun muassa elokuviin, fiktioon, televisioon, sisältöön, digitaaliseen kulttuuriin sekä multimediasisältöön ja interaktiiviseen sisältöön, kuten videopeleihin, immersiivisiin kokemuksiin ja visuaalisiin vaikutuksiin, liittyvien hankkeiden rahoituksen saannin parantamiseksi sekä pääomamarkkinoiden kehittämiseksi tällä alalla. Investointikehys toimii tarjoamalla suoraa rahoitusta, yritysten joukkovelkakirjojen ostoja sekä oman pääoman ehtoisia ja oman pääoman luonteisia sijoituksia joko suoraan tai välittäjien kautta yksityiselle sektorille sekä vastaavaa toimintaa harjoittaville julkisyhteisöille ja julkisoikeudellisille laitoksille. Elpymis- ja palautumistukivälineen investointien perusteella tukivälineestä on alun perin tarkoitus myöntää rahoitusta vähintään 1712000000 euroa. </w:t>
      </w:r>
    </w:p>
    <w:p w14:paraId="338959F3" w14:textId="74127BAC" w:rsidR="0065073E" w:rsidRDefault="000A0998">
      <w:pPr>
        <w:pStyle w:val="P68B1DB1-Normal4"/>
        <w:spacing w:line="240" w:lineRule="auto"/>
        <w:jc w:val="both"/>
        <w:rPr>
          <w:rFonts w:cs="Times New Roman"/>
          <w:noProof/>
        </w:rPr>
      </w:pPr>
      <w:r>
        <w:rPr>
          <w:noProof/>
        </w:rPr>
        <w:t>Investointikehystä hallinnoivat toteutuskumppaneina Instituto de Crédito Oficial (ICO) ja Axis (ICO:n yritys/yksityinen pääomajohtaja). Lainajärjestelyn on sisällettävä seuraavat tuotelinjat:</w:t>
      </w:r>
    </w:p>
    <w:p w14:paraId="22926004" w14:textId="72B030DB" w:rsidR="0065073E" w:rsidRDefault="000A0998">
      <w:pPr>
        <w:pStyle w:val="P68B1DB1-ListParagraph6"/>
        <w:numPr>
          <w:ilvl w:val="0"/>
          <w:numId w:val="692"/>
        </w:numPr>
        <w:spacing w:after="0" w:line="240" w:lineRule="auto"/>
        <w:jc w:val="both"/>
        <w:textAlignment w:val="baseline"/>
        <w:rPr>
          <w:rFonts w:cs="Times New Roman"/>
          <w:noProof/>
        </w:rPr>
      </w:pPr>
      <w:r>
        <w:rPr>
          <w:noProof/>
        </w:rPr>
        <w:t>Sovittelulinja: sovittelulinja koostuu ICO:n liikepankeille myöntämistä lainoista, jotka puolestaan myöntävät lopullisille edunsaajille lainoja audiovisuaali- ja kulttuurialan hankkeiden rahoittamiseksi. Lopullisia edunsaajia ovat yksityiset yritykset (kuten pk-yritykset, yrittäjät, mid-cap-yritykset ja suuryritykset) ja julkiset yritykset.   </w:t>
      </w:r>
    </w:p>
    <w:p w14:paraId="647A4D85" w14:textId="77777777" w:rsidR="0065073E" w:rsidRDefault="000A0998">
      <w:pPr>
        <w:pStyle w:val="P68B1DB1-ListParagraph6"/>
        <w:numPr>
          <w:ilvl w:val="0"/>
          <w:numId w:val="692"/>
        </w:numPr>
        <w:spacing w:after="0" w:line="240" w:lineRule="auto"/>
        <w:jc w:val="both"/>
        <w:textAlignment w:val="baseline"/>
        <w:rPr>
          <w:rFonts w:cs="Times New Roman"/>
          <w:noProof/>
        </w:rPr>
      </w:pPr>
      <w:r>
        <w:rPr>
          <w:noProof/>
        </w:rPr>
        <w:t>ICO:n suora rahoitus: tästä budjettikohdasta myönnetään suoria lainoja yksityisille yrityksille (kuten midcap-yrityksille ja suurille yrityksille) ja julkisille yrityksille audiovisuaalialan hankkeiden rahoittamiseksi. Lainat myöntää suoraan ICO ja kukin kolmannen osapuolen yksityisen sijoittajan osarahoittama hanke. ICO:n myöntämät varat ovat enintään 70 prosenttia investoinnille myönnetyn tuen kokonaismäärästä. Yksityisten sijoittajien on katettava vähintään 30 prosenttia investointituen kokonaismäärästä. </w:t>
      </w:r>
    </w:p>
    <w:p w14:paraId="42FCDFE0" w14:textId="77777777" w:rsidR="0065073E" w:rsidRDefault="000A0998">
      <w:pPr>
        <w:pStyle w:val="P68B1DB1-ListParagraph6"/>
        <w:numPr>
          <w:ilvl w:val="0"/>
          <w:numId w:val="692"/>
        </w:numPr>
        <w:spacing w:after="0" w:line="240" w:lineRule="auto"/>
        <w:jc w:val="both"/>
        <w:textAlignment w:val="baseline"/>
        <w:rPr>
          <w:rFonts w:cs="Times New Roman"/>
          <w:noProof/>
        </w:rPr>
      </w:pPr>
      <w:r>
        <w:rPr>
          <w:noProof/>
        </w:rPr>
        <w:t>Yritysten joukkovelkakirjojen ostot: tämän budjettikohdan mukaisesti ICO ostaa espanjalaisten yritysten liikkeeseen laskemia keski- ja pitkäaikaisia kiinteätuottoisia etuoikeutettuja arvopapereita organisoiduilla jälkimarkkinoilla (kuten vaihtoehtoisilla kiinteätuottoisilla markkinoilla (MARF) tai rahoitusvarojen välittäjien liitto (AIAF)). Arvopaperien on liityttävä arvopaperin liikkeeseen laskevan yhtiön tiettyyn investointihankkeeseen.  </w:t>
      </w:r>
    </w:p>
    <w:p w14:paraId="7A25782D" w14:textId="1E7ED559" w:rsidR="0065073E" w:rsidRDefault="000A0998">
      <w:pPr>
        <w:pStyle w:val="P68B1DB1-ListParagraph6"/>
        <w:numPr>
          <w:ilvl w:val="0"/>
          <w:numId w:val="692"/>
        </w:numPr>
        <w:spacing w:after="0" w:line="240" w:lineRule="auto"/>
        <w:textAlignment w:val="baseline"/>
        <w:rPr>
          <w:rFonts w:cs="Times New Roman"/>
          <w:noProof/>
        </w:rPr>
      </w:pPr>
      <w:r>
        <w:rPr>
          <w:noProof/>
        </w:rPr>
        <w:t>Oman pääoman ehtoiset ja luonteiset sijoitukset: tämä budjettikohta koostuu suorien pääomasijoitusten tarjoamisesta toimintalinjan kautta (ICO:n riskipääoman hoitaja/yksityinen pääomanhoitaja) ja/tai varojen siirrosta pääomarahastoihin tai muihin sijoitusvälineisiin, joita hallinnoivat yksityiset rahoituksen välittäjät, jotka tekevät pääomasijoituksia audiovisuaalialan yrityksissä. Rahaston enimmäisosuus saa olla enintään 49 prosenttia sijoitusrahastoista. Rahaston oman pääoman ehtoiset sijoitukset eivät saa johtaa siihen, että julkisessa omistuksessa olevan pääoman osuus lopullisesta tuensaajasta ylittää 49 prosenttia koko pääomasta.</w:t>
      </w:r>
    </w:p>
    <w:p w14:paraId="0A805475" w14:textId="1DB00ACA" w:rsidR="0065073E" w:rsidRDefault="0065073E">
      <w:pPr>
        <w:pStyle w:val="ListParagraph"/>
        <w:spacing w:after="0" w:line="240" w:lineRule="auto"/>
        <w:textAlignment w:val="baseline"/>
        <w:rPr>
          <w:rFonts w:ascii="Times New Roman" w:hAnsi="Times New Roman" w:cs="Times New Roman"/>
          <w:noProof/>
          <w:sz w:val="24"/>
        </w:rPr>
      </w:pPr>
    </w:p>
    <w:bookmarkEnd w:id="60"/>
    <w:p w14:paraId="3BA0777B" w14:textId="77777777" w:rsidR="0065073E" w:rsidRDefault="000A0998">
      <w:pPr>
        <w:pStyle w:val="P68B1DB1-Normal4"/>
        <w:spacing w:line="240" w:lineRule="auto"/>
        <w:jc w:val="both"/>
        <w:rPr>
          <w:rFonts w:cs="Times New Roman"/>
          <w:noProof/>
        </w:rPr>
      </w:pPr>
      <w:r>
        <w:rPr>
          <w:noProof/>
        </w:rPr>
        <w:t>Investointikehykseen tehtävän investoinnin toteuttamiseksi Espanjan ja ICO:n on allekirjoitettava täytäntöönpanosopimus, jonka sisältö on seuraava:</w:t>
      </w:r>
    </w:p>
    <w:p w14:paraId="558DC0FD" w14:textId="54C19313" w:rsidR="0065073E" w:rsidRDefault="000A0998">
      <w:pPr>
        <w:pStyle w:val="P68B1DB1-LegalNumPar27"/>
        <w:numPr>
          <w:ilvl w:val="0"/>
          <w:numId w:val="756"/>
        </w:numPr>
        <w:jc w:val="both"/>
        <w:rPr>
          <w:rFonts w:eastAsia="Times New Roman" w:cs="Times New Roman"/>
          <w:noProof/>
        </w:rPr>
      </w:pPr>
      <w:r>
        <w:rPr>
          <w:noProof/>
        </w:rPr>
        <w:t>Tukivälineen päätöksentekoprosessin kuvaus: Investointikehyksen lopullisen investointipäätöksen tekee investointikomitea tai muu vastaava hallintoelin, ja se hyväksytään hallituksesta riippumattomien jäsenten äänten enemmistöllä. Välitettyjen sijoitusten osalta lopullisen sijoituspäätöksen tekevät välittäjät.</w:t>
      </w:r>
    </w:p>
    <w:p w14:paraId="2D179111" w14:textId="701E4D70" w:rsidR="0065073E" w:rsidRDefault="000A0998">
      <w:pPr>
        <w:pStyle w:val="P68B1DB1-LegalNumPar27"/>
        <w:numPr>
          <w:ilvl w:val="0"/>
          <w:numId w:val="756"/>
        </w:numPr>
        <w:jc w:val="both"/>
        <w:rPr>
          <w:rFonts w:eastAsia="Times New Roman" w:cs="Times New Roman"/>
          <w:noProof/>
        </w:rPr>
      </w:pPr>
      <w:r>
        <w:rPr>
          <w:noProof/>
        </w:rPr>
        <w:t>Asiaan liittyvän sijoituspolitiikan keskeiset vaatimukset,</w:t>
      </w:r>
      <w:r>
        <w:rPr>
          <w:b/>
          <w:noProof/>
        </w:rPr>
        <w:t xml:space="preserve"> </w:t>
      </w:r>
      <w:r>
        <w:rPr>
          <w:noProof/>
        </w:rPr>
        <w:t>joihin on sisällyttävä</w:t>
      </w:r>
    </w:p>
    <w:p w14:paraId="7C250AB2" w14:textId="77777777" w:rsidR="0065073E" w:rsidRDefault="000A0998">
      <w:pPr>
        <w:pStyle w:val="P68B1DB1-LegalNumPar228"/>
        <w:numPr>
          <w:ilvl w:val="1"/>
          <w:numId w:val="757"/>
        </w:numPr>
        <w:jc w:val="both"/>
        <w:rPr>
          <w:rFonts w:cs="Times New Roman"/>
          <w:noProof/>
        </w:rPr>
      </w:pPr>
      <w:r>
        <w:rPr>
          <w:noProof/>
        </w:rPr>
        <w:t xml:space="preserve">Kuvaus rahoitustuotteesta (rahoitustuotteista) ja tukikelpoisista lopullisista tuensaajista toimenpiteen kuvauksen mukaisesti.   </w:t>
      </w:r>
    </w:p>
    <w:p w14:paraId="3418407B" w14:textId="77777777" w:rsidR="0065073E" w:rsidRDefault="000A0998">
      <w:pPr>
        <w:pStyle w:val="P68B1DB1-LegalNumPar228"/>
        <w:numPr>
          <w:ilvl w:val="1"/>
          <w:numId w:val="757"/>
        </w:numPr>
        <w:jc w:val="both"/>
        <w:rPr>
          <w:rFonts w:cs="Times New Roman"/>
          <w:noProof/>
        </w:rPr>
      </w:pPr>
      <w:r>
        <w:rPr>
          <w:noProof/>
        </w:rPr>
        <w:t>Vaatimus, jonka mukaan kaikkien tuettujen investointien on oltava taloudellisesti kannattavia</w:t>
      </w:r>
      <w:r>
        <w:rPr>
          <w:b/>
          <w:noProof/>
        </w:rPr>
        <w:t>.</w:t>
      </w:r>
    </w:p>
    <w:p w14:paraId="216E853A" w14:textId="77777777" w:rsidR="0065073E" w:rsidRDefault="000A0998">
      <w:pPr>
        <w:pStyle w:val="P68B1DB1-LegalNumPar228"/>
        <w:numPr>
          <w:ilvl w:val="1"/>
          <w:numId w:val="757"/>
        </w:numPr>
        <w:jc w:val="both"/>
        <w:rPr>
          <w:rFonts w:cs="Times New Roman"/>
          <w:noProof/>
        </w:rPr>
      </w:pPr>
      <w:r>
        <w:rPr>
          <w:noProof/>
        </w:rPr>
        <w:t>Kielto jälleenrahoittaa kaikkia jäljellä olevia lainoja.</w:t>
      </w:r>
    </w:p>
    <w:p w14:paraId="249AA9DD" w14:textId="7505F65A" w:rsidR="0065073E" w:rsidRDefault="000A0998">
      <w:pPr>
        <w:pStyle w:val="P68B1DB1-LegalNumPar228"/>
        <w:numPr>
          <w:ilvl w:val="1"/>
          <w:numId w:val="757"/>
        </w:numPr>
        <w:jc w:val="both"/>
        <w:rPr>
          <w:rFonts w:cs="Times New Roman"/>
          <w:noProof/>
        </w:rPr>
      </w:pPr>
      <w:r>
        <w:rPr>
          <w:noProof/>
        </w:rPr>
        <w:t>Vaatimus noudattaa ”ei merkittävää haittaa” -periaatetta, sellaisena kuin se on esitetty ”ei merkittävää haittaa” -periaatetta (2021/C58/01). Lisäksi investointipolitiikassa on edellytettävä, että tukivälineen lopulliset edunsaajat noudattavat asiaankuuluvaa EU:n ja kansallista ympäristölainsäädäntöä.</w:t>
      </w:r>
    </w:p>
    <w:p w14:paraId="5C73412D" w14:textId="3E779144" w:rsidR="0065073E" w:rsidRDefault="000A0998">
      <w:pPr>
        <w:pStyle w:val="P68B1DB1-ListParagraph6"/>
        <w:numPr>
          <w:ilvl w:val="1"/>
          <w:numId w:val="757"/>
        </w:numPr>
        <w:spacing w:line="240" w:lineRule="auto"/>
        <w:jc w:val="both"/>
        <w:rPr>
          <w:rFonts w:cs="Times New Roman"/>
          <w:noProof/>
        </w:rPr>
      </w:pPr>
      <w:r>
        <w:rPr>
          <w:noProof/>
        </w:rPr>
        <w:t>Vaatimus, jonka mukaan lainajärjestelyn lopulliset edunsaajat eivät saa saada tukea muista unionin välineistä samojen kustannusten kattamiseksi.</w:t>
      </w:r>
    </w:p>
    <w:p w14:paraId="4C983689" w14:textId="4807E2E9" w:rsidR="0065073E" w:rsidRDefault="000A0998">
      <w:pPr>
        <w:pStyle w:val="P68B1DB1-LegalNumPar27"/>
        <w:numPr>
          <w:ilvl w:val="0"/>
          <w:numId w:val="756"/>
        </w:numPr>
        <w:jc w:val="both"/>
        <w:rPr>
          <w:rFonts w:cs="Times New Roman"/>
          <w:noProof/>
        </w:rPr>
      </w:pPr>
      <w:r>
        <w:rPr>
          <w:noProof/>
        </w:rPr>
        <w:t>Täytäntöönpanosopimuksen kattama määrä, toteutuskumppanin maksurakenne ja vaatimus investoida takaisin maksetut määrät tukivälineen investointipolitiikan mukaisesti, paitsi jos niitä käytetään elpymis- ja palautumistukivälineen lainojen takaisinmaksuun.</w:t>
      </w:r>
    </w:p>
    <w:p w14:paraId="067101C9" w14:textId="77777777" w:rsidR="0065073E" w:rsidRDefault="000A0998">
      <w:pPr>
        <w:pStyle w:val="P68B1DB1-ListParagraph6"/>
        <w:numPr>
          <w:ilvl w:val="0"/>
          <w:numId w:val="756"/>
        </w:numPr>
        <w:spacing w:line="240" w:lineRule="auto"/>
        <w:jc w:val="both"/>
        <w:rPr>
          <w:rFonts w:cs="Times New Roman"/>
          <w:noProof/>
        </w:rPr>
      </w:pPr>
      <w:r>
        <w:rPr>
          <w:noProof/>
        </w:rPr>
        <w:t>Seuranta-, auditointi- ja valvontavaatimukset, mukaan lukien</w:t>
      </w:r>
    </w:p>
    <w:p w14:paraId="385E3198" w14:textId="60BC3E41" w:rsidR="0065073E" w:rsidRDefault="000A0998">
      <w:pPr>
        <w:pStyle w:val="P68B1DB1-ListParagraph6"/>
        <w:numPr>
          <w:ilvl w:val="0"/>
          <w:numId w:val="759"/>
        </w:numPr>
        <w:spacing w:line="240" w:lineRule="auto"/>
        <w:jc w:val="both"/>
        <w:rPr>
          <w:rFonts w:cs="Times New Roman"/>
          <w:noProof/>
        </w:rPr>
      </w:pPr>
      <w:r>
        <w:rPr>
          <w:noProof/>
        </w:rPr>
        <w:t>Kuvaus toteutuskumppanin seurantajärjestelmästä, jolla raportoidaan käyttöön otetuista investoinneista.</w:t>
      </w:r>
    </w:p>
    <w:p w14:paraId="10A16931" w14:textId="3852039A" w:rsidR="0065073E" w:rsidRDefault="000A0998">
      <w:pPr>
        <w:pStyle w:val="P68B1DB1-ListParagraph6"/>
        <w:numPr>
          <w:ilvl w:val="0"/>
          <w:numId w:val="759"/>
        </w:numPr>
        <w:spacing w:line="240" w:lineRule="auto"/>
        <w:jc w:val="both"/>
        <w:rPr>
          <w:rFonts w:cs="Times New Roman"/>
          <w:noProof/>
        </w:rPr>
      </w:pPr>
      <w:r>
        <w:rPr>
          <w:noProof/>
        </w:rPr>
        <w:t>Kuvaus toteutuskumppanin menettelyistä, joilla varmistetaan petosten, lahjonnan ja eturistiriitojen ehkäiseminen, havaitseminen ja korjaaminen.</w:t>
      </w:r>
    </w:p>
    <w:p w14:paraId="1B4D2F88" w14:textId="4CAE3291" w:rsidR="0065073E" w:rsidRDefault="000A0998">
      <w:pPr>
        <w:pStyle w:val="P68B1DB1-ListParagraph6"/>
        <w:numPr>
          <w:ilvl w:val="0"/>
          <w:numId w:val="759"/>
        </w:numPr>
        <w:spacing w:line="240" w:lineRule="auto"/>
        <w:jc w:val="both"/>
        <w:rPr>
          <w:rFonts w:cs="Times New Roman"/>
          <w:noProof/>
        </w:rPr>
      </w:pPr>
      <w:r>
        <w:rPr>
          <w:noProof/>
        </w:rPr>
        <w:t>Velvollisuus tarkistaa jokaisen toimen tukikelpoisuus täytäntöönpanosopimuksessa vahvistettujen vaatimusten mukaisesti ennen kuin sitoudutaan rahoittamaan toimi.</w:t>
      </w:r>
    </w:p>
    <w:p w14:paraId="7B2526C1" w14:textId="3DB9595A" w:rsidR="0065073E" w:rsidRDefault="000A0998">
      <w:pPr>
        <w:pStyle w:val="ListParagraph"/>
        <w:numPr>
          <w:ilvl w:val="0"/>
          <w:numId w:val="759"/>
        </w:numPr>
        <w:spacing w:line="240" w:lineRule="auto"/>
        <w:jc w:val="both"/>
        <w:rPr>
          <w:rFonts w:ascii="Times New Roman" w:hAnsi="Times New Roman" w:cs="Times New Roman"/>
          <w:noProof/>
          <w:sz w:val="24"/>
        </w:rPr>
      </w:pPr>
      <w:r>
        <w:rPr>
          <w:rFonts w:ascii="Times New Roman" w:hAnsi="Times New Roman"/>
          <w:noProof/>
          <w:sz w:val="24"/>
        </w:rPr>
        <w:t>Velvollisuus suorittaa riskiperusteisia jälkitarkastuksia ICO:n tarkastussuunnitelman mukaisesti. Näillä tarkastuksilla todennetaan i) valvontajärjestelmien tehokkuus, mukaan lukien petosten, korruption ja eturistiriitojen havaitseminen; II) ”ei merkittävää haittaa” -periaatteen, valtiontukisääntöjen ja digitaalisia tavoitteita koskevien vaatimusten noudattaminen; ja iii) että noudatetaan vaatimusta, jonka mukaan välittäjän on tarkistettava, että lopullinen tuensaaja esittää vastuullisen ilmoituksen sen tarkastamiseksi, katetaanko samat kustannukset jostakin muusta unionin välineestä. Tarkastuksissa on myös todennettava toimien laillisuus ja se, että sovellettavan täytäntöönpanosopimuksen ja rahoitussopimusten ehtoja noudatetaan,</w:t>
      </w:r>
      <w:r>
        <w:rPr>
          <w:noProof/>
        </w:rPr>
        <w:t xml:space="preserve"> muun muassa käyttämällä positiiviluetteloa ja/tai omia ilmoituksia alle 10000000 euron suuruisista toimista, ennen kuin sitoudutaan rahoittamaan toimea. </w:t>
      </w:r>
    </w:p>
    <w:p w14:paraId="5B4CBCB6" w14:textId="0DC71A12" w:rsidR="0065073E" w:rsidRDefault="000A0998">
      <w:pPr>
        <w:pStyle w:val="ListParagraph"/>
        <w:numPr>
          <w:ilvl w:val="0"/>
          <w:numId w:val="756"/>
        </w:numPr>
        <w:spacing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koskevat vaatimukset: vähintään 1712000000 eurolla elpymis- ja palautumistukivälineen investointivälineestä tukivälineeseen on edistettävä digitaalisia tavoitteita elpymis- ja palautumistukivälinettä koskevan asetuksen liitteen VII mukaisesti.</w:t>
      </w:r>
      <w:r>
        <w:rPr>
          <w:rStyle w:val="FootnoteReference"/>
          <w:rFonts w:ascii="Times New Roman" w:hAnsi="Times New Roman" w:cs="Times New Roman"/>
          <w:noProof/>
          <w:sz w:val="24"/>
        </w:rPr>
        <w:footnoteReference w:id="210"/>
      </w:r>
    </w:p>
    <w:p w14:paraId="29F08309" w14:textId="7EA82975" w:rsidR="0065073E" w:rsidRDefault="000A0998">
      <w:pPr>
        <w:pStyle w:val="P68B1DB1-ListParagraph6"/>
        <w:numPr>
          <w:ilvl w:val="0"/>
          <w:numId w:val="756"/>
        </w:numPr>
        <w:rPr>
          <w:rFonts w:cs="Times New Roman"/>
          <w:noProof/>
        </w:rPr>
      </w:pPr>
      <w:r>
        <w:rPr>
          <w:noProof/>
        </w:rPr>
        <w:t xml:space="preserve">Rahoituksen välittäjien valintaa koskevat vaatimukset: ICO valitsee rahoituksen välittäjät avoimella, läpinäkyvällä ja syrjimättömällä tavalla. Eturistiriitojen puuttumista rahoituksen välittäjillä on valvottava etukäteen tietoteknisen järjestelmän, kuten Minervan, kautta kaikkien asianomaisten taloushallinnon toimijoiden osalta. </w:t>
      </w:r>
    </w:p>
    <w:p w14:paraId="0ADFBFD9" w14:textId="77777777" w:rsidR="0065073E" w:rsidRDefault="000A0998">
      <w:pPr>
        <w:pStyle w:val="P68B1DB1-ListParagraph6"/>
        <w:numPr>
          <w:ilvl w:val="0"/>
          <w:numId w:val="756"/>
        </w:numPr>
        <w:spacing w:line="240" w:lineRule="auto"/>
        <w:jc w:val="both"/>
        <w:rPr>
          <w:rFonts w:cs="Times New Roman"/>
          <w:noProof/>
        </w:rPr>
      </w:pPr>
      <w:r>
        <w:rPr>
          <w:noProof/>
        </w:rPr>
        <w:t xml:space="preserve">Vaatimus rahoitussopimusten allekirjoittamisesta: ICO allekirjoittaa rahoitussopimukset rahoituksen välittäjien kanssa täytäntöönpanosopimuksen liitteenä toimitettavien keskeisten vaatimusten mukaisesti. Rahoitussopimuksen keskeisiin vaatimuksiin on sisällyttävä kaikki rahaston toimintaa koskevat vaatimukset, mukaan lukien seuraavat: </w:t>
      </w:r>
    </w:p>
    <w:p w14:paraId="44CF9790" w14:textId="77777777" w:rsidR="0065073E" w:rsidRDefault="000A0998">
      <w:pPr>
        <w:pStyle w:val="P68B1DB1-Normal4"/>
        <w:numPr>
          <w:ilvl w:val="0"/>
          <w:numId w:val="760"/>
        </w:numPr>
        <w:spacing w:after="160" w:line="240" w:lineRule="auto"/>
        <w:jc w:val="both"/>
        <w:rPr>
          <w:rFonts w:cs="Times New Roman"/>
          <w:noProof/>
        </w:rPr>
      </w:pPr>
      <w:r>
        <w:rPr>
          <w:noProof/>
        </w:rPr>
        <w:t xml:space="preserve">Rahoituksen välittäjän velvollisuus tehdä päätöksensä </w:t>
      </w:r>
      <w:r>
        <w:rPr>
          <w:i/>
          <w:noProof/>
        </w:rPr>
        <w:t>soveltuvin osin</w:t>
      </w:r>
      <w:r>
        <w:rPr>
          <w:noProof/>
        </w:rPr>
        <w:t xml:space="preserve"> edellä esitettyjen päätöksentekoa ja sijoituspolitiikkaa koskevien vaatimusten mukaisesti, mukaan lukien ”ei merkittävää haittaa” -periaatteen noudattaminen.</w:t>
      </w:r>
    </w:p>
    <w:p w14:paraId="6AF63DD6" w14:textId="77777777" w:rsidR="0065073E" w:rsidRDefault="000A0998">
      <w:pPr>
        <w:pStyle w:val="P68B1DB1-Normal4"/>
        <w:numPr>
          <w:ilvl w:val="0"/>
          <w:numId w:val="760"/>
        </w:numPr>
        <w:spacing w:after="160" w:line="240" w:lineRule="auto"/>
        <w:jc w:val="both"/>
        <w:rPr>
          <w:rFonts w:cs="Times New Roman"/>
          <w:noProof/>
        </w:rPr>
      </w:pPr>
      <w:r>
        <w:rPr>
          <w:noProof/>
        </w:rPr>
        <w:t xml:space="preserve">Kuvaus rahoituksen välittäjän käyttöön ottamasta seuranta-, tarkastus- ja valvontakehyksestä, johon </w:t>
      </w:r>
      <w:r>
        <w:rPr>
          <w:i/>
          <w:noProof/>
        </w:rPr>
        <w:t>sovelletaan soveltuvin osin</w:t>
      </w:r>
      <w:r>
        <w:rPr>
          <w:noProof/>
        </w:rPr>
        <w:t xml:space="preserve"> kaikkia edellä määriteltyjä seuranta-, tarkastus- ja valvontavaatimuksia. </w:t>
      </w:r>
    </w:p>
    <w:p w14:paraId="37CEAEBE" w14:textId="77777777" w:rsidR="0065073E" w:rsidRDefault="000A0998">
      <w:pPr>
        <w:pStyle w:val="P68B1DB1-Normal4"/>
        <w:spacing w:before="120" w:after="120" w:line="240" w:lineRule="auto"/>
        <w:jc w:val="both"/>
        <w:rPr>
          <w:rFonts w:eastAsia="Times New Roman" w:cs="Times New Roman"/>
          <w:noProof/>
        </w:rPr>
      </w:pPr>
      <w:r>
        <w:rPr>
          <w:noProof/>
        </w:rPr>
        <w:t>Toimenpiteen täytäntöönpano on saatettava päätökseen 31 päivään elokuuta 2026 mennessä.</w:t>
      </w:r>
    </w:p>
    <w:p w14:paraId="52B51381" w14:textId="1C8BB2A2" w:rsidR="0065073E" w:rsidRDefault="000A0998">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Y.4 </w:t>
      </w:r>
      <w:r>
        <w:rPr>
          <w:noProof/>
        </w:rPr>
        <w:t xml:space="preserve"> </w:t>
      </w:r>
      <w:r>
        <w:rPr>
          <w:rFonts w:ascii="Times New Roman" w:hAnsi="Times New Roman"/>
          <w:b/>
          <w:noProof/>
          <w:sz w:val="24"/>
          <w:u w:val="single"/>
        </w:rPr>
        <w:t>Lainatuen seurannan ja täytäntöönpanon välitavoitteet, tavoitteet, indikaattorit ja aikataulu</w:t>
      </w:r>
    </w:p>
    <w:p w14:paraId="07BA10B0" w14:textId="19660C1F" w:rsidR="0065073E" w:rsidRDefault="000A0998">
      <w:pPr>
        <w:pStyle w:val="P68B1DB1-Normal4"/>
        <w:spacing w:before="120" w:after="120" w:line="240" w:lineRule="auto"/>
        <w:jc w:val="both"/>
        <w:rPr>
          <w:rFonts w:cs="Times New Roman"/>
          <w:noProof/>
          <w:u w:val="single"/>
        </w:rPr>
      </w:pPr>
      <w:r>
        <w:rPr>
          <w:i/>
          <w:noProof/>
        </w:rPr>
        <w:t>Ks. taulukko jäljempänä.</w:t>
      </w:r>
      <w:r>
        <w:rPr>
          <w:noProof/>
        </w:rPr>
        <w:t xml:space="preserve"> </w:t>
      </w:r>
      <w:r>
        <w:rPr>
          <w:i/>
          <w:noProof/>
        </w:rPr>
        <w:t>Kaikkien indikaattoreiden perustason päivämäärä on toimen alkamisajankohta, ellei toimen kuvauksessa toisin ilmoiteta. Taulukossa esitetyt määrät eivät sisällä toimenpiteeseen C25.I2 liittyvää arvonlisäveroa.</w:t>
      </w:r>
    </w:p>
    <w:p w14:paraId="081ED4BB" w14:textId="77777777" w:rsidR="0065073E" w:rsidRDefault="0065073E">
      <w:pPr>
        <w:spacing w:before="120" w:after="120" w:line="240" w:lineRule="auto"/>
        <w:jc w:val="both"/>
        <w:rPr>
          <w:rFonts w:ascii="Times New Roman" w:hAnsi="Times New Roman" w:cs="Times New Roman"/>
          <w:noProof/>
          <w:sz w:val="24"/>
          <w:u w:val="single"/>
        </w:rPr>
      </w:pPr>
    </w:p>
    <w:p w14:paraId="21D3C488" w14:textId="77777777" w:rsidR="0065073E" w:rsidRDefault="0065073E">
      <w:pPr>
        <w:pStyle w:val="Text1"/>
        <w:ind w:left="0"/>
        <w:rPr>
          <w:rFonts w:ascii="Times New Roman" w:hAnsi="Times New Roman" w:cs="Times New Roman"/>
          <w:noProof/>
        </w:rPr>
        <w:sectPr w:rsidR="0065073E" w:rsidSect="00B511EF">
          <w:headerReference w:type="even" r:id="rId547"/>
          <w:headerReference w:type="default" r:id="rId548"/>
          <w:footerReference w:type="even" r:id="rId549"/>
          <w:footerReference w:type="default" r:id="rId550"/>
          <w:headerReference w:type="first" r:id="rId551"/>
          <w:footerReference w:type="first" r:id="rId552"/>
          <w:pgSz w:w="11907" w:h="16839"/>
          <w:pgMar w:top="1134" w:right="1134" w:bottom="1134" w:left="1134" w:header="567" w:footer="567" w:gutter="0"/>
          <w:cols w:space="720"/>
          <w:docGrid w:linePitch="360"/>
        </w:sectPr>
      </w:pPr>
    </w:p>
    <w:p w14:paraId="54274A88" w14:textId="77777777" w:rsidR="0065073E" w:rsidRDefault="0065073E">
      <w:pPr>
        <w:pStyle w:val="Text1"/>
        <w:ind w:left="0"/>
        <w:rPr>
          <w:rFonts w:ascii="Times New Roman" w:hAnsi="Times New Roman" w:cs="Times New Roman"/>
          <w:noProof/>
          <w:sz w:val="20"/>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733"/>
        <w:gridCol w:w="828"/>
        <w:gridCol w:w="2084"/>
        <w:gridCol w:w="1093"/>
        <w:gridCol w:w="726"/>
        <w:gridCol w:w="965"/>
        <w:gridCol w:w="665"/>
        <w:gridCol w:w="605"/>
        <w:gridCol w:w="514"/>
        <w:gridCol w:w="6069"/>
      </w:tblGrid>
      <w:tr w:rsidR="0065073E" w14:paraId="7E0E8252" w14:textId="77777777">
        <w:trPr>
          <w:trHeight w:val="309"/>
          <w:tblHeader/>
        </w:trPr>
        <w:tc>
          <w:tcPr>
            <w:tcW w:w="729" w:type="dxa"/>
            <w:tcBorders>
              <w:bottom w:val="nil"/>
            </w:tcBorders>
            <w:shd w:val="clear" w:color="auto" w:fill="C6D9F1" w:themeFill="text2" w:themeFillTint="33"/>
            <w:noWrap/>
            <w:vAlign w:val="center"/>
          </w:tcPr>
          <w:p w14:paraId="2E26B9EA" w14:textId="77777777" w:rsidR="0065073E" w:rsidRDefault="000A0998">
            <w:pPr>
              <w:pStyle w:val="P68B1DB1-Normal8"/>
              <w:spacing w:after="0" w:line="240" w:lineRule="auto"/>
              <w:jc w:val="center"/>
              <w:rPr>
                <w:rFonts w:cs="Times New Roman"/>
                <w:noProof/>
              </w:rPr>
            </w:pPr>
            <w:r>
              <w:rPr>
                <w:noProof/>
              </w:rPr>
              <w:t>Määrä</w:t>
            </w:r>
          </w:p>
        </w:tc>
        <w:tc>
          <w:tcPr>
            <w:tcW w:w="752" w:type="dxa"/>
            <w:tcBorders>
              <w:bottom w:val="nil"/>
            </w:tcBorders>
            <w:shd w:val="clear" w:color="auto" w:fill="C6D9F1" w:themeFill="text2" w:themeFillTint="33"/>
            <w:noWrap/>
            <w:vAlign w:val="center"/>
          </w:tcPr>
          <w:p w14:paraId="1EB71C7B" w14:textId="77777777" w:rsidR="0065073E" w:rsidRDefault="000A0998">
            <w:pPr>
              <w:pStyle w:val="P68B1DB1-Normal8"/>
              <w:spacing w:after="0" w:line="240" w:lineRule="auto"/>
              <w:jc w:val="center"/>
              <w:rPr>
                <w:rFonts w:cs="Times New Roman"/>
                <w:noProof/>
              </w:rPr>
            </w:pPr>
            <w:r>
              <w:rPr>
                <w:noProof/>
              </w:rPr>
              <w:t>Toimenpide</w:t>
            </w:r>
          </w:p>
        </w:tc>
        <w:tc>
          <w:tcPr>
            <w:tcW w:w="851" w:type="dxa"/>
            <w:tcBorders>
              <w:bottom w:val="nil"/>
            </w:tcBorders>
            <w:shd w:val="clear" w:color="auto" w:fill="C6D9F1" w:themeFill="text2" w:themeFillTint="33"/>
            <w:noWrap/>
            <w:vAlign w:val="center"/>
          </w:tcPr>
          <w:p w14:paraId="71CC5653"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144" w:type="dxa"/>
            <w:tcBorders>
              <w:bottom w:val="nil"/>
            </w:tcBorders>
            <w:shd w:val="clear" w:color="auto" w:fill="C6D9F1" w:themeFill="text2" w:themeFillTint="33"/>
            <w:noWrap/>
            <w:vAlign w:val="center"/>
          </w:tcPr>
          <w:p w14:paraId="47189E78" w14:textId="77777777" w:rsidR="0065073E" w:rsidRDefault="000A0998">
            <w:pPr>
              <w:pStyle w:val="P68B1DB1-Normal8"/>
              <w:spacing w:after="0" w:line="240" w:lineRule="auto"/>
              <w:jc w:val="center"/>
              <w:rPr>
                <w:rFonts w:cs="Times New Roman"/>
                <w:noProof/>
              </w:rPr>
            </w:pPr>
            <w:r>
              <w:rPr>
                <w:noProof/>
              </w:rPr>
              <w:t>Nimi</w:t>
            </w:r>
          </w:p>
        </w:tc>
        <w:tc>
          <w:tcPr>
            <w:tcW w:w="1124" w:type="dxa"/>
            <w:tcBorders>
              <w:bottom w:val="nil"/>
            </w:tcBorders>
            <w:shd w:val="clear" w:color="auto" w:fill="C6D9F1" w:themeFill="text2" w:themeFillTint="33"/>
            <w:noWrap/>
            <w:vAlign w:val="center"/>
          </w:tcPr>
          <w:p w14:paraId="1684463A"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1996" w:type="dxa"/>
            <w:gridSpan w:val="3"/>
            <w:shd w:val="clear" w:color="auto" w:fill="C6D9F1" w:themeFill="text2" w:themeFillTint="33"/>
            <w:noWrap/>
            <w:vAlign w:val="center"/>
          </w:tcPr>
          <w:p w14:paraId="6B86D05F"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1148" w:type="dxa"/>
            <w:gridSpan w:val="2"/>
            <w:shd w:val="clear" w:color="auto" w:fill="C6D9F1" w:themeFill="text2" w:themeFillTint="33"/>
            <w:noWrap/>
            <w:vAlign w:val="center"/>
          </w:tcPr>
          <w:p w14:paraId="2DF4BA48" w14:textId="77777777" w:rsidR="0065073E" w:rsidRDefault="000A0998">
            <w:pPr>
              <w:pStyle w:val="P68B1DB1-Normal8"/>
              <w:spacing w:after="0" w:line="240" w:lineRule="auto"/>
              <w:jc w:val="center"/>
              <w:rPr>
                <w:rFonts w:cs="Times New Roman"/>
                <w:noProof/>
              </w:rPr>
            </w:pPr>
            <w:r>
              <w:rPr>
                <w:noProof/>
              </w:rPr>
              <w:t>Aika</w:t>
            </w:r>
          </w:p>
        </w:tc>
        <w:tc>
          <w:tcPr>
            <w:tcW w:w="6249" w:type="dxa"/>
            <w:tcBorders>
              <w:bottom w:val="nil"/>
            </w:tcBorders>
            <w:shd w:val="clear" w:color="auto" w:fill="C6D9F1" w:themeFill="text2" w:themeFillTint="33"/>
            <w:noWrap/>
            <w:vAlign w:val="center"/>
          </w:tcPr>
          <w:p w14:paraId="209B3A0B"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70DE08BA" w14:textId="77777777">
        <w:trPr>
          <w:trHeight w:val="309"/>
          <w:tblHeader/>
        </w:trPr>
        <w:tc>
          <w:tcPr>
            <w:tcW w:w="729"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65073E" w:rsidRDefault="0065073E">
            <w:pPr>
              <w:spacing w:after="0" w:line="240" w:lineRule="auto"/>
              <w:jc w:val="center"/>
              <w:rPr>
                <w:rFonts w:ascii="Times New Roman" w:hAnsi="Times New Roman" w:cs="Times New Roman"/>
                <w:b/>
                <w:noProof/>
                <w:sz w:val="18"/>
              </w:rPr>
            </w:pPr>
          </w:p>
        </w:tc>
        <w:tc>
          <w:tcPr>
            <w:tcW w:w="752"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65073E" w:rsidRDefault="0065073E">
            <w:pPr>
              <w:spacing w:after="0" w:line="240" w:lineRule="auto"/>
              <w:jc w:val="center"/>
              <w:rPr>
                <w:rFonts w:ascii="Times New Roman" w:hAnsi="Times New Roman" w:cs="Times New Roman"/>
                <w:b/>
                <w:noProof/>
                <w:sz w:val="18"/>
              </w:rPr>
            </w:pPr>
          </w:p>
        </w:tc>
        <w:tc>
          <w:tcPr>
            <w:tcW w:w="851"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65073E" w:rsidRDefault="0065073E">
            <w:pPr>
              <w:spacing w:after="0" w:line="240" w:lineRule="auto"/>
              <w:jc w:val="center"/>
              <w:rPr>
                <w:rFonts w:ascii="Times New Roman" w:hAnsi="Times New Roman" w:cs="Times New Roman"/>
                <w:b/>
                <w:noProof/>
                <w:sz w:val="18"/>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65073E" w:rsidRDefault="0065073E">
            <w:pPr>
              <w:spacing w:after="0" w:line="240" w:lineRule="auto"/>
              <w:rPr>
                <w:rFonts w:ascii="Times New Roman" w:hAnsi="Times New Roman" w:cs="Times New Roman"/>
                <w:b/>
                <w:noProof/>
                <w:sz w:val="18"/>
              </w:rPr>
            </w:pPr>
          </w:p>
        </w:tc>
        <w:tc>
          <w:tcPr>
            <w:tcW w:w="1124"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65073E" w:rsidRDefault="0065073E">
            <w:pPr>
              <w:spacing w:after="0" w:line="240" w:lineRule="auto"/>
              <w:jc w:val="center"/>
              <w:rPr>
                <w:rFonts w:ascii="Times New Roman" w:hAnsi="Times New Roman" w:cs="Times New Roman"/>
                <w:b/>
                <w:noProof/>
                <w:sz w:val="18"/>
              </w:rPr>
            </w:pPr>
          </w:p>
        </w:tc>
        <w:tc>
          <w:tcPr>
            <w:tcW w:w="7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65073E" w:rsidRDefault="000A0998">
            <w:pPr>
              <w:pStyle w:val="P68B1DB1-Normal8"/>
              <w:spacing w:after="0" w:line="240" w:lineRule="auto"/>
              <w:jc w:val="center"/>
              <w:rPr>
                <w:rFonts w:cs="Times New Roman"/>
                <w:noProof/>
              </w:rPr>
            </w:pPr>
            <w:r>
              <w:rPr>
                <w:noProof/>
              </w:rPr>
              <w:t>Yksikkö</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0A1D2830" w:rsidR="0065073E" w:rsidRDefault="000A0998">
            <w:pPr>
              <w:pStyle w:val="P68B1DB1-Normal8"/>
              <w:spacing w:after="0" w:line="240" w:lineRule="auto"/>
              <w:jc w:val="center"/>
              <w:rPr>
                <w:rFonts w:cs="Times New Roman"/>
                <w:noProof/>
              </w:rPr>
            </w:pPr>
            <w:r>
              <w:rPr>
                <w:noProof/>
              </w:rPr>
              <w:t>Lähtötaso</w:t>
            </w:r>
          </w:p>
        </w:tc>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65073E" w:rsidRDefault="000A0998">
            <w:pPr>
              <w:pStyle w:val="P68B1DB1-Normal8"/>
              <w:spacing w:after="0" w:line="240" w:lineRule="auto"/>
              <w:jc w:val="center"/>
              <w:rPr>
                <w:rFonts w:cs="Times New Roman"/>
                <w:noProof/>
              </w:rPr>
            </w:pPr>
            <w:r>
              <w:rPr>
                <w:noProof/>
              </w:rPr>
              <w:t>Päämäärä</w:t>
            </w:r>
          </w:p>
        </w:tc>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65073E" w:rsidRDefault="000A0998">
            <w:pPr>
              <w:pStyle w:val="P68B1DB1-Normal8"/>
              <w:spacing w:after="0" w:line="240" w:lineRule="auto"/>
              <w:jc w:val="center"/>
              <w:rPr>
                <w:rFonts w:cs="Times New Roman"/>
                <w:noProof/>
              </w:rPr>
            </w:pPr>
            <w:r>
              <w:rPr>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65073E" w:rsidRDefault="000A0998">
            <w:pPr>
              <w:pStyle w:val="P68B1DB1-Normal8"/>
              <w:spacing w:after="0" w:line="240" w:lineRule="auto"/>
              <w:jc w:val="center"/>
              <w:rPr>
                <w:rFonts w:cs="Times New Roman"/>
                <w:noProof/>
              </w:rPr>
            </w:pPr>
            <w:r>
              <w:rPr>
                <w:noProof/>
              </w:rPr>
              <w:t>Vuosi</w:t>
            </w:r>
          </w:p>
        </w:tc>
        <w:tc>
          <w:tcPr>
            <w:tcW w:w="624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65073E" w:rsidRDefault="0065073E">
            <w:pPr>
              <w:spacing w:after="0" w:line="240" w:lineRule="auto"/>
              <w:rPr>
                <w:rFonts w:ascii="Times New Roman" w:eastAsia="Times New Roman" w:hAnsi="Times New Roman" w:cs="Times New Roman"/>
                <w:noProof/>
                <w:sz w:val="18"/>
              </w:rPr>
            </w:pPr>
          </w:p>
        </w:tc>
      </w:tr>
      <w:tr w:rsidR="0065073E" w14:paraId="2D6B053D" w14:textId="77777777">
        <w:trPr>
          <w:trHeight w:val="309"/>
        </w:trPr>
        <w:tc>
          <w:tcPr>
            <w:tcW w:w="729" w:type="dxa"/>
            <w:shd w:val="clear" w:color="auto" w:fill="C6EFCE"/>
            <w:noWrap/>
          </w:tcPr>
          <w:p w14:paraId="1101B259" w14:textId="46A7354F" w:rsidR="0065073E" w:rsidRDefault="000A0998">
            <w:pPr>
              <w:pStyle w:val="P68B1DB1-Normal12"/>
              <w:spacing w:after="0" w:line="240" w:lineRule="auto"/>
              <w:jc w:val="center"/>
              <w:rPr>
                <w:rFonts w:eastAsia="Times New Roman" w:cs="Times New Roman"/>
                <w:noProof/>
              </w:rPr>
            </w:pPr>
            <w:r>
              <w:rPr>
                <w:noProof/>
              </w:rPr>
              <w:t>L75</w:t>
            </w:r>
          </w:p>
        </w:tc>
        <w:tc>
          <w:tcPr>
            <w:tcW w:w="752" w:type="dxa"/>
            <w:shd w:val="clear" w:color="auto" w:fill="C6EFCE"/>
            <w:noWrap/>
          </w:tcPr>
          <w:p w14:paraId="0923ADAB" w14:textId="77777777" w:rsidR="0065073E" w:rsidRDefault="000A0998">
            <w:pPr>
              <w:pStyle w:val="P68B1DB1-Normal12"/>
              <w:spacing w:after="0" w:line="240" w:lineRule="auto"/>
              <w:jc w:val="center"/>
              <w:rPr>
                <w:rFonts w:eastAsia="Times New Roman" w:cs="Times New Roman"/>
                <w:noProof/>
              </w:rPr>
            </w:pPr>
            <w:r>
              <w:rPr>
                <w:noProof/>
              </w:rPr>
              <w:t>C25.I2</w:t>
            </w:r>
          </w:p>
        </w:tc>
        <w:tc>
          <w:tcPr>
            <w:tcW w:w="851" w:type="dxa"/>
            <w:shd w:val="clear" w:color="auto" w:fill="C6EFCE"/>
            <w:noWrap/>
          </w:tcPr>
          <w:p w14:paraId="38CA287A" w14:textId="77777777" w:rsidR="0065073E" w:rsidRDefault="000A0998">
            <w:pPr>
              <w:pStyle w:val="P68B1DB1-Normal12"/>
              <w:spacing w:after="0" w:line="240" w:lineRule="auto"/>
              <w:jc w:val="center"/>
              <w:rPr>
                <w:rFonts w:eastAsia="Times New Roman" w:cs="Times New Roman"/>
                <w:noProof/>
              </w:rPr>
            </w:pPr>
            <w:r>
              <w:rPr>
                <w:noProof/>
              </w:rPr>
              <w:t>M</w:t>
            </w:r>
          </w:p>
        </w:tc>
        <w:tc>
          <w:tcPr>
            <w:tcW w:w="2144" w:type="dxa"/>
            <w:shd w:val="clear" w:color="auto" w:fill="C6EFCE"/>
            <w:noWrap/>
          </w:tcPr>
          <w:p w14:paraId="3E7FA25E" w14:textId="6DD6288E" w:rsidR="0065073E" w:rsidRDefault="000A0998">
            <w:pPr>
              <w:pStyle w:val="P68B1DB1-Normal12"/>
              <w:spacing w:after="0" w:line="240" w:lineRule="auto"/>
              <w:rPr>
                <w:rFonts w:eastAsia="Times New Roman" w:cs="Times New Roman"/>
                <w:noProof/>
              </w:rPr>
            </w:pPr>
            <w:r>
              <w:rPr>
                <w:noProof/>
              </w:rPr>
              <w:t>Hankkeiden digitalisaation ja sisällön levittämisen rahoittamista koskevien palkintojen julkaiseminen</w:t>
            </w:r>
          </w:p>
        </w:tc>
        <w:tc>
          <w:tcPr>
            <w:tcW w:w="1124" w:type="dxa"/>
            <w:shd w:val="clear" w:color="auto" w:fill="C6EFCE"/>
            <w:noWrap/>
          </w:tcPr>
          <w:p w14:paraId="4184C604" w14:textId="79E7E0AC" w:rsidR="0065073E" w:rsidRDefault="000A0998">
            <w:pPr>
              <w:pStyle w:val="P68B1DB1-Normal12"/>
              <w:spacing w:after="0" w:line="240" w:lineRule="auto"/>
              <w:jc w:val="center"/>
              <w:rPr>
                <w:rFonts w:eastAsia="Times New Roman" w:cs="Times New Roman"/>
                <w:noProof/>
              </w:rPr>
            </w:pPr>
            <w:r>
              <w:rPr>
                <w:noProof/>
              </w:rPr>
              <w:t>Julkaiseminen EUVL:ssä tai virallisella verkkosivustolla</w:t>
            </w:r>
          </w:p>
        </w:tc>
        <w:tc>
          <w:tcPr>
            <w:tcW w:w="746" w:type="dxa"/>
            <w:shd w:val="clear" w:color="auto" w:fill="C6EFCE"/>
            <w:noWrap/>
          </w:tcPr>
          <w:p w14:paraId="1DAD6770" w14:textId="77777777" w:rsidR="0065073E" w:rsidRDefault="0065073E">
            <w:pPr>
              <w:spacing w:after="0" w:line="240" w:lineRule="auto"/>
              <w:jc w:val="center"/>
              <w:rPr>
                <w:rFonts w:ascii="Times New Roman" w:eastAsia="Times New Roman" w:hAnsi="Times New Roman" w:cs="Times New Roman"/>
                <w:noProof/>
                <w:sz w:val="18"/>
              </w:rPr>
            </w:pPr>
          </w:p>
        </w:tc>
        <w:tc>
          <w:tcPr>
            <w:tcW w:w="992" w:type="dxa"/>
            <w:shd w:val="clear" w:color="auto" w:fill="C6EFCE"/>
            <w:noWrap/>
          </w:tcPr>
          <w:p w14:paraId="20660151" w14:textId="77777777" w:rsidR="0065073E" w:rsidRDefault="0065073E">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044D3ACD" w14:textId="77777777" w:rsidR="0065073E" w:rsidRDefault="0065073E">
            <w:pPr>
              <w:spacing w:after="0" w:line="240" w:lineRule="auto"/>
              <w:jc w:val="right"/>
              <w:rPr>
                <w:rFonts w:ascii="Times New Roman" w:eastAsia="Times New Roman" w:hAnsi="Times New Roman" w:cs="Times New Roman"/>
                <w:noProof/>
                <w:sz w:val="18"/>
              </w:rPr>
            </w:pPr>
          </w:p>
        </w:tc>
        <w:tc>
          <w:tcPr>
            <w:tcW w:w="621" w:type="dxa"/>
            <w:shd w:val="clear" w:color="auto" w:fill="C6EFCE"/>
            <w:noWrap/>
          </w:tcPr>
          <w:p w14:paraId="21D56AB2" w14:textId="77777777" w:rsidR="0065073E" w:rsidRDefault="000A0998">
            <w:pPr>
              <w:pStyle w:val="P68B1DB1-Normal12"/>
              <w:spacing w:after="0" w:line="240" w:lineRule="auto"/>
              <w:jc w:val="center"/>
              <w:rPr>
                <w:rFonts w:eastAsia="Times New Roman" w:cs="Times New Roman"/>
                <w:noProof/>
              </w:rPr>
            </w:pPr>
            <w:r>
              <w:rPr>
                <w:noProof/>
              </w:rPr>
              <w:t>Q3</w:t>
            </w:r>
          </w:p>
        </w:tc>
        <w:tc>
          <w:tcPr>
            <w:tcW w:w="527" w:type="dxa"/>
            <w:shd w:val="clear" w:color="auto" w:fill="C6EFCE"/>
            <w:noWrap/>
          </w:tcPr>
          <w:p w14:paraId="136AE630" w14:textId="77777777" w:rsidR="0065073E" w:rsidRDefault="000A0998">
            <w:pPr>
              <w:pStyle w:val="P68B1DB1-Normal12"/>
              <w:spacing w:after="0" w:line="240" w:lineRule="auto"/>
              <w:jc w:val="center"/>
              <w:rPr>
                <w:rFonts w:eastAsia="Times New Roman" w:cs="Times New Roman"/>
                <w:noProof/>
              </w:rPr>
            </w:pPr>
            <w:r>
              <w:rPr>
                <w:noProof/>
              </w:rPr>
              <w:t>2025</w:t>
            </w:r>
          </w:p>
        </w:tc>
        <w:tc>
          <w:tcPr>
            <w:tcW w:w="6249" w:type="dxa"/>
            <w:shd w:val="clear" w:color="auto" w:fill="C6EFCE"/>
            <w:noWrap/>
          </w:tcPr>
          <w:p w14:paraId="070D89C5" w14:textId="05B14FAA" w:rsidR="0065073E" w:rsidRDefault="000A0998">
            <w:pPr>
              <w:pStyle w:val="P68B1DB1-Normal12"/>
              <w:spacing w:line="240" w:lineRule="auto"/>
              <w:rPr>
                <w:rFonts w:eastAsia="Times New Roman" w:cs="Times New Roman"/>
                <w:noProof/>
              </w:rPr>
            </w:pPr>
            <w:bookmarkStart w:id="61" w:name="_Hlk145587311"/>
            <w:r>
              <w:rPr>
                <w:noProof/>
              </w:rPr>
              <w:t xml:space="preserve">Julkaistaan Euroopan unionin virallisessa lehdessä tai virallisella verkkosivustolla </w:t>
            </w:r>
            <w:bookmarkEnd w:id="61"/>
            <w:r>
              <w:rPr>
                <w:noProof/>
              </w:rPr>
              <w:t>vähintään 19500000 euroa lainoina hankkeisiin, jotka koskevat sisällön ja tiedon digitalisointia ja levittämistä sekä sitä, että media-alan yritykset ottavat käyttöön uusia teknisiä välineitä sisällön hallinnointia ja käsittelyä varten espanjan kielellä ja muilla virallisilla kielillä.</w:t>
            </w:r>
          </w:p>
        </w:tc>
      </w:tr>
      <w:tr w:rsidR="0065073E" w14:paraId="5DEC073D" w14:textId="77777777">
        <w:trPr>
          <w:trHeight w:val="309"/>
        </w:trPr>
        <w:tc>
          <w:tcPr>
            <w:tcW w:w="729" w:type="dxa"/>
            <w:shd w:val="clear" w:color="auto" w:fill="C6EFCE"/>
            <w:noWrap/>
          </w:tcPr>
          <w:p w14:paraId="7DB4B140" w14:textId="1F50BB51" w:rsidR="0065073E" w:rsidRDefault="000A0998">
            <w:pPr>
              <w:pStyle w:val="P68B1DB1-Normal12"/>
              <w:spacing w:after="0" w:line="240" w:lineRule="auto"/>
              <w:jc w:val="center"/>
              <w:rPr>
                <w:rFonts w:eastAsia="Times New Roman" w:cs="Times New Roman"/>
                <w:noProof/>
              </w:rPr>
            </w:pPr>
            <w:r>
              <w:rPr>
                <w:noProof/>
              </w:rPr>
              <w:t>L76</w:t>
            </w:r>
          </w:p>
        </w:tc>
        <w:tc>
          <w:tcPr>
            <w:tcW w:w="752" w:type="dxa"/>
            <w:shd w:val="clear" w:color="auto" w:fill="C6EFCE"/>
            <w:noWrap/>
          </w:tcPr>
          <w:p w14:paraId="1800D804" w14:textId="77777777" w:rsidR="0065073E" w:rsidRDefault="000A0998">
            <w:pPr>
              <w:pStyle w:val="P68B1DB1-Normal12"/>
              <w:spacing w:after="0" w:line="240" w:lineRule="auto"/>
              <w:jc w:val="center"/>
              <w:rPr>
                <w:rFonts w:eastAsia="Times New Roman" w:cs="Times New Roman"/>
                <w:noProof/>
              </w:rPr>
            </w:pPr>
            <w:r>
              <w:rPr>
                <w:noProof/>
              </w:rPr>
              <w:t>C25.I2</w:t>
            </w:r>
          </w:p>
        </w:tc>
        <w:tc>
          <w:tcPr>
            <w:tcW w:w="851" w:type="dxa"/>
            <w:shd w:val="clear" w:color="auto" w:fill="C6EFCE"/>
            <w:noWrap/>
          </w:tcPr>
          <w:p w14:paraId="736BDD5A" w14:textId="77777777" w:rsidR="0065073E" w:rsidRDefault="000A0998">
            <w:pPr>
              <w:pStyle w:val="P68B1DB1-Normal12"/>
              <w:spacing w:after="0" w:line="240" w:lineRule="auto"/>
              <w:jc w:val="center"/>
              <w:rPr>
                <w:rFonts w:eastAsia="Times New Roman" w:cs="Times New Roman"/>
                <w:noProof/>
              </w:rPr>
            </w:pPr>
            <w:r>
              <w:rPr>
                <w:noProof/>
              </w:rPr>
              <w:t>T</w:t>
            </w:r>
          </w:p>
        </w:tc>
        <w:tc>
          <w:tcPr>
            <w:tcW w:w="2144" w:type="dxa"/>
            <w:shd w:val="clear" w:color="auto" w:fill="C6EFCE"/>
            <w:noWrap/>
          </w:tcPr>
          <w:p w14:paraId="0C17C5FA" w14:textId="77777777" w:rsidR="0065073E" w:rsidRDefault="000A0998">
            <w:pPr>
              <w:pStyle w:val="P68B1DB1-Normal12"/>
              <w:spacing w:after="0" w:line="240" w:lineRule="auto"/>
              <w:rPr>
                <w:rFonts w:eastAsia="Times New Roman" w:cs="Times New Roman"/>
                <w:noProof/>
              </w:rPr>
            </w:pPr>
            <w:r>
              <w:rPr>
                <w:noProof/>
              </w:rPr>
              <w:t>Sisällön digitalisointia ja levittämistä koskevien hankkeiden toteuttaminen</w:t>
            </w:r>
          </w:p>
        </w:tc>
        <w:tc>
          <w:tcPr>
            <w:tcW w:w="1124" w:type="dxa"/>
            <w:shd w:val="clear" w:color="auto" w:fill="C6EFCE"/>
            <w:noWrap/>
          </w:tcPr>
          <w:p w14:paraId="0712BA1A" w14:textId="77777777" w:rsidR="0065073E" w:rsidRDefault="0065073E">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47A2659" w14:textId="35FED01C" w:rsidR="0065073E" w:rsidRDefault="000A0998">
            <w:pPr>
              <w:pStyle w:val="P68B1DB1-Normal12"/>
              <w:spacing w:after="0" w:line="240" w:lineRule="auto"/>
              <w:jc w:val="center"/>
              <w:rPr>
                <w:rFonts w:eastAsia="Times New Roman" w:cs="Times New Roman"/>
                <w:noProof/>
              </w:rPr>
            </w:pPr>
            <w:r>
              <w:rPr>
                <w:noProof/>
              </w:rPr>
              <w:t>Miljoonaa euroa</w:t>
            </w:r>
          </w:p>
        </w:tc>
        <w:tc>
          <w:tcPr>
            <w:tcW w:w="992" w:type="dxa"/>
            <w:shd w:val="clear" w:color="auto" w:fill="C6EFCE"/>
            <w:noWrap/>
          </w:tcPr>
          <w:p w14:paraId="0D1E194C" w14:textId="77777777" w:rsidR="0065073E" w:rsidRDefault="0065073E">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56BD40EA" w14:textId="2719BDB7" w:rsidR="0065073E" w:rsidRDefault="000A0998">
            <w:pPr>
              <w:pStyle w:val="P68B1DB1-Normal12"/>
              <w:spacing w:after="0" w:line="240" w:lineRule="auto"/>
              <w:jc w:val="right"/>
              <w:rPr>
                <w:rFonts w:eastAsia="Times New Roman" w:cs="Times New Roman"/>
                <w:noProof/>
              </w:rPr>
            </w:pPr>
            <w:r>
              <w:rPr>
                <w:noProof/>
              </w:rPr>
              <w:t>17.55</w:t>
            </w:r>
          </w:p>
        </w:tc>
        <w:tc>
          <w:tcPr>
            <w:tcW w:w="621" w:type="dxa"/>
            <w:shd w:val="clear" w:color="auto" w:fill="C6EFCE"/>
            <w:noWrap/>
          </w:tcPr>
          <w:p w14:paraId="357035B6"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shd w:val="clear" w:color="auto" w:fill="C6EFCE"/>
            <w:noWrap/>
          </w:tcPr>
          <w:p w14:paraId="2CC965C1"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249" w:type="dxa"/>
            <w:shd w:val="clear" w:color="auto" w:fill="C6EFCE"/>
            <w:noWrap/>
          </w:tcPr>
          <w:p w14:paraId="45516066" w14:textId="77777777" w:rsidR="0065073E" w:rsidRDefault="000A0998">
            <w:pPr>
              <w:pStyle w:val="P68B1DB1-Normal12"/>
              <w:spacing w:line="240" w:lineRule="auto"/>
              <w:rPr>
                <w:rFonts w:eastAsia="Times New Roman" w:cs="Times New Roman"/>
                <w:noProof/>
              </w:rPr>
            </w:pPr>
            <w:r>
              <w:rPr>
                <w:noProof/>
              </w:rPr>
              <w:t xml:space="preserve">Sellaisten hankkeiden loppuun saattaminen, joiden määrärahat ovat vähintään 17550000 euroa ja jotka liittyvät sisällön digitalisointiin, levittämiseen ja uusien teknologisten välineiden käyttöönottoon sisällön hallintaa ja käsittelyä varten espanjan kielellä ja muilla virallisilla kielillä.   </w:t>
            </w:r>
          </w:p>
        </w:tc>
      </w:tr>
      <w:tr w:rsidR="0065073E" w14:paraId="32C2E06A" w14:textId="77777777">
        <w:trPr>
          <w:trHeight w:val="309"/>
        </w:trPr>
        <w:tc>
          <w:tcPr>
            <w:tcW w:w="729" w:type="dxa"/>
            <w:shd w:val="clear" w:color="auto" w:fill="C6EFCE"/>
            <w:noWrap/>
          </w:tcPr>
          <w:p w14:paraId="42DE955D" w14:textId="08D4F92E" w:rsidR="0065073E" w:rsidRDefault="000A0998">
            <w:pPr>
              <w:pStyle w:val="P68B1DB1-Normal12"/>
              <w:spacing w:after="0" w:line="240" w:lineRule="auto"/>
              <w:jc w:val="center"/>
              <w:rPr>
                <w:rFonts w:eastAsia="Times New Roman" w:cs="Times New Roman"/>
                <w:noProof/>
              </w:rPr>
            </w:pPr>
            <w:r>
              <w:rPr>
                <w:noProof/>
              </w:rPr>
              <w:t>L77</w:t>
            </w:r>
          </w:p>
        </w:tc>
        <w:tc>
          <w:tcPr>
            <w:tcW w:w="752" w:type="dxa"/>
            <w:shd w:val="clear" w:color="auto" w:fill="C6EFCE"/>
            <w:noWrap/>
          </w:tcPr>
          <w:p w14:paraId="7014E155" w14:textId="77777777" w:rsidR="0065073E" w:rsidRDefault="000A0998">
            <w:pPr>
              <w:pStyle w:val="P68B1DB1-Normal12"/>
              <w:spacing w:after="0" w:line="240" w:lineRule="auto"/>
              <w:jc w:val="center"/>
              <w:rPr>
                <w:rFonts w:cs="Times New Roman"/>
                <w:noProof/>
              </w:rPr>
            </w:pPr>
            <w:r>
              <w:rPr>
                <w:noProof/>
              </w:rPr>
              <w:t>C25.I3</w:t>
            </w:r>
          </w:p>
        </w:tc>
        <w:tc>
          <w:tcPr>
            <w:tcW w:w="851" w:type="dxa"/>
            <w:shd w:val="clear" w:color="auto" w:fill="C6EFCE"/>
            <w:noWrap/>
          </w:tcPr>
          <w:p w14:paraId="6C155DD5" w14:textId="77777777" w:rsidR="0065073E" w:rsidRDefault="000A0998">
            <w:pPr>
              <w:pStyle w:val="P68B1DB1-Normal12"/>
              <w:spacing w:after="0" w:line="240" w:lineRule="auto"/>
              <w:jc w:val="center"/>
              <w:rPr>
                <w:rFonts w:eastAsia="Times New Roman" w:cs="Times New Roman"/>
                <w:noProof/>
              </w:rPr>
            </w:pPr>
            <w:r>
              <w:rPr>
                <w:noProof/>
              </w:rPr>
              <w:t>M</w:t>
            </w:r>
          </w:p>
        </w:tc>
        <w:tc>
          <w:tcPr>
            <w:tcW w:w="2144" w:type="dxa"/>
            <w:shd w:val="clear" w:color="auto" w:fill="C6EFCE"/>
            <w:noWrap/>
          </w:tcPr>
          <w:p w14:paraId="0ABD9A36" w14:textId="4BBEF6D8" w:rsidR="0065073E" w:rsidRDefault="000A0998">
            <w:pPr>
              <w:pStyle w:val="P68B1DB1-Normal12"/>
              <w:spacing w:after="0" w:line="240" w:lineRule="auto"/>
              <w:rPr>
                <w:rFonts w:eastAsia="Times New Roman" w:cs="Times New Roman"/>
                <w:noProof/>
              </w:rPr>
            </w:pPr>
            <w:r>
              <w:rPr>
                <w:noProof/>
              </w:rPr>
              <w:t xml:space="preserve">ICO:n audiovisuaalialan keskuksen rahasto: Täytäntöönpanosopimus </w:t>
            </w:r>
          </w:p>
          <w:p w14:paraId="26D1B766" w14:textId="77777777" w:rsidR="0065073E" w:rsidRDefault="0065073E">
            <w:pPr>
              <w:spacing w:after="0" w:line="240" w:lineRule="auto"/>
              <w:rPr>
                <w:rFonts w:ascii="Times New Roman" w:eastAsia="Times New Roman" w:hAnsi="Times New Roman" w:cs="Times New Roman"/>
                <w:noProof/>
                <w:sz w:val="18"/>
              </w:rPr>
            </w:pPr>
          </w:p>
        </w:tc>
        <w:tc>
          <w:tcPr>
            <w:tcW w:w="1124" w:type="dxa"/>
            <w:shd w:val="clear" w:color="auto" w:fill="C6EFCE"/>
            <w:noWrap/>
          </w:tcPr>
          <w:p w14:paraId="56759D38" w14:textId="1314AE91" w:rsidR="0065073E" w:rsidRDefault="000A0998">
            <w:pPr>
              <w:pStyle w:val="P68B1DB1-Normal12"/>
              <w:spacing w:after="0" w:line="240" w:lineRule="auto"/>
              <w:jc w:val="center"/>
              <w:rPr>
                <w:rFonts w:eastAsia="Times New Roman" w:cs="Times New Roman"/>
                <w:noProof/>
              </w:rPr>
            </w:pPr>
            <w:r>
              <w:rPr>
                <w:noProof/>
              </w:rPr>
              <w:t>Täytäntöönpanosopimuksen voimaantulo</w:t>
            </w:r>
          </w:p>
        </w:tc>
        <w:tc>
          <w:tcPr>
            <w:tcW w:w="746" w:type="dxa"/>
            <w:shd w:val="clear" w:color="auto" w:fill="C6EFCE"/>
            <w:noWrap/>
          </w:tcPr>
          <w:p w14:paraId="791D4D06" w14:textId="77777777" w:rsidR="0065073E" w:rsidRDefault="0065073E">
            <w:pPr>
              <w:spacing w:after="0" w:line="240" w:lineRule="auto"/>
              <w:jc w:val="center"/>
              <w:rPr>
                <w:rFonts w:ascii="Times New Roman" w:hAnsi="Times New Roman" w:cs="Times New Roman"/>
                <w:noProof/>
                <w:sz w:val="18"/>
              </w:rPr>
            </w:pPr>
          </w:p>
        </w:tc>
        <w:tc>
          <w:tcPr>
            <w:tcW w:w="992" w:type="dxa"/>
            <w:shd w:val="clear" w:color="auto" w:fill="C6EFCE"/>
            <w:noWrap/>
          </w:tcPr>
          <w:p w14:paraId="7420DDA8" w14:textId="77777777" w:rsidR="0065073E" w:rsidRDefault="0065073E">
            <w:pPr>
              <w:spacing w:after="0" w:line="240" w:lineRule="auto"/>
              <w:jc w:val="right"/>
              <w:rPr>
                <w:rFonts w:ascii="Times New Roman" w:hAnsi="Times New Roman" w:cs="Times New Roman"/>
                <w:noProof/>
                <w:sz w:val="18"/>
              </w:rPr>
            </w:pPr>
          </w:p>
        </w:tc>
        <w:tc>
          <w:tcPr>
            <w:tcW w:w="683" w:type="dxa"/>
            <w:shd w:val="clear" w:color="auto" w:fill="C6EFCE"/>
            <w:noWrap/>
          </w:tcPr>
          <w:p w14:paraId="2BE46740" w14:textId="77777777" w:rsidR="0065073E" w:rsidRDefault="0065073E">
            <w:pPr>
              <w:spacing w:after="0" w:line="240" w:lineRule="auto"/>
              <w:jc w:val="right"/>
              <w:rPr>
                <w:rFonts w:ascii="Times New Roman" w:hAnsi="Times New Roman" w:cs="Times New Roman"/>
                <w:noProof/>
                <w:sz w:val="18"/>
              </w:rPr>
            </w:pPr>
          </w:p>
        </w:tc>
        <w:tc>
          <w:tcPr>
            <w:tcW w:w="621" w:type="dxa"/>
            <w:shd w:val="clear" w:color="auto" w:fill="C6EFCE"/>
            <w:noWrap/>
          </w:tcPr>
          <w:p w14:paraId="7459C768" w14:textId="77777777" w:rsidR="0065073E" w:rsidRDefault="000A0998">
            <w:pPr>
              <w:pStyle w:val="P68B1DB1-Normal12"/>
              <w:spacing w:after="0" w:line="240" w:lineRule="auto"/>
              <w:jc w:val="center"/>
              <w:rPr>
                <w:rFonts w:eastAsia="Times New Roman" w:cs="Times New Roman"/>
                <w:noProof/>
              </w:rPr>
            </w:pPr>
            <w:r>
              <w:rPr>
                <w:noProof/>
              </w:rPr>
              <w:t>Q4</w:t>
            </w:r>
          </w:p>
        </w:tc>
        <w:tc>
          <w:tcPr>
            <w:tcW w:w="527" w:type="dxa"/>
            <w:shd w:val="clear" w:color="auto" w:fill="C6EFCE"/>
            <w:noWrap/>
          </w:tcPr>
          <w:p w14:paraId="3343D3B9" w14:textId="77777777" w:rsidR="0065073E" w:rsidRDefault="000A0998">
            <w:pPr>
              <w:pStyle w:val="P68B1DB1-Normal12"/>
              <w:spacing w:after="0" w:line="240" w:lineRule="auto"/>
              <w:jc w:val="center"/>
              <w:rPr>
                <w:rFonts w:eastAsia="Times New Roman" w:cs="Times New Roman"/>
                <w:noProof/>
              </w:rPr>
            </w:pPr>
            <w:r>
              <w:rPr>
                <w:noProof/>
              </w:rPr>
              <w:t>2023</w:t>
            </w:r>
          </w:p>
        </w:tc>
        <w:tc>
          <w:tcPr>
            <w:tcW w:w="6249" w:type="dxa"/>
            <w:shd w:val="clear" w:color="auto" w:fill="C6EFCE"/>
            <w:noWrap/>
          </w:tcPr>
          <w:p w14:paraId="4C1E2C42" w14:textId="662EA4FF" w:rsidR="0065073E" w:rsidRDefault="000A0998">
            <w:pPr>
              <w:pStyle w:val="P68B1DB1-Normal12"/>
              <w:rPr>
                <w:rFonts w:eastAsia="Times New Roman" w:cs="Times New Roman"/>
                <w:noProof/>
              </w:rPr>
            </w:pPr>
            <w:r>
              <w:rPr>
                <w:noProof/>
              </w:rPr>
              <w:t>Täytäntöönpanosopimuksen voimaantulo.</w:t>
            </w:r>
          </w:p>
          <w:p w14:paraId="3C94C7D4" w14:textId="77777777" w:rsidR="0065073E" w:rsidRDefault="0065073E">
            <w:pPr>
              <w:spacing w:after="0" w:line="240" w:lineRule="auto"/>
              <w:jc w:val="both"/>
              <w:rPr>
                <w:rFonts w:ascii="Times New Roman" w:eastAsia="Times New Roman" w:hAnsi="Times New Roman" w:cs="Times New Roman"/>
                <w:noProof/>
                <w:sz w:val="18"/>
              </w:rPr>
            </w:pPr>
          </w:p>
        </w:tc>
      </w:tr>
      <w:tr w:rsidR="0065073E" w14:paraId="68AB993F" w14:textId="77777777">
        <w:trPr>
          <w:trHeight w:val="309"/>
        </w:trPr>
        <w:tc>
          <w:tcPr>
            <w:tcW w:w="729" w:type="dxa"/>
            <w:shd w:val="clear" w:color="auto" w:fill="C6EFCE"/>
            <w:noWrap/>
          </w:tcPr>
          <w:p w14:paraId="79281886" w14:textId="0C23939C" w:rsidR="0065073E" w:rsidRDefault="000A0998">
            <w:pPr>
              <w:pStyle w:val="P68B1DB1-Normal12"/>
              <w:spacing w:after="0" w:line="240" w:lineRule="auto"/>
              <w:jc w:val="center"/>
              <w:rPr>
                <w:rFonts w:eastAsia="Times New Roman" w:cs="Times New Roman"/>
                <w:noProof/>
              </w:rPr>
            </w:pPr>
            <w:r>
              <w:rPr>
                <w:noProof/>
              </w:rPr>
              <w:t>L78</w:t>
            </w:r>
          </w:p>
        </w:tc>
        <w:tc>
          <w:tcPr>
            <w:tcW w:w="752" w:type="dxa"/>
            <w:shd w:val="clear" w:color="auto" w:fill="C6EFCE"/>
            <w:noWrap/>
          </w:tcPr>
          <w:p w14:paraId="1241BA9A" w14:textId="77777777" w:rsidR="0065073E" w:rsidRDefault="000A0998">
            <w:pPr>
              <w:pStyle w:val="P68B1DB1-Normal12"/>
              <w:spacing w:after="0" w:line="240" w:lineRule="auto"/>
              <w:jc w:val="center"/>
              <w:rPr>
                <w:rFonts w:cs="Times New Roman"/>
                <w:noProof/>
              </w:rPr>
            </w:pPr>
            <w:r>
              <w:rPr>
                <w:noProof/>
              </w:rPr>
              <w:t>C25.I3</w:t>
            </w:r>
          </w:p>
        </w:tc>
        <w:tc>
          <w:tcPr>
            <w:tcW w:w="851" w:type="dxa"/>
            <w:shd w:val="clear" w:color="auto" w:fill="C6EFCE"/>
            <w:noWrap/>
          </w:tcPr>
          <w:p w14:paraId="7EA06B66" w14:textId="77777777" w:rsidR="0065073E" w:rsidRDefault="000A0998">
            <w:pPr>
              <w:pStyle w:val="P68B1DB1-Normal12"/>
              <w:spacing w:after="0" w:line="240" w:lineRule="auto"/>
              <w:jc w:val="center"/>
              <w:rPr>
                <w:rFonts w:eastAsia="Times New Roman" w:cs="Times New Roman"/>
                <w:noProof/>
              </w:rPr>
            </w:pPr>
            <w:r>
              <w:rPr>
                <w:noProof/>
              </w:rPr>
              <w:t>T</w:t>
            </w:r>
          </w:p>
        </w:tc>
        <w:tc>
          <w:tcPr>
            <w:tcW w:w="2144" w:type="dxa"/>
            <w:shd w:val="clear" w:color="auto" w:fill="C6EFCE"/>
            <w:noWrap/>
          </w:tcPr>
          <w:p w14:paraId="6B4536DE" w14:textId="23838B67" w:rsidR="0065073E" w:rsidRDefault="000A0998">
            <w:pPr>
              <w:pStyle w:val="P68B1DB1-Normal12"/>
              <w:spacing w:after="0" w:line="240" w:lineRule="auto"/>
              <w:rPr>
                <w:rFonts w:eastAsia="Times New Roman" w:cs="Times New Roman"/>
                <w:noProof/>
              </w:rPr>
            </w:pPr>
            <w:r>
              <w:rPr>
                <w:noProof/>
              </w:rPr>
              <w:t xml:space="preserve">ICO:n audiovisuaalialan keskuksen rahasto: Lopullisten edunsaajien (mukaan lukien oman pääoman ehtoiset rahastot) kanssa allekirjoitetut oikeudelliset rahoitussopimukset (I).  </w:t>
            </w:r>
          </w:p>
        </w:tc>
        <w:tc>
          <w:tcPr>
            <w:tcW w:w="1124" w:type="dxa"/>
            <w:shd w:val="clear" w:color="auto" w:fill="C6EFCE"/>
            <w:noWrap/>
          </w:tcPr>
          <w:p w14:paraId="5956C494" w14:textId="77777777" w:rsidR="0065073E" w:rsidRDefault="0065073E">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0C04B30" w14:textId="62E33394" w:rsidR="0065073E" w:rsidRDefault="0065073E">
            <w:pPr>
              <w:spacing w:after="0" w:line="240" w:lineRule="auto"/>
              <w:jc w:val="center"/>
              <w:rPr>
                <w:rFonts w:ascii="Times New Roman" w:hAnsi="Times New Roman" w:cs="Times New Roman"/>
                <w:noProof/>
                <w:sz w:val="18"/>
              </w:rPr>
            </w:pPr>
          </w:p>
        </w:tc>
        <w:tc>
          <w:tcPr>
            <w:tcW w:w="992" w:type="dxa"/>
            <w:shd w:val="clear" w:color="auto" w:fill="C6EFCE"/>
            <w:noWrap/>
          </w:tcPr>
          <w:p w14:paraId="1C116015" w14:textId="13D5DE7E" w:rsidR="0065073E" w:rsidRDefault="000A0998">
            <w:pPr>
              <w:tabs>
                <w:tab w:val="left" w:pos="210"/>
                <w:tab w:val="center" w:pos="291"/>
              </w:tabs>
              <w:spacing w:after="0" w:line="240" w:lineRule="auto"/>
              <w:rPr>
                <w:rFonts w:ascii="Times New Roman" w:hAnsi="Times New Roman" w:cs="Times New Roman"/>
                <w:noProof/>
                <w:sz w:val="18"/>
              </w:rPr>
            </w:pPr>
            <w:r>
              <w:rPr>
                <w:noProof/>
              </w:rPr>
              <w:tab/>
            </w:r>
            <w:r>
              <w:rPr>
                <w:noProof/>
              </w:rPr>
              <w:tab/>
            </w:r>
            <w:r>
              <w:rPr>
                <w:rFonts w:ascii="Times New Roman" w:hAnsi="Times New Roman"/>
                <w:noProof/>
                <w:sz w:val="18"/>
              </w:rPr>
              <w:t>0</w:t>
            </w:r>
          </w:p>
        </w:tc>
        <w:tc>
          <w:tcPr>
            <w:tcW w:w="683" w:type="dxa"/>
            <w:shd w:val="clear" w:color="auto" w:fill="C6EFCE"/>
            <w:noWrap/>
          </w:tcPr>
          <w:p w14:paraId="619FD1FB" w14:textId="32E6E221" w:rsidR="0065073E" w:rsidRDefault="000A0998">
            <w:pPr>
              <w:pStyle w:val="P68B1DB1-Normal12"/>
              <w:spacing w:after="0" w:line="240" w:lineRule="auto"/>
              <w:jc w:val="right"/>
              <w:rPr>
                <w:rFonts w:cs="Times New Roman"/>
                <w:noProof/>
              </w:rPr>
            </w:pPr>
            <w:r>
              <w:rPr>
                <w:noProof/>
              </w:rPr>
              <w:t>50 %</w:t>
            </w:r>
          </w:p>
        </w:tc>
        <w:tc>
          <w:tcPr>
            <w:tcW w:w="621" w:type="dxa"/>
            <w:shd w:val="clear" w:color="auto" w:fill="C6EFCE"/>
            <w:noWrap/>
          </w:tcPr>
          <w:p w14:paraId="4B47678B" w14:textId="77777777" w:rsidR="0065073E" w:rsidRDefault="000A0998">
            <w:pPr>
              <w:pStyle w:val="P68B1DB1-Normal12"/>
              <w:spacing w:after="0" w:line="240" w:lineRule="auto"/>
              <w:jc w:val="center"/>
              <w:rPr>
                <w:rFonts w:eastAsia="Times New Roman" w:cs="Times New Roman"/>
                <w:noProof/>
              </w:rPr>
            </w:pPr>
            <w:r>
              <w:rPr>
                <w:noProof/>
              </w:rPr>
              <w:t>TOINEN VUOSINELJÄNNES</w:t>
            </w:r>
          </w:p>
        </w:tc>
        <w:tc>
          <w:tcPr>
            <w:tcW w:w="527" w:type="dxa"/>
            <w:shd w:val="clear" w:color="auto" w:fill="C6EFCE"/>
            <w:noWrap/>
          </w:tcPr>
          <w:p w14:paraId="0D5C25C7" w14:textId="77777777" w:rsidR="0065073E" w:rsidRDefault="000A0998">
            <w:pPr>
              <w:pStyle w:val="P68B1DB1-Normal12"/>
              <w:spacing w:after="0" w:line="240" w:lineRule="auto"/>
              <w:jc w:val="center"/>
              <w:rPr>
                <w:rFonts w:eastAsia="Times New Roman" w:cs="Times New Roman"/>
                <w:noProof/>
              </w:rPr>
            </w:pPr>
            <w:r>
              <w:rPr>
                <w:noProof/>
              </w:rPr>
              <w:t>2025</w:t>
            </w:r>
          </w:p>
        </w:tc>
        <w:tc>
          <w:tcPr>
            <w:tcW w:w="6249" w:type="dxa"/>
            <w:shd w:val="clear" w:color="auto" w:fill="C6EFCE"/>
            <w:noWrap/>
          </w:tcPr>
          <w:p w14:paraId="2321F473" w14:textId="2CAEB37D" w:rsidR="0065073E" w:rsidRDefault="000A0998">
            <w:pPr>
              <w:pStyle w:val="P68B1DB1-Normal12"/>
              <w:spacing w:after="0" w:line="240" w:lineRule="auto"/>
              <w:rPr>
                <w:rFonts w:eastAsia="Times New Roman" w:cs="Times New Roman"/>
                <w:noProof/>
              </w:rPr>
            </w:pPr>
            <w:r>
              <w:rPr>
                <w:noProof/>
              </w:rPr>
              <w:t>ICO/toimintalinja ja sen valitsemat välittäjät ovat tehneet lopullisten edunsaajien kanssa oikeudellisia rahoitussopimuksia määrästä, joka on tarpeen, jotta vähintään 50 prosenttia elpymis- ja palautumistukivälineen investoinneista voidaan käyttää tukivälineeseen (ottaen huomioon hallinnointipalkkiot). Vähintään 2,5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ICO laatii kertomuksen, jossa esitetään yksityiskohtaisesti digitaalisia tavoitteita edistävän rahoituksen prosenttiosuus käyttäen elpymis- ja palautumistukivälinettä koskevan asetuksen liitteessä VII esitettyä menetelmää.</w:t>
            </w:r>
          </w:p>
        </w:tc>
      </w:tr>
      <w:tr w:rsidR="0065073E" w14:paraId="43F220DB" w14:textId="77777777">
        <w:trPr>
          <w:trHeight w:val="915"/>
        </w:trPr>
        <w:tc>
          <w:tcPr>
            <w:tcW w:w="729" w:type="dxa"/>
            <w:shd w:val="clear" w:color="auto" w:fill="C6EFCE"/>
            <w:noWrap/>
          </w:tcPr>
          <w:p w14:paraId="1A22EBF1" w14:textId="01DCA8AB" w:rsidR="0065073E" w:rsidRDefault="000A0998">
            <w:pPr>
              <w:pStyle w:val="P68B1DB1-Normal12"/>
              <w:spacing w:line="240" w:lineRule="auto"/>
              <w:jc w:val="center"/>
              <w:rPr>
                <w:rFonts w:eastAsia="Times New Roman" w:cs="Times New Roman"/>
                <w:noProof/>
              </w:rPr>
            </w:pPr>
            <w:r>
              <w:rPr>
                <w:noProof/>
              </w:rPr>
              <w:t>L79</w:t>
            </w:r>
          </w:p>
        </w:tc>
        <w:tc>
          <w:tcPr>
            <w:tcW w:w="752" w:type="dxa"/>
            <w:shd w:val="clear" w:color="auto" w:fill="C6EFCE"/>
            <w:noWrap/>
          </w:tcPr>
          <w:p w14:paraId="48C23F29" w14:textId="77777777" w:rsidR="0065073E" w:rsidRDefault="000A0998">
            <w:pPr>
              <w:pStyle w:val="P68B1DB1-Normal12"/>
              <w:spacing w:line="240" w:lineRule="auto"/>
              <w:rPr>
                <w:rFonts w:cs="Times New Roman"/>
                <w:noProof/>
              </w:rPr>
            </w:pPr>
            <w:r>
              <w:rPr>
                <w:noProof/>
              </w:rPr>
              <w:t>C25.I3</w:t>
            </w:r>
          </w:p>
        </w:tc>
        <w:tc>
          <w:tcPr>
            <w:tcW w:w="851" w:type="dxa"/>
            <w:shd w:val="clear" w:color="auto" w:fill="C6EFCE"/>
            <w:noWrap/>
          </w:tcPr>
          <w:p w14:paraId="5EFDF417" w14:textId="77777777" w:rsidR="0065073E" w:rsidRDefault="000A0998">
            <w:pPr>
              <w:pStyle w:val="P68B1DB1-Normal12"/>
              <w:spacing w:line="240" w:lineRule="auto"/>
              <w:jc w:val="center"/>
              <w:rPr>
                <w:rFonts w:eastAsia="Times New Roman" w:cs="Times New Roman"/>
                <w:noProof/>
              </w:rPr>
            </w:pPr>
            <w:r>
              <w:rPr>
                <w:noProof/>
              </w:rPr>
              <w:t>T</w:t>
            </w:r>
          </w:p>
        </w:tc>
        <w:tc>
          <w:tcPr>
            <w:tcW w:w="2144" w:type="dxa"/>
            <w:shd w:val="clear" w:color="auto" w:fill="C6EFCE"/>
            <w:noWrap/>
          </w:tcPr>
          <w:p w14:paraId="4F89FB49" w14:textId="3BDC296E" w:rsidR="0065073E" w:rsidRDefault="000A0998">
            <w:pPr>
              <w:pStyle w:val="P68B1DB1-Normal12"/>
              <w:spacing w:line="240" w:lineRule="auto"/>
              <w:rPr>
                <w:rFonts w:eastAsia="Times New Roman" w:cs="Times New Roman"/>
                <w:noProof/>
              </w:rPr>
            </w:pPr>
            <w:r>
              <w:rPr>
                <w:noProof/>
              </w:rPr>
              <w:t>ICO:n audiovisuaalialan keskuksen rahasto: Lopullisten edunsaajien (mukaan lukien oman pääoman ehtoiset rahastot) kanssa allekirjoitetut oikeudelliset rahoitussopimukset (II).</w:t>
            </w:r>
          </w:p>
        </w:tc>
        <w:tc>
          <w:tcPr>
            <w:tcW w:w="1124" w:type="dxa"/>
            <w:shd w:val="clear" w:color="auto" w:fill="C6EFCE"/>
            <w:noWrap/>
          </w:tcPr>
          <w:p w14:paraId="7B79ECB1" w14:textId="77777777" w:rsidR="0065073E" w:rsidRDefault="0065073E">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F7A45F4" w14:textId="413E8D68" w:rsidR="0065073E" w:rsidRDefault="0065073E">
            <w:pPr>
              <w:spacing w:line="240" w:lineRule="auto"/>
              <w:jc w:val="center"/>
              <w:rPr>
                <w:rFonts w:ascii="Times New Roman" w:hAnsi="Times New Roman" w:cs="Times New Roman"/>
                <w:noProof/>
                <w:sz w:val="18"/>
              </w:rPr>
            </w:pPr>
          </w:p>
        </w:tc>
        <w:tc>
          <w:tcPr>
            <w:tcW w:w="992" w:type="dxa"/>
            <w:shd w:val="clear" w:color="auto" w:fill="C6EFCE"/>
            <w:noWrap/>
          </w:tcPr>
          <w:p w14:paraId="60DA5AA9" w14:textId="67449F47" w:rsidR="0065073E" w:rsidRDefault="000A0998">
            <w:pPr>
              <w:pStyle w:val="P68B1DB1-Normal12"/>
              <w:spacing w:line="240" w:lineRule="auto"/>
              <w:jc w:val="center"/>
              <w:rPr>
                <w:rFonts w:cs="Times New Roman"/>
                <w:noProof/>
              </w:rPr>
            </w:pPr>
            <w:r>
              <w:rPr>
                <w:noProof/>
              </w:rPr>
              <w:t>50 %</w:t>
            </w:r>
          </w:p>
        </w:tc>
        <w:tc>
          <w:tcPr>
            <w:tcW w:w="683" w:type="dxa"/>
            <w:shd w:val="clear" w:color="auto" w:fill="C6EFCE"/>
            <w:noWrap/>
          </w:tcPr>
          <w:p w14:paraId="33D4E800" w14:textId="43CEC337" w:rsidR="0065073E" w:rsidRDefault="000A0998">
            <w:pPr>
              <w:pStyle w:val="P68B1DB1-Normal12"/>
              <w:spacing w:line="240" w:lineRule="auto"/>
              <w:jc w:val="right"/>
              <w:rPr>
                <w:rFonts w:cs="Times New Roman"/>
                <w:noProof/>
              </w:rPr>
            </w:pPr>
            <w:r>
              <w:rPr>
                <w:noProof/>
              </w:rPr>
              <w:t>100 %</w:t>
            </w:r>
          </w:p>
        </w:tc>
        <w:tc>
          <w:tcPr>
            <w:tcW w:w="621" w:type="dxa"/>
            <w:shd w:val="clear" w:color="auto" w:fill="C6EFCE"/>
            <w:noWrap/>
          </w:tcPr>
          <w:p w14:paraId="09D52357" w14:textId="3BFB3944" w:rsidR="0065073E" w:rsidRDefault="000A0998">
            <w:pPr>
              <w:pStyle w:val="P68B1DB1-Normal12"/>
              <w:spacing w:line="240" w:lineRule="auto"/>
              <w:jc w:val="center"/>
              <w:rPr>
                <w:rFonts w:eastAsia="Times New Roman" w:cs="Times New Roman"/>
                <w:noProof/>
              </w:rPr>
            </w:pPr>
            <w:r>
              <w:rPr>
                <w:noProof/>
              </w:rPr>
              <w:t>Q3</w:t>
            </w:r>
          </w:p>
        </w:tc>
        <w:tc>
          <w:tcPr>
            <w:tcW w:w="527" w:type="dxa"/>
            <w:shd w:val="clear" w:color="auto" w:fill="C6EFCE"/>
            <w:noWrap/>
          </w:tcPr>
          <w:p w14:paraId="50B98431" w14:textId="77777777" w:rsidR="0065073E" w:rsidRDefault="000A0998">
            <w:pPr>
              <w:pStyle w:val="P68B1DB1-Normal12"/>
              <w:spacing w:line="240" w:lineRule="auto"/>
              <w:jc w:val="center"/>
              <w:rPr>
                <w:rFonts w:eastAsia="Times New Roman" w:cs="Times New Roman"/>
                <w:noProof/>
              </w:rPr>
            </w:pPr>
            <w:r>
              <w:rPr>
                <w:noProof/>
              </w:rPr>
              <w:t>2026</w:t>
            </w:r>
          </w:p>
        </w:tc>
        <w:tc>
          <w:tcPr>
            <w:tcW w:w="6249" w:type="dxa"/>
            <w:shd w:val="clear" w:color="auto" w:fill="C6EFCE"/>
            <w:noWrap/>
          </w:tcPr>
          <w:p w14:paraId="78111F7E" w14:textId="3E1B1229" w:rsidR="0065073E" w:rsidRDefault="000A0998">
            <w:pPr>
              <w:pStyle w:val="P68B1DB1-Normal12"/>
              <w:spacing w:line="257" w:lineRule="auto"/>
              <w:rPr>
                <w:rFonts w:eastAsia="Times New Roman" w:cs="Times New Roman"/>
                <w:noProof/>
              </w:rPr>
            </w:pPr>
            <w:r>
              <w:rPr>
                <w:noProof/>
              </w:rPr>
              <w:t>ICO/toimintalinja ja sen valitsemat välittäjät ovat tehneet lopullisten edunsaajien kanssa oikeudellisia rahoitussopimuksia määrästä, joka on tarpeen, jotta kaikki elpymis- ja palautumistukivälineen investoinnit tukivälineeseen voidaan käyttää (ottaen huomioon hallinnointipalkkiot). Vähintään 10 prosenttia rahoituksesta vastaa pääomarahastojen kanssa allekirjoitettuja rahoitussopimuksia ja vähintään 50 prosenttia lopullisten edunsaajien kanssa allekirjoitettuja rahoitussopimuksia, jotka koskevat kaikkia muita sijoitustuotteita (mukaan lukien toteutuskumppanin suorat pääomasijoitukset). ICO on myös varmistanut, että 100 prosentilla tästä rahoituksesta edistetään digitaalisia tavoitteita elpymis- ja palautumistukivälinettä koskevan asetuksen liitteessä VII esitettyä menetelmää käyttäen.</w:t>
            </w:r>
          </w:p>
        </w:tc>
      </w:tr>
      <w:tr w:rsidR="0065073E" w14:paraId="031FE21A" w14:textId="77777777">
        <w:trPr>
          <w:trHeight w:val="309"/>
        </w:trPr>
        <w:tc>
          <w:tcPr>
            <w:tcW w:w="729" w:type="dxa"/>
            <w:shd w:val="clear" w:color="auto" w:fill="C6EFCE"/>
            <w:noWrap/>
          </w:tcPr>
          <w:p w14:paraId="3AE3439B" w14:textId="509D1C0F" w:rsidR="0065073E" w:rsidRDefault="000A0998">
            <w:pPr>
              <w:pStyle w:val="P68B1DB1-Normal12"/>
              <w:spacing w:line="240" w:lineRule="auto"/>
              <w:jc w:val="center"/>
              <w:rPr>
                <w:rFonts w:eastAsia="Times New Roman" w:cs="Times New Roman"/>
                <w:noProof/>
              </w:rPr>
            </w:pPr>
            <w:r>
              <w:rPr>
                <w:noProof/>
              </w:rPr>
              <w:t>L80</w:t>
            </w:r>
          </w:p>
        </w:tc>
        <w:tc>
          <w:tcPr>
            <w:tcW w:w="752" w:type="dxa"/>
            <w:shd w:val="clear" w:color="auto" w:fill="C6EFCE"/>
            <w:noWrap/>
          </w:tcPr>
          <w:p w14:paraId="3BA5672D" w14:textId="77777777" w:rsidR="0065073E" w:rsidRDefault="000A0998">
            <w:pPr>
              <w:pStyle w:val="P68B1DB1-Normal12"/>
              <w:spacing w:line="240" w:lineRule="auto"/>
              <w:jc w:val="center"/>
              <w:rPr>
                <w:rFonts w:cs="Times New Roman"/>
                <w:noProof/>
              </w:rPr>
            </w:pPr>
            <w:r>
              <w:rPr>
                <w:noProof/>
              </w:rPr>
              <w:t>C25.I3</w:t>
            </w:r>
          </w:p>
        </w:tc>
        <w:tc>
          <w:tcPr>
            <w:tcW w:w="851" w:type="dxa"/>
            <w:shd w:val="clear" w:color="auto" w:fill="C6EFCE"/>
            <w:noWrap/>
          </w:tcPr>
          <w:p w14:paraId="53740954" w14:textId="77777777" w:rsidR="0065073E" w:rsidRDefault="000A0998">
            <w:pPr>
              <w:pStyle w:val="P68B1DB1-Normal12"/>
              <w:spacing w:line="240" w:lineRule="auto"/>
              <w:jc w:val="center"/>
              <w:rPr>
                <w:rFonts w:eastAsia="Times New Roman" w:cs="Times New Roman"/>
                <w:noProof/>
              </w:rPr>
            </w:pPr>
            <w:r>
              <w:rPr>
                <w:noProof/>
              </w:rPr>
              <w:t>M</w:t>
            </w:r>
          </w:p>
        </w:tc>
        <w:tc>
          <w:tcPr>
            <w:tcW w:w="2144" w:type="dxa"/>
            <w:shd w:val="clear" w:color="auto" w:fill="C6EFCE"/>
            <w:noWrap/>
          </w:tcPr>
          <w:p w14:paraId="2596CF82" w14:textId="7C574AC4" w:rsidR="0065073E" w:rsidRDefault="000A0998">
            <w:pPr>
              <w:pStyle w:val="P68B1DB1-Normal12"/>
              <w:spacing w:line="240" w:lineRule="auto"/>
              <w:rPr>
                <w:rFonts w:eastAsia="Times New Roman" w:cs="Times New Roman"/>
                <w:noProof/>
              </w:rPr>
            </w:pPr>
            <w:r>
              <w:rPr>
                <w:noProof/>
              </w:rPr>
              <w:t xml:space="preserve">ICO:n audiovisuaalialan keskuksen rahasto: Ministeriö on saanut investoinnin päätökseen </w:t>
            </w:r>
          </w:p>
        </w:tc>
        <w:tc>
          <w:tcPr>
            <w:tcW w:w="1124" w:type="dxa"/>
            <w:shd w:val="clear" w:color="auto" w:fill="C6EFCE"/>
            <w:noWrap/>
          </w:tcPr>
          <w:p w14:paraId="25A36899" w14:textId="77777777" w:rsidR="0065073E" w:rsidRDefault="0065073E">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8F07C2B" w14:textId="5D61538D" w:rsidR="0065073E" w:rsidRDefault="000A0998">
            <w:pPr>
              <w:pStyle w:val="P68B1DB1-Normal12"/>
              <w:tabs>
                <w:tab w:val="left" w:pos="210"/>
                <w:tab w:val="center" w:pos="291"/>
              </w:tabs>
              <w:spacing w:after="0" w:line="240" w:lineRule="auto"/>
              <w:jc w:val="center"/>
              <w:rPr>
                <w:rFonts w:cs="Times New Roman"/>
                <w:noProof/>
              </w:rPr>
            </w:pPr>
            <w:r>
              <w:rPr>
                <w:noProof/>
              </w:rPr>
              <w:t>Miljoonaa euroa</w:t>
            </w:r>
          </w:p>
        </w:tc>
        <w:tc>
          <w:tcPr>
            <w:tcW w:w="992" w:type="dxa"/>
            <w:shd w:val="clear" w:color="auto" w:fill="C6EFCE"/>
            <w:noWrap/>
          </w:tcPr>
          <w:p w14:paraId="0CD83525" w14:textId="680D76AB" w:rsidR="0065073E" w:rsidRDefault="000A0998">
            <w:pPr>
              <w:pStyle w:val="P68B1DB1-Normal12"/>
              <w:tabs>
                <w:tab w:val="left" w:pos="210"/>
                <w:tab w:val="center" w:pos="291"/>
              </w:tabs>
              <w:spacing w:after="0" w:line="240" w:lineRule="auto"/>
              <w:jc w:val="center"/>
              <w:rPr>
                <w:rFonts w:cs="Times New Roman"/>
                <w:noProof/>
              </w:rPr>
            </w:pPr>
            <w:r>
              <w:rPr>
                <w:noProof/>
              </w:rPr>
              <w:t>0</w:t>
            </w:r>
          </w:p>
        </w:tc>
        <w:tc>
          <w:tcPr>
            <w:tcW w:w="683" w:type="dxa"/>
            <w:shd w:val="clear" w:color="auto" w:fill="C6EFCE"/>
            <w:noWrap/>
          </w:tcPr>
          <w:p w14:paraId="5D7B96C5" w14:textId="011C2A51" w:rsidR="0065073E" w:rsidRDefault="000A0998">
            <w:pPr>
              <w:pStyle w:val="P68B1DB1-Normal12"/>
              <w:tabs>
                <w:tab w:val="left" w:pos="210"/>
                <w:tab w:val="center" w:pos="291"/>
              </w:tabs>
              <w:spacing w:after="0" w:line="240" w:lineRule="auto"/>
              <w:jc w:val="center"/>
              <w:rPr>
                <w:rFonts w:cs="Times New Roman"/>
                <w:noProof/>
              </w:rPr>
            </w:pPr>
            <w:r>
              <w:rPr>
                <w:noProof/>
              </w:rPr>
              <w:t xml:space="preserve">1 712 </w:t>
            </w:r>
          </w:p>
        </w:tc>
        <w:tc>
          <w:tcPr>
            <w:tcW w:w="621" w:type="dxa"/>
            <w:shd w:val="clear" w:color="auto" w:fill="C6EFCE"/>
            <w:noWrap/>
          </w:tcPr>
          <w:p w14:paraId="6953E499" w14:textId="2FD0AE03" w:rsidR="0065073E" w:rsidRDefault="000A0998">
            <w:pPr>
              <w:pStyle w:val="P68B1DB1-Normal12"/>
              <w:tabs>
                <w:tab w:val="left" w:pos="210"/>
                <w:tab w:val="center" w:pos="291"/>
              </w:tabs>
              <w:spacing w:after="0" w:line="240" w:lineRule="auto"/>
              <w:jc w:val="center"/>
              <w:rPr>
                <w:rFonts w:cs="Times New Roman"/>
                <w:noProof/>
              </w:rPr>
            </w:pPr>
            <w:r>
              <w:rPr>
                <w:noProof/>
              </w:rPr>
              <w:t>Q3</w:t>
            </w:r>
          </w:p>
        </w:tc>
        <w:tc>
          <w:tcPr>
            <w:tcW w:w="527" w:type="dxa"/>
            <w:shd w:val="clear" w:color="auto" w:fill="C6EFCE"/>
            <w:noWrap/>
          </w:tcPr>
          <w:p w14:paraId="5275A409" w14:textId="77777777" w:rsidR="0065073E" w:rsidRDefault="000A0998">
            <w:pPr>
              <w:pStyle w:val="P68B1DB1-Normal12"/>
              <w:spacing w:line="240" w:lineRule="auto"/>
              <w:jc w:val="center"/>
              <w:rPr>
                <w:rFonts w:eastAsia="Times New Roman" w:cs="Times New Roman"/>
                <w:noProof/>
              </w:rPr>
            </w:pPr>
            <w:r>
              <w:rPr>
                <w:noProof/>
              </w:rPr>
              <w:t>2026</w:t>
            </w:r>
          </w:p>
        </w:tc>
        <w:tc>
          <w:tcPr>
            <w:tcW w:w="6249" w:type="dxa"/>
            <w:shd w:val="clear" w:color="auto" w:fill="C6EFCE"/>
            <w:noWrap/>
          </w:tcPr>
          <w:p w14:paraId="0622E10A" w14:textId="4E99A256" w:rsidR="0065073E" w:rsidRDefault="000A0998">
            <w:pPr>
              <w:pStyle w:val="P68B1DB1-Normal12"/>
              <w:spacing w:line="240" w:lineRule="auto"/>
              <w:rPr>
                <w:rFonts w:eastAsia="Times New Roman" w:cs="Times New Roman"/>
                <w:noProof/>
              </w:rPr>
            </w:pPr>
            <w:r>
              <w:rPr>
                <w:noProof/>
              </w:rPr>
              <w:t>Espanjan on siirrettävä 1712000000 euroa ICO:lle lainajärjestelyä varten.</w:t>
            </w:r>
          </w:p>
        </w:tc>
      </w:tr>
    </w:tbl>
    <w:p w14:paraId="7931AC06" w14:textId="77777777" w:rsidR="0065073E" w:rsidRDefault="0065073E">
      <w:pPr>
        <w:rPr>
          <w:rFonts w:ascii="Times New Roman" w:hAnsi="Times New Roman" w:cs="Times New Roman"/>
          <w:noProof/>
        </w:rPr>
      </w:pPr>
    </w:p>
    <w:p w14:paraId="01A16550" w14:textId="77777777" w:rsidR="0065073E" w:rsidRDefault="0065073E">
      <w:pPr>
        <w:pStyle w:val="Text1"/>
        <w:rPr>
          <w:rFonts w:ascii="Times New Roman" w:hAnsi="Times New Roman" w:cs="Times New Roman"/>
          <w:noProof/>
        </w:rPr>
        <w:sectPr w:rsidR="0065073E" w:rsidSect="00B511EF">
          <w:headerReference w:type="even" r:id="rId553"/>
          <w:headerReference w:type="default" r:id="rId554"/>
          <w:footerReference w:type="even" r:id="rId555"/>
          <w:footerReference w:type="default" r:id="rId556"/>
          <w:headerReference w:type="first" r:id="rId557"/>
          <w:footerReference w:type="first" r:id="rId558"/>
          <w:pgSz w:w="16839" w:h="11907" w:orient="landscape"/>
          <w:pgMar w:top="1134" w:right="1134" w:bottom="1134" w:left="1134" w:header="567" w:footer="567" w:gutter="0"/>
          <w:cols w:space="720"/>
          <w:docGrid w:linePitch="360"/>
        </w:sectPr>
      </w:pPr>
    </w:p>
    <w:p w14:paraId="27B84D4F" w14:textId="77777777" w:rsidR="0065073E" w:rsidRDefault="000A0998">
      <w:pPr>
        <w:pStyle w:val="P68B1DB1-Heading12"/>
        <w:rPr>
          <w:rFonts w:cs="Times New Roman"/>
          <w:noProof/>
        </w:rPr>
      </w:pPr>
      <w:r>
        <w:rPr>
          <w:noProof/>
        </w:rPr>
        <w:t xml:space="preserve">Z. OSA 26: Urheilun edistäminen </w:t>
      </w:r>
    </w:p>
    <w:p w14:paraId="647A9FB9" w14:textId="77777777" w:rsidR="0065073E" w:rsidRDefault="000A0998">
      <w:pPr>
        <w:pStyle w:val="P68B1DB1-Text118"/>
        <w:ind w:left="0"/>
        <w:rPr>
          <w:rFonts w:cs="Times New Roman"/>
          <w:noProof/>
        </w:rPr>
      </w:pPr>
      <w:r>
        <w:rPr>
          <w:noProof/>
        </w:rPr>
        <w:t xml:space="preserve">Espanjan elpymis- ja palautumissuunnitelman mukaan urheilualan osuus Espanjan BKT:stä on 3,1 prosenttia ja sen osuus maan kokonaistyöllisyydestä on suoraan tai välillisesti 2,1 prosenttia. </w:t>
      </w:r>
    </w:p>
    <w:p w14:paraId="4F4E613F" w14:textId="77777777" w:rsidR="0065073E" w:rsidRDefault="000A0998">
      <w:pPr>
        <w:pStyle w:val="P68B1DB1-Text118"/>
        <w:ind w:left="0"/>
        <w:rPr>
          <w:rFonts w:cs="Times New Roman"/>
          <w:noProof/>
        </w:rPr>
      </w:pPr>
      <w:r>
        <w:rPr>
          <w:noProof/>
        </w:rPr>
        <w:t>Espanjan elpymis- ja palautumissuunnitelman tämän komponentin päätavoitteena on tehostaa urheilualan muutosta digitoimalla urheilujärjestöjä ja parantamalla urheilutiloja niiden ympäristökestävyyden ja saavutettavuuden varmistamiseksi. Sillä tuetaan myös urheilun edistämistä terveystarkoituksiin, erityisesti parantamalla mahdollisuuksia liikuntaan väestökadon vaarassa olevilla alueilla sekä alan tutkimuksen avulla. Komponenttiin on sisällytettävä kohdennettuja investointeja, joilla edistetään naisten osallistumista ammatti- ja amatööriurheiluun.</w:t>
      </w:r>
    </w:p>
    <w:p w14:paraId="0CF598BD" w14:textId="3500705E" w:rsidR="0065073E" w:rsidRDefault="000A0998">
      <w:pPr>
        <w:pStyle w:val="P68B1DB1-Normal4"/>
        <w:tabs>
          <w:tab w:val="left" w:pos="1134"/>
        </w:tabs>
        <w:spacing w:before="120" w:after="120" w:line="240" w:lineRule="auto"/>
        <w:jc w:val="both"/>
        <w:rPr>
          <w:rFonts w:cs="Times New Roman"/>
          <w:noProof/>
        </w:rPr>
      </w:pPr>
      <w:r>
        <w:rPr>
          <w:noProof/>
        </w:rPr>
        <w:t>Komponentissa käsitellään maakohtaisia suosituksia innovointiin ja energiatehokkuuteen tehtävien investointien edistämisestä (maakohtainen suositus 3 2019), julkisten ja yksityisten investointien edistämisestä sekä vihreän siirtymän edistämisestä (maakohtainen suositus 1 2023, 1 2022 ja 3 2020) ja terveydenhuoltojärjestelmän häiriönsietokyvyn vahvistamisesta (maakohtainen suositus 1 2020).</w:t>
      </w:r>
    </w:p>
    <w:p w14:paraId="44F13EE3" w14:textId="77777777" w:rsidR="0065073E" w:rsidRDefault="000A0998">
      <w:pPr>
        <w:pStyle w:val="P68B1DB1-Text118"/>
        <w:ind w:left="0"/>
        <w:rPr>
          <w:rFonts w:cs="Times New Roman"/>
          <w:noProof/>
        </w:rPr>
      </w:pPr>
      <w:r>
        <w:rPr>
          <w:noProof/>
        </w:rPr>
        <w:t>Tällä osa-alueella tuetaan ja täydennetään suunnitelman muissa osissa suunniteltuja toimia, kuten osa-alueeseen 18 (Terveydenhuoltojärjestelmän uudistaminen) sisältyviä terveellisiä elämäntapoja edistäviä toimia. Optimoimalla ja parantamalla olemassa olevia urheiluinfrastruktuureja se myös täydentää komponentin 2 (kunnostaminen) puitteissa toteutettuja toimenpiteitä ja tukee Espanjan matkailualan muutosta osa-alueen 14 (Matkailu) mukaisesti.</w:t>
      </w:r>
    </w:p>
    <w:p w14:paraId="76065517" w14:textId="77777777" w:rsidR="0065073E" w:rsidRDefault="000A0998">
      <w:pPr>
        <w:pStyle w:val="P68B1DB1-Text118"/>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BFB5042" w14:textId="77777777" w:rsidR="0065073E" w:rsidRDefault="000A0998">
      <w:pPr>
        <w:pStyle w:val="Text1"/>
        <w:ind w:left="709"/>
        <w:rPr>
          <w:rFonts w:ascii="Times New Roman" w:hAnsi="Times New Roman" w:cs="Times New Roman"/>
          <w:b/>
          <w:i/>
          <w:noProof/>
        </w:rPr>
      </w:pPr>
      <w:r>
        <w:rPr>
          <w:rFonts w:ascii="Times New Roman" w:hAnsi="Times New Roman"/>
          <w:b/>
          <w:noProof/>
          <w:u w:val="single"/>
        </w:rPr>
        <w:t xml:space="preserve">Z.1 </w:t>
      </w:r>
      <w:r>
        <w:rPr>
          <w:noProof/>
        </w:rPr>
        <w:t></w:t>
      </w:r>
      <w:r>
        <w:rPr>
          <w:rFonts w:ascii="Times New Roman" w:hAnsi="Times New Roman"/>
          <w:b/>
          <w:noProof/>
          <w:u w:val="single"/>
        </w:rPr>
        <w:t>Kuvaus uudistuksista ja investoinneista, joita rahoitetaan rahoitustuella, jota ei makseta takaisin</w:t>
      </w:r>
    </w:p>
    <w:p w14:paraId="2342EC63" w14:textId="77777777" w:rsidR="0065073E" w:rsidRDefault="000A0998">
      <w:pPr>
        <w:pStyle w:val="P68B1DB1-Normal5"/>
        <w:spacing w:line="240" w:lineRule="auto"/>
        <w:rPr>
          <w:rFonts w:cs="Times New Roman"/>
          <w:noProof/>
        </w:rPr>
      </w:pPr>
      <w:r>
        <w:rPr>
          <w:noProof/>
        </w:rPr>
        <w:t>Uudistus 1 (C26.R1) – Urheilulaki</w:t>
      </w:r>
    </w:p>
    <w:p w14:paraId="597367E8" w14:textId="77777777" w:rsidR="0065073E" w:rsidRDefault="000A0998">
      <w:pPr>
        <w:pStyle w:val="P68B1DB1-Normal4"/>
        <w:spacing w:line="240" w:lineRule="auto"/>
        <w:jc w:val="both"/>
        <w:rPr>
          <w:rFonts w:cs="Times New Roman"/>
          <w:noProof/>
        </w:rPr>
      </w:pPr>
      <w:r>
        <w:rPr>
          <w:noProof/>
        </w:rPr>
        <w:t xml:space="preserve">Tämän lainsäädäntötoimenpiteen tavoitteena on varmistaa urheilun terveys ja turvallisuus kaikilla tasoilla, sisällyttää sukupuolten tasa-arvo, saavutettavuus ja sosiaalinen yhteenkuuluvuus urheilun sääntelyyn, nykyaikaistaa urheilujärjestöjä ja -infrastruktuureja digitalisaation ja ekologisen muutoksen avulla sekä edistää alan kansainvälistymistä. Lainsäädännöllä mukautetaan urheilun organisaatiorakenteita sen nykyisiin haasteisiin pandemiasta saatujen kokemusten perusteella. </w:t>
      </w:r>
    </w:p>
    <w:p w14:paraId="3B66163C" w14:textId="77777777" w:rsidR="0065073E" w:rsidRDefault="000A0998">
      <w:pPr>
        <w:pStyle w:val="P68B1DB1-Normal4"/>
        <w:spacing w:line="240" w:lineRule="auto"/>
        <w:rPr>
          <w:rFonts w:cs="Times New Roman"/>
          <w:noProof/>
        </w:rPr>
      </w:pPr>
      <w:r>
        <w:rPr>
          <w:noProof/>
        </w:rPr>
        <w:t>Toimenpiteen täytäntöönpano on saatettava päätökseen 31 päivään joulukuuta 2022 mennessä.</w:t>
      </w:r>
    </w:p>
    <w:p w14:paraId="566FC54D" w14:textId="77777777" w:rsidR="0065073E" w:rsidRDefault="000A0998">
      <w:pPr>
        <w:pStyle w:val="P68B1DB1-Normal5"/>
        <w:spacing w:line="240" w:lineRule="auto"/>
        <w:rPr>
          <w:rFonts w:cs="Times New Roman"/>
          <w:noProof/>
        </w:rPr>
      </w:pPr>
      <w:r>
        <w:rPr>
          <w:noProof/>
        </w:rPr>
        <w:t>Uudistus 2 (C26.R2) – Urheilualan ammattilaisia koskeva laki</w:t>
      </w:r>
    </w:p>
    <w:p w14:paraId="18F0FC15" w14:textId="77777777" w:rsidR="0065073E" w:rsidRDefault="000A0998">
      <w:pPr>
        <w:pStyle w:val="P68B1DB1-Normal4"/>
        <w:spacing w:line="240" w:lineRule="auto"/>
        <w:jc w:val="both"/>
        <w:rPr>
          <w:rFonts w:cs="Times New Roman"/>
          <w:noProof/>
        </w:rPr>
      </w:pPr>
      <w:r>
        <w:rPr>
          <w:noProof/>
        </w:rPr>
        <w:t>Tämän säädöksen tavoitteena on varmistaa, että uusien urheiluammattien sääntely ei aiheuta esteitä palvelujen sijoittautumiselle ja tarjoamiselle Espanjan alueella. Toimenpiteellä on vastattava haasteisiin, jotka johtuvat sääntelyn heterogeenisyydestä aluetasolla (mukaan lukien erilaiset pääsyvaatimukset eri alueilla). Toimenpiteellä on varmistettava EU:n lainsäädännön ja erityisesti tarpeellisuus- ja suhteellisuusperiaatteiden noudattaminen.</w:t>
      </w:r>
    </w:p>
    <w:p w14:paraId="700374B0" w14:textId="77777777" w:rsidR="0065073E" w:rsidRDefault="000A0998">
      <w:pPr>
        <w:pStyle w:val="P68B1DB1-Normal4"/>
        <w:spacing w:line="240" w:lineRule="auto"/>
        <w:rPr>
          <w:rFonts w:cs="Times New Roman"/>
          <w:noProof/>
        </w:rPr>
      </w:pPr>
      <w:r>
        <w:rPr>
          <w:noProof/>
        </w:rPr>
        <w:t>Toimenpiteen täytäntöönpano on saatettava päätökseen viimeistään 31 päivänä joulukuuta 2023 mennessä.</w:t>
      </w:r>
    </w:p>
    <w:p w14:paraId="4FA07394" w14:textId="77777777" w:rsidR="0065073E" w:rsidRDefault="000A0998">
      <w:pPr>
        <w:pStyle w:val="P68B1DB1-Normal5"/>
        <w:keepNext/>
        <w:spacing w:line="240" w:lineRule="auto"/>
        <w:rPr>
          <w:rFonts w:cs="Times New Roman"/>
          <w:noProof/>
        </w:rPr>
      </w:pPr>
      <w:r>
        <w:rPr>
          <w:noProof/>
        </w:rPr>
        <w:t>Uudistus 3 (C26.R3) – Kansallinen urheilun edistämisstrategia</w:t>
      </w:r>
    </w:p>
    <w:p w14:paraId="597EE77B" w14:textId="77777777" w:rsidR="0065073E" w:rsidRDefault="000A0998">
      <w:pPr>
        <w:pStyle w:val="P68B1DB1-Normal4"/>
        <w:keepNext/>
        <w:spacing w:line="240" w:lineRule="auto"/>
        <w:jc w:val="both"/>
        <w:rPr>
          <w:rFonts w:cs="Times New Roman"/>
          <w:noProof/>
        </w:rPr>
      </w:pPr>
      <w:r>
        <w:rPr>
          <w:noProof/>
        </w:rPr>
        <w:t xml:space="preserve">Tämän strategian tavoitteena on edistää urheilun harjoittamista, jotta vältetään kielteiset vaikutukset, joita kiinteällä elämäntavalla ja liikunnan puutteesta voi olla terveydelle ja hyvinvoinnille. Toimenpiteeseen on sisällyttävä muun muassa a) toimet hyvien käytäntöjen ja terveellisten tottumusten käyttöönottamiseksi; b) analyyttinen väline strategian vaikutusten mittaamiseksi ja parantamiseksi. </w:t>
      </w:r>
    </w:p>
    <w:p w14:paraId="7483370B" w14:textId="77777777" w:rsidR="0065073E" w:rsidRDefault="000A0998">
      <w:pPr>
        <w:pStyle w:val="P68B1DB1-Normal4"/>
        <w:spacing w:line="240" w:lineRule="auto"/>
        <w:rPr>
          <w:rFonts w:cs="Times New Roman"/>
          <w:noProof/>
        </w:rPr>
      </w:pPr>
      <w:r>
        <w:rPr>
          <w:noProof/>
        </w:rPr>
        <w:t xml:space="preserve">Toimenpiteen täytäntöönpano on saatettava päätökseen 31 päivään joulukuuta 2023 mennessä. </w:t>
      </w:r>
    </w:p>
    <w:p w14:paraId="68E38745" w14:textId="77777777" w:rsidR="0065073E" w:rsidRDefault="000A0998">
      <w:pPr>
        <w:pStyle w:val="P68B1DB1-Normal5"/>
        <w:spacing w:line="240" w:lineRule="auto"/>
        <w:rPr>
          <w:rFonts w:cs="Times New Roman"/>
          <w:noProof/>
        </w:rPr>
      </w:pPr>
      <w:r>
        <w:rPr>
          <w:noProof/>
        </w:rPr>
        <w:t xml:space="preserve">Investointi 1 (C26.I1) – Urheilun digitaalisuunnitelma </w:t>
      </w:r>
    </w:p>
    <w:p w14:paraId="7BC96004" w14:textId="77777777" w:rsidR="0065073E" w:rsidRDefault="000A0998">
      <w:pPr>
        <w:pStyle w:val="P68B1DB1-Normal4"/>
        <w:spacing w:line="240" w:lineRule="auto"/>
        <w:jc w:val="both"/>
        <w:rPr>
          <w:rFonts w:cs="Times New Roman"/>
          <w:noProof/>
        </w:rPr>
      </w:pPr>
      <w:r>
        <w:rPr>
          <w:noProof/>
        </w:rPr>
        <w:t>Tämän toimenpiteen tavoitteena on digitalisoida urheiluliittoja, myös niiden budjettihallintoa ja urheilulupien myöntämismenettelyjä. Sen on myös parannettava urheilun käytöstä saatujen tietojen analysointia, myös terveellisten elämäntapojen edistämiseksi ja tutkimustarkoituksiin. Lisäksi se edistää julkisten urheilulääketieteen keskusten digitalisointia ja dopingin torjuntaa.</w:t>
      </w:r>
    </w:p>
    <w:p w14:paraId="7775869D" w14:textId="0884DC29" w:rsidR="0065073E" w:rsidRDefault="000A0998">
      <w:pPr>
        <w:pStyle w:val="P68B1DB1-Normal4"/>
        <w:spacing w:line="240" w:lineRule="auto"/>
        <w:rPr>
          <w:rFonts w:cs="Times New Roman"/>
          <w:noProof/>
        </w:rPr>
      </w:pPr>
      <w:r>
        <w:rPr>
          <w:noProof/>
        </w:rPr>
        <w:t xml:space="preserve">Uudistuksen täytäntöönpano on saatettava päätökseen 30 päivään syyskuuta 2025 mennessä. </w:t>
      </w:r>
    </w:p>
    <w:p w14:paraId="72BA3D54" w14:textId="77777777" w:rsidR="0065073E" w:rsidRDefault="000A0998">
      <w:pPr>
        <w:pStyle w:val="P68B1DB1-Normal5"/>
        <w:spacing w:line="240" w:lineRule="auto"/>
        <w:rPr>
          <w:rFonts w:cs="Times New Roman"/>
          <w:noProof/>
        </w:rPr>
      </w:pPr>
      <w:r>
        <w:rPr>
          <w:noProof/>
        </w:rPr>
        <w:t xml:space="preserve"> Investointi 2 (C26.I2) – Urheilutilojen ekologista siirtymää koskeva suunnitelma </w:t>
      </w:r>
    </w:p>
    <w:p w14:paraId="6DCFA8F0" w14:textId="77777777" w:rsidR="0065073E" w:rsidRDefault="000A0998">
      <w:pPr>
        <w:pStyle w:val="P68B1DB1-Normal4"/>
        <w:spacing w:line="240" w:lineRule="auto"/>
        <w:jc w:val="both"/>
        <w:rPr>
          <w:rFonts w:cs="Times New Roman"/>
          <w:noProof/>
        </w:rPr>
      </w:pPr>
      <w:r>
        <w:rPr>
          <w:noProof/>
        </w:rPr>
        <w:t xml:space="preserve">Tämän toimenpiteen tavoitteena on parantaa olemassa olevia urheilutiloja, mukaan lukien urheilutilat, jotka voivat houkutella matkailua ja suorituskykyisiä urheilukeskuksia. Tämä on saavutettava digitalisoimalla ne optimaalisen käytön varmistamiseksi ja energiatehokkuuden parantamiseksi siten, että niiden odotetaan tuottavan vähintään 30 prosentin säästöt primäärienergian kysynnässä. Toimenpiteellä on myös edistettävä urheilua maaseutualueilla perustamalla liikuntaan kannustava monitoriverkosto. </w:t>
      </w:r>
    </w:p>
    <w:p w14:paraId="5290EEE8" w14:textId="27DBB257" w:rsidR="0065073E" w:rsidRDefault="000A0998">
      <w:pPr>
        <w:spacing w:line="240" w:lineRule="auto"/>
        <w:jc w:val="both"/>
        <w:rPr>
          <w:rFonts w:ascii="Times New Roman" w:hAnsi="Times New Roman" w:cs="Times New Roman"/>
          <w:noProof/>
          <w:sz w:val="24"/>
        </w:rPr>
      </w:pPr>
      <w:r>
        <w:rPr>
          <w:rFonts w:ascii="Times New Roman" w:hAnsi="Times New Roman"/>
          <w:noProof/>
          <w:sz w:val="24"/>
        </w:rPr>
        <w:t>Tämän komponentin puitteissa toteutettavien investointien valintaperusteilla on varmistettava, että 100 prosentin ilmastoseurantaa noudatetaan vähintään 106000000 euron arvosta. Käytetyt energiatehokkuuden parantamisindikaattorit on akkreditoitava asiaankuuluvalla energiatehokkuustodistuksella rakennusten energiatehokkuudesta 19 päivänä toukokuuta 2010 annetun Euroopan parlamentin ja neuvoston direktiivin 2010/31/EU mukaisesti</w:t>
      </w:r>
      <w:r>
        <w:rPr>
          <w:rStyle w:val="FootnoteReference"/>
          <w:rFonts w:ascii="Times New Roman" w:hAnsi="Times New Roman" w:cs="Times New Roman"/>
          <w:noProof/>
          <w:sz w:val="24"/>
        </w:rPr>
        <w:footnoteReference w:id="211"/>
      </w:r>
      <w:r>
        <w:rPr>
          <w:noProof/>
        </w:rPr>
        <w:t>.</w:t>
      </w:r>
    </w:p>
    <w:p w14:paraId="1D2A0D87" w14:textId="77777777" w:rsidR="0065073E" w:rsidRDefault="000A0998">
      <w:pPr>
        <w:pStyle w:val="P68B1DB1-Normal4"/>
        <w:spacing w:line="240" w:lineRule="auto"/>
        <w:rPr>
          <w:rFonts w:cs="Times New Roman"/>
          <w:noProof/>
        </w:rPr>
      </w:pPr>
      <w:r>
        <w:rPr>
          <w:noProof/>
        </w:rPr>
        <w:t xml:space="preserve">Investoinnin toteutus saatetaan päätökseen 31. joulukuuta 2025 mennessä. </w:t>
      </w:r>
    </w:p>
    <w:p w14:paraId="7155C650" w14:textId="77777777" w:rsidR="0065073E" w:rsidRDefault="000A0998">
      <w:pPr>
        <w:pStyle w:val="P68B1DB1-Normal5"/>
        <w:spacing w:line="240" w:lineRule="auto"/>
        <w:rPr>
          <w:rFonts w:cs="Times New Roman"/>
          <w:noProof/>
        </w:rPr>
      </w:pPr>
      <w:r>
        <w:rPr>
          <w:noProof/>
        </w:rPr>
        <w:t>Investointi 3 (C26.I3) – Urheilun sosiaalisuunnitelma</w:t>
      </w:r>
    </w:p>
    <w:p w14:paraId="02A5D5D7" w14:textId="77777777" w:rsidR="0065073E" w:rsidRDefault="000A0998">
      <w:pPr>
        <w:pStyle w:val="P68B1DB1-Normal4"/>
        <w:spacing w:line="240" w:lineRule="auto"/>
        <w:jc w:val="both"/>
        <w:rPr>
          <w:rFonts w:cs="Times New Roman"/>
          <w:noProof/>
          <w:u w:val="single"/>
        </w:rPr>
      </w:pPr>
      <w:r>
        <w:rPr>
          <w:noProof/>
        </w:rPr>
        <w:t>Tällä toimenpiteellä on kaksi tavoitetta. Yhtäältä sillä pyritään parantamaan olemassa olevia urheilutiloja parantamalla niiden digitalisointia, energiatehokkuutta ja saavutettavuutta, jotta Espanja voisi tehdä tarjouksen kansainvälisten urheilukilpailujen järjestämisestä. Toisaalta sillä pyritään edistämään naisten osallistumista ammattiurheiluun toimilla, joilla lisätään heidän läsnäoloaan ja näkyvyyttään, koulutustaan ja mahdollistetaan naisurheilun, erityisesti jalkapallon, ammattimaistaminen.</w:t>
      </w:r>
      <w:r>
        <w:rPr>
          <w:noProof/>
          <w:u w:val="single"/>
        </w:rPr>
        <w:t xml:space="preserve"> </w:t>
      </w:r>
    </w:p>
    <w:p w14:paraId="2F094670" w14:textId="77777777" w:rsidR="0065073E" w:rsidRDefault="000A0998">
      <w:pPr>
        <w:pStyle w:val="P68B1DB1-Normal4"/>
        <w:spacing w:line="240" w:lineRule="auto"/>
        <w:jc w:val="both"/>
        <w:rPr>
          <w:rFonts w:cs="Times New Roman"/>
          <w:noProof/>
        </w:rPr>
      </w:pPr>
      <w:r>
        <w:rPr>
          <w:noProof/>
        </w:rPr>
        <w:t>Tämän komponentin puitteissa toteutettavien investointien valintaperusteilla on varmistettava 100 prosentin ilmastoseurannan noudattaminen vähintään 27500000 euron osalta kokonaisinvestoinnista. Käytetyt energiatehokkuuden parantamisindikaattorit on akkreditoitava asiaankuuluvalla energiatehokkuustodistuksella rakennusten energiatehokkuudesta 19 päivänä toukokuuta 2010 annetun Euroopan parlamentin ja neuvoston direktiivin 2010/31/EU puitteissa.</w:t>
      </w:r>
    </w:p>
    <w:p w14:paraId="11E00C69" w14:textId="77777777" w:rsidR="0065073E" w:rsidRDefault="000A0998">
      <w:pPr>
        <w:pStyle w:val="P68B1DB1-Normal4"/>
        <w:spacing w:line="240" w:lineRule="auto"/>
        <w:rPr>
          <w:rFonts w:cs="Times New Roman"/>
          <w:noProof/>
        </w:rPr>
      </w:pPr>
      <w:r>
        <w:rPr>
          <w:noProof/>
        </w:rPr>
        <w:t xml:space="preserve">Investoinnin toteutus on saatettava päätökseen 31 päivään joulukuuta 2023 mennessä. </w:t>
      </w:r>
    </w:p>
    <w:p w14:paraId="5B48DAD4" w14:textId="77777777" w:rsidR="0065073E" w:rsidRDefault="000A0998">
      <w:pPr>
        <w:pStyle w:val="Text1"/>
        <w:ind w:left="720"/>
        <w:rPr>
          <w:rFonts w:ascii="Times New Roman" w:hAnsi="Times New Roman" w:cs="Times New Roman"/>
          <w:b/>
          <w:noProof/>
          <w:u w:val="single"/>
        </w:rPr>
      </w:pPr>
      <w:r>
        <w:rPr>
          <w:rFonts w:ascii="Times New Roman" w:hAnsi="Times New Roman"/>
          <w:b/>
          <w:noProof/>
          <w:u w:val="single"/>
        </w:rPr>
        <w:t xml:space="preserve">Z.2. </w:t>
      </w:r>
      <w:r>
        <w:rPr>
          <w:noProof/>
        </w:rPr>
        <w:t></w:t>
      </w:r>
      <w:r>
        <w:rPr>
          <w:rFonts w:ascii="Times New Roman" w:hAnsi="Times New Roman"/>
          <w:b/>
          <w:noProof/>
          <w:u w:val="single"/>
        </w:rPr>
        <w:t>Seurantaa ja täytäntöönpanoa koskevat välitavoitteet, tavoitteet, indikaattorit ja aikataulu – rahoitustuki, jota ei makseta takaisin</w:t>
      </w:r>
    </w:p>
    <w:p w14:paraId="14FFEA2F" w14:textId="77777777" w:rsidR="0065073E" w:rsidRDefault="000A0998">
      <w:pPr>
        <w:pStyle w:val="P68B1DB1-Text135"/>
        <w:ind w:left="0"/>
        <w:rPr>
          <w:rFonts w:cs="Times New Roman"/>
          <w:b/>
          <w:noProof/>
          <w:u w:val="single"/>
        </w:rPr>
      </w:pPr>
      <w:r>
        <w:rPr>
          <w:noProof/>
        </w:rPr>
        <w:t>Ks. taulukko jäljempänä. Kaikkien indikaattoreiden perustason päivämäärä on 1. helmikuuta 2020, ellei toimen kuvauksessa toisin mainita. Taulukossa esitetyt määrät sisältävät alv:n.</w:t>
      </w:r>
    </w:p>
    <w:p w14:paraId="38C7C785" w14:textId="77777777" w:rsidR="0065073E" w:rsidRDefault="0065073E">
      <w:pPr>
        <w:pStyle w:val="Text1"/>
        <w:ind w:left="0"/>
        <w:rPr>
          <w:rFonts w:ascii="Times New Roman" w:hAnsi="Times New Roman" w:cs="Times New Roman"/>
          <w:noProof/>
        </w:rPr>
        <w:sectPr w:rsidR="0065073E" w:rsidSect="00B511EF">
          <w:headerReference w:type="even" r:id="rId559"/>
          <w:headerReference w:type="default" r:id="rId560"/>
          <w:footerReference w:type="even" r:id="rId561"/>
          <w:footerReference w:type="default" r:id="rId562"/>
          <w:headerReference w:type="first" r:id="rId563"/>
          <w:footerReference w:type="first" r:id="rId564"/>
          <w:pgSz w:w="11907" w:h="16839"/>
          <w:pgMar w:top="1134" w:right="1134" w:bottom="1134" w:left="1134" w:header="567" w:footer="567" w:gutter="0"/>
          <w:cols w:space="720"/>
          <w:docGrid w:linePitch="360"/>
        </w:sectPr>
      </w:pPr>
    </w:p>
    <w:p w14:paraId="633E06DE" w14:textId="77777777" w:rsidR="0065073E" w:rsidRDefault="0065073E">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845"/>
        <w:gridCol w:w="844"/>
        <w:gridCol w:w="2533"/>
        <w:gridCol w:w="1407"/>
        <w:gridCol w:w="986"/>
        <w:gridCol w:w="1266"/>
        <w:gridCol w:w="845"/>
        <w:gridCol w:w="422"/>
        <w:gridCol w:w="563"/>
        <w:gridCol w:w="4754"/>
        <w:gridCol w:w="29"/>
      </w:tblGrid>
      <w:tr w:rsidR="0065073E" w14:paraId="5823193C" w14:textId="7777777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65073E" w:rsidRDefault="000A0998">
            <w:pPr>
              <w:pStyle w:val="P68B1DB1-Normal8"/>
              <w:spacing w:after="0"/>
              <w:jc w:val="center"/>
              <w:rPr>
                <w:rFonts w:cs="Times New Roman"/>
                <w:noProof/>
              </w:rPr>
            </w:pPr>
            <w:r>
              <w:rPr>
                <w:noProof/>
              </w:rPr>
              <w:t>Määrä</w:t>
            </w:r>
          </w:p>
        </w:tc>
        <w:tc>
          <w:tcPr>
            <w:tcW w:w="845" w:type="dxa"/>
            <w:tcBorders>
              <w:bottom w:val="nil"/>
            </w:tcBorders>
            <w:shd w:val="clear" w:color="auto" w:fill="C6D9F1" w:themeFill="text2" w:themeFillTint="33"/>
            <w:noWrap/>
            <w:vAlign w:val="center"/>
          </w:tcPr>
          <w:p w14:paraId="03724937" w14:textId="77777777" w:rsidR="0065073E" w:rsidRDefault="000A0998">
            <w:pPr>
              <w:pStyle w:val="P68B1DB1-Normal8"/>
              <w:spacing w:after="0"/>
              <w:jc w:val="center"/>
              <w:rPr>
                <w:rFonts w:cs="Times New Roman"/>
                <w:noProof/>
              </w:rPr>
            </w:pPr>
            <w:r>
              <w:rPr>
                <w:noProof/>
              </w:rPr>
              <w:t>Toimenpide</w:t>
            </w:r>
          </w:p>
        </w:tc>
        <w:tc>
          <w:tcPr>
            <w:tcW w:w="844" w:type="dxa"/>
            <w:tcBorders>
              <w:bottom w:val="nil"/>
            </w:tcBorders>
            <w:shd w:val="clear" w:color="auto" w:fill="C6D9F1" w:themeFill="text2" w:themeFillTint="33"/>
            <w:noWrap/>
            <w:vAlign w:val="center"/>
          </w:tcPr>
          <w:p w14:paraId="526F7A20"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533" w:type="dxa"/>
            <w:tcBorders>
              <w:bottom w:val="nil"/>
            </w:tcBorders>
            <w:shd w:val="clear" w:color="auto" w:fill="C6D9F1" w:themeFill="text2" w:themeFillTint="33"/>
            <w:noWrap/>
            <w:vAlign w:val="center"/>
          </w:tcPr>
          <w:p w14:paraId="1F923462" w14:textId="77777777" w:rsidR="0065073E" w:rsidRDefault="000A0998">
            <w:pPr>
              <w:pStyle w:val="P68B1DB1-Normal8"/>
              <w:spacing w:after="0"/>
              <w:jc w:val="center"/>
              <w:rPr>
                <w:rFonts w:cs="Times New Roman"/>
                <w:noProof/>
              </w:rPr>
            </w:pPr>
            <w:r>
              <w:rPr>
                <w:noProof/>
              </w:rPr>
              <w:t>Nimi</w:t>
            </w:r>
          </w:p>
        </w:tc>
        <w:tc>
          <w:tcPr>
            <w:tcW w:w="1407" w:type="dxa"/>
            <w:tcBorders>
              <w:bottom w:val="nil"/>
            </w:tcBorders>
            <w:shd w:val="clear" w:color="auto" w:fill="C6D9F1" w:themeFill="text2" w:themeFillTint="33"/>
            <w:noWrap/>
            <w:vAlign w:val="center"/>
          </w:tcPr>
          <w:p w14:paraId="46F04DD2" w14:textId="77777777" w:rsidR="0065073E" w:rsidRDefault="000A0998">
            <w:pPr>
              <w:pStyle w:val="P68B1DB1-Normal8"/>
              <w:spacing w:after="0"/>
              <w:jc w:val="center"/>
              <w:rPr>
                <w:rFonts w:cs="Times New Roman"/>
                <w:noProof/>
              </w:rPr>
            </w:pPr>
            <w:r>
              <w:rPr>
                <w:noProof/>
              </w:rPr>
              <w:t>Välitavoitteiden laadullinen indikaattori</w:t>
            </w:r>
          </w:p>
        </w:tc>
        <w:tc>
          <w:tcPr>
            <w:tcW w:w="3097" w:type="dxa"/>
            <w:gridSpan w:val="3"/>
            <w:shd w:val="clear" w:color="auto" w:fill="C6D9F1" w:themeFill="text2" w:themeFillTint="33"/>
            <w:noWrap/>
            <w:vAlign w:val="center"/>
          </w:tcPr>
          <w:p w14:paraId="0BE6504D" w14:textId="77777777" w:rsidR="0065073E" w:rsidRDefault="000A0998">
            <w:pPr>
              <w:pStyle w:val="P68B1DB1-Normal8"/>
              <w:spacing w:after="0"/>
              <w:jc w:val="center"/>
              <w:rPr>
                <w:rFonts w:cs="Times New Roman"/>
                <w:noProof/>
              </w:rPr>
            </w:pPr>
            <w:r>
              <w:rPr>
                <w:noProof/>
              </w:rPr>
              <w:t>Määrällinen indikaattori tavoitteelle</w:t>
            </w:r>
          </w:p>
        </w:tc>
        <w:tc>
          <w:tcPr>
            <w:tcW w:w="985" w:type="dxa"/>
            <w:gridSpan w:val="2"/>
            <w:shd w:val="clear" w:color="auto" w:fill="C6D9F1" w:themeFill="text2" w:themeFillTint="33"/>
            <w:noWrap/>
            <w:vAlign w:val="center"/>
          </w:tcPr>
          <w:p w14:paraId="1DA359BD" w14:textId="77777777" w:rsidR="0065073E" w:rsidRDefault="000A0998">
            <w:pPr>
              <w:pStyle w:val="P68B1DB1-Normal8"/>
              <w:spacing w:after="0"/>
              <w:jc w:val="center"/>
              <w:rPr>
                <w:rFonts w:cs="Times New Roman"/>
                <w:noProof/>
              </w:rPr>
            </w:pPr>
            <w:r>
              <w:rPr>
                <w:noProof/>
              </w:rPr>
              <w:t>Aika</w:t>
            </w:r>
          </w:p>
        </w:tc>
        <w:tc>
          <w:tcPr>
            <w:tcW w:w="4754" w:type="dxa"/>
            <w:tcBorders>
              <w:bottom w:val="nil"/>
            </w:tcBorders>
            <w:shd w:val="clear" w:color="auto" w:fill="C6D9F1" w:themeFill="text2" w:themeFillTint="33"/>
            <w:noWrap/>
            <w:vAlign w:val="center"/>
          </w:tcPr>
          <w:p w14:paraId="1EB6713E"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731CE1FE" w14:textId="77777777">
        <w:trPr>
          <w:gridAfter w:val="1"/>
          <w:wAfter w:w="29" w:type="dxa"/>
          <w:trHeight w:val="309"/>
          <w:tblHeader/>
        </w:trPr>
        <w:tc>
          <w:tcPr>
            <w:tcW w:w="703" w:type="dxa"/>
            <w:tcBorders>
              <w:top w:val="nil"/>
            </w:tcBorders>
            <w:shd w:val="clear" w:color="auto" w:fill="C6D9F1" w:themeFill="text2" w:themeFillTint="33"/>
            <w:noWrap/>
          </w:tcPr>
          <w:p w14:paraId="558BF819" w14:textId="77777777" w:rsidR="0065073E" w:rsidRDefault="0065073E">
            <w:pPr>
              <w:spacing w:after="0"/>
              <w:jc w:val="center"/>
              <w:rPr>
                <w:rFonts w:ascii="Times New Roman" w:hAnsi="Times New Roman" w:cs="Times New Roman"/>
                <w:b/>
                <w:noProof/>
                <w:sz w:val="18"/>
              </w:rPr>
            </w:pPr>
          </w:p>
        </w:tc>
        <w:tc>
          <w:tcPr>
            <w:tcW w:w="845" w:type="dxa"/>
            <w:tcBorders>
              <w:top w:val="nil"/>
            </w:tcBorders>
            <w:shd w:val="clear" w:color="auto" w:fill="C6D9F1" w:themeFill="text2" w:themeFillTint="33"/>
            <w:noWrap/>
          </w:tcPr>
          <w:p w14:paraId="75B9C719" w14:textId="77777777" w:rsidR="0065073E" w:rsidRDefault="0065073E">
            <w:pPr>
              <w:spacing w:after="0"/>
              <w:jc w:val="center"/>
              <w:rPr>
                <w:rFonts w:ascii="Times New Roman" w:hAnsi="Times New Roman" w:cs="Times New Roman"/>
                <w:b/>
                <w:noProof/>
                <w:sz w:val="18"/>
              </w:rPr>
            </w:pPr>
          </w:p>
        </w:tc>
        <w:tc>
          <w:tcPr>
            <w:tcW w:w="844" w:type="dxa"/>
            <w:tcBorders>
              <w:top w:val="nil"/>
            </w:tcBorders>
            <w:shd w:val="clear" w:color="auto" w:fill="C6D9F1" w:themeFill="text2" w:themeFillTint="33"/>
            <w:noWrap/>
          </w:tcPr>
          <w:p w14:paraId="7317F91F" w14:textId="77777777" w:rsidR="0065073E" w:rsidRDefault="0065073E">
            <w:pPr>
              <w:spacing w:after="0"/>
              <w:jc w:val="center"/>
              <w:rPr>
                <w:rFonts w:ascii="Times New Roman" w:hAnsi="Times New Roman" w:cs="Times New Roman"/>
                <w:b/>
                <w:noProof/>
                <w:sz w:val="18"/>
              </w:rPr>
            </w:pPr>
          </w:p>
        </w:tc>
        <w:tc>
          <w:tcPr>
            <w:tcW w:w="2533" w:type="dxa"/>
            <w:tcBorders>
              <w:top w:val="nil"/>
            </w:tcBorders>
            <w:shd w:val="clear" w:color="auto" w:fill="C6D9F1" w:themeFill="text2" w:themeFillTint="33"/>
            <w:noWrap/>
          </w:tcPr>
          <w:p w14:paraId="79BD21F4" w14:textId="77777777" w:rsidR="0065073E" w:rsidRDefault="0065073E">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65073E" w:rsidRDefault="0065073E">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65073E" w:rsidRDefault="000A0998">
            <w:pPr>
              <w:pStyle w:val="P68B1DB1-Normal8"/>
              <w:spacing w:after="0"/>
              <w:jc w:val="center"/>
              <w:rPr>
                <w:rFonts w:cs="Times New Roman"/>
                <w:noProof/>
              </w:rPr>
            </w:pPr>
            <w:r>
              <w:rPr>
                <w:noProof/>
              </w:rPr>
              <w:t>Yksikkö</w:t>
            </w:r>
          </w:p>
        </w:tc>
        <w:tc>
          <w:tcPr>
            <w:tcW w:w="1266" w:type="dxa"/>
            <w:shd w:val="clear" w:color="auto" w:fill="C6D9F1" w:themeFill="text2" w:themeFillTint="33"/>
            <w:noWrap/>
          </w:tcPr>
          <w:p w14:paraId="0FB955F7" w14:textId="77777777" w:rsidR="0065073E" w:rsidRDefault="000A0998">
            <w:pPr>
              <w:pStyle w:val="P68B1DB1-Normal8"/>
              <w:spacing w:after="0"/>
              <w:jc w:val="center"/>
              <w:rPr>
                <w:rFonts w:cs="Times New Roman"/>
                <w:noProof/>
              </w:rPr>
            </w:pPr>
            <w:r>
              <w:rPr>
                <w:noProof/>
              </w:rPr>
              <w:t>Lähtötaso</w:t>
            </w:r>
          </w:p>
        </w:tc>
        <w:tc>
          <w:tcPr>
            <w:tcW w:w="845" w:type="dxa"/>
            <w:shd w:val="clear" w:color="auto" w:fill="C6D9F1" w:themeFill="text2" w:themeFillTint="33"/>
            <w:noWrap/>
          </w:tcPr>
          <w:p w14:paraId="5423A5D8" w14:textId="77777777" w:rsidR="0065073E" w:rsidRDefault="000A0998">
            <w:pPr>
              <w:pStyle w:val="P68B1DB1-Normal8"/>
              <w:spacing w:after="0"/>
              <w:jc w:val="center"/>
              <w:rPr>
                <w:rFonts w:cs="Times New Roman"/>
                <w:noProof/>
              </w:rPr>
            </w:pPr>
            <w:r>
              <w:rPr>
                <w:noProof/>
              </w:rPr>
              <w:t>Päämäärä</w:t>
            </w:r>
          </w:p>
        </w:tc>
        <w:tc>
          <w:tcPr>
            <w:tcW w:w="422" w:type="dxa"/>
            <w:shd w:val="clear" w:color="auto" w:fill="C6D9F1" w:themeFill="text2" w:themeFillTint="33"/>
            <w:noWrap/>
          </w:tcPr>
          <w:p w14:paraId="769E2363" w14:textId="77777777" w:rsidR="0065073E" w:rsidRDefault="000A0998">
            <w:pPr>
              <w:pStyle w:val="P68B1DB1-Normal8"/>
              <w:spacing w:after="0"/>
              <w:jc w:val="center"/>
              <w:rPr>
                <w:rFonts w:cs="Times New Roman"/>
                <w:noProof/>
              </w:rPr>
            </w:pPr>
            <w:r>
              <w:rPr>
                <w:noProof/>
              </w:rPr>
              <w:t>Q</w:t>
            </w:r>
          </w:p>
        </w:tc>
        <w:tc>
          <w:tcPr>
            <w:tcW w:w="563" w:type="dxa"/>
            <w:shd w:val="clear" w:color="auto" w:fill="C6D9F1" w:themeFill="text2" w:themeFillTint="33"/>
            <w:noWrap/>
          </w:tcPr>
          <w:p w14:paraId="2BC07797" w14:textId="77777777" w:rsidR="0065073E" w:rsidRDefault="000A0998">
            <w:pPr>
              <w:pStyle w:val="P68B1DB1-Normal8"/>
              <w:spacing w:after="0"/>
              <w:jc w:val="center"/>
              <w:rPr>
                <w:rFonts w:cs="Times New Roman"/>
                <w:noProof/>
              </w:rPr>
            </w:pPr>
            <w:r>
              <w:rPr>
                <w:noProof/>
              </w:rPr>
              <w:t>Vuosi</w:t>
            </w:r>
          </w:p>
        </w:tc>
        <w:tc>
          <w:tcPr>
            <w:tcW w:w="4754" w:type="dxa"/>
            <w:tcBorders>
              <w:top w:val="nil"/>
            </w:tcBorders>
            <w:shd w:val="clear" w:color="auto" w:fill="C6D9F1" w:themeFill="text2" w:themeFillTint="33"/>
            <w:noWrap/>
          </w:tcPr>
          <w:p w14:paraId="11B8A19E" w14:textId="77777777" w:rsidR="0065073E" w:rsidRDefault="0065073E">
            <w:pPr>
              <w:spacing w:after="0"/>
              <w:rPr>
                <w:rFonts w:ascii="Times New Roman" w:hAnsi="Times New Roman" w:cs="Times New Roman"/>
                <w:b/>
                <w:noProof/>
                <w:sz w:val="18"/>
              </w:rPr>
            </w:pPr>
          </w:p>
        </w:tc>
      </w:tr>
      <w:tr w:rsidR="0065073E" w14:paraId="5FD7E706" w14:textId="77777777">
        <w:trPr>
          <w:trHeight w:val="309"/>
        </w:trPr>
        <w:tc>
          <w:tcPr>
            <w:tcW w:w="703" w:type="dxa"/>
            <w:shd w:val="clear" w:color="auto" w:fill="C6EFCE"/>
            <w:noWrap/>
          </w:tcPr>
          <w:p w14:paraId="3616C4EF" w14:textId="77777777" w:rsidR="0065073E" w:rsidRDefault="000A0998">
            <w:pPr>
              <w:pStyle w:val="P68B1DB1-Normal12"/>
              <w:spacing w:after="0"/>
              <w:jc w:val="center"/>
              <w:rPr>
                <w:rFonts w:eastAsia="Times New Roman" w:cs="Times New Roman"/>
                <w:noProof/>
              </w:rPr>
            </w:pPr>
            <w:r>
              <w:rPr>
                <w:noProof/>
              </w:rPr>
              <w:t>367</w:t>
            </w:r>
          </w:p>
        </w:tc>
        <w:tc>
          <w:tcPr>
            <w:tcW w:w="845" w:type="dxa"/>
            <w:shd w:val="clear" w:color="auto" w:fill="C6EFCE"/>
            <w:noWrap/>
          </w:tcPr>
          <w:p w14:paraId="228DE1D0" w14:textId="77777777" w:rsidR="0065073E" w:rsidRDefault="000A0998">
            <w:pPr>
              <w:pStyle w:val="P68B1DB1-Normal12"/>
              <w:spacing w:after="0"/>
              <w:jc w:val="center"/>
              <w:rPr>
                <w:rFonts w:eastAsia="Times New Roman" w:cs="Times New Roman"/>
                <w:noProof/>
              </w:rPr>
            </w:pPr>
            <w:r>
              <w:rPr>
                <w:noProof/>
              </w:rPr>
              <w:t>C26.R1</w:t>
            </w:r>
          </w:p>
        </w:tc>
        <w:tc>
          <w:tcPr>
            <w:tcW w:w="844" w:type="dxa"/>
            <w:shd w:val="clear" w:color="auto" w:fill="C6EFCE"/>
            <w:noWrap/>
          </w:tcPr>
          <w:p w14:paraId="381CAC00"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3EFF41C2" w14:textId="77777777" w:rsidR="0065073E" w:rsidRDefault="000A0998">
            <w:pPr>
              <w:pStyle w:val="P68B1DB1-Normal12"/>
              <w:spacing w:after="0"/>
              <w:rPr>
                <w:rFonts w:eastAsia="Times New Roman" w:cs="Times New Roman"/>
                <w:noProof/>
              </w:rPr>
            </w:pPr>
            <w:r>
              <w:rPr>
                <w:noProof/>
              </w:rPr>
              <w:t xml:space="preserve">Urheilulain voimaantulo </w:t>
            </w:r>
          </w:p>
        </w:tc>
        <w:tc>
          <w:tcPr>
            <w:tcW w:w="1407" w:type="dxa"/>
            <w:shd w:val="clear" w:color="auto" w:fill="C6EFCE"/>
            <w:noWrap/>
          </w:tcPr>
          <w:p w14:paraId="618A8D6F"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986" w:type="dxa"/>
            <w:shd w:val="clear" w:color="auto" w:fill="C6EFCE"/>
            <w:noWrap/>
          </w:tcPr>
          <w:p w14:paraId="1B60D2FD"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C8AEA75" w14:textId="77777777" w:rsidR="0065073E" w:rsidRDefault="000A0998">
            <w:pPr>
              <w:pStyle w:val="P68B1DB1-Normal12"/>
              <w:spacing w:after="0"/>
              <w:jc w:val="center"/>
              <w:rPr>
                <w:rFonts w:cs="Times New Roman"/>
                <w:noProof/>
              </w:rPr>
            </w:pPr>
            <w:r>
              <w:rPr>
                <w:noProof/>
              </w:rPr>
              <w:t xml:space="preserve"> </w:t>
            </w:r>
          </w:p>
        </w:tc>
        <w:tc>
          <w:tcPr>
            <w:tcW w:w="845" w:type="dxa"/>
            <w:shd w:val="clear" w:color="auto" w:fill="C6EFCE"/>
            <w:noWrap/>
          </w:tcPr>
          <w:p w14:paraId="28516D56" w14:textId="77777777" w:rsidR="0065073E" w:rsidRDefault="000A0998">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56DC4632"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5B7DD0B7" w14:textId="77777777" w:rsidR="0065073E" w:rsidRDefault="000A0998">
            <w:pPr>
              <w:pStyle w:val="P68B1DB1-Normal12"/>
              <w:spacing w:after="0"/>
              <w:jc w:val="center"/>
              <w:rPr>
                <w:rFonts w:eastAsia="Times New Roman" w:cs="Times New Roman"/>
                <w:noProof/>
              </w:rPr>
            </w:pPr>
            <w:r>
              <w:rPr>
                <w:noProof/>
              </w:rPr>
              <w:t>2022</w:t>
            </w:r>
          </w:p>
        </w:tc>
        <w:tc>
          <w:tcPr>
            <w:tcW w:w="4783" w:type="dxa"/>
            <w:gridSpan w:val="2"/>
            <w:shd w:val="clear" w:color="auto" w:fill="C6EFCE"/>
            <w:noWrap/>
          </w:tcPr>
          <w:p w14:paraId="04BCF38C" w14:textId="73B0676D" w:rsidR="0065073E" w:rsidRDefault="000A0998">
            <w:pPr>
              <w:pStyle w:val="P68B1DB1-Normal12"/>
              <w:spacing w:after="0"/>
              <w:rPr>
                <w:rFonts w:eastAsia="Times New Roman" w:cs="Times New Roman"/>
                <w:noProof/>
              </w:rPr>
            </w:pPr>
            <w:r>
              <w:rPr>
                <w:noProof/>
              </w:rPr>
              <w:t xml:space="preserve">Lailla edistetään terveyttä ja turvallisuutta urheilun harjoittamisessa kaikilla tasoilla, sukupuolten tasa-arvoa, sosiaalista osallisuutta ja saavutettavuutta, mallin kansainvälisen ulottuvuuden edistämistä sekä organisaatioiden ja infrastruktuurien nykyaikaistamista ympäristönsuojelun ja digitalisoinnin avulla. </w:t>
            </w:r>
          </w:p>
        </w:tc>
      </w:tr>
      <w:tr w:rsidR="0065073E" w14:paraId="794C580C" w14:textId="77777777">
        <w:trPr>
          <w:trHeight w:val="309"/>
        </w:trPr>
        <w:tc>
          <w:tcPr>
            <w:tcW w:w="703" w:type="dxa"/>
            <w:shd w:val="clear" w:color="auto" w:fill="C6EFCE"/>
            <w:noWrap/>
          </w:tcPr>
          <w:p w14:paraId="78C6AE9D" w14:textId="77777777" w:rsidR="0065073E" w:rsidRDefault="000A0998">
            <w:pPr>
              <w:pStyle w:val="P68B1DB1-Normal12"/>
              <w:spacing w:after="0"/>
              <w:jc w:val="center"/>
              <w:rPr>
                <w:rFonts w:eastAsia="Times New Roman" w:cs="Times New Roman"/>
                <w:noProof/>
              </w:rPr>
            </w:pPr>
            <w:r>
              <w:rPr>
                <w:noProof/>
              </w:rPr>
              <w:t>368</w:t>
            </w:r>
          </w:p>
        </w:tc>
        <w:tc>
          <w:tcPr>
            <w:tcW w:w="845" w:type="dxa"/>
            <w:shd w:val="clear" w:color="auto" w:fill="C6EFCE"/>
            <w:noWrap/>
          </w:tcPr>
          <w:p w14:paraId="7925AA47" w14:textId="77777777" w:rsidR="0065073E" w:rsidRDefault="000A0998">
            <w:pPr>
              <w:pStyle w:val="P68B1DB1-Normal12"/>
              <w:spacing w:after="0"/>
              <w:jc w:val="center"/>
              <w:rPr>
                <w:rFonts w:eastAsia="Times New Roman" w:cs="Times New Roman"/>
                <w:noProof/>
              </w:rPr>
            </w:pPr>
            <w:r>
              <w:rPr>
                <w:noProof/>
              </w:rPr>
              <w:t>C26.R2</w:t>
            </w:r>
          </w:p>
        </w:tc>
        <w:tc>
          <w:tcPr>
            <w:tcW w:w="844" w:type="dxa"/>
            <w:shd w:val="clear" w:color="auto" w:fill="C6EFCE"/>
            <w:noWrap/>
          </w:tcPr>
          <w:p w14:paraId="35025FB4"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371E443F" w14:textId="77777777" w:rsidR="0065073E" w:rsidRDefault="000A0998">
            <w:pPr>
              <w:pStyle w:val="P68B1DB1-Normal12"/>
              <w:spacing w:after="0"/>
              <w:rPr>
                <w:rFonts w:eastAsia="Times New Roman" w:cs="Times New Roman"/>
                <w:noProof/>
              </w:rPr>
            </w:pPr>
            <w:r>
              <w:rPr>
                <w:noProof/>
              </w:rPr>
              <w:t xml:space="preserve">Tiettyjen urheiluammattien sääntelystä annetun lain voimaantulo </w:t>
            </w:r>
          </w:p>
        </w:tc>
        <w:tc>
          <w:tcPr>
            <w:tcW w:w="1407" w:type="dxa"/>
            <w:shd w:val="clear" w:color="auto" w:fill="C6EFCE"/>
            <w:noWrap/>
          </w:tcPr>
          <w:p w14:paraId="1F2D0625" w14:textId="77777777" w:rsidR="0065073E" w:rsidRDefault="000A0998">
            <w:pPr>
              <w:pStyle w:val="P68B1DB1-Normal12"/>
              <w:spacing w:after="0"/>
              <w:jc w:val="center"/>
              <w:rPr>
                <w:rFonts w:eastAsia="Times New Roman" w:cs="Times New Roman"/>
                <w:noProof/>
              </w:rPr>
            </w:pPr>
            <w:r>
              <w:rPr>
                <w:noProof/>
              </w:rPr>
              <w:t xml:space="preserve"> Lain säännös, josta käy ilmi sen voimaantulo</w:t>
            </w:r>
          </w:p>
        </w:tc>
        <w:tc>
          <w:tcPr>
            <w:tcW w:w="986" w:type="dxa"/>
            <w:shd w:val="clear" w:color="auto" w:fill="C6EFCE"/>
            <w:noWrap/>
          </w:tcPr>
          <w:p w14:paraId="1D518A71"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5C38D216" w14:textId="77777777" w:rsidR="0065073E" w:rsidRDefault="000A0998">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0AE0894F" w14:textId="77777777" w:rsidR="0065073E" w:rsidRDefault="000A0998">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63006414"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210C3EF1" w14:textId="77777777" w:rsidR="0065073E" w:rsidRDefault="000A0998">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6DD757B3" w14:textId="77777777" w:rsidR="0065073E" w:rsidRDefault="000A0998">
            <w:pPr>
              <w:pStyle w:val="P68B1DB1-Normal12"/>
              <w:spacing w:after="0"/>
              <w:rPr>
                <w:rFonts w:eastAsia="Times New Roman" w:cs="Times New Roman"/>
                <w:noProof/>
              </w:rPr>
            </w:pPr>
            <w:r>
              <w:rPr>
                <w:noProof/>
              </w:rPr>
              <w:t>Tiettyjen urheiluammattien sääntelyä koskevan lain hyväksyminen, jotta voidaan vastata sääntelyn heterogeenisuudesta johtuviin haasteisiin ja ottaa asianmukaisesti huomioon tarpeellisuus- ja suhteellisuusperiaatteet.</w:t>
            </w:r>
          </w:p>
        </w:tc>
      </w:tr>
      <w:tr w:rsidR="0065073E" w14:paraId="4CA26C0B" w14:textId="77777777">
        <w:trPr>
          <w:trHeight w:val="309"/>
        </w:trPr>
        <w:tc>
          <w:tcPr>
            <w:tcW w:w="703" w:type="dxa"/>
            <w:shd w:val="clear" w:color="auto" w:fill="C6EFCE"/>
            <w:noWrap/>
          </w:tcPr>
          <w:p w14:paraId="00DAC577" w14:textId="77777777" w:rsidR="0065073E" w:rsidRDefault="000A0998">
            <w:pPr>
              <w:pStyle w:val="P68B1DB1-Normal12"/>
              <w:spacing w:after="0"/>
              <w:jc w:val="center"/>
              <w:rPr>
                <w:rFonts w:eastAsia="Times New Roman" w:cs="Times New Roman"/>
                <w:noProof/>
              </w:rPr>
            </w:pPr>
            <w:r>
              <w:rPr>
                <w:noProof/>
              </w:rPr>
              <w:t>369</w:t>
            </w:r>
          </w:p>
        </w:tc>
        <w:tc>
          <w:tcPr>
            <w:tcW w:w="845" w:type="dxa"/>
            <w:shd w:val="clear" w:color="auto" w:fill="C6EFCE"/>
            <w:noWrap/>
          </w:tcPr>
          <w:p w14:paraId="63D61881" w14:textId="77777777" w:rsidR="0065073E" w:rsidRDefault="000A0998">
            <w:pPr>
              <w:pStyle w:val="P68B1DB1-Normal12"/>
              <w:spacing w:after="0"/>
              <w:jc w:val="center"/>
              <w:rPr>
                <w:rFonts w:eastAsia="Times New Roman" w:cs="Times New Roman"/>
                <w:noProof/>
              </w:rPr>
            </w:pPr>
            <w:r>
              <w:rPr>
                <w:noProof/>
              </w:rPr>
              <w:t>C26.R3</w:t>
            </w:r>
          </w:p>
        </w:tc>
        <w:tc>
          <w:tcPr>
            <w:tcW w:w="844" w:type="dxa"/>
            <w:shd w:val="clear" w:color="auto" w:fill="C6EFCE"/>
            <w:noWrap/>
          </w:tcPr>
          <w:p w14:paraId="2777087F"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1C8DCA34" w14:textId="77777777" w:rsidR="0065073E" w:rsidRDefault="000A0998">
            <w:pPr>
              <w:pStyle w:val="P68B1DB1-Normal12"/>
              <w:spacing w:after="0"/>
              <w:rPr>
                <w:rFonts w:eastAsia="Times New Roman" w:cs="Times New Roman"/>
                <w:noProof/>
              </w:rPr>
            </w:pPr>
            <w:r>
              <w:rPr>
                <w:noProof/>
              </w:rPr>
              <w:t>Kansallinen strategia urheilun edistämiseksi istuvan elämäntavan ja liikunnan puutteen torjumiseksi</w:t>
            </w:r>
          </w:p>
        </w:tc>
        <w:tc>
          <w:tcPr>
            <w:tcW w:w="1407" w:type="dxa"/>
            <w:shd w:val="clear" w:color="auto" w:fill="C6EFCE"/>
            <w:noWrap/>
          </w:tcPr>
          <w:p w14:paraId="0692ED1C" w14:textId="77777777" w:rsidR="0065073E" w:rsidRDefault="000A0998">
            <w:pPr>
              <w:pStyle w:val="P68B1DB1-Normal12"/>
              <w:spacing w:after="0"/>
              <w:jc w:val="center"/>
              <w:rPr>
                <w:rFonts w:eastAsia="Times New Roman" w:cs="Times New Roman"/>
                <w:noProof/>
              </w:rPr>
            </w:pPr>
            <w:r>
              <w:rPr>
                <w:noProof/>
              </w:rPr>
              <w:t>Julkaiseminen verkkosivustolla</w:t>
            </w:r>
          </w:p>
        </w:tc>
        <w:tc>
          <w:tcPr>
            <w:tcW w:w="986" w:type="dxa"/>
            <w:shd w:val="clear" w:color="auto" w:fill="C6EFCE"/>
            <w:noWrap/>
          </w:tcPr>
          <w:p w14:paraId="4D9EF1D6"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5B06E17" w14:textId="77777777" w:rsidR="0065073E" w:rsidRDefault="000A0998">
            <w:pPr>
              <w:pStyle w:val="P68B1DB1-Normal12"/>
              <w:spacing w:after="0"/>
              <w:jc w:val="center"/>
              <w:rPr>
                <w:rFonts w:eastAsia="Times New Roman" w:cs="Times New Roman"/>
                <w:noProof/>
              </w:rPr>
            </w:pPr>
            <w:r>
              <w:rPr>
                <w:noProof/>
              </w:rPr>
              <w:t xml:space="preserve"> </w:t>
            </w:r>
          </w:p>
        </w:tc>
        <w:tc>
          <w:tcPr>
            <w:tcW w:w="845" w:type="dxa"/>
            <w:shd w:val="clear" w:color="auto" w:fill="C6EFCE"/>
            <w:noWrap/>
          </w:tcPr>
          <w:p w14:paraId="3C7C4FE8" w14:textId="77777777" w:rsidR="0065073E" w:rsidRDefault="000A0998">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0812522C"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41E72220" w14:textId="77777777" w:rsidR="0065073E" w:rsidRDefault="000A0998">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5B14EBAE" w14:textId="77777777" w:rsidR="0065073E" w:rsidRDefault="000A0998">
            <w:pPr>
              <w:pStyle w:val="P68B1DB1-Normal12"/>
              <w:spacing w:after="0"/>
              <w:rPr>
                <w:rFonts w:eastAsia="Times New Roman" w:cs="Times New Roman"/>
                <w:noProof/>
              </w:rPr>
            </w:pPr>
            <w:r>
              <w:rPr>
                <w:noProof/>
              </w:rPr>
              <w:t>Espanjan hallitus hyväksyy kansallisen strategian urheilun edistämiseksi istuvan elämäntavan ja liikunnan puutteen torjumiseksi. Strategian tavoitteena on a) otetaan käyttöön pysyvä analyysiväline strategian vaikutusten analysoimiseksi, mittaamiseksi ja parantamiseksi; b) sellaisten toimien toteuttaminen, joiden tavoitteena on hyvien käytäntöjen ja terveellisten tottumusten luominen analyysin jälkeen. Strategia sitoo alue- ja paikallisviranomaisia.</w:t>
            </w:r>
          </w:p>
        </w:tc>
      </w:tr>
      <w:tr w:rsidR="0065073E" w14:paraId="5716DF99" w14:textId="77777777">
        <w:trPr>
          <w:trHeight w:val="309"/>
        </w:trPr>
        <w:tc>
          <w:tcPr>
            <w:tcW w:w="703" w:type="dxa"/>
            <w:shd w:val="clear" w:color="auto" w:fill="C6EFCE"/>
            <w:noWrap/>
          </w:tcPr>
          <w:p w14:paraId="0E17C92D" w14:textId="77777777" w:rsidR="0065073E" w:rsidRDefault="000A0998">
            <w:pPr>
              <w:pStyle w:val="P68B1DB1-Normal12"/>
              <w:spacing w:after="0"/>
              <w:jc w:val="center"/>
              <w:rPr>
                <w:rFonts w:eastAsia="Times New Roman" w:cs="Times New Roman"/>
                <w:noProof/>
              </w:rPr>
            </w:pPr>
            <w:r>
              <w:rPr>
                <w:noProof/>
              </w:rPr>
              <w:t>370</w:t>
            </w:r>
          </w:p>
        </w:tc>
        <w:tc>
          <w:tcPr>
            <w:tcW w:w="845" w:type="dxa"/>
            <w:shd w:val="clear" w:color="auto" w:fill="C6EFCE"/>
            <w:noWrap/>
          </w:tcPr>
          <w:p w14:paraId="418D7B65" w14:textId="77777777" w:rsidR="0065073E" w:rsidRDefault="000A0998">
            <w:pPr>
              <w:pStyle w:val="P68B1DB1-Normal12"/>
              <w:spacing w:after="0"/>
              <w:jc w:val="center"/>
              <w:rPr>
                <w:rFonts w:eastAsia="Times New Roman" w:cs="Times New Roman"/>
                <w:noProof/>
              </w:rPr>
            </w:pPr>
            <w:r>
              <w:rPr>
                <w:noProof/>
              </w:rPr>
              <w:t>C26.I1</w:t>
            </w:r>
          </w:p>
        </w:tc>
        <w:tc>
          <w:tcPr>
            <w:tcW w:w="844" w:type="dxa"/>
            <w:shd w:val="clear" w:color="auto" w:fill="C6EFCE"/>
            <w:noWrap/>
          </w:tcPr>
          <w:p w14:paraId="6BC3A66F"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4BD4DADF" w14:textId="77777777" w:rsidR="0065073E" w:rsidRDefault="000A0998">
            <w:pPr>
              <w:pStyle w:val="P68B1DB1-Normal12"/>
              <w:spacing w:after="0"/>
              <w:rPr>
                <w:rFonts w:eastAsia="Times New Roman" w:cs="Times New Roman"/>
                <w:noProof/>
              </w:rPr>
            </w:pPr>
            <w:r>
              <w:rPr>
                <w:noProof/>
              </w:rPr>
              <w:t>Urheilualan digitalisointi</w:t>
            </w:r>
          </w:p>
        </w:tc>
        <w:tc>
          <w:tcPr>
            <w:tcW w:w="1407" w:type="dxa"/>
            <w:shd w:val="clear" w:color="auto" w:fill="C6EFCE"/>
            <w:noWrap/>
          </w:tcPr>
          <w:p w14:paraId="3FDD823D" w14:textId="77777777" w:rsidR="0065073E" w:rsidRDefault="000A0998">
            <w:pPr>
              <w:pStyle w:val="P68B1DB1-Normal12"/>
              <w:spacing w:after="0"/>
              <w:jc w:val="center"/>
              <w:rPr>
                <w:rFonts w:eastAsia="Times New Roman" w:cs="Times New Roman"/>
                <w:noProof/>
              </w:rPr>
            </w:pPr>
            <w:r>
              <w:rPr>
                <w:noProof/>
              </w:rPr>
              <w:t xml:space="preserve">Julkaistu EUVL:ssä </w:t>
            </w:r>
          </w:p>
        </w:tc>
        <w:tc>
          <w:tcPr>
            <w:tcW w:w="986" w:type="dxa"/>
            <w:shd w:val="clear" w:color="auto" w:fill="C6EFCE"/>
            <w:noWrap/>
          </w:tcPr>
          <w:p w14:paraId="2FDA4736"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3EAAF6B" w14:textId="77777777" w:rsidR="0065073E" w:rsidRDefault="0065073E">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65073E" w:rsidRDefault="000A0998">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06B3ECC4" w14:textId="6BFEC711" w:rsidR="0065073E" w:rsidRDefault="000A0998">
            <w:pPr>
              <w:pStyle w:val="P68B1DB1-Normal12"/>
              <w:spacing w:after="0"/>
              <w:rPr>
                <w:rFonts w:cs="Times New Roman"/>
                <w:noProof/>
              </w:rPr>
            </w:pPr>
            <w:r>
              <w:rPr>
                <w:noProof/>
              </w:rPr>
              <w:t>Q3</w:t>
            </w:r>
          </w:p>
        </w:tc>
        <w:tc>
          <w:tcPr>
            <w:tcW w:w="563" w:type="dxa"/>
            <w:shd w:val="clear" w:color="auto" w:fill="C6EFCE"/>
            <w:noWrap/>
          </w:tcPr>
          <w:p w14:paraId="3F8ECE9B" w14:textId="2827BD88" w:rsidR="0065073E" w:rsidRDefault="000A0998">
            <w:pPr>
              <w:pStyle w:val="P68B1DB1-Normal12"/>
              <w:spacing w:after="0"/>
              <w:rPr>
                <w:rFonts w:cs="Times New Roman"/>
                <w:noProof/>
              </w:rPr>
            </w:pPr>
            <w:r>
              <w:rPr>
                <w:noProof/>
              </w:rPr>
              <w:t>2025</w:t>
            </w:r>
          </w:p>
        </w:tc>
        <w:tc>
          <w:tcPr>
            <w:tcW w:w="4783" w:type="dxa"/>
            <w:gridSpan w:val="2"/>
            <w:shd w:val="clear" w:color="auto" w:fill="C6EFCE"/>
            <w:noWrap/>
          </w:tcPr>
          <w:p w14:paraId="6498DB03" w14:textId="77777777" w:rsidR="0065073E" w:rsidRDefault="000A0998">
            <w:pPr>
              <w:pStyle w:val="P68B1DB1-Normal12"/>
              <w:spacing w:after="0"/>
              <w:rPr>
                <w:rFonts w:eastAsia="Times New Roman" w:cs="Times New Roman"/>
                <w:noProof/>
              </w:rPr>
            </w:pPr>
            <w:r>
              <w:rPr>
                <w:noProof/>
              </w:rPr>
              <w:t>Talousarvion toteutus on vähintään 75,6 miljoonaa euroa, minkä pitäisi johtaa alan digitalisaation merkittävään paranemiseen, erityisesti: a) urheiluliittojen digitalisointi (mukaan lukien talousarvion ja lisenssien hallinnointi) uuden tietojärjestelmän avulla; b) tietotekninen datavarastojärjestelmä tietojen analysointia varten; C) esineiden internet korkean suorituskyvyn keskuksissa; d) järjestelmät, joilla määritetään kilpailijamalleja tai optimoidaan kunkin urheilijan koulutus; e) kymmenen terveyttä edistävää liikuntaa (HEPA) koskevan tutkimushankkeen julkaiseminen; F) tietojärjestelmien testaus urheilulääketieteen kansallisessa keskuksessa; g) sähköisen toimiston perustaminen antidopinghallintoon, mukaan lukien ”paperittoman” AD-valvontajärjestelmän käyttöönotto; ja h) tutkimus digitalisaatiotarpeista (kuten sovellukset, urheiluliitot, urheilulääketiede, terveyttä edistävä liikunta ja antidoping) urheilualan digitalisointia varten.</w:t>
            </w:r>
          </w:p>
        </w:tc>
      </w:tr>
      <w:tr w:rsidR="0065073E" w14:paraId="22C0CBB8" w14:textId="77777777">
        <w:trPr>
          <w:trHeight w:val="309"/>
        </w:trPr>
        <w:tc>
          <w:tcPr>
            <w:tcW w:w="703" w:type="dxa"/>
            <w:shd w:val="clear" w:color="auto" w:fill="C6EFCE"/>
            <w:noWrap/>
          </w:tcPr>
          <w:p w14:paraId="238CE4CC" w14:textId="77777777" w:rsidR="0065073E" w:rsidRDefault="000A0998">
            <w:pPr>
              <w:pStyle w:val="P68B1DB1-Normal12"/>
              <w:spacing w:after="0"/>
              <w:jc w:val="center"/>
              <w:rPr>
                <w:rFonts w:eastAsia="Times New Roman" w:cs="Times New Roman"/>
                <w:noProof/>
              </w:rPr>
            </w:pPr>
            <w:r>
              <w:rPr>
                <w:noProof/>
              </w:rPr>
              <w:t>371</w:t>
            </w:r>
          </w:p>
        </w:tc>
        <w:tc>
          <w:tcPr>
            <w:tcW w:w="845" w:type="dxa"/>
            <w:shd w:val="clear" w:color="auto" w:fill="C6EFCE"/>
            <w:noWrap/>
          </w:tcPr>
          <w:p w14:paraId="6F323562" w14:textId="77777777" w:rsidR="0065073E" w:rsidRDefault="000A0998">
            <w:pPr>
              <w:pStyle w:val="P68B1DB1-Normal12"/>
              <w:spacing w:after="0"/>
              <w:jc w:val="center"/>
              <w:rPr>
                <w:rFonts w:eastAsia="Times New Roman" w:cs="Times New Roman"/>
                <w:noProof/>
              </w:rPr>
            </w:pPr>
            <w:r>
              <w:rPr>
                <w:noProof/>
              </w:rPr>
              <w:t>C26.I1</w:t>
            </w:r>
          </w:p>
        </w:tc>
        <w:tc>
          <w:tcPr>
            <w:tcW w:w="844" w:type="dxa"/>
            <w:shd w:val="clear" w:color="auto" w:fill="C6EFCE"/>
            <w:noWrap/>
          </w:tcPr>
          <w:p w14:paraId="7436D12E" w14:textId="77777777" w:rsidR="0065073E" w:rsidRDefault="000A0998">
            <w:pPr>
              <w:pStyle w:val="P68B1DB1-Normal12"/>
              <w:spacing w:after="0"/>
              <w:jc w:val="center"/>
              <w:rPr>
                <w:rFonts w:eastAsia="Times New Roman" w:cs="Times New Roman"/>
                <w:noProof/>
              </w:rPr>
            </w:pPr>
            <w:r>
              <w:rPr>
                <w:noProof/>
              </w:rPr>
              <w:t>T</w:t>
            </w:r>
          </w:p>
        </w:tc>
        <w:tc>
          <w:tcPr>
            <w:tcW w:w="2533" w:type="dxa"/>
            <w:shd w:val="clear" w:color="auto" w:fill="C6EFCE"/>
            <w:noWrap/>
          </w:tcPr>
          <w:p w14:paraId="7603D728" w14:textId="77777777" w:rsidR="0065073E" w:rsidRDefault="000A0998">
            <w:pPr>
              <w:pStyle w:val="P68B1DB1-Normal12"/>
              <w:spacing w:after="0"/>
              <w:rPr>
                <w:rFonts w:eastAsia="Times New Roman" w:cs="Times New Roman"/>
                <w:noProof/>
              </w:rPr>
            </w:pPr>
            <w:r>
              <w:rPr>
                <w:noProof/>
              </w:rPr>
              <w:t xml:space="preserve">Urheilulääketieteen keskukset </w:t>
            </w:r>
          </w:p>
        </w:tc>
        <w:tc>
          <w:tcPr>
            <w:tcW w:w="1407" w:type="dxa"/>
            <w:shd w:val="clear" w:color="auto" w:fill="C6EFCE"/>
            <w:noWrap/>
          </w:tcPr>
          <w:p w14:paraId="0C6206B5" w14:textId="77777777" w:rsidR="0065073E" w:rsidRDefault="000A0998">
            <w:pPr>
              <w:pStyle w:val="P68B1DB1-Normal12"/>
              <w:spacing w:after="0"/>
              <w:jc w:val="center"/>
              <w:rPr>
                <w:rFonts w:eastAsia="Times New Roman" w:cs="Times New Roman"/>
                <w:noProof/>
              </w:rPr>
            </w:pPr>
            <w:r>
              <w:rPr>
                <w:noProof/>
              </w:rPr>
              <w:t>—</w:t>
            </w:r>
          </w:p>
        </w:tc>
        <w:tc>
          <w:tcPr>
            <w:tcW w:w="986" w:type="dxa"/>
            <w:shd w:val="clear" w:color="auto" w:fill="C6EFCE"/>
            <w:noWrap/>
          </w:tcPr>
          <w:p w14:paraId="27A7F3E5" w14:textId="77777777" w:rsidR="0065073E" w:rsidRDefault="000A0998">
            <w:pPr>
              <w:pStyle w:val="P68B1DB1-Normal12"/>
              <w:spacing w:after="0"/>
              <w:jc w:val="center"/>
              <w:rPr>
                <w:rFonts w:eastAsia="Times New Roman" w:cs="Times New Roman"/>
                <w:noProof/>
              </w:rPr>
            </w:pPr>
            <w:r>
              <w:rPr>
                <w:noProof/>
              </w:rPr>
              <w:t>Määrä</w:t>
            </w:r>
          </w:p>
        </w:tc>
        <w:tc>
          <w:tcPr>
            <w:tcW w:w="1266" w:type="dxa"/>
            <w:shd w:val="clear" w:color="auto" w:fill="C6EFCE"/>
            <w:noWrap/>
          </w:tcPr>
          <w:p w14:paraId="71445D1F" w14:textId="77777777" w:rsidR="0065073E" w:rsidRDefault="000A0998">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66B572A8" w14:textId="77777777" w:rsidR="0065073E" w:rsidRDefault="000A0998">
            <w:pPr>
              <w:pStyle w:val="P68B1DB1-Normal12"/>
              <w:spacing w:after="0"/>
              <w:jc w:val="right"/>
              <w:rPr>
                <w:rFonts w:eastAsia="Times New Roman" w:cs="Times New Roman"/>
                <w:noProof/>
              </w:rPr>
            </w:pPr>
            <w:r>
              <w:rPr>
                <w:noProof/>
              </w:rPr>
              <w:t>20</w:t>
            </w:r>
          </w:p>
        </w:tc>
        <w:tc>
          <w:tcPr>
            <w:tcW w:w="422" w:type="dxa"/>
            <w:shd w:val="clear" w:color="auto" w:fill="C6EFCE"/>
            <w:noWrap/>
          </w:tcPr>
          <w:p w14:paraId="59FC95BC"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4A092D0E" w14:textId="77777777" w:rsidR="0065073E" w:rsidRDefault="000A0998">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5D12512B" w14:textId="77777777" w:rsidR="0065073E" w:rsidRDefault="000A0998">
            <w:pPr>
              <w:pStyle w:val="P68B1DB1-Normal12"/>
              <w:spacing w:after="0"/>
              <w:rPr>
                <w:rFonts w:eastAsia="Times New Roman" w:cs="Times New Roman"/>
                <w:noProof/>
              </w:rPr>
            </w:pPr>
            <w:r>
              <w:rPr>
                <w:noProof/>
              </w:rPr>
              <w:t xml:space="preserve">Vähintään 20:n 23:sta urheilulääketieteen keskuksesta on käytettävä uutta tietotekniikkaa. </w:t>
            </w:r>
          </w:p>
        </w:tc>
      </w:tr>
      <w:tr w:rsidR="0065073E" w14:paraId="536BCA59" w14:textId="77777777">
        <w:trPr>
          <w:trHeight w:val="309"/>
        </w:trPr>
        <w:tc>
          <w:tcPr>
            <w:tcW w:w="703" w:type="dxa"/>
            <w:shd w:val="clear" w:color="auto" w:fill="C6EFCE"/>
            <w:noWrap/>
          </w:tcPr>
          <w:p w14:paraId="5954174D" w14:textId="77777777" w:rsidR="0065073E" w:rsidRDefault="000A0998">
            <w:pPr>
              <w:pStyle w:val="P68B1DB1-Normal12"/>
              <w:spacing w:after="0"/>
              <w:jc w:val="center"/>
              <w:rPr>
                <w:rFonts w:eastAsia="Times New Roman" w:cs="Times New Roman"/>
                <w:noProof/>
              </w:rPr>
            </w:pPr>
            <w:r>
              <w:rPr>
                <w:noProof/>
              </w:rPr>
              <w:t>372</w:t>
            </w:r>
          </w:p>
        </w:tc>
        <w:tc>
          <w:tcPr>
            <w:tcW w:w="845" w:type="dxa"/>
            <w:shd w:val="clear" w:color="auto" w:fill="C6EFCE"/>
            <w:noWrap/>
          </w:tcPr>
          <w:p w14:paraId="0A0ECD6D" w14:textId="77777777" w:rsidR="0065073E" w:rsidRDefault="000A0998">
            <w:pPr>
              <w:pStyle w:val="P68B1DB1-Normal12"/>
              <w:spacing w:after="0"/>
              <w:jc w:val="center"/>
              <w:rPr>
                <w:rFonts w:eastAsia="Times New Roman" w:cs="Times New Roman"/>
                <w:noProof/>
              </w:rPr>
            </w:pPr>
            <w:r>
              <w:rPr>
                <w:noProof/>
              </w:rPr>
              <w:t>C26.I1</w:t>
            </w:r>
          </w:p>
        </w:tc>
        <w:tc>
          <w:tcPr>
            <w:tcW w:w="844" w:type="dxa"/>
            <w:shd w:val="clear" w:color="auto" w:fill="C6EFCE"/>
            <w:noWrap/>
          </w:tcPr>
          <w:p w14:paraId="74EB8A03"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0B1A96DF" w14:textId="77777777" w:rsidR="0065073E" w:rsidRDefault="000A0998">
            <w:pPr>
              <w:pStyle w:val="P68B1DB1-Normal12"/>
              <w:spacing w:after="0"/>
              <w:rPr>
                <w:rFonts w:eastAsia="Times New Roman" w:cs="Times New Roman"/>
                <w:noProof/>
              </w:rPr>
            </w:pPr>
            <w:r>
              <w:rPr>
                <w:noProof/>
              </w:rPr>
              <w:t>Tietotekniikkahankkeiden loppuun saattaminen korkean suorituskyvyn keskuksissa ja antidopinghallinnossa</w:t>
            </w:r>
          </w:p>
        </w:tc>
        <w:tc>
          <w:tcPr>
            <w:tcW w:w="1407" w:type="dxa"/>
            <w:shd w:val="clear" w:color="auto" w:fill="C6EFCE"/>
            <w:noWrap/>
          </w:tcPr>
          <w:p w14:paraId="161A8D34" w14:textId="77777777" w:rsidR="0065073E" w:rsidRDefault="000A0998">
            <w:pPr>
              <w:pStyle w:val="P68B1DB1-Normal12"/>
              <w:spacing w:after="0"/>
              <w:jc w:val="center"/>
              <w:rPr>
                <w:rFonts w:eastAsia="Times New Roman" w:cs="Times New Roman"/>
                <w:noProof/>
              </w:rPr>
            </w:pPr>
            <w:r>
              <w:rPr>
                <w:noProof/>
              </w:rPr>
              <w:t xml:space="preserve">Tietojen kerääminen suurtehokeskuksilta; AD-valvontasovelluksen testauksen aloittaminen </w:t>
            </w:r>
          </w:p>
        </w:tc>
        <w:tc>
          <w:tcPr>
            <w:tcW w:w="986" w:type="dxa"/>
            <w:shd w:val="clear" w:color="auto" w:fill="C6EFCE"/>
            <w:noWrap/>
          </w:tcPr>
          <w:p w14:paraId="13A7D378"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28685253" w14:textId="77777777" w:rsidR="0065073E" w:rsidRDefault="000A0998">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452B08AD" w14:textId="77777777" w:rsidR="0065073E" w:rsidRDefault="000A0998">
            <w:pPr>
              <w:pStyle w:val="P68B1DB1-Normal12"/>
              <w:spacing w:after="0"/>
              <w:rPr>
                <w:rFonts w:eastAsia="Times New Roman" w:cs="Times New Roman"/>
                <w:noProof/>
              </w:rPr>
            </w:pPr>
            <w:r>
              <w:rPr>
                <w:noProof/>
              </w:rPr>
              <w:t xml:space="preserve"> </w:t>
            </w:r>
          </w:p>
        </w:tc>
        <w:tc>
          <w:tcPr>
            <w:tcW w:w="422" w:type="dxa"/>
            <w:shd w:val="clear" w:color="auto" w:fill="C6EFCE"/>
            <w:noWrap/>
          </w:tcPr>
          <w:p w14:paraId="1EF8BC7A" w14:textId="179EC2AE" w:rsidR="0065073E" w:rsidRDefault="000A0998">
            <w:pPr>
              <w:pStyle w:val="P68B1DB1-Normal12"/>
              <w:spacing w:after="0"/>
              <w:jc w:val="center"/>
              <w:rPr>
                <w:rFonts w:eastAsia="Times New Roman" w:cs="Times New Roman"/>
                <w:noProof/>
              </w:rPr>
            </w:pPr>
            <w:r>
              <w:rPr>
                <w:noProof/>
              </w:rPr>
              <w:t>KYSYMYS</w:t>
            </w:r>
            <w:r>
              <w:rPr>
                <w:noProof/>
                <w:shd w:val="clear" w:color="auto" w:fill="E6E6E6"/>
              </w:rPr>
              <w:t>3</w:t>
            </w:r>
          </w:p>
        </w:tc>
        <w:tc>
          <w:tcPr>
            <w:tcW w:w="563" w:type="dxa"/>
            <w:shd w:val="clear" w:color="auto" w:fill="C6EFCE"/>
            <w:noWrap/>
          </w:tcPr>
          <w:p w14:paraId="47634FD0" w14:textId="409F507F" w:rsidR="0065073E" w:rsidRDefault="000A0998">
            <w:pPr>
              <w:pStyle w:val="P68B1DB1-Normal12"/>
              <w:spacing w:after="0"/>
              <w:jc w:val="center"/>
              <w:rPr>
                <w:rFonts w:eastAsia="Segoe UI" w:cs="Times New Roman"/>
                <w:noProof/>
              </w:rPr>
            </w:pPr>
            <w:r>
              <w:rPr>
                <w:noProof/>
              </w:rPr>
              <w:t>202</w:t>
            </w:r>
            <w:r>
              <w:rPr>
                <w:noProof/>
                <w:shd w:val="clear" w:color="auto" w:fill="E6E6E6"/>
              </w:rPr>
              <w:t>5</w:t>
            </w:r>
          </w:p>
        </w:tc>
        <w:tc>
          <w:tcPr>
            <w:tcW w:w="4783" w:type="dxa"/>
            <w:gridSpan w:val="2"/>
            <w:shd w:val="clear" w:color="auto" w:fill="C6EFCE"/>
            <w:noWrap/>
          </w:tcPr>
          <w:p w14:paraId="47F9C0F1" w14:textId="77777777" w:rsidR="0065073E" w:rsidRDefault="000A0998">
            <w:pPr>
              <w:pStyle w:val="P68B1DB1-Normal12"/>
              <w:spacing w:after="0"/>
              <w:rPr>
                <w:rFonts w:eastAsia="Times New Roman" w:cs="Times New Roman"/>
                <w:noProof/>
              </w:rPr>
            </w:pPr>
            <w:r>
              <w:rPr>
                <w:noProof/>
              </w:rPr>
              <w:t xml:space="preserve">Tietotekniikkajärjestelmien kehittäminen (mukaan lukien esineiden internet) korkean suorituskyvyn keskuksissa. Sähköisen toimiston perustaminen antidopinghallintoon, mukaan lukien ”paperiton” AD-valvontajärjestelmä. </w:t>
            </w:r>
          </w:p>
        </w:tc>
      </w:tr>
      <w:tr w:rsidR="0065073E" w14:paraId="40394112" w14:textId="77777777">
        <w:trPr>
          <w:trHeight w:val="309"/>
        </w:trPr>
        <w:tc>
          <w:tcPr>
            <w:tcW w:w="703" w:type="dxa"/>
            <w:shd w:val="clear" w:color="auto" w:fill="C6EFCE"/>
            <w:noWrap/>
          </w:tcPr>
          <w:p w14:paraId="693E8847" w14:textId="77777777" w:rsidR="0065073E" w:rsidRDefault="000A0998">
            <w:pPr>
              <w:pStyle w:val="P68B1DB1-Normal12"/>
              <w:spacing w:after="0"/>
              <w:jc w:val="center"/>
              <w:rPr>
                <w:rFonts w:eastAsia="Times New Roman" w:cs="Times New Roman"/>
                <w:noProof/>
              </w:rPr>
            </w:pPr>
            <w:r>
              <w:rPr>
                <w:noProof/>
              </w:rPr>
              <w:t>373</w:t>
            </w:r>
          </w:p>
        </w:tc>
        <w:tc>
          <w:tcPr>
            <w:tcW w:w="845" w:type="dxa"/>
            <w:shd w:val="clear" w:color="auto" w:fill="C6EFCE"/>
            <w:noWrap/>
          </w:tcPr>
          <w:p w14:paraId="1EFF04BB" w14:textId="77777777" w:rsidR="0065073E" w:rsidRDefault="000A0998">
            <w:pPr>
              <w:pStyle w:val="P68B1DB1-Normal12"/>
              <w:spacing w:after="0"/>
              <w:jc w:val="center"/>
              <w:rPr>
                <w:rFonts w:eastAsia="Times New Roman" w:cs="Times New Roman"/>
                <w:noProof/>
              </w:rPr>
            </w:pPr>
            <w:r>
              <w:rPr>
                <w:noProof/>
              </w:rPr>
              <w:t>C26.I2</w:t>
            </w:r>
          </w:p>
        </w:tc>
        <w:tc>
          <w:tcPr>
            <w:tcW w:w="844" w:type="dxa"/>
            <w:shd w:val="clear" w:color="auto" w:fill="C6EFCE"/>
            <w:noWrap/>
          </w:tcPr>
          <w:p w14:paraId="386533DB" w14:textId="77777777" w:rsidR="0065073E" w:rsidRDefault="000A0998">
            <w:pPr>
              <w:pStyle w:val="P68B1DB1-Normal12"/>
              <w:spacing w:after="0"/>
              <w:jc w:val="center"/>
              <w:rPr>
                <w:rFonts w:eastAsia="Times New Roman" w:cs="Times New Roman"/>
                <w:noProof/>
              </w:rPr>
            </w:pPr>
            <w:r>
              <w:rPr>
                <w:noProof/>
              </w:rPr>
              <w:t>T</w:t>
            </w:r>
          </w:p>
        </w:tc>
        <w:tc>
          <w:tcPr>
            <w:tcW w:w="2533" w:type="dxa"/>
            <w:shd w:val="clear" w:color="auto" w:fill="C6EFCE"/>
            <w:noWrap/>
          </w:tcPr>
          <w:p w14:paraId="1D831BB2" w14:textId="77777777" w:rsidR="0065073E" w:rsidRDefault="000A0998">
            <w:pPr>
              <w:pStyle w:val="P68B1DB1-Normal12"/>
              <w:spacing w:after="0"/>
              <w:rPr>
                <w:rFonts w:eastAsia="Times New Roman" w:cs="Times New Roman"/>
                <w:noProof/>
              </w:rPr>
            </w:pPr>
            <w:r>
              <w:rPr>
                <w:noProof/>
              </w:rPr>
              <w:t xml:space="preserve">Urheilu- ja urheilulaitosten teknisten keskusten kunnostaminen ja parantaminen </w:t>
            </w:r>
          </w:p>
        </w:tc>
        <w:tc>
          <w:tcPr>
            <w:tcW w:w="1407" w:type="dxa"/>
            <w:shd w:val="clear" w:color="auto" w:fill="C6EFCE"/>
            <w:noWrap/>
          </w:tcPr>
          <w:p w14:paraId="49CA4BE9" w14:textId="77777777" w:rsidR="0065073E" w:rsidRDefault="000A0998">
            <w:pPr>
              <w:pStyle w:val="P68B1DB1-Normal12"/>
              <w:spacing w:after="0"/>
              <w:jc w:val="center"/>
              <w:rPr>
                <w:rFonts w:eastAsia="Times New Roman" w:cs="Times New Roman"/>
                <w:noProof/>
              </w:rPr>
            </w:pPr>
            <w:r>
              <w:rPr>
                <w:noProof/>
              </w:rPr>
              <w:t xml:space="preserve"> </w:t>
            </w:r>
          </w:p>
        </w:tc>
        <w:tc>
          <w:tcPr>
            <w:tcW w:w="986" w:type="dxa"/>
            <w:shd w:val="clear" w:color="auto" w:fill="C6EFCE"/>
            <w:noWrap/>
          </w:tcPr>
          <w:p w14:paraId="70CF1816" w14:textId="77777777" w:rsidR="0065073E" w:rsidRDefault="000A0998">
            <w:pPr>
              <w:pStyle w:val="P68B1DB1-Normal12"/>
              <w:spacing w:after="0"/>
              <w:jc w:val="center"/>
              <w:rPr>
                <w:rFonts w:eastAsia="Times New Roman" w:cs="Times New Roman"/>
                <w:noProof/>
              </w:rPr>
            </w:pPr>
            <w:r>
              <w:rPr>
                <w:noProof/>
              </w:rPr>
              <w:t>Määrä</w:t>
            </w:r>
          </w:p>
        </w:tc>
        <w:tc>
          <w:tcPr>
            <w:tcW w:w="1266" w:type="dxa"/>
            <w:shd w:val="clear" w:color="auto" w:fill="C6EFCE"/>
            <w:noWrap/>
          </w:tcPr>
          <w:p w14:paraId="53DBFA27" w14:textId="77777777" w:rsidR="0065073E" w:rsidRDefault="000A0998">
            <w:pPr>
              <w:pStyle w:val="P68B1DB1-Normal12"/>
              <w:spacing w:after="0"/>
              <w:jc w:val="right"/>
              <w:rPr>
                <w:rFonts w:eastAsia="Times New Roman" w:cs="Times New Roman"/>
                <w:noProof/>
              </w:rPr>
            </w:pPr>
            <w:r>
              <w:rPr>
                <w:noProof/>
              </w:rPr>
              <w:t>0</w:t>
            </w:r>
          </w:p>
        </w:tc>
        <w:tc>
          <w:tcPr>
            <w:tcW w:w="845" w:type="dxa"/>
            <w:shd w:val="clear" w:color="auto" w:fill="C6EFCE"/>
            <w:noWrap/>
          </w:tcPr>
          <w:p w14:paraId="3918953E" w14:textId="77777777" w:rsidR="0065073E" w:rsidRDefault="000A0998">
            <w:pPr>
              <w:pStyle w:val="P68B1DB1-Normal12"/>
              <w:spacing w:after="0"/>
              <w:jc w:val="right"/>
              <w:rPr>
                <w:rFonts w:eastAsia="Times New Roman" w:cs="Times New Roman"/>
                <w:noProof/>
              </w:rPr>
            </w:pPr>
            <w:r>
              <w:rPr>
                <w:noProof/>
              </w:rPr>
              <w:t>95</w:t>
            </w:r>
          </w:p>
        </w:tc>
        <w:tc>
          <w:tcPr>
            <w:tcW w:w="422" w:type="dxa"/>
            <w:shd w:val="clear" w:color="auto" w:fill="C6EFCE"/>
            <w:noWrap/>
          </w:tcPr>
          <w:p w14:paraId="7F2234A6"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5E4ACF4C" w14:textId="77777777" w:rsidR="0065073E" w:rsidRDefault="000A0998">
            <w:pPr>
              <w:pStyle w:val="P68B1DB1-Normal12"/>
              <w:spacing w:after="0"/>
              <w:jc w:val="center"/>
              <w:rPr>
                <w:rFonts w:eastAsia="Times New Roman" w:cs="Times New Roman"/>
                <w:noProof/>
              </w:rPr>
            </w:pPr>
            <w:r>
              <w:rPr>
                <w:noProof/>
              </w:rPr>
              <w:t>2025</w:t>
            </w:r>
          </w:p>
        </w:tc>
        <w:tc>
          <w:tcPr>
            <w:tcW w:w="4783" w:type="dxa"/>
            <w:gridSpan w:val="2"/>
            <w:shd w:val="clear" w:color="auto" w:fill="C6EFCE"/>
            <w:noWrap/>
          </w:tcPr>
          <w:p w14:paraId="76FF6E59" w14:textId="3ADFF652" w:rsidR="0065073E" w:rsidRDefault="000A0998">
            <w:pPr>
              <w:pStyle w:val="P68B1DB1-Normal12"/>
              <w:spacing w:after="0"/>
              <w:rPr>
                <w:rFonts w:eastAsia="Times New Roman" w:cs="Times New Roman"/>
                <w:noProof/>
              </w:rPr>
            </w:pPr>
            <w:r>
              <w:rPr>
                <w:noProof/>
              </w:rPr>
              <w:t>Vähintään 40 teknistä keskusta ja 45 urheilulaitosta on kunnostettu, ja niiden on parannettava energiatehokkuutta ja/tai optimoitava käyttö digitalisaation avulla ja/tai parannettava esteettömyyttä. Rakennusurakan valmistumisen tarkastamisessa käytetään rakennusurakan valmistumistodistuksia. Energiatehokkuustoimilla on vähennettävä primäärienergian kysyntää keskimäärin vähintään 30 prosentilla.  Luettelo laitoksista on julkistettava.</w:t>
            </w:r>
          </w:p>
        </w:tc>
      </w:tr>
      <w:tr w:rsidR="0065073E" w14:paraId="4BDA43E6" w14:textId="77777777">
        <w:trPr>
          <w:trHeight w:val="309"/>
        </w:trPr>
        <w:tc>
          <w:tcPr>
            <w:tcW w:w="703" w:type="dxa"/>
            <w:shd w:val="clear" w:color="auto" w:fill="C6EFCE"/>
            <w:noWrap/>
          </w:tcPr>
          <w:p w14:paraId="6F822960" w14:textId="77777777" w:rsidR="0065073E" w:rsidRDefault="000A0998">
            <w:pPr>
              <w:pStyle w:val="P68B1DB1-Normal12"/>
              <w:spacing w:after="0"/>
              <w:jc w:val="center"/>
              <w:rPr>
                <w:rFonts w:eastAsia="Times New Roman" w:cs="Times New Roman"/>
                <w:noProof/>
              </w:rPr>
            </w:pPr>
            <w:r>
              <w:rPr>
                <w:noProof/>
              </w:rPr>
              <w:t>374</w:t>
            </w:r>
          </w:p>
        </w:tc>
        <w:tc>
          <w:tcPr>
            <w:tcW w:w="845" w:type="dxa"/>
            <w:shd w:val="clear" w:color="auto" w:fill="C6EFCE"/>
            <w:noWrap/>
          </w:tcPr>
          <w:p w14:paraId="6F7A3FE8" w14:textId="77777777" w:rsidR="0065073E" w:rsidRDefault="000A0998">
            <w:pPr>
              <w:pStyle w:val="P68B1DB1-Normal12"/>
              <w:spacing w:after="0"/>
              <w:jc w:val="center"/>
              <w:rPr>
                <w:rFonts w:eastAsia="Times New Roman" w:cs="Times New Roman"/>
                <w:noProof/>
              </w:rPr>
            </w:pPr>
            <w:r>
              <w:rPr>
                <w:noProof/>
              </w:rPr>
              <w:t>C26.I3</w:t>
            </w:r>
          </w:p>
        </w:tc>
        <w:tc>
          <w:tcPr>
            <w:tcW w:w="844" w:type="dxa"/>
            <w:shd w:val="clear" w:color="auto" w:fill="C6EFCE"/>
            <w:noWrap/>
          </w:tcPr>
          <w:p w14:paraId="3FF2A72F" w14:textId="77777777" w:rsidR="0065073E" w:rsidRDefault="000A0998">
            <w:pPr>
              <w:pStyle w:val="P68B1DB1-Normal12"/>
              <w:spacing w:after="0"/>
              <w:jc w:val="center"/>
              <w:rPr>
                <w:rFonts w:eastAsia="Times New Roman" w:cs="Times New Roman"/>
                <w:noProof/>
              </w:rPr>
            </w:pPr>
            <w:r>
              <w:rPr>
                <w:noProof/>
              </w:rPr>
              <w:t>M</w:t>
            </w:r>
          </w:p>
        </w:tc>
        <w:tc>
          <w:tcPr>
            <w:tcW w:w="2533" w:type="dxa"/>
            <w:shd w:val="clear" w:color="auto" w:fill="C6EFCE"/>
            <w:noWrap/>
          </w:tcPr>
          <w:p w14:paraId="5B04924F" w14:textId="77777777" w:rsidR="0065073E" w:rsidRDefault="000A0998">
            <w:pPr>
              <w:pStyle w:val="P68B1DB1-Normal12"/>
              <w:spacing w:after="0"/>
              <w:rPr>
                <w:rFonts w:eastAsia="Times New Roman" w:cs="Times New Roman"/>
                <w:noProof/>
              </w:rPr>
            </w:pPr>
            <w:r>
              <w:rPr>
                <w:noProof/>
              </w:rPr>
              <w:t xml:space="preserve">Hankkeet tasa-arvon edistämiseksi urheilussa </w:t>
            </w:r>
          </w:p>
        </w:tc>
        <w:tc>
          <w:tcPr>
            <w:tcW w:w="1407" w:type="dxa"/>
            <w:shd w:val="clear" w:color="auto" w:fill="C6EFCE"/>
            <w:noWrap/>
          </w:tcPr>
          <w:p w14:paraId="596DD18A" w14:textId="77777777" w:rsidR="0065073E" w:rsidRDefault="000A0998">
            <w:pPr>
              <w:pStyle w:val="P68B1DB1-Normal12"/>
              <w:spacing w:after="0"/>
              <w:jc w:val="center"/>
              <w:rPr>
                <w:rFonts w:eastAsia="Times New Roman" w:cs="Times New Roman"/>
                <w:noProof/>
              </w:rPr>
            </w:pPr>
            <w:r>
              <w:rPr>
                <w:noProof/>
              </w:rPr>
              <w:t>Julkaistu EUVL:ssä</w:t>
            </w:r>
          </w:p>
        </w:tc>
        <w:tc>
          <w:tcPr>
            <w:tcW w:w="986" w:type="dxa"/>
            <w:shd w:val="clear" w:color="auto" w:fill="C6EFCE"/>
            <w:noWrap/>
          </w:tcPr>
          <w:p w14:paraId="650C8A1A" w14:textId="77777777" w:rsidR="0065073E" w:rsidRDefault="000A0998">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2D1AE1A9" w14:textId="77777777" w:rsidR="0065073E" w:rsidRDefault="0065073E">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65073E" w:rsidRDefault="000A0998">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421965A5" w14:textId="77777777" w:rsidR="0065073E" w:rsidRDefault="000A0998">
            <w:pPr>
              <w:pStyle w:val="P68B1DB1-Normal12"/>
              <w:spacing w:after="0"/>
              <w:jc w:val="center"/>
              <w:rPr>
                <w:rFonts w:eastAsia="Times New Roman" w:cs="Times New Roman"/>
                <w:noProof/>
              </w:rPr>
            </w:pPr>
            <w:r>
              <w:rPr>
                <w:noProof/>
              </w:rPr>
              <w:t>TOINEN VUOSINELJÄNNES</w:t>
            </w:r>
          </w:p>
        </w:tc>
        <w:tc>
          <w:tcPr>
            <w:tcW w:w="563" w:type="dxa"/>
            <w:shd w:val="clear" w:color="auto" w:fill="C6EFCE"/>
            <w:noWrap/>
          </w:tcPr>
          <w:p w14:paraId="635D3B30" w14:textId="77777777" w:rsidR="0065073E" w:rsidRDefault="000A0998">
            <w:pPr>
              <w:pStyle w:val="P68B1DB1-Normal12"/>
              <w:spacing w:after="0"/>
              <w:jc w:val="center"/>
              <w:rPr>
                <w:rFonts w:eastAsia="Times New Roman" w:cs="Times New Roman"/>
                <w:noProof/>
              </w:rPr>
            </w:pPr>
            <w:r>
              <w:rPr>
                <w:noProof/>
              </w:rPr>
              <w:t>2022</w:t>
            </w:r>
          </w:p>
        </w:tc>
        <w:tc>
          <w:tcPr>
            <w:tcW w:w="4783" w:type="dxa"/>
            <w:gridSpan w:val="2"/>
            <w:shd w:val="clear" w:color="auto" w:fill="C6EFCE"/>
            <w:noWrap/>
          </w:tcPr>
          <w:p w14:paraId="0AB48EE3" w14:textId="77777777" w:rsidR="0065073E" w:rsidRDefault="000A0998">
            <w:pPr>
              <w:pStyle w:val="P68B1DB1-Normal12"/>
              <w:spacing w:after="0"/>
              <w:rPr>
                <w:rFonts w:eastAsia="Times New Roman" w:cs="Times New Roman"/>
                <w:noProof/>
              </w:rPr>
            </w:pPr>
            <w:r>
              <w:rPr>
                <w:noProof/>
              </w:rPr>
              <w:t>Arvopaperikeskus (kansallinen urheiluneuvosto) myöntää Euroopan unionin virallisessa lehdessä ehdotuspyynnön, jonka odotetaan valitsevan vähintään 15 edunsaajahanketta tasa-arvon edistämiseksi urheilussa erityisesti koulutuksen, naisurheilun ammattimaisuuden ja naisurheilun näkyvyyden avulla. Ehdotuspyynnön kumulatiivinen talousarvio on 11700000 euroa.</w:t>
            </w:r>
          </w:p>
        </w:tc>
      </w:tr>
      <w:tr w:rsidR="0065073E" w14:paraId="6370569A" w14:textId="77777777">
        <w:trPr>
          <w:trHeight w:val="309"/>
        </w:trPr>
        <w:tc>
          <w:tcPr>
            <w:tcW w:w="703" w:type="dxa"/>
            <w:shd w:val="clear" w:color="auto" w:fill="C6EFCE"/>
            <w:noWrap/>
          </w:tcPr>
          <w:p w14:paraId="0F6BB98E" w14:textId="77777777" w:rsidR="0065073E" w:rsidRDefault="000A0998">
            <w:pPr>
              <w:pStyle w:val="P68B1DB1-Normal12"/>
              <w:spacing w:after="0"/>
              <w:jc w:val="center"/>
              <w:rPr>
                <w:rFonts w:eastAsia="Times New Roman" w:cs="Times New Roman"/>
                <w:noProof/>
              </w:rPr>
            </w:pPr>
            <w:r>
              <w:rPr>
                <w:noProof/>
              </w:rPr>
              <w:t>375</w:t>
            </w:r>
          </w:p>
        </w:tc>
        <w:tc>
          <w:tcPr>
            <w:tcW w:w="845" w:type="dxa"/>
            <w:shd w:val="clear" w:color="auto" w:fill="C6EFCE"/>
            <w:noWrap/>
          </w:tcPr>
          <w:p w14:paraId="32BA3EC0" w14:textId="77777777" w:rsidR="0065073E" w:rsidRDefault="000A0998">
            <w:pPr>
              <w:pStyle w:val="P68B1DB1-Normal12"/>
              <w:spacing w:after="0"/>
              <w:jc w:val="center"/>
              <w:rPr>
                <w:rFonts w:eastAsia="Times New Roman" w:cs="Times New Roman"/>
                <w:noProof/>
              </w:rPr>
            </w:pPr>
            <w:r>
              <w:rPr>
                <w:noProof/>
              </w:rPr>
              <w:t>C26.I3</w:t>
            </w:r>
          </w:p>
        </w:tc>
        <w:tc>
          <w:tcPr>
            <w:tcW w:w="844" w:type="dxa"/>
            <w:shd w:val="clear" w:color="auto" w:fill="C6EFCE"/>
            <w:noWrap/>
          </w:tcPr>
          <w:p w14:paraId="2E060E23" w14:textId="77777777" w:rsidR="0065073E" w:rsidRDefault="000A0998">
            <w:pPr>
              <w:pStyle w:val="P68B1DB1-Normal12"/>
              <w:spacing w:after="0"/>
              <w:jc w:val="center"/>
              <w:rPr>
                <w:rFonts w:eastAsia="Times New Roman" w:cs="Times New Roman"/>
                <w:noProof/>
              </w:rPr>
            </w:pPr>
            <w:r>
              <w:rPr>
                <w:noProof/>
              </w:rPr>
              <w:t>T</w:t>
            </w:r>
          </w:p>
        </w:tc>
        <w:tc>
          <w:tcPr>
            <w:tcW w:w="2533" w:type="dxa"/>
            <w:shd w:val="clear" w:color="auto" w:fill="C6EFCE"/>
            <w:noWrap/>
          </w:tcPr>
          <w:p w14:paraId="39592C02" w14:textId="77777777" w:rsidR="0065073E" w:rsidRDefault="000A0998">
            <w:pPr>
              <w:pStyle w:val="P68B1DB1-Normal12"/>
              <w:spacing w:after="0"/>
              <w:rPr>
                <w:rFonts w:eastAsia="Times New Roman" w:cs="Times New Roman"/>
                <w:noProof/>
              </w:rPr>
            </w:pPr>
            <w:r>
              <w:rPr>
                <w:noProof/>
              </w:rPr>
              <w:t>Urheilun sosiaalisuunnitelman toimien loppuun saattaminen</w:t>
            </w:r>
          </w:p>
        </w:tc>
        <w:tc>
          <w:tcPr>
            <w:tcW w:w="1407" w:type="dxa"/>
            <w:shd w:val="clear" w:color="auto" w:fill="C6EFCE"/>
            <w:noWrap/>
          </w:tcPr>
          <w:p w14:paraId="2CFA13A8" w14:textId="77777777" w:rsidR="0065073E" w:rsidRDefault="000A0998">
            <w:pPr>
              <w:pStyle w:val="P68B1DB1-Normal12"/>
              <w:spacing w:after="0"/>
              <w:jc w:val="center"/>
              <w:rPr>
                <w:rFonts w:eastAsia="Times New Roman" w:cs="Times New Roman"/>
                <w:noProof/>
              </w:rPr>
            </w:pPr>
            <w:r>
              <w:rPr>
                <w:noProof/>
              </w:rPr>
              <w:t xml:space="preserve"> </w:t>
            </w:r>
          </w:p>
        </w:tc>
        <w:tc>
          <w:tcPr>
            <w:tcW w:w="986" w:type="dxa"/>
            <w:shd w:val="clear" w:color="auto" w:fill="C6EFCE"/>
            <w:noWrap/>
          </w:tcPr>
          <w:p w14:paraId="10D0E016" w14:textId="77777777" w:rsidR="0065073E" w:rsidRDefault="000A0998">
            <w:pPr>
              <w:pStyle w:val="P68B1DB1-Normal12"/>
              <w:spacing w:after="0"/>
              <w:jc w:val="center"/>
              <w:rPr>
                <w:rFonts w:eastAsia="Times New Roman" w:cs="Times New Roman"/>
                <w:noProof/>
              </w:rPr>
            </w:pPr>
            <w:r>
              <w:rPr>
                <w:noProof/>
              </w:rPr>
              <w:t>Määrä</w:t>
            </w:r>
          </w:p>
        </w:tc>
        <w:tc>
          <w:tcPr>
            <w:tcW w:w="1266" w:type="dxa"/>
            <w:shd w:val="clear" w:color="auto" w:fill="C6EFCE"/>
            <w:noWrap/>
          </w:tcPr>
          <w:p w14:paraId="38316D7B" w14:textId="77777777" w:rsidR="0065073E" w:rsidRDefault="000A0998">
            <w:pPr>
              <w:pStyle w:val="P68B1DB1-Normal12"/>
              <w:spacing w:after="0"/>
              <w:jc w:val="center"/>
              <w:rPr>
                <w:rFonts w:eastAsia="Times New Roman" w:cs="Times New Roman"/>
                <w:noProof/>
              </w:rPr>
            </w:pPr>
            <w:r>
              <w:rPr>
                <w:noProof/>
              </w:rPr>
              <w:t>0</w:t>
            </w:r>
          </w:p>
        </w:tc>
        <w:tc>
          <w:tcPr>
            <w:tcW w:w="845" w:type="dxa"/>
            <w:shd w:val="clear" w:color="auto" w:fill="C6EFCE"/>
            <w:noWrap/>
          </w:tcPr>
          <w:p w14:paraId="5B41D815" w14:textId="77777777" w:rsidR="0065073E" w:rsidRDefault="000A0998">
            <w:pPr>
              <w:pStyle w:val="P68B1DB1-Normal12"/>
              <w:spacing w:after="0"/>
              <w:jc w:val="center"/>
              <w:rPr>
                <w:rFonts w:eastAsia="Times New Roman" w:cs="Times New Roman"/>
                <w:noProof/>
              </w:rPr>
            </w:pPr>
            <w:r>
              <w:rPr>
                <w:noProof/>
              </w:rPr>
              <w:t>40</w:t>
            </w:r>
          </w:p>
        </w:tc>
        <w:tc>
          <w:tcPr>
            <w:tcW w:w="422" w:type="dxa"/>
            <w:shd w:val="clear" w:color="auto" w:fill="C6EFCE"/>
            <w:noWrap/>
          </w:tcPr>
          <w:p w14:paraId="080B73A6" w14:textId="77777777" w:rsidR="0065073E" w:rsidRDefault="000A0998">
            <w:pPr>
              <w:pStyle w:val="P68B1DB1-Normal12"/>
              <w:spacing w:after="0"/>
              <w:jc w:val="center"/>
              <w:rPr>
                <w:rFonts w:eastAsia="Times New Roman" w:cs="Times New Roman"/>
                <w:noProof/>
              </w:rPr>
            </w:pPr>
            <w:r>
              <w:rPr>
                <w:noProof/>
              </w:rPr>
              <w:t>Q4</w:t>
            </w:r>
          </w:p>
        </w:tc>
        <w:tc>
          <w:tcPr>
            <w:tcW w:w="563" w:type="dxa"/>
            <w:shd w:val="clear" w:color="auto" w:fill="C6EFCE"/>
            <w:noWrap/>
          </w:tcPr>
          <w:p w14:paraId="3A606EDD" w14:textId="77777777" w:rsidR="0065073E" w:rsidRDefault="000A0998">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2089D9AC" w14:textId="77777777" w:rsidR="0065073E" w:rsidRDefault="000A0998">
            <w:pPr>
              <w:pStyle w:val="P68B1DB1-Normal12"/>
              <w:spacing w:after="0"/>
              <w:rPr>
                <w:rFonts w:eastAsia="Times New Roman" w:cs="Times New Roman"/>
                <w:noProof/>
              </w:rPr>
            </w:pPr>
            <w:r>
              <w:rPr>
                <w:noProof/>
              </w:rPr>
              <w:t>Urheilun sosiaalisuunnitelman mukaisten toimien loppuun saattaminen, mukaan lukien vähintään 40 urheilukeskuksen kunnostaminen ja toimet, joilla edistetään naisten osallistumista ammattiurheiluun (koulutusohjelmat, markkinointikampanjat ja tutkimukset). Energiatehokkuustoimilla on vähennettävä primäärienergian kysyntää keskimäärin vähintään 30 prosentilla. Luettelo laitoksista on julkistettava.</w:t>
            </w:r>
          </w:p>
        </w:tc>
      </w:tr>
    </w:tbl>
    <w:p w14:paraId="67B737D8" w14:textId="77777777" w:rsidR="0065073E" w:rsidRDefault="0065073E">
      <w:pPr>
        <w:pStyle w:val="SectionTitle"/>
        <w:rPr>
          <w:rFonts w:ascii="Times New Roman" w:hAnsi="Times New Roman" w:cs="Times New Roman"/>
          <w:noProof/>
        </w:rPr>
        <w:sectPr w:rsidR="0065073E" w:rsidSect="00B511EF">
          <w:headerReference w:type="even" r:id="rId565"/>
          <w:headerReference w:type="default" r:id="rId566"/>
          <w:footerReference w:type="even" r:id="rId567"/>
          <w:footerReference w:type="default" r:id="rId568"/>
          <w:headerReference w:type="first" r:id="rId569"/>
          <w:footerReference w:type="first" r:id="rId570"/>
          <w:pgSz w:w="16839" w:h="11907" w:orient="landscape"/>
          <w:pgMar w:top="1134" w:right="1134" w:bottom="1134" w:left="1134" w:header="567" w:footer="567" w:gutter="0"/>
          <w:cols w:space="720"/>
          <w:docGrid w:linePitch="360"/>
        </w:sectPr>
      </w:pPr>
    </w:p>
    <w:p w14:paraId="7AE65ADE" w14:textId="77777777" w:rsidR="0065073E" w:rsidRDefault="000A0998">
      <w:pPr>
        <w:pStyle w:val="P68B1DB1-Heading12"/>
        <w:rPr>
          <w:rFonts w:cs="Times New Roman"/>
          <w:noProof/>
        </w:rPr>
      </w:pPr>
      <w:r>
        <w:rPr>
          <w:noProof/>
        </w:rPr>
        <w:t>AA. KOMPONENTTI 27: Toimenpiteet ja toimet veropetosten ehkäisemiseksi ja torjumiseksi</w:t>
      </w:r>
    </w:p>
    <w:p w14:paraId="7238EB16" w14:textId="77777777" w:rsidR="0065073E" w:rsidRDefault="000A0998">
      <w:pPr>
        <w:pStyle w:val="P68B1DB1-Text118"/>
        <w:ind w:left="0"/>
        <w:rPr>
          <w:rFonts w:cs="Times New Roman"/>
          <w:noProof/>
        </w:rPr>
      </w:pPr>
      <w:r>
        <w:rPr>
          <w:noProof/>
        </w:rPr>
        <w:t xml:space="preserve">Tällä Espanjan elpymis- ja palautumissuunnitelman osa-alueella vastataan veropetosten ja veronkierron ehkäisemiseen ja torjuntaan liittyviin haasteisiin. Komponentin tavoitteena on parantaa verosäännösten noudattamista ja kerätä lisää verotuloja. Komponentissa käsitellään muun muassa maakohtaisia suosituksia julkisen talouden ja julkisten hankintojen puitteiden vahvistamisesta kaikilla hallinnon tasoilla (maakohtainen suositus 1 2019) ja taloustilanteen salliessa finanssipolitiikan harjoittamista, jonka tavoitteena on saavuttaa maltillisella tasolla oleva julkisen talouden rahoitusasema keskipitkällä aikavälillä ja varmistaa velkakestävyys samalla kun kannustetaan investointeihin (maakohtainen suositus 1 2020). </w:t>
      </w:r>
    </w:p>
    <w:p w14:paraId="0C9F8F53" w14:textId="77777777" w:rsidR="0065073E" w:rsidRDefault="000A0998">
      <w:pPr>
        <w:pStyle w:val="P68B1DB1-Text118"/>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04A1F05" w14:textId="77777777" w:rsidR="0065073E" w:rsidRDefault="000A0998">
      <w:pPr>
        <w:pStyle w:val="Text1"/>
        <w:ind w:left="709"/>
        <w:rPr>
          <w:rFonts w:ascii="Times New Roman" w:hAnsi="Times New Roman" w:cs="Times New Roman"/>
          <w:b/>
          <w:i/>
          <w:noProof/>
        </w:rPr>
      </w:pPr>
      <w:r>
        <w:rPr>
          <w:rFonts w:ascii="Times New Roman" w:hAnsi="Times New Roman"/>
          <w:b/>
          <w:noProof/>
          <w:u w:val="single"/>
        </w:rPr>
        <w:t xml:space="preserve">AA.1. </w:t>
      </w:r>
      <w:r>
        <w:rPr>
          <w:noProof/>
        </w:rPr>
        <w:t></w:t>
      </w:r>
      <w:r>
        <w:rPr>
          <w:rFonts w:ascii="Times New Roman" w:hAnsi="Times New Roman"/>
          <w:b/>
          <w:noProof/>
          <w:u w:val="single"/>
        </w:rPr>
        <w:t>Kuvaus uudistuksista ja investoinneista, joita rahoitetaan rahoitustuella, jota ei makseta takaisin</w:t>
      </w:r>
    </w:p>
    <w:p w14:paraId="1694E1AE" w14:textId="77777777" w:rsidR="0065073E" w:rsidRDefault="000A0998">
      <w:pPr>
        <w:pStyle w:val="P68B1DB1-Normal5"/>
        <w:spacing w:before="120" w:after="120" w:line="240" w:lineRule="auto"/>
        <w:jc w:val="both"/>
        <w:rPr>
          <w:rFonts w:cs="Times New Roman"/>
          <w:noProof/>
        </w:rPr>
      </w:pPr>
      <w:r>
        <w:rPr>
          <w:noProof/>
        </w:rPr>
        <w:t>Uudistus 1 (C27.R1) – Petostentorjuntalain hyväksyminen</w:t>
      </w:r>
    </w:p>
    <w:p w14:paraId="68A28209" w14:textId="77777777" w:rsidR="0065073E" w:rsidRDefault="000A0998">
      <w:pPr>
        <w:pStyle w:val="P68B1DB1-Normal4"/>
        <w:spacing w:before="120" w:after="120" w:line="240" w:lineRule="auto"/>
        <w:jc w:val="both"/>
        <w:rPr>
          <w:rFonts w:cs="Times New Roman"/>
          <w:noProof/>
        </w:rPr>
      </w:pPr>
      <w:r>
        <w:rPr>
          <w:noProof/>
        </w:rPr>
        <w:t>Uudistuksen tavoitteena on tiukentaa sääntöjä, joilla torjutaan sisämarkkinoiden toimintaan suoraan vaikuttavia veronkiertokäytäntöjä, sekä muuttaa välillistä ja välitöntä verotusta, tiettyjä paikallishallinnon veroja ja rahapelisääntelyä. Uudistuksella asetukseen tehdään muutoksia, joiden tarkoituksena on vahvistaa verotuksen oikeudenmukaisuutta koskevat parametrit ja helpottaa toimia petosten ehkäisemiseksi ja torjumiseksi tehostamalla verovalvontaa.</w:t>
      </w:r>
    </w:p>
    <w:p w14:paraId="3D638B74" w14:textId="77777777" w:rsidR="0065073E" w:rsidRDefault="000A0998">
      <w:pPr>
        <w:pStyle w:val="P68B1DB1-Normal4"/>
        <w:spacing w:before="120" w:after="120" w:line="240" w:lineRule="auto"/>
        <w:jc w:val="both"/>
        <w:rPr>
          <w:rFonts w:cs="Times New Roman"/>
          <w:noProof/>
        </w:rPr>
      </w:pPr>
      <w:r>
        <w:rPr>
          <w:noProof/>
        </w:rPr>
        <w:t>Uudistus koostuu veronkierron ja petosten torjuntaa koskevan lain hyväksymisestä ja voimaantulosta.</w:t>
      </w:r>
    </w:p>
    <w:p w14:paraId="2EE9C878" w14:textId="77777777" w:rsidR="0065073E" w:rsidRDefault="000A0998">
      <w:pPr>
        <w:pStyle w:val="P68B1DB1-ListParagraph6"/>
        <w:numPr>
          <w:ilvl w:val="0"/>
          <w:numId w:val="162"/>
        </w:numPr>
        <w:spacing w:before="120" w:after="120" w:line="240" w:lineRule="auto"/>
        <w:jc w:val="both"/>
        <w:rPr>
          <w:rFonts w:cs="Times New Roman"/>
          <w:noProof/>
        </w:rPr>
      </w:pPr>
      <w:r>
        <w:rPr>
          <w:noProof/>
        </w:rPr>
        <w:t>Laajentaa sellaisten maksutapahtumien soveltamisalaa, joissa sähköiset maksut ovat sallittuja (allekirjoitukset ja ammattilaiset), ja asettaa laillisen kynnysarvon käteismaksuille;</w:t>
      </w:r>
    </w:p>
    <w:p w14:paraId="59BC6993" w14:textId="77777777" w:rsidR="0065073E" w:rsidRDefault="000A0998">
      <w:pPr>
        <w:pStyle w:val="P68B1DB1-ListParagraph6"/>
        <w:numPr>
          <w:ilvl w:val="0"/>
          <w:numId w:val="162"/>
        </w:numPr>
        <w:spacing w:before="120" w:after="120" w:line="240" w:lineRule="auto"/>
        <w:jc w:val="both"/>
        <w:rPr>
          <w:rFonts w:cs="Times New Roman"/>
          <w:noProof/>
        </w:rPr>
      </w:pPr>
      <w:r>
        <w:rPr>
          <w:noProof/>
        </w:rPr>
        <w:t>Päivitetään veroparatiisien luetteloa avoimuuden, verotuksen välttämisen ja haitallisten verojärjestelmien kriteerien mukaisesti;</w:t>
      </w:r>
    </w:p>
    <w:p w14:paraId="2C2B1F45" w14:textId="77777777" w:rsidR="0065073E" w:rsidRDefault="000A0998">
      <w:pPr>
        <w:pStyle w:val="P68B1DB1-ListParagraph6"/>
        <w:numPr>
          <w:ilvl w:val="0"/>
          <w:numId w:val="162"/>
        </w:numPr>
        <w:spacing w:before="120" w:after="120" w:line="240" w:lineRule="auto"/>
        <w:jc w:val="both"/>
        <w:rPr>
          <w:rFonts w:cs="Times New Roman"/>
          <w:noProof/>
        </w:rPr>
      </w:pPr>
      <w:r>
        <w:rPr>
          <w:noProof/>
        </w:rPr>
        <w:t>Toteuttaa muutoksia sääntöihin, jotka koskevat verorästien kantamista;</w:t>
      </w:r>
    </w:p>
    <w:p w14:paraId="0D5B5F01" w14:textId="77777777" w:rsidR="0065073E" w:rsidRDefault="000A0998">
      <w:pPr>
        <w:pStyle w:val="P68B1DB1-ListParagraph6"/>
        <w:numPr>
          <w:ilvl w:val="0"/>
          <w:numId w:val="162"/>
        </w:numPr>
        <w:spacing w:before="120" w:after="120" w:line="240" w:lineRule="auto"/>
        <w:jc w:val="both"/>
        <w:rPr>
          <w:rFonts w:cs="Times New Roman"/>
          <w:noProof/>
        </w:rPr>
      </w:pPr>
      <w:r>
        <w:rPr>
          <w:noProof/>
        </w:rPr>
        <w:t>Panee täytäntöön ”kaksikäyttöiset ohjelmistot” koskevan kiellon;</w:t>
      </w:r>
    </w:p>
    <w:p w14:paraId="0558610A" w14:textId="77777777" w:rsidR="0065073E" w:rsidRDefault="000A0998">
      <w:pPr>
        <w:pStyle w:val="P68B1DB1-ListParagraph6"/>
        <w:numPr>
          <w:ilvl w:val="0"/>
          <w:numId w:val="162"/>
        </w:numPr>
        <w:spacing w:before="120" w:after="120" w:line="240" w:lineRule="auto"/>
        <w:jc w:val="both"/>
        <w:rPr>
          <w:rFonts w:cs="Times New Roman"/>
          <w:noProof/>
        </w:rPr>
      </w:pPr>
      <w:r>
        <w:rPr>
          <w:noProof/>
        </w:rPr>
        <w:t>Otetaan käyttöön viitearvo kiinteistöverotuksessa veropohjalle.</w:t>
      </w:r>
    </w:p>
    <w:p w14:paraId="2A8F6E89" w14:textId="77777777" w:rsidR="0065073E" w:rsidRDefault="000A0998">
      <w:pPr>
        <w:pStyle w:val="P68B1DB1-Normal4"/>
        <w:spacing w:before="120" w:after="120" w:line="240" w:lineRule="auto"/>
        <w:jc w:val="both"/>
        <w:rPr>
          <w:rFonts w:cs="Times New Roman"/>
          <w:noProof/>
        </w:rPr>
      </w:pPr>
      <w:r>
        <w:rPr>
          <w:noProof/>
        </w:rPr>
        <w:t>Laki on hyväksyttävä viimeistään 30 päivänä kesäkuuta 2021. Laki tulee voimaan viimeistään 30. kesäkuuta 2022. Uudistuksen mukaan lakia arvioidaan alustavasti 31 päivään joulukuuta 2022 mennessä, ja arvioinnin perusteella siihen saatetaan tehdä muutoksia vuonna 2023.</w:t>
      </w:r>
    </w:p>
    <w:p w14:paraId="5B90568F" w14:textId="77777777" w:rsidR="0065073E" w:rsidRDefault="000A0998">
      <w:pPr>
        <w:pStyle w:val="P68B1DB1-Normal5"/>
        <w:spacing w:before="120" w:after="120" w:line="240" w:lineRule="auto"/>
        <w:jc w:val="both"/>
        <w:rPr>
          <w:rFonts w:cs="Times New Roman"/>
          <w:noProof/>
        </w:rPr>
      </w:pPr>
      <w:r>
        <w:rPr>
          <w:noProof/>
        </w:rPr>
        <w:t>Uudistus 2 (C27.R2) – Veroviraston nykyaikaistaminen</w:t>
      </w:r>
    </w:p>
    <w:p w14:paraId="4B558F27" w14:textId="77777777" w:rsidR="0065073E" w:rsidRDefault="000A0998">
      <w:pPr>
        <w:pStyle w:val="P68B1DB1-Normal4"/>
        <w:spacing w:before="120" w:after="120" w:line="240" w:lineRule="auto"/>
        <w:jc w:val="both"/>
        <w:rPr>
          <w:rFonts w:cs="Times New Roman"/>
          <w:noProof/>
        </w:rPr>
      </w:pPr>
      <w:r>
        <w:rPr>
          <w:noProof/>
        </w:rPr>
        <w:t xml:space="preserve">Verovirastolle annetaan tehtäväksi valtion verojärjestelmän ja tullijärjestelmän täytäntöönpano, ja se harjoittaa toimintaansa vuosien 2020–2023 strategisen suunnitelman puitteissa. Tätä strategista suunnitelmaa, joka perustuu laajalti tietotekniikkaratkaisujen käyttöön, tarkistetaan vuosittain sen varmistamiseksi, että se mukautetaan veropolitiikan uuteen kehitykseen, tietolähteisiin, veronmaksajien käyttäytymiseen ja teknologian kehitykseen. Uudistuksen tavoitteena on tukea vuosien 2020–2023 strategiasuunnitelman täytäntöönpanoa ja vuotuista uudelleentarkastelua. Suunnitelman tavoitteena on nykyaikaistaa viraston palvelujen tarjontaa veropetosten ja veronkierron vähentämiseksi. Uudistus 2 on tiiviissä vuorovaikutuksessa muiden tämän osa-alueen uudistusten kanssa. Uudistuksen on sisällettävä </w:t>
      </w:r>
    </w:p>
    <w:p w14:paraId="2C61B7E4" w14:textId="77777777" w:rsidR="0065073E" w:rsidRDefault="000A0998">
      <w:pPr>
        <w:pStyle w:val="P68B1DB1-ListParagraph6"/>
        <w:numPr>
          <w:ilvl w:val="0"/>
          <w:numId w:val="788"/>
        </w:numPr>
        <w:spacing w:before="120" w:after="120" w:line="240" w:lineRule="auto"/>
        <w:jc w:val="both"/>
        <w:rPr>
          <w:rFonts w:cs="Times New Roman"/>
          <w:noProof/>
        </w:rPr>
      </w:pPr>
      <w:r>
        <w:rPr>
          <w:noProof/>
        </w:rPr>
        <w:t xml:space="preserve">Lisätään verohallinnon henkilöresursseja sen keskipitkän aikavälin tarpeiden mukaisesti ja </w:t>
      </w:r>
    </w:p>
    <w:p w14:paraId="3BD86ECF" w14:textId="77777777" w:rsidR="0065073E" w:rsidRDefault="000A0998">
      <w:pPr>
        <w:pStyle w:val="P68B1DB1-ListParagraph6"/>
        <w:numPr>
          <w:ilvl w:val="0"/>
          <w:numId w:val="788"/>
        </w:numPr>
        <w:spacing w:before="120" w:after="120" w:line="240" w:lineRule="auto"/>
        <w:jc w:val="both"/>
        <w:rPr>
          <w:rFonts w:cs="Times New Roman"/>
          <w:noProof/>
        </w:rPr>
      </w:pPr>
      <w:r>
        <w:rPr>
          <w:noProof/>
        </w:rPr>
        <w:t xml:space="preserve">Viraston rakennusten uudelleentarkastelu teknologian nykyaikaistamiseksi ja energiatehokkuuden parantamiseksi. </w:t>
      </w:r>
    </w:p>
    <w:p w14:paraId="791FD1E3" w14:textId="77777777" w:rsidR="0065073E" w:rsidRDefault="000A0998">
      <w:pPr>
        <w:pStyle w:val="P68B1DB1-Normal4"/>
        <w:spacing w:before="120" w:after="120" w:line="240" w:lineRule="auto"/>
        <w:jc w:val="both"/>
        <w:rPr>
          <w:rFonts w:cs="Times New Roman"/>
          <w:noProof/>
        </w:rPr>
      </w:pPr>
      <w:r>
        <w:rPr>
          <w:noProof/>
        </w:rPr>
        <w:t>Uudistus on toteutettava 31 päivään joulukuuta 2023 mennessä.</w:t>
      </w:r>
    </w:p>
    <w:p w14:paraId="54C3F7BC" w14:textId="77777777" w:rsidR="0065073E" w:rsidRDefault="000A0998">
      <w:pPr>
        <w:pStyle w:val="P68B1DB1-Normal5"/>
        <w:spacing w:before="120" w:after="120" w:line="240" w:lineRule="auto"/>
        <w:jc w:val="both"/>
        <w:rPr>
          <w:rFonts w:cs="Times New Roman"/>
          <w:noProof/>
        </w:rPr>
      </w:pPr>
      <w:r>
        <w:rPr>
          <w:noProof/>
        </w:rPr>
        <w:t>Uudistus 3 (C27.R3) – Verovelvollisille annettavan avun lisääminen</w:t>
      </w:r>
    </w:p>
    <w:p w14:paraId="7D03D450" w14:textId="77777777" w:rsidR="0065073E" w:rsidRDefault="000A0998">
      <w:pPr>
        <w:pStyle w:val="P68B1DB1-Normal4"/>
        <w:spacing w:before="120" w:after="120" w:line="240" w:lineRule="auto"/>
        <w:jc w:val="both"/>
        <w:rPr>
          <w:rFonts w:cs="Times New Roman"/>
          <w:noProof/>
        </w:rPr>
      </w:pPr>
      <w:r>
        <w:rPr>
          <w:noProof/>
        </w:rPr>
        <w:t xml:space="preserve">Uudistuksen tavoitteena on parantaa veronmaksajille annettavaa apua. Keskeinen osa veroviraston strategiaa vuosiksi 2020–2023 on parantaa veronmaksajille tarjottavia palveluja lisäämällä sähköisten alustojen käyttöä (ns. integroitu digitaalinen hallinto). Uudistuksessa tarjotaan uusia palveluja, joilla helpotetaan yritys- ja henkilötuloverotusta sekä alv-verotusta. Uusia palveluja ovat muun muassa tehostetut viestintämenetelmät, neuvontapalvelut ja käyttäjätietojen, veroilmoitusten ja ilmoitusten käsittelyn tarkastelu. Tällaisten palvelujen tarjontaa on tarkoitus lisätä kolmessa vaiheessa vuosina 2021–2023. Tavoitteena on, että yhä useammat asiakkaat valitsevat asteittain sähköisten palvelujen käytön sen sijaan, että he kävisivät paikallisissa verotoimistoissa. Näillä toimenpiteillä virasto pyrkii helpottamaan asiakkaidensa verosäännösten noudattamista ja siten lisäämään verotuloja. </w:t>
      </w:r>
    </w:p>
    <w:p w14:paraId="16F50C48" w14:textId="77777777" w:rsidR="0065073E" w:rsidRDefault="000A0998">
      <w:pPr>
        <w:pStyle w:val="P68B1DB1-Normal4"/>
        <w:spacing w:before="120" w:after="120" w:line="240" w:lineRule="auto"/>
        <w:jc w:val="both"/>
        <w:rPr>
          <w:rFonts w:cs="Times New Roman"/>
          <w:noProof/>
        </w:rPr>
      </w:pPr>
      <w:r>
        <w:rPr>
          <w:noProof/>
        </w:rPr>
        <w:t>Uudistuksen toteutus on määrä saattaa päätökseen 31. joulukuuta 2023 mennessä.</w:t>
      </w:r>
    </w:p>
    <w:p w14:paraId="51E4EC83" w14:textId="77777777" w:rsidR="0065073E" w:rsidRDefault="000A0998">
      <w:pPr>
        <w:pStyle w:val="P68B1DB1-Normal5"/>
        <w:spacing w:before="120" w:after="120" w:line="240" w:lineRule="auto"/>
        <w:jc w:val="both"/>
        <w:rPr>
          <w:rFonts w:cs="Times New Roman"/>
          <w:noProof/>
        </w:rPr>
      </w:pPr>
      <w:r>
        <w:rPr>
          <w:noProof/>
        </w:rPr>
        <w:t>Uudistus 4 (C27.R4) – Kansainvälinen ulottuvuus</w:t>
      </w:r>
    </w:p>
    <w:p w14:paraId="56524CEF" w14:textId="77777777" w:rsidR="0065073E" w:rsidRDefault="000A0998">
      <w:pPr>
        <w:pStyle w:val="P68B1DB1-Normal4"/>
        <w:spacing w:before="120" w:after="120" w:line="240" w:lineRule="auto"/>
        <w:jc w:val="both"/>
        <w:rPr>
          <w:rFonts w:cs="Times New Roman"/>
          <w:noProof/>
        </w:rPr>
      </w:pPr>
      <w:r>
        <w:rPr>
          <w:noProof/>
        </w:rPr>
        <w:t xml:space="preserve">Uudistuksen tavoitteena on lisätä ja optimoida tietojärjestelmien käyttöä kansainvälisessä yhteistyössä veropetosten ja veronkierron torjumiseksi. Uudistuksessa, joka perustuu alan kansainvälisiin sopimuksiin, toteutetaan toimenpiteitä, joilla helpotetaan veronmaksajien verovelvoitteiden noudattamista (henkilötuloveroa koskevat tiedot mukaan luettuina), tehostetaan pimeän toiminnan ja harmaan talouden torjuntaa sekä tarkistetaan eri maista saatujen tietojen laatua ja hyödyllisyyttä. Nämä tavoitteet on tarkoitus saavuttaa käyttämällä kehittyneempiä tietojärjestelmiä ja ottamalla käyttöön verkkopalveluja veronmaksajille. </w:t>
      </w:r>
    </w:p>
    <w:p w14:paraId="2E5E4385" w14:textId="77777777" w:rsidR="0065073E" w:rsidRDefault="000A0998">
      <w:pPr>
        <w:pStyle w:val="P68B1DB1-Normal4"/>
        <w:spacing w:before="120" w:after="120" w:line="240" w:lineRule="auto"/>
        <w:jc w:val="both"/>
        <w:rPr>
          <w:rFonts w:cs="Times New Roman"/>
          <w:noProof/>
        </w:rPr>
      </w:pPr>
      <w:r>
        <w:rPr>
          <w:noProof/>
        </w:rPr>
        <w:t>Uudistus on pantava täytäntöön 31 päivään joulukuuta 2021 mennessä.</w:t>
      </w:r>
    </w:p>
    <w:p w14:paraId="7150FEDC" w14:textId="77777777" w:rsidR="0065073E" w:rsidRDefault="000A0998">
      <w:pPr>
        <w:pStyle w:val="P68B1DB1-Normal5"/>
        <w:spacing w:before="120" w:after="120" w:line="240" w:lineRule="auto"/>
        <w:jc w:val="both"/>
        <w:rPr>
          <w:rFonts w:cs="Times New Roman"/>
          <w:noProof/>
        </w:rPr>
      </w:pPr>
      <w:r>
        <w:rPr>
          <w:noProof/>
        </w:rPr>
        <w:t>Uudistus 5 (C27.R5) – osuustoimintamalli</w:t>
      </w:r>
    </w:p>
    <w:p w14:paraId="4B4E2AF1" w14:textId="77777777" w:rsidR="0065073E" w:rsidRDefault="000A0998">
      <w:pPr>
        <w:pStyle w:val="P68B1DB1-Normal4"/>
        <w:spacing w:before="120" w:after="120" w:line="240" w:lineRule="auto"/>
        <w:jc w:val="both"/>
        <w:rPr>
          <w:rFonts w:cs="Times New Roman"/>
          <w:noProof/>
        </w:rPr>
      </w:pPr>
      <w:r>
        <w:rPr>
          <w:noProof/>
        </w:rPr>
        <w:t>Uudistuksen tavoitteena on parantaa veroviraston suhteita sidosryhmiinsä, kuten suuryrityksiin, pk-yrityksiin, itsenäisiin ammatinharjoittajiin ja asiaankuuluviin yhdistyksiin sekä oikeusjärjestelmään, jotta verovelvoitteita voidaan noudattaa paremmin. Verovelvollisten osalta virasto pyrkii parantamaan yhteistyötä ja parantamaan sääntöjen noudattamista vapaaehtoisten verotuksen avoimuutta koskevien raporttien avulla. Yhteistyötä tuomareiden, syyttäjien ja tuomioistuinten kanssa odotetaan lisäävän verotutkintaa lisäämällä.</w:t>
      </w:r>
    </w:p>
    <w:p w14:paraId="10D2447B" w14:textId="77777777" w:rsidR="0065073E" w:rsidRDefault="000A0998">
      <w:pPr>
        <w:pStyle w:val="P68B1DB1-Normal4"/>
        <w:spacing w:before="120" w:after="120" w:line="240" w:lineRule="auto"/>
        <w:jc w:val="both"/>
        <w:rPr>
          <w:rFonts w:cs="Times New Roman"/>
          <w:noProof/>
        </w:rPr>
      </w:pPr>
      <w:r>
        <w:rPr>
          <w:noProof/>
        </w:rPr>
        <w:t>Uudistus on pantava täytäntöön 31 päivään joulukuuta 2021 mennessä.</w:t>
      </w:r>
    </w:p>
    <w:p w14:paraId="6D99EFDB"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AA.2. </w:t>
      </w:r>
      <w:r>
        <w:rPr>
          <w:noProof/>
        </w:rPr>
        <w:t></w:t>
      </w:r>
      <w:r>
        <w:rPr>
          <w:rFonts w:ascii="Times New Roman" w:hAnsi="Times New Roman"/>
          <w:b/>
          <w:noProof/>
          <w:u w:val="single"/>
        </w:rPr>
        <w:t>Seurantaa ja täytäntöönpanoa koskevat välitavoitteet, tavoitteet, indikaattorit ja aikataulu – rahoitustuki, jota ei makseta takaisin</w:t>
      </w:r>
    </w:p>
    <w:p w14:paraId="4593A835" w14:textId="77777777" w:rsidR="0065073E" w:rsidRDefault="000A0998">
      <w:pPr>
        <w:pStyle w:val="P68B1DB1-Normal4"/>
        <w:spacing w:before="120" w:after="120" w:line="240" w:lineRule="auto"/>
        <w:rPr>
          <w:rFonts w:cs="Times New Roman"/>
          <w:i/>
          <w:noProof/>
        </w:rPr>
        <w:sectPr w:rsidR="0065073E" w:rsidSect="00B511EF">
          <w:headerReference w:type="even" r:id="rId571"/>
          <w:headerReference w:type="default" r:id="rId572"/>
          <w:footerReference w:type="even" r:id="rId573"/>
          <w:footerReference w:type="default" r:id="rId574"/>
          <w:headerReference w:type="first" r:id="rId575"/>
          <w:footerReference w:type="first" r:id="rId576"/>
          <w:pgSz w:w="11907" w:h="16839"/>
          <w:pgMar w:top="1134" w:right="1134" w:bottom="1134" w:left="1134" w:header="567" w:footer="567" w:gutter="0"/>
          <w:cols w:space="720"/>
          <w:docGrid w:linePitch="360"/>
        </w:sect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836"/>
        <w:gridCol w:w="835"/>
        <w:gridCol w:w="2920"/>
        <w:gridCol w:w="1113"/>
        <w:gridCol w:w="836"/>
        <w:gridCol w:w="974"/>
        <w:gridCol w:w="697"/>
        <w:gridCol w:w="418"/>
        <w:gridCol w:w="697"/>
        <w:gridCol w:w="5032"/>
      </w:tblGrid>
      <w:tr w:rsidR="0065073E" w14:paraId="65222294" w14:textId="77777777">
        <w:trPr>
          <w:trHeight w:val="309"/>
          <w:tblHeader/>
        </w:trPr>
        <w:tc>
          <w:tcPr>
            <w:tcW w:w="709" w:type="dxa"/>
            <w:tcBorders>
              <w:bottom w:val="nil"/>
            </w:tcBorders>
            <w:shd w:val="clear" w:color="auto" w:fill="C6D9F1" w:themeFill="text2" w:themeFillTint="33"/>
            <w:noWrap/>
            <w:vAlign w:val="center"/>
          </w:tcPr>
          <w:p w14:paraId="4CA8D8A3" w14:textId="77777777" w:rsidR="0065073E" w:rsidRDefault="000A0998">
            <w:pPr>
              <w:pStyle w:val="P68B1DB1-Normal8"/>
              <w:spacing w:after="0"/>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48BC7D3" w14:textId="77777777" w:rsidR="0065073E" w:rsidRDefault="000A0998">
            <w:pPr>
              <w:pStyle w:val="P68B1DB1-Normal8"/>
              <w:spacing w:after="0"/>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017D9EA1"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977" w:type="dxa"/>
            <w:tcBorders>
              <w:bottom w:val="nil"/>
            </w:tcBorders>
            <w:shd w:val="clear" w:color="auto" w:fill="C6D9F1" w:themeFill="text2" w:themeFillTint="33"/>
            <w:noWrap/>
            <w:vAlign w:val="center"/>
          </w:tcPr>
          <w:p w14:paraId="4B3B4A13" w14:textId="77777777" w:rsidR="0065073E" w:rsidRDefault="000A0998">
            <w:pPr>
              <w:pStyle w:val="P68B1DB1-Normal8"/>
              <w:spacing w:after="0"/>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3C958E99" w14:textId="77777777" w:rsidR="0065073E" w:rsidRDefault="000A0998">
            <w:pPr>
              <w:pStyle w:val="P68B1DB1-Normal8"/>
              <w:spacing w:after="0"/>
              <w:jc w:val="center"/>
              <w:rPr>
                <w:rFonts w:cs="Times New Roman"/>
                <w:noProof/>
              </w:rPr>
            </w:pPr>
            <w:r>
              <w:rPr>
                <w:noProof/>
              </w:rPr>
              <w:t>Välitavoitteiden laadullinen indikaattori</w:t>
            </w:r>
          </w:p>
        </w:tc>
        <w:tc>
          <w:tcPr>
            <w:tcW w:w="2268" w:type="dxa"/>
            <w:gridSpan w:val="3"/>
            <w:shd w:val="clear" w:color="auto" w:fill="C6D9F1" w:themeFill="text2" w:themeFillTint="33"/>
            <w:noWrap/>
            <w:vAlign w:val="center"/>
          </w:tcPr>
          <w:p w14:paraId="508C64C3" w14:textId="77777777" w:rsidR="0065073E" w:rsidRDefault="000A0998">
            <w:pPr>
              <w:pStyle w:val="P68B1DB1-Normal8"/>
              <w:spacing w:after="0"/>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35027D3C" w14:textId="77777777" w:rsidR="0065073E" w:rsidRDefault="000A0998">
            <w:pPr>
              <w:pStyle w:val="P68B1DB1-Normal8"/>
              <w:spacing w:after="0"/>
              <w:jc w:val="center"/>
              <w:rPr>
                <w:rFonts w:cs="Times New Roman"/>
                <w:noProof/>
              </w:rPr>
            </w:pPr>
            <w:r>
              <w:rPr>
                <w:noProof/>
              </w:rPr>
              <w:t>Aika</w:t>
            </w:r>
          </w:p>
        </w:tc>
        <w:tc>
          <w:tcPr>
            <w:tcW w:w="5131" w:type="dxa"/>
            <w:tcBorders>
              <w:bottom w:val="nil"/>
            </w:tcBorders>
            <w:shd w:val="clear" w:color="auto" w:fill="C6D9F1" w:themeFill="text2" w:themeFillTint="33"/>
            <w:noWrap/>
            <w:vAlign w:val="center"/>
          </w:tcPr>
          <w:p w14:paraId="3B8B2BF5"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6423CD2F" w14:textId="77777777">
        <w:trPr>
          <w:trHeight w:val="309"/>
          <w:tblHeader/>
        </w:trPr>
        <w:tc>
          <w:tcPr>
            <w:tcW w:w="709" w:type="dxa"/>
            <w:tcBorders>
              <w:top w:val="nil"/>
            </w:tcBorders>
            <w:shd w:val="clear" w:color="auto" w:fill="C6D9F1" w:themeFill="text2" w:themeFillTint="33"/>
            <w:noWrap/>
          </w:tcPr>
          <w:p w14:paraId="69957A07" w14:textId="77777777" w:rsidR="0065073E" w:rsidRDefault="0065073E">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6775ED2" w14:textId="77777777" w:rsidR="0065073E" w:rsidRDefault="0065073E">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C7D76EE" w14:textId="77777777" w:rsidR="0065073E" w:rsidRDefault="0065073E">
            <w:pPr>
              <w:spacing w:after="0"/>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04485DBC" w14:textId="77777777" w:rsidR="0065073E" w:rsidRDefault="0065073E">
            <w:pPr>
              <w:spacing w:after="0"/>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7409D88" w14:textId="77777777" w:rsidR="0065073E" w:rsidRDefault="0065073E">
            <w:pPr>
              <w:spacing w:after="0"/>
              <w:jc w:val="center"/>
              <w:rPr>
                <w:rFonts w:ascii="Times New Roman" w:hAnsi="Times New Roman" w:cs="Times New Roman"/>
                <w:b/>
                <w:noProof/>
                <w:sz w:val="18"/>
              </w:rPr>
            </w:pPr>
          </w:p>
        </w:tc>
        <w:tc>
          <w:tcPr>
            <w:tcW w:w="851" w:type="dxa"/>
            <w:shd w:val="clear" w:color="auto" w:fill="C6D9F1" w:themeFill="text2" w:themeFillTint="33"/>
            <w:noWrap/>
          </w:tcPr>
          <w:p w14:paraId="34E85900" w14:textId="77777777" w:rsidR="0065073E" w:rsidRDefault="000A0998">
            <w:pPr>
              <w:pStyle w:val="P68B1DB1-Normal8"/>
              <w:spacing w:after="0"/>
              <w:jc w:val="center"/>
              <w:rPr>
                <w:rFonts w:cs="Times New Roman"/>
                <w:noProof/>
              </w:rPr>
            </w:pPr>
            <w:r>
              <w:rPr>
                <w:noProof/>
              </w:rPr>
              <w:t>Yksikkö</w:t>
            </w:r>
          </w:p>
        </w:tc>
        <w:tc>
          <w:tcPr>
            <w:tcW w:w="992" w:type="dxa"/>
            <w:shd w:val="clear" w:color="auto" w:fill="C6D9F1" w:themeFill="text2" w:themeFillTint="33"/>
            <w:noWrap/>
          </w:tcPr>
          <w:p w14:paraId="50AB32BC" w14:textId="439C3C05" w:rsidR="0065073E" w:rsidRDefault="000A0998">
            <w:pPr>
              <w:pStyle w:val="P68B1DB1-Normal8"/>
              <w:spacing w:after="0"/>
              <w:jc w:val="center"/>
              <w:rPr>
                <w:rFonts w:cs="Times New Roman"/>
                <w:noProof/>
              </w:rPr>
            </w:pPr>
            <w:r>
              <w:rPr>
                <w:noProof/>
              </w:rPr>
              <w:t>Lähtötaso</w:t>
            </w:r>
          </w:p>
        </w:tc>
        <w:tc>
          <w:tcPr>
            <w:tcW w:w="709" w:type="dxa"/>
            <w:shd w:val="clear" w:color="auto" w:fill="C6D9F1" w:themeFill="text2" w:themeFillTint="33"/>
            <w:noWrap/>
          </w:tcPr>
          <w:p w14:paraId="52C6390D" w14:textId="77777777" w:rsidR="0065073E" w:rsidRDefault="000A0998">
            <w:pPr>
              <w:pStyle w:val="P68B1DB1-Normal8"/>
              <w:spacing w:after="0"/>
              <w:jc w:val="center"/>
              <w:rPr>
                <w:rFonts w:cs="Times New Roman"/>
                <w:noProof/>
              </w:rPr>
            </w:pPr>
            <w:r>
              <w:rPr>
                <w:noProof/>
              </w:rPr>
              <w:t>Päämäärä</w:t>
            </w:r>
          </w:p>
        </w:tc>
        <w:tc>
          <w:tcPr>
            <w:tcW w:w="425" w:type="dxa"/>
            <w:shd w:val="clear" w:color="auto" w:fill="C6D9F1" w:themeFill="text2" w:themeFillTint="33"/>
            <w:noWrap/>
          </w:tcPr>
          <w:p w14:paraId="19879100" w14:textId="77777777" w:rsidR="0065073E" w:rsidRDefault="000A0998">
            <w:pPr>
              <w:pStyle w:val="P68B1DB1-Normal8"/>
              <w:spacing w:after="0"/>
              <w:jc w:val="center"/>
              <w:rPr>
                <w:rFonts w:cs="Times New Roman"/>
                <w:noProof/>
              </w:rPr>
            </w:pPr>
            <w:r>
              <w:rPr>
                <w:noProof/>
              </w:rPr>
              <w:t>Q</w:t>
            </w:r>
          </w:p>
        </w:tc>
        <w:tc>
          <w:tcPr>
            <w:tcW w:w="709" w:type="dxa"/>
            <w:shd w:val="clear" w:color="auto" w:fill="C6D9F1" w:themeFill="text2" w:themeFillTint="33"/>
            <w:noWrap/>
          </w:tcPr>
          <w:p w14:paraId="00D26859" w14:textId="77777777" w:rsidR="0065073E" w:rsidRDefault="000A0998">
            <w:pPr>
              <w:pStyle w:val="P68B1DB1-Normal8"/>
              <w:spacing w:after="0"/>
              <w:jc w:val="center"/>
              <w:rPr>
                <w:rFonts w:cs="Times New Roman"/>
                <w:noProof/>
              </w:rPr>
            </w:pPr>
            <w:r>
              <w:rPr>
                <w:noProof/>
              </w:rPr>
              <w:t>Vuosi</w:t>
            </w:r>
          </w:p>
        </w:tc>
        <w:tc>
          <w:tcPr>
            <w:tcW w:w="5131" w:type="dxa"/>
            <w:tcBorders>
              <w:top w:val="nil"/>
            </w:tcBorders>
            <w:shd w:val="clear" w:color="auto" w:fill="C6D9F1" w:themeFill="text2" w:themeFillTint="33"/>
            <w:noWrap/>
          </w:tcPr>
          <w:p w14:paraId="22F9CC6A" w14:textId="77777777" w:rsidR="0065073E" w:rsidRDefault="0065073E">
            <w:pPr>
              <w:spacing w:after="0"/>
              <w:rPr>
                <w:rFonts w:ascii="Times New Roman" w:hAnsi="Times New Roman" w:cs="Times New Roman"/>
                <w:b/>
                <w:noProof/>
                <w:sz w:val="18"/>
              </w:rPr>
            </w:pPr>
          </w:p>
        </w:tc>
      </w:tr>
      <w:tr w:rsidR="0065073E" w14:paraId="3209D1B2" w14:textId="77777777">
        <w:trPr>
          <w:trHeight w:val="309"/>
        </w:trPr>
        <w:tc>
          <w:tcPr>
            <w:tcW w:w="709" w:type="dxa"/>
            <w:shd w:val="clear" w:color="auto" w:fill="C6EFCE"/>
            <w:noWrap/>
          </w:tcPr>
          <w:p w14:paraId="4C835EC6" w14:textId="77777777" w:rsidR="0065073E" w:rsidRDefault="000A0998">
            <w:pPr>
              <w:pStyle w:val="P68B1DB1-Normal12"/>
              <w:spacing w:after="0"/>
              <w:jc w:val="center"/>
              <w:rPr>
                <w:rFonts w:cs="Times New Roman"/>
                <w:noProof/>
              </w:rPr>
            </w:pPr>
            <w:r>
              <w:rPr>
                <w:noProof/>
              </w:rPr>
              <w:t>376</w:t>
            </w:r>
          </w:p>
        </w:tc>
        <w:tc>
          <w:tcPr>
            <w:tcW w:w="851" w:type="dxa"/>
            <w:shd w:val="clear" w:color="auto" w:fill="C6EFCE"/>
            <w:noWrap/>
          </w:tcPr>
          <w:p w14:paraId="66D7BA3A" w14:textId="77777777" w:rsidR="0065073E" w:rsidRDefault="000A0998">
            <w:pPr>
              <w:pStyle w:val="P68B1DB1-Normal12"/>
              <w:spacing w:after="0"/>
              <w:jc w:val="center"/>
              <w:rPr>
                <w:rFonts w:cs="Times New Roman"/>
                <w:noProof/>
              </w:rPr>
            </w:pPr>
            <w:r>
              <w:rPr>
                <w:noProof/>
              </w:rPr>
              <w:t>C27.R1</w:t>
            </w:r>
          </w:p>
        </w:tc>
        <w:tc>
          <w:tcPr>
            <w:tcW w:w="850" w:type="dxa"/>
            <w:shd w:val="clear" w:color="auto" w:fill="C6EFCE"/>
            <w:noWrap/>
          </w:tcPr>
          <w:p w14:paraId="7D103D46" w14:textId="77777777" w:rsidR="0065073E" w:rsidRDefault="000A0998">
            <w:pPr>
              <w:pStyle w:val="P68B1DB1-Normal12"/>
              <w:spacing w:after="0"/>
              <w:jc w:val="center"/>
              <w:rPr>
                <w:rFonts w:cs="Times New Roman"/>
                <w:noProof/>
              </w:rPr>
            </w:pPr>
            <w:r>
              <w:rPr>
                <w:noProof/>
              </w:rPr>
              <w:t>M</w:t>
            </w:r>
          </w:p>
        </w:tc>
        <w:tc>
          <w:tcPr>
            <w:tcW w:w="2977" w:type="dxa"/>
            <w:shd w:val="clear" w:color="auto" w:fill="C6EFCE"/>
            <w:noWrap/>
          </w:tcPr>
          <w:p w14:paraId="730BB072" w14:textId="77777777" w:rsidR="0065073E" w:rsidRDefault="000A0998">
            <w:pPr>
              <w:pStyle w:val="P68B1DB1-Normal12"/>
              <w:spacing w:after="0"/>
              <w:rPr>
                <w:rFonts w:cs="Times New Roman"/>
                <w:noProof/>
              </w:rPr>
            </w:pPr>
            <w:r>
              <w:rPr>
                <w:noProof/>
              </w:rPr>
              <w:t>Veropetoksia ja veropetoksia koskevan lain voimaantulo</w:t>
            </w:r>
          </w:p>
        </w:tc>
        <w:tc>
          <w:tcPr>
            <w:tcW w:w="1134" w:type="dxa"/>
            <w:shd w:val="clear" w:color="auto" w:fill="C6EFCE"/>
            <w:noWrap/>
          </w:tcPr>
          <w:p w14:paraId="227CF5BC" w14:textId="77777777" w:rsidR="0065073E" w:rsidRDefault="000A0998">
            <w:pPr>
              <w:pStyle w:val="P68B1DB1-Normal12"/>
              <w:spacing w:after="0"/>
              <w:jc w:val="center"/>
              <w:rPr>
                <w:rFonts w:cs="Times New Roman"/>
                <w:noProof/>
              </w:rPr>
            </w:pPr>
            <w:r>
              <w:rPr>
                <w:noProof/>
              </w:rPr>
              <w:t xml:space="preserve">Lain säännös, josta käy ilmi sen voimaantulo </w:t>
            </w:r>
          </w:p>
        </w:tc>
        <w:tc>
          <w:tcPr>
            <w:tcW w:w="851" w:type="dxa"/>
            <w:shd w:val="clear" w:color="auto" w:fill="C6EFCE"/>
            <w:noWrap/>
          </w:tcPr>
          <w:p w14:paraId="2EEBEB90" w14:textId="77777777" w:rsidR="0065073E" w:rsidRDefault="000A0998">
            <w:pPr>
              <w:pStyle w:val="P68B1DB1-Normal12"/>
              <w:spacing w:after="0"/>
              <w:jc w:val="center"/>
              <w:rPr>
                <w:rFonts w:cs="Times New Roman"/>
                <w:noProof/>
              </w:rPr>
            </w:pPr>
            <w:r>
              <w:rPr>
                <w:noProof/>
              </w:rPr>
              <w:t xml:space="preserve"> </w:t>
            </w:r>
          </w:p>
        </w:tc>
        <w:tc>
          <w:tcPr>
            <w:tcW w:w="992" w:type="dxa"/>
            <w:shd w:val="clear" w:color="auto" w:fill="C6EFCE"/>
            <w:noWrap/>
          </w:tcPr>
          <w:p w14:paraId="2BB8CAFB" w14:textId="77777777" w:rsidR="0065073E" w:rsidRDefault="000A0998">
            <w:pPr>
              <w:pStyle w:val="P68B1DB1-Normal12"/>
              <w:spacing w:after="0"/>
              <w:jc w:val="right"/>
              <w:rPr>
                <w:rFonts w:cs="Times New Roman"/>
                <w:noProof/>
              </w:rPr>
            </w:pPr>
            <w:r>
              <w:rPr>
                <w:noProof/>
              </w:rPr>
              <w:t xml:space="preserve"> </w:t>
            </w:r>
          </w:p>
        </w:tc>
        <w:tc>
          <w:tcPr>
            <w:tcW w:w="709" w:type="dxa"/>
            <w:shd w:val="clear" w:color="auto" w:fill="C6EFCE"/>
            <w:noWrap/>
          </w:tcPr>
          <w:p w14:paraId="6B4FC697" w14:textId="77777777" w:rsidR="0065073E" w:rsidRDefault="000A0998">
            <w:pPr>
              <w:pStyle w:val="P68B1DB1-Normal12"/>
              <w:spacing w:after="0"/>
              <w:rPr>
                <w:rFonts w:cs="Times New Roman"/>
                <w:noProof/>
              </w:rPr>
            </w:pPr>
            <w:r>
              <w:rPr>
                <w:noProof/>
              </w:rPr>
              <w:t xml:space="preserve"> </w:t>
            </w:r>
          </w:p>
        </w:tc>
        <w:tc>
          <w:tcPr>
            <w:tcW w:w="425" w:type="dxa"/>
            <w:shd w:val="clear" w:color="auto" w:fill="C6EFCE"/>
            <w:noWrap/>
          </w:tcPr>
          <w:p w14:paraId="6E826CAA" w14:textId="77777777" w:rsidR="0065073E" w:rsidRDefault="000A0998">
            <w:pPr>
              <w:pStyle w:val="P68B1DB1-Normal12"/>
              <w:spacing w:after="0"/>
              <w:jc w:val="center"/>
              <w:rPr>
                <w:rFonts w:cs="Times New Roman"/>
                <w:noProof/>
              </w:rPr>
            </w:pPr>
            <w:r>
              <w:rPr>
                <w:noProof/>
              </w:rPr>
              <w:t>TOINEN VUOSINELJÄNNES</w:t>
            </w:r>
          </w:p>
        </w:tc>
        <w:tc>
          <w:tcPr>
            <w:tcW w:w="709" w:type="dxa"/>
            <w:shd w:val="clear" w:color="auto" w:fill="C6EFCE"/>
            <w:noWrap/>
          </w:tcPr>
          <w:p w14:paraId="1C8F9F7C" w14:textId="77777777" w:rsidR="0065073E" w:rsidRDefault="000A0998">
            <w:pPr>
              <w:pStyle w:val="P68B1DB1-Normal12"/>
              <w:spacing w:after="0"/>
              <w:jc w:val="center"/>
              <w:rPr>
                <w:rFonts w:cs="Times New Roman"/>
                <w:noProof/>
              </w:rPr>
            </w:pPr>
            <w:r>
              <w:rPr>
                <w:noProof/>
              </w:rPr>
              <w:t>2022</w:t>
            </w:r>
          </w:p>
        </w:tc>
        <w:tc>
          <w:tcPr>
            <w:tcW w:w="5131" w:type="dxa"/>
            <w:shd w:val="clear" w:color="auto" w:fill="C6EFCE"/>
            <w:noWrap/>
          </w:tcPr>
          <w:p w14:paraId="4CE616E9" w14:textId="77777777" w:rsidR="0065073E" w:rsidRDefault="000A0998">
            <w:pPr>
              <w:spacing w:after="0"/>
              <w:rPr>
                <w:rFonts w:ascii="Times New Roman" w:hAnsi="Times New Roman" w:cs="Times New Roman"/>
                <w:noProof/>
                <w:sz w:val="18"/>
              </w:rPr>
            </w:pPr>
            <w:r>
              <w:rPr>
                <w:noProof/>
              </w:rPr>
              <w:t>Veropetoksista</w:t>
            </w:r>
            <w:r>
              <w:rPr>
                <w:rFonts w:ascii="Times New Roman" w:hAnsi="Times New Roman"/>
                <w:noProof/>
                <w:sz w:val="18"/>
              </w:rPr>
              <w:t>ja veropetoksista annetun lain (</w:t>
            </w:r>
            <w:r>
              <w:rPr>
                <w:rFonts w:ascii="Times New Roman" w:hAnsi="Times New Roman"/>
                <w:i/>
                <w:noProof/>
                <w:sz w:val="18"/>
              </w:rPr>
              <w:t>Ley de medidas de prevención y lucha contra el fraude fiscal</w:t>
            </w:r>
            <w:r>
              <w:rPr>
                <w:rFonts w:ascii="Times New Roman" w:hAnsi="Times New Roman"/>
                <w:noProof/>
                <w:sz w:val="18"/>
              </w:rPr>
              <w:t>) voimaantulo;</w:t>
            </w:r>
            <w:r>
              <w:rPr>
                <w:noProof/>
              </w:rPr>
              <w:t xml:space="preserve"> </w:t>
            </w:r>
            <w:r>
              <w:rPr>
                <w:noProof/>
              </w:rPr>
              <w:br/>
            </w:r>
            <w:r>
              <w:rPr>
                <w:rFonts w:ascii="Times New Roman" w:hAnsi="Times New Roman"/>
                <w:noProof/>
                <w:sz w:val="18"/>
              </w:rPr>
              <w:t xml:space="preserve">—Laajentaa maksutapahtumien soveltamisalaa, jossa sähköiset maksut ovat pakollisia (yritykset ja ammattilaiset) ja asettaa lakisääteiset kynnysarvot käteismaksuille </w:t>
            </w:r>
            <w:r>
              <w:rPr>
                <w:noProof/>
              </w:rPr>
              <w:t xml:space="preserve"> </w:t>
            </w:r>
            <w:r>
              <w:rPr>
                <w:noProof/>
              </w:rPr>
              <w:br/>
              <w:t xml:space="preserve"> </w:t>
            </w:r>
            <w:r>
              <w:rPr>
                <w:rFonts w:ascii="Times New Roman" w:hAnsi="Times New Roman"/>
                <w:noProof/>
                <w:sz w:val="18"/>
              </w:rPr>
              <w:t>—Päivittää veroparatiisien luetteloa avoimuuden, verotuksen välttämisen ja haitallisten verojärjestelmien kriteerien perusteella.</w:t>
            </w:r>
            <w:r>
              <w:rPr>
                <w:noProof/>
              </w:rPr>
              <w:t xml:space="preserve"> </w:t>
            </w:r>
            <w:r>
              <w:rPr>
                <w:noProof/>
              </w:rPr>
              <w:br/>
            </w:r>
            <w:r>
              <w:rPr>
                <w:rFonts w:ascii="Times New Roman" w:hAnsi="Times New Roman"/>
                <w:noProof/>
                <w:sz w:val="18"/>
              </w:rPr>
              <w:t>—Toteutetaan muutokset sääntöihin, jotka koskevat verorästien saaneiden henkilöiden luettelointia.</w:t>
            </w:r>
            <w:r>
              <w:rPr>
                <w:noProof/>
              </w:rPr>
              <w:t xml:space="preserve"> </w:t>
            </w:r>
            <w:r>
              <w:rPr>
                <w:noProof/>
              </w:rPr>
              <w:br/>
            </w:r>
            <w:r>
              <w:rPr>
                <w:rFonts w:ascii="Times New Roman" w:hAnsi="Times New Roman"/>
                <w:noProof/>
                <w:sz w:val="18"/>
              </w:rPr>
              <w:t>—Toteutetaan ”kaksikäyttöisten ohjelmistojen” kieltäminen.</w:t>
            </w:r>
            <w:r>
              <w:rPr>
                <w:noProof/>
              </w:rPr>
              <w:t xml:space="preserve"> </w:t>
            </w:r>
            <w:r>
              <w:rPr>
                <w:noProof/>
              </w:rPr>
              <w:br/>
            </w:r>
            <w:r>
              <w:rPr>
                <w:rFonts w:ascii="Times New Roman" w:hAnsi="Times New Roman"/>
                <w:noProof/>
                <w:sz w:val="18"/>
              </w:rPr>
              <w:t xml:space="preserve">—Otetaan käyttöön viitearvo kiinteistöverotuksessa veropohjalle. </w:t>
            </w:r>
          </w:p>
        </w:tc>
      </w:tr>
      <w:tr w:rsidR="0065073E" w14:paraId="45161A29" w14:textId="77777777">
        <w:trPr>
          <w:trHeight w:val="309"/>
        </w:trPr>
        <w:tc>
          <w:tcPr>
            <w:tcW w:w="709" w:type="dxa"/>
            <w:shd w:val="clear" w:color="auto" w:fill="C6EFCE"/>
            <w:noWrap/>
          </w:tcPr>
          <w:p w14:paraId="3DBE6677" w14:textId="77777777" w:rsidR="0065073E" w:rsidRDefault="000A0998">
            <w:pPr>
              <w:pStyle w:val="P68B1DB1-Normal12"/>
              <w:spacing w:after="0"/>
              <w:jc w:val="center"/>
              <w:rPr>
                <w:rFonts w:cs="Times New Roman"/>
                <w:noProof/>
              </w:rPr>
            </w:pPr>
            <w:r>
              <w:rPr>
                <w:noProof/>
              </w:rPr>
              <w:t>377</w:t>
            </w:r>
          </w:p>
        </w:tc>
        <w:tc>
          <w:tcPr>
            <w:tcW w:w="851" w:type="dxa"/>
            <w:shd w:val="clear" w:color="auto" w:fill="C6EFCE"/>
            <w:noWrap/>
          </w:tcPr>
          <w:p w14:paraId="4C6DC40A" w14:textId="77777777" w:rsidR="0065073E" w:rsidRDefault="000A0998">
            <w:pPr>
              <w:pStyle w:val="P68B1DB1-Normal12"/>
              <w:spacing w:after="0"/>
              <w:jc w:val="center"/>
              <w:rPr>
                <w:rFonts w:cs="Times New Roman"/>
                <w:noProof/>
              </w:rPr>
            </w:pPr>
            <w:r>
              <w:rPr>
                <w:noProof/>
              </w:rPr>
              <w:t>C27.R1</w:t>
            </w:r>
          </w:p>
        </w:tc>
        <w:tc>
          <w:tcPr>
            <w:tcW w:w="850" w:type="dxa"/>
            <w:shd w:val="clear" w:color="auto" w:fill="C6EFCE"/>
            <w:noWrap/>
          </w:tcPr>
          <w:p w14:paraId="2A06812F" w14:textId="77777777" w:rsidR="0065073E" w:rsidRDefault="000A0998">
            <w:pPr>
              <w:pStyle w:val="P68B1DB1-Normal12"/>
              <w:spacing w:after="0"/>
              <w:jc w:val="center"/>
              <w:rPr>
                <w:rFonts w:cs="Times New Roman"/>
                <w:noProof/>
              </w:rPr>
            </w:pPr>
            <w:r>
              <w:rPr>
                <w:noProof/>
              </w:rPr>
              <w:t>M</w:t>
            </w:r>
          </w:p>
        </w:tc>
        <w:tc>
          <w:tcPr>
            <w:tcW w:w="2977" w:type="dxa"/>
            <w:shd w:val="clear" w:color="auto" w:fill="C6EFCE"/>
            <w:noWrap/>
          </w:tcPr>
          <w:p w14:paraId="5696C1D6" w14:textId="77777777" w:rsidR="0065073E" w:rsidRDefault="000A0998">
            <w:pPr>
              <w:pStyle w:val="P68B1DB1-Normal12"/>
              <w:spacing w:after="0"/>
              <w:rPr>
                <w:rFonts w:cs="Times New Roman"/>
                <w:noProof/>
              </w:rPr>
            </w:pPr>
            <w:r>
              <w:rPr>
                <w:noProof/>
              </w:rPr>
              <w:t>Veropetoksista ja veropetoksista annetun lain vaikutusten väliarviointi.</w:t>
            </w:r>
          </w:p>
        </w:tc>
        <w:tc>
          <w:tcPr>
            <w:tcW w:w="1134" w:type="dxa"/>
            <w:shd w:val="clear" w:color="auto" w:fill="C6EFCE"/>
            <w:noWrap/>
          </w:tcPr>
          <w:p w14:paraId="70971FCE" w14:textId="77777777" w:rsidR="0065073E" w:rsidRDefault="000A0998">
            <w:pPr>
              <w:pStyle w:val="P68B1DB1-Normal12"/>
              <w:spacing w:after="0"/>
              <w:jc w:val="center"/>
              <w:rPr>
                <w:rFonts w:cs="Times New Roman"/>
                <w:noProof/>
              </w:rPr>
            </w:pPr>
            <w:r>
              <w:rPr>
                <w:noProof/>
              </w:rPr>
              <w:t>Raportin julkaiseminen valtiovarainministeriön verkkosivustolla.</w:t>
            </w:r>
          </w:p>
        </w:tc>
        <w:tc>
          <w:tcPr>
            <w:tcW w:w="851" w:type="dxa"/>
            <w:shd w:val="clear" w:color="auto" w:fill="C6EFCE"/>
            <w:noWrap/>
          </w:tcPr>
          <w:p w14:paraId="70AC25B5" w14:textId="77777777" w:rsidR="0065073E" w:rsidRDefault="000A0998">
            <w:pPr>
              <w:pStyle w:val="P68B1DB1-Normal12"/>
              <w:spacing w:after="0"/>
              <w:jc w:val="center"/>
              <w:rPr>
                <w:rFonts w:cs="Times New Roman"/>
                <w:noProof/>
              </w:rPr>
            </w:pPr>
            <w:r>
              <w:rPr>
                <w:noProof/>
              </w:rPr>
              <w:t xml:space="preserve"> </w:t>
            </w:r>
          </w:p>
        </w:tc>
        <w:tc>
          <w:tcPr>
            <w:tcW w:w="992" w:type="dxa"/>
            <w:shd w:val="clear" w:color="auto" w:fill="C6EFCE"/>
            <w:noWrap/>
          </w:tcPr>
          <w:p w14:paraId="172F84F8" w14:textId="77777777" w:rsidR="0065073E" w:rsidRDefault="000A0998">
            <w:pPr>
              <w:pStyle w:val="P68B1DB1-Normal12"/>
              <w:spacing w:after="0"/>
              <w:jc w:val="right"/>
              <w:rPr>
                <w:rFonts w:cs="Times New Roman"/>
                <w:noProof/>
              </w:rPr>
            </w:pPr>
            <w:r>
              <w:rPr>
                <w:noProof/>
              </w:rPr>
              <w:t xml:space="preserve"> </w:t>
            </w:r>
          </w:p>
        </w:tc>
        <w:tc>
          <w:tcPr>
            <w:tcW w:w="709" w:type="dxa"/>
            <w:shd w:val="clear" w:color="auto" w:fill="C6EFCE"/>
            <w:noWrap/>
          </w:tcPr>
          <w:p w14:paraId="150CED72" w14:textId="77777777" w:rsidR="0065073E" w:rsidRDefault="000A0998">
            <w:pPr>
              <w:pStyle w:val="P68B1DB1-Normal12"/>
              <w:spacing w:after="0"/>
              <w:rPr>
                <w:rFonts w:cs="Times New Roman"/>
                <w:noProof/>
              </w:rPr>
            </w:pPr>
            <w:r>
              <w:rPr>
                <w:noProof/>
              </w:rPr>
              <w:t xml:space="preserve"> </w:t>
            </w:r>
          </w:p>
        </w:tc>
        <w:tc>
          <w:tcPr>
            <w:tcW w:w="425" w:type="dxa"/>
            <w:shd w:val="clear" w:color="auto" w:fill="C6EFCE"/>
            <w:noWrap/>
          </w:tcPr>
          <w:p w14:paraId="2BFDEF9A" w14:textId="77777777" w:rsidR="0065073E" w:rsidRDefault="000A0998">
            <w:pPr>
              <w:pStyle w:val="P68B1DB1-Normal12"/>
              <w:spacing w:after="0"/>
              <w:jc w:val="center"/>
              <w:rPr>
                <w:rFonts w:cs="Times New Roman"/>
                <w:noProof/>
              </w:rPr>
            </w:pPr>
            <w:r>
              <w:rPr>
                <w:noProof/>
              </w:rPr>
              <w:t>Q4</w:t>
            </w:r>
          </w:p>
        </w:tc>
        <w:tc>
          <w:tcPr>
            <w:tcW w:w="709" w:type="dxa"/>
            <w:shd w:val="clear" w:color="auto" w:fill="C6EFCE"/>
            <w:noWrap/>
          </w:tcPr>
          <w:p w14:paraId="47DDC1D5" w14:textId="77777777" w:rsidR="0065073E" w:rsidRDefault="000A0998">
            <w:pPr>
              <w:pStyle w:val="P68B1DB1-Normal12"/>
              <w:spacing w:after="0"/>
              <w:jc w:val="center"/>
              <w:rPr>
                <w:rFonts w:cs="Times New Roman"/>
                <w:noProof/>
              </w:rPr>
            </w:pPr>
            <w:r>
              <w:rPr>
                <w:noProof/>
              </w:rPr>
              <w:t>2022</w:t>
            </w:r>
          </w:p>
        </w:tc>
        <w:tc>
          <w:tcPr>
            <w:tcW w:w="5131" w:type="dxa"/>
            <w:shd w:val="clear" w:color="auto" w:fill="C6EFCE"/>
            <w:noWrap/>
          </w:tcPr>
          <w:p w14:paraId="2161EEE2" w14:textId="77777777" w:rsidR="0065073E" w:rsidRDefault="000A0998">
            <w:pPr>
              <w:pStyle w:val="P68B1DB1-Normal12"/>
              <w:spacing w:after="0"/>
              <w:rPr>
                <w:rFonts w:cs="Times New Roman"/>
                <w:noProof/>
              </w:rPr>
            </w:pPr>
            <w:r>
              <w:rPr>
                <w:noProof/>
              </w:rPr>
              <w:t>Valtiovarainministeriö tekee veropetoksia ja veropetoksia koskevan lain väliarvioinnin. Tämä arvio ja mahdolliset parannussuositukset julkaistaan valtiovarainministeriön verkkosivustolla.</w:t>
            </w:r>
          </w:p>
        </w:tc>
      </w:tr>
      <w:tr w:rsidR="0065073E" w14:paraId="6EC44DEC" w14:textId="77777777">
        <w:trPr>
          <w:trHeight w:val="309"/>
        </w:trPr>
        <w:tc>
          <w:tcPr>
            <w:tcW w:w="709" w:type="dxa"/>
            <w:shd w:val="clear" w:color="auto" w:fill="C6EFCE"/>
            <w:noWrap/>
          </w:tcPr>
          <w:p w14:paraId="7BF66A5C" w14:textId="77777777" w:rsidR="0065073E" w:rsidRDefault="000A0998">
            <w:pPr>
              <w:pStyle w:val="P68B1DB1-Normal12"/>
              <w:spacing w:after="0"/>
              <w:jc w:val="center"/>
              <w:rPr>
                <w:rFonts w:cs="Times New Roman"/>
                <w:noProof/>
              </w:rPr>
            </w:pPr>
            <w:r>
              <w:rPr>
                <w:noProof/>
              </w:rPr>
              <w:t>378</w:t>
            </w:r>
          </w:p>
        </w:tc>
        <w:tc>
          <w:tcPr>
            <w:tcW w:w="851" w:type="dxa"/>
            <w:shd w:val="clear" w:color="auto" w:fill="C6EFCE"/>
            <w:noWrap/>
          </w:tcPr>
          <w:p w14:paraId="375B58F6" w14:textId="77777777" w:rsidR="0065073E" w:rsidRDefault="000A0998">
            <w:pPr>
              <w:pStyle w:val="P68B1DB1-Normal12"/>
              <w:spacing w:after="0"/>
              <w:jc w:val="center"/>
              <w:rPr>
                <w:rFonts w:cs="Times New Roman"/>
                <w:noProof/>
              </w:rPr>
            </w:pPr>
            <w:r>
              <w:rPr>
                <w:noProof/>
              </w:rPr>
              <w:t>C27.R2</w:t>
            </w:r>
          </w:p>
        </w:tc>
        <w:tc>
          <w:tcPr>
            <w:tcW w:w="850" w:type="dxa"/>
            <w:shd w:val="clear" w:color="auto" w:fill="C6EFCE"/>
            <w:noWrap/>
          </w:tcPr>
          <w:p w14:paraId="4670B3DA" w14:textId="77777777" w:rsidR="0065073E" w:rsidRDefault="000A0998">
            <w:pPr>
              <w:pStyle w:val="P68B1DB1-Normal12"/>
              <w:spacing w:after="0"/>
              <w:jc w:val="center"/>
              <w:rPr>
                <w:rFonts w:cs="Times New Roman"/>
                <w:noProof/>
              </w:rPr>
            </w:pPr>
            <w:r>
              <w:rPr>
                <w:noProof/>
              </w:rPr>
              <w:t>T</w:t>
            </w:r>
          </w:p>
        </w:tc>
        <w:tc>
          <w:tcPr>
            <w:tcW w:w="2977" w:type="dxa"/>
            <w:shd w:val="clear" w:color="auto" w:fill="C6EFCE"/>
            <w:noWrap/>
          </w:tcPr>
          <w:p w14:paraId="6CB08DE8" w14:textId="77777777" w:rsidR="0065073E" w:rsidRDefault="000A0998">
            <w:pPr>
              <w:pStyle w:val="P68B1DB1-Normal12"/>
              <w:spacing w:after="0"/>
              <w:rPr>
                <w:rFonts w:cs="Times New Roman"/>
                <w:noProof/>
              </w:rPr>
            </w:pPr>
            <w:r>
              <w:rPr>
                <w:noProof/>
              </w:rPr>
              <w:t>Verohallinnon nykyaikaistaminen – Verohallinnon henkilöstön määrä</w:t>
            </w:r>
          </w:p>
        </w:tc>
        <w:tc>
          <w:tcPr>
            <w:tcW w:w="1134" w:type="dxa"/>
            <w:shd w:val="clear" w:color="auto" w:fill="C6EFCE"/>
            <w:noWrap/>
          </w:tcPr>
          <w:p w14:paraId="4C40E3B5" w14:textId="77777777" w:rsidR="0065073E" w:rsidRDefault="000A0998">
            <w:pPr>
              <w:pStyle w:val="P68B1DB1-Normal12"/>
              <w:spacing w:after="0"/>
              <w:jc w:val="center"/>
              <w:rPr>
                <w:rFonts w:cs="Times New Roman"/>
                <w:noProof/>
              </w:rPr>
            </w:pPr>
            <w:r>
              <w:rPr>
                <w:noProof/>
              </w:rPr>
              <w:t xml:space="preserve"> </w:t>
            </w:r>
          </w:p>
        </w:tc>
        <w:tc>
          <w:tcPr>
            <w:tcW w:w="851" w:type="dxa"/>
            <w:shd w:val="clear" w:color="auto" w:fill="C6EFCE"/>
            <w:noWrap/>
          </w:tcPr>
          <w:p w14:paraId="706C7C47" w14:textId="77777777" w:rsidR="0065073E" w:rsidRDefault="000A0998">
            <w:pPr>
              <w:pStyle w:val="P68B1DB1-Normal12"/>
              <w:spacing w:after="0"/>
              <w:jc w:val="center"/>
              <w:rPr>
                <w:rFonts w:cs="Times New Roman"/>
                <w:noProof/>
              </w:rPr>
            </w:pPr>
            <w:r>
              <w:rPr>
                <w:noProof/>
              </w:rPr>
              <w:t xml:space="preserve">Määrä </w:t>
            </w:r>
          </w:p>
        </w:tc>
        <w:tc>
          <w:tcPr>
            <w:tcW w:w="992" w:type="dxa"/>
            <w:shd w:val="clear" w:color="auto" w:fill="C6EFCE"/>
            <w:noWrap/>
          </w:tcPr>
          <w:p w14:paraId="0CE8B4B8" w14:textId="77777777" w:rsidR="0065073E" w:rsidRDefault="000A0998">
            <w:pPr>
              <w:pStyle w:val="P68B1DB1-Normal12"/>
              <w:spacing w:after="0"/>
              <w:jc w:val="right"/>
              <w:rPr>
                <w:rFonts w:cs="Times New Roman"/>
                <w:noProof/>
              </w:rPr>
            </w:pPr>
            <w:r>
              <w:rPr>
                <w:noProof/>
              </w:rPr>
              <w:t xml:space="preserve">25 325 </w:t>
            </w:r>
          </w:p>
        </w:tc>
        <w:tc>
          <w:tcPr>
            <w:tcW w:w="709" w:type="dxa"/>
            <w:shd w:val="clear" w:color="auto" w:fill="C6EFCE"/>
            <w:noWrap/>
          </w:tcPr>
          <w:p w14:paraId="5669B34F" w14:textId="77777777" w:rsidR="0065073E" w:rsidRDefault="000A0998">
            <w:pPr>
              <w:pStyle w:val="P68B1DB1-Normal12"/>
              <w:spacing w:after="0"/>
              <w:rPr>
                <w:rFonts w:cs="Times New Roman"/>
                <w:noProof/>
              </w:rPr>
            </w:pPr>
            <w:r>
              <w:rPr>
                <w:noProof/>
              </w:rPr>
              <w:t>26 320</w:t>
            </w:r>
          </w:p>
        </w:tc>
        <w:tc>
          <w:tcPr>
            <w:tcW w:w="425" w:type="dxa"/>
            <w:shd w:val="clear" w:color="auto" w:fill="C6EFCE"/>
            <w:noWrap/>
          </w:tcPr>
          <w:p w14:paraId="3010CDF1" w14:textId="77777777" w:rsidR="0065073E" w:rsidRDefault="000A0998">
            <w:pPr>
              <w:pStyle w:val="P68B1DB1-Normal12"/>
              <w:spacing w:after="0"/>
              <w:jc w:val="center"/>
              <w:rPr>
                <w:rFonts w:cs="Times New Roman"/>
                <w:noProof/>
              </w:rPr>
            </w:pPr>
            <w:r>
              <w:rPr>
                <w:noProof/>
              </w:rPr>
              <w:t>Q4</w:t>
            </w:r>
          </w:p>
        </w:tc>
        <w:tc>
          <w:tcPr>
            <w:tcW w:w="709" w:type="dxa"/>
            <w:shd w:val="clear" w:color="auto" w:fill="C6EFCE"/>
            <w:noWrap/>
          </w:tcPr>
          <w:p w14:paraId="0FB97424" w14:textId="77777777" w:rsidR="0065073E" w:rsidRDefault="000A0998">
            <w:pPr>
              <w:pStyle w:val="P68B1DB1-Normal12"/>
              <w:spacing w:after="0"/>
              <w:jc w:val="center"/>
              <w:rPr>
                <w:rFonts w:cs="Times New Roman"/>
                <w:noProof/>
              </w:rPr>
            </w:pPr>
            <w:r>
              <w:rPr>
                <w:noProof/>
              </w:rPr>
              <w:t>2021</w:t>
            </w:r>
          </w:p>
        </w:tc>
        <w:tc>
          <w:tcPr>
            <w:tcW w:w="5131" w:type="dxa"/>
            <w:shd w:val="clear" w:color="auto" w:fill="C6EFCE"/>
            <w:noWrap/>
          </w:tcPr>
          <w:p w14:paraId="58A93788" w14:textId="77777777" w:rsidR="0065073E" w:rsidRDefault="000A0998">
            <w:pPr>
              <w:pStyle w:val="P68B1DB1-Normal12"/>
              <w:spacing w:after="0"/>
              <w:rPr>
                <w:rFonts w:cs="Times New Roman"/>
                <w:noProof/>
              </w:rPr>
            </w:pPr>
            <w:r>
              <w:rPr>
                <w:noProof/>
              </w:rPr>
              <w:t xml:space="preserve">Lisätään verohallinnon henkilöstön määrää vähintään 26320 työntekijään. Perustason päivämäärä: Joulukuuta 2020. </w:t>
            </w:r>
          </w:p>
        </w:tc>
      </w:tr>
      <w:tr w:rsidR="0065073E" w14:paraId="7E1D7CFC" w14:textId="77777777">
        <w:trPr>
          <w:trHeight w:val="309"/>
        </w:trPr>
        <w:tc>
          <w:tcPr>
            <w:tcW w:w="709" w:type="dxa"/>
            <w:shd w:val="clear" w:color="auto" w:fill="C6EFCE"/>
            <w:noWrap/>
          </w:tcPr>
          <w:p w14:paraId="7BEE37B0" w14:textId="77777777" w:rsidR="0065073E" w:rsidRDefault="000A0998">
            <w:pPr>
              <w:pStyle w:val="P68B1DB1-Normal12"/>
              <w:spacing w:after="0"/>
              <w:jc w:val="center"/>
              <w:rPr>
                <w:rFonts w:eastAsia="Times New Roman" w:cs="Times New Roman"/>
                <w:noProof/>
              </w:rPr>
            </w:pPr>
            <w:r>
              <w:rPr>
                <w:noProof/>
              </w:rPr>
              <w:t>379</w:t>
            </w:r>
          </w:p>
        </w:tc>
        <w:tc>
          <w:tcPr>
            <w:tcW w:w="851" w:type="dxa"/>
            <w:shd w:val="clear" w:color="auto" w:fill="C6EFCE"/>
            <w:noWrap/>
          </w:tcPr>
          <w:p w14:paraId="7CDB5CEF" w14:textId="77777777" w:rsidR="0065073E" w:rsidRDefault="000A0998">
            <w:pPr>
              <w:pStyle w:val="P68B1DB1-Normal12"/>
              <w:spacing w:after="0"/>
              <w:jc w:val="center"/>
              <w:rPr>
                <w:rFonts w:eastAsia="Times New Roman" w:cs="Times New Roman"/>
                <w:noProof/>
              </w:rPr>
            </w:pPr>
            <w:r>
              <w:rPr>
                <w:noProof/>
              </w:rPr>
              <w:t>C27.R2</w:t>
            </w:r>
          </w:p>
        </w:tc>
        <w:tc>
          <w:tcPr>
            <w:tcW w:w="850" w:type="dxa"/>
            <w:shd w:val="clear" w:color="auto" w:fill="C6EFCE"/>
            <w:noWrap/>
          </w:tcPr>
          <w:p w14:paraId="068942BA" w14:textId="77777777" w:rsidR="0065073E" w:rsidRDefault="000A0998">
            <w:pPr>
              <w:pStyle w:val="P68B1DB1-Normal12"/>
              <w:spacing w:after="0"/>
              <w:jc w:val="center"/>
              <w:rPr>
                <w:rFonts w:eastAsia="Times New Roman" w:cs="Times New Roman"/>
                <w:noProof/>
              </w:rPr>
            </w:pPr>
            <w:r>
              <w:rPr>
                <w:noProof/>
              </w:rPr>
              <w:t>T</w:t>
            </w:r>
          </w:p>
        </w:tc>
        <w:tc>
          <w:tcPr>
            <w:tcW w:w="2977" w:type="dxa"/>
            <w:shd w:val="clear" w:color="auto" w:fill="C6EFCE"/>
            <w:noWrap/>
          </w:tcPr>
          <w:p w14:paraId="5AD17D76" w14:textId="77777777" w:rsidR="0065073E" w:rsidRDefault="000A0998">
            <w:pPr>
              <w:pStyle w:val="P68B1DB1-Normal12"/>
              <w:spacing w:after="0"/>
              <w:rPr>
                <w:rFonts w:eastAsia="Times New Roman" w:cs="Times New Roman"/>
                <w:noProof/>
              </w:rPr>
            </w:pPr>
            <w:r>
              <w:rPr>
                <w:noProof/>
              </w:rPr>
              <w:t>Veroviraston nykyaikaistaminen – Verotutkimukset</w:t>
            </w:r>
          </w:p>
        </w:tc>
        <w:tc>
          <w:tcPr>
            <w:tcW w:w="1134" w:type="dxa"/>
            <w:shd w:val="clear" w:color="auto" w:fill="C6EFCE"/>
            <w:noWrap/>
          </w:tcPr>
          <w:p w14:paraId="31C6F1EF" w14:textId="77777777" w:rsidR="0065073E" w:rsidRDefault="000A0998">
            <w:pPr>
              <w:pStyle w:val="P68B1DB1-Normal12"/>
              <w:spacing w:after="0"/>
              <w:jc w:val="center"/>
              <w:rPr>
                <w:rFonts w:eastAsia="Times New Roman" w:cs="Times New Roman"/>
                <w:noProof/>
              </w:rPr>
            </w:pPr>
            <w:r>
              <w:rPr>
                <w:noProof/>
              </w:rPr>
              <w:t xml:space="preserve"> </w:t>
            </w:r>
          </w:p>
        </w:tc>
        <w:tc>
          <w:tcPr>
            <w:tcW w:w="851" w:type="dxa"/>
            <w:shd w:val="clear" w:color="auto" w:fill="C6EFCE"/>
            <w:noWrap/>
          </w:tcPr>
          <w:p w14:paraId="383C1E0A" w14:textId="77777777" w:rsidR="0065073E" w:rsidRDefault="000A0998">
            <w:pPr>
              <w:pStyle w:val="P68B1DB1-Normal12"/>
              <w:spacing w:after="0"/>
              <w:jc w:val="center"/>
              <w:rPr>
                <w:rFonts w:eastAsia="Times New Roman" w:cs="Times New Roman"/>
                <w:noProof/>
              </w:rPr>
            </w:pPr>
            <w:r>
              <w:rPr>
                <w:noProof/>
              </w:rPr>
              <w:t>Määrä</w:t>
            </w:r>
          </w:p>
        </w:tc>
        <w:tc>
          <w:tcPr>
            <w:tcW w:w="992" w:type="dxa"/>
            <w:shd w:val="clear" w:color="auto" w:fill="C6EFCE"/>
            <w:noWrap/>
          </w:tcPr>
          <w:p w14:paraId="755932A8" w14:textId="77777777" w:rsidR="0065073E" w:rsidRDefault="000A0998">
            <w:pPr>
              <w:pStyle w:val="P68B1DB1-Normal12"/>
              <w:spacing w:after="0"/>
              <w:jc w:val="right"/>
              <w:rPr>
                <w:rFonts w:eastAsia="Times New Roman" w:cs="Times New Roman"/>
                <w:noProof/>
              </w:rPr>
            </w:pPr>
            <w:r>
              <w:rPr>
                <w:noProof/>
              </w:rPr>
              <w:t>5 743</w:t>
            </w:r>
          </w:p>
        </w:tc>
        <w:tc>
          <w:tcPr>
            <w:tcW w:w="709" w:type="dxa"/>
            <w:shd w:val="clear" w:color="auto" w:fill="C6EFCE"/>
            <w:noWrap/>
          </w:tcPr>
          <w:p w14:paraId="79F94CBE" w14:textId="77777777" w:rsidR="0065073E" w:rsidRDefault="000A0998">
            <w:pPr>
              <w:pStyle w:val="P68B1DB1-Normal12"/>
              <w:spacing w:after="0"/>
              <w:rPr>
                <w:rFonts w:eastAsia="Times New Roman" w:cs="Times New Roman"/>
                <w:noProof/>
              </w:rPr>
            </w:pPr>
            <w:r>
              <w:rPr>
                <w:noProof/>
              </w:rPr>
              <w:t>6 591</w:t>
            </w:r>
          </w:p>
        </w:tc>
        <w:tc>
          <w:tcPr>
            <w:tcW w:w="425" w:type="dxa"/>
            <w:shd w:val="clear" w:color="auto" w:fill="C6EFCE"/>
            <w:noWrap/>
          </w:tcPr>
          <w:p w14:paraId="6C01FCA6" w14:textId="77777777" w:rsidR="0065073E" w:rsidRDefault="000A0998">
            <w:pPr>
              <w:pStyle w:val="P68B1DB1-Normal12"/>
              <w:spacing w:after="0"/>
              <w:jc w:val="center"/>
              <w:rPr>
                <w:rFonts w:eastAsia="Times New Roman" w:cs="Times New Roman"/>
                <w:noProof/>
              </w:rPr>
            </w:pPr>
            <w:r>
              <w:rPr>
                <w:noProof/>
              </w:rPr>
              <w:t>Q4</w:t>
            </w:r>
          </w:p>
        </w:tc>
        <w:tc>
          <w:tcPr>
            <w:tcW w:w="709" w:type="dxa"/>
            <w:shd w:val="clear" w:color="auto" w:fill="C6EFCE"/>
            <w:noWrap/>
          </w:tcPr>
          <w:p w14:paraId="23464E3D" w14:textId="77777777" w:rsidR="0065073E" w:rsidRDefault="000A0998">
            <w:pPr>
              <w:pStyle w:val="P68B1DB1-Normal12"/>
              <w:spacing w:after="0"/>
              <w:jc w:val="center"/>
              <w:rPr>
                <w:rFonts w:eastAsia="Times New Roman" w:cs="Times New Roman"/>
                <w:noProof/>
              </w:rPr>
            </w:pPr>
            <w:r>
              <w:rPr>
                <w:noProof/>
              </w:rPr>
              <w:t>2021</w:t>
            </w:r>
          </w:p>
        </w:tc>
        <w:tc>
          <w:tcPr>
            <w:tcW w:w="5131" w:type="dxa"/>
            <w:shd w:val="clear" w:color="auto" w:fill="C6EFCE"/>
            <w:noWrap/>
          </w:tcPr>
          <w:p w14:paraId="5B343D38" w14:textId="77777777" w:rsidR="0065073E" w:rsidRDefault="000A0998">
            <w:pPr>
              <w:pStyle w:val="P68B1DB1-Normal12"/>
              <w:spacing w:after="0"/>
              <w:rPr>
                <w:rFonts w:eastAsia="Times New Roman" w:cs="Times New Roman"/>
                <w:noProof/>
              </w:rPr>
            </w:pPr>
            <w:r>
              <w:rPr>
                <w:noProof/>
              </w:rPr>
              <w:t>Viranomaisten on tehtävä 6591 verotarkastusta (vuoden 2021 aikana tehtyjen verotarkastusten lukumäärä) paljastaakseen ilmoittamattoman verollisen toiminnan. Perustason päivämäärä: Joulukuuta 2020.</w:t>
            </w:r>
          </w:p>
        </w:tc>
      </w:tr>
      <w:tr w:rsidR="0065073E" w14:paraId="12127392" w14:textId="77777777">
        <w:trPr>
          <w:trHeight w:val="433"/>
        </w:trPr>
        <w:tc>
          <w:tcPr>
            <w:tcW w:w="709" w:type="dxa"/>
            <w:shd w:val="clear" w:color="auto" w:fill="C6EFCE"/>
            <w:noWrap/>
          </w:tcPr>
          <w:p w14:paraId="4C50C21D" w14:textId="77777777" w:rsidR="0065073E" w:rsidRDefault="000A0998">
            <w:pPr>
              <w:pStyle w:val="P68B1DB1-Normal12"/>
              <w:spacing w:after="0"/>
              <w:jc w:val="center"/>
              <w:rPr>
                <w:rFonts w:eastAsia="Times New Roman" w:cs="Times New Roman"/>
                <w:noProof/>
              </w:rPr>
            </w:pPr>
            <w:r>
              <w:rPr>
                <w:noProof/>
              </w:rPr>
              <w:t>380</w:t>
            </w:r>
          </w:p>
        </w:tc>
        <w:tc>
          <w:tcPr>
            <w:tcW w:w="851" w:type="dxa"/>
            <w:shd w:val="clear" w:color="auto" w:fill="C6EFCE"/>
            <w:noWrap/>
          </w:tcPr>
          <w:p w14:paraId="5133A209" w14:textId="77777777" w:rsidR="0065073E" w:rsidRDefault="000A0998">
            <w:pPr>
              <w:pStyle w:val="P68B1DB1-Normal12"/>
              <w:spacing w:after="0"/>
              <w:jc w:val="center"/>
              <w:rPr>
                <w:rFonts w:eastAsia="Times New Roman" w:cs="Times New Roman"/>
                <w:noProof/>
              </w:rPr>
            </w:pPr>
            <w:r>
              <w:rPr>
                <w:noProof/>
              </w:rPr>
              <w:t>C27.R3</w:t>
            </w:r>
          </w:p>
        </w:tc>
        <w:tc>
          <w:tcPr>
            <w:tcW w:w="850" w:type="dxa"/>
            <w:shd w:val="clear" w:color="auto" w:fill="C6EFCE"/>
            <w:noWrap/>
          </w:tcPr>
          <w:p w14:paraId="44DC0265" w14:textId="77777777" w:rsidR="0065073E" w:rsidRDefault="000A0998">
            <w:pPr>
              <w:pStyle w:val="P68B1DB1-Normal12"/>
              <w:spacing w:after="0"/>
              <w:jc w:val="center"/>
              <w:rPr>
                <w:rFonts w:eastAsia="Times New Roman" w:cs="Times New Roman"/>
                <w:noProof/>
              </w:rPr>
            </w:pPr>
            <w:r>
              <w:rPr>
                <w:noProof/>
              </w:rPr>
              <w:t>T</w:t>
            </w:r>
          </w:p>
        </w:tc>
        <w:tc>
          <w:tcPr>
            <w:tcW w:w="2977" w:type="dxa"/>
            <w:shd w:val="clear" w:color="auto" w:fill="C6EFCE"/>
            <w:noWrap/>
          </w:tcPr>
          <w:p w14:paraId="4754AF56" w14:textId="77777777" w:rsidR="0065073E" w:rsidRDefault="000A0998">
            <w:pPr>
              <w:pStyle w:val="P68B1DB1-Normal12"/>
              <w:spacing w:after="0"/>
              <w:rPr>
                <w:rFonts w:eastAsia="Times New Roman" w:cs="Times New Roman"/>
                <w:noProof/>
              </w:rPr>
            </w:pPr>
            <w:r>
              <w:rPr>
                <w:noProof/>
              </w:rPr>
              <w:t>Tehostetun avun toimittaminen veronmaksajille – Sociedades Web päivitetty ja saatavilla vähintään 1666123 verovelvolliselle.</w:t>
            </w:r>
          </w:p>
        </w:tc>
        <w:tc>
          <w:tcPr>
            <w:tcW w:w="1134" w:type="dxa"/>
            <w:shd w:val="clear" w:color="auto" w:fill="C6EFCE"/>
            <w:noWrap/>
          </w:tcPr>
          <w:p w14:paraId="16D75D7F" w14:textId="77777777" w:rsidR="0065073E" w:rsidRDefault="000A0998">
            <w:pPr>
              <w:pStyle w:val="P68B1DB1-Normal12"/>
              <w:spacing w:after="0"/>
              <w:jc w:val="center"/>
              <w:rPr>
                <w:rFonts w:eastAsia="Times New Roman" w:cs="Times New Roman"/>
                <w:noProof/>
              </w:rPr>
            </w:pPr>
            <w:r>
              <w:rPr>
                <w:noProof/>
              </w:rPr>
              <w:t xml:space="preserve"> </w:t>
            </w:r>
          </w:p>
        </w:tc>
        <w:tc>
          <w:tcPr>
            <w:tcW w:w="851" w:type="dxa"/>
            <w:shd w:val="clear" w:color="auto" w:fill="C6EFCE"/>
            <w:noWrap/>
          </w:tcPr>
          <w:p w14:paraId="5F2A9026" w14:textId="77777777" w:rsidR="0065073E" w:rsidRDefault="000A0998">
            <w:pPr>
              <w:pStyle w:val="P68B1DB1-Normal12"/>
              <w:spacing w:after="0"/>
              <w:jc w:val="center"/>
              <w:rPr>
                <w:rFonts w:eastAsia="Times New Roman" w:cs="Times New Roman"/>
                <w:noProof/>
              </w:rPr>
            </w:pPr>
            <w:r>
              <w:rPr>
                <w:noProof/>
              </w:rPr>
              <w:t>Määrä</w:t>
            </w:r>
          </w:p>
        </w:tc>
        <w:tc>
          <w:tcPr>
            <w:tcW w:w="992" w:type="dxa"/>
            <w:shd w:val="clear" w:color="auto" w:fill="C6EFCE"/>
            <w:noWrap/>
          </w:tcPr>
          <w:p w14:paraId="7EE8F8CA" w14:textId="77777777" w:rsidR="0065073E" w:rsidRDefault="000A0998">
            <w:pPr>
              <w:pStyle w:val="P68B1DB1-Normal12"/>
              <w:spacing w:after="0"/>
              <w:jc w:val="right"/>
              <w:rPr>
                <w:rFonts w:eastAsia="Times New Roman" w:cs="Times New Roman"/>
                <w:noProof/>
              </w:rPr>
            </w:pPr>
            <w:r>
              <w:rPr>
                <w:noProof/>
              </w:rPr>
              <w:t>0</w:t>
            </w:r>
          </w:p>
        </w:tc>
        <w:tc>
          <w:tcPr>
            <w:tcW w:w="709" w:type="dxa"/>
            <w:shd w:val="clear" w:color="auto" w:fill="C6EFCE"/>
            <w:noWrap/>
          </w:tcPr>
          <w:p w14:paraId="4A9D484E" w14:textId="77777777" w:rsidR="0065073E" w:rsidRDefault="000A0998">
            <w:pPr>
              <w:pStyle w:val="P68B1DB1-Normal12"/>
              <w:spacing w:after="0"/>
              <w:rPr>
                <w:rFonts w:eastAsia="Times New Roman" w:cs="Times New Roman"/>
                <w:noProof/>
              </w:rPr>
            </w:pPr>
            <w:r>
              <w:rPr>
                <w:noProof/>
              </w:rPr>
              <w:t>1 666 123</w:t>
            </w:r>
          </w:p>
        </w:tc>
        <w:tc>
          <w:tcPr>
            <w:tcW w:w="425" w:type="dxa"/>
            <w:shd w:val="clear" w:color="auto" w:fill="C6EFCE"/>
            <w:noWrap/>
          </w:tcPr>
          <w:p w14:paraId="0EEBB9F9" w14:textId="77777777" w:rsidR="0065073E" w:rsidRDefault="000A0998">
            <w:pPr>
              <w:pStyle w:val="P68B1DB1-Normal12"/>
              <w:spacing w:after="0"/>
              <w:jc w:val="center"/>
              <w:rPr>
                <w:rFonts w:eastAsia="Times New Roman" w:cs="Times New Roman"/>
                <w:noProof/>
              </w:rPr>
            </w:pPr>
            <w:r>
              <w:rPr>
                <w:noProof/>
              </w:rPr>
              <w:t>Q4</w:t>
            </w:r>
          </w:p>
        </w:tc>
        <w:tc>
          <w:tcPr>
            <w:tcW w:w="709" w:type="dxa"/>
            <w:shd w:val="clear" w:color="auto" w:fill="C6EFCE"/>
            <w:noWrap/>
          </w:tcPr>
          <w:p w14:paraId="044A2C93" w14:textId="77777777" w:rsidR="0065073E" w:rsidRDefault="000A0998">
            <w:pPr>
              <w:pStyle w:val="P68B1DB1-Normal12"/>
              <w:spacing w:after="0"/>
              <w:jc w:val="center"/>
              <w:rPr>
                <w:rFonts w:eastAsia="Times New Roman" w:cs="Times New Roman"/>
                <w:noProof/>
              </w:rPr>
            </w:pPr>
            <w:r>
              <w:rPr>
                <w:noProof/>
              </w:rPr>
              <w:t>2021</w:t>
            </w:r>
          </w:p>
        </w:tc>
        <w:tc>
          <w:tcPr>
            <w:tcW w:w="5131" w:type="dxa"/>
            <w:shd w:val="clear" w:color="auto" w:fill="C6EFCE"/>
            <w:noWrap/>
          </w:tcPr>
          <w:p w14:paraId="2C9CAFD6" w14:textId="77777777" w:rsidR="0065073E" w:rsidRDefault="000A0998">
            <w:pPr>
              <w:pStyle w:val="P68B1DB1-Normal12"/>
              <w:spacing w:after="0"/>
              <w:rPr>
                <w:rFonts w:eastAsia="Times New Roman" w:cs="Times New Roman"/>
                <w:noProof/>
              </w:rPr>
            </w:pPr>
            <w:r>
              <w:rPr>
                <w:i/>
                <w:noProof/>
              </w:rPr>
              <w:t>Sociedades Web</w:t>
            </w:r>
            <w:r>
              <w:rPr>
                <w:noProof/>
              </w:rPr>
              <w:t xml:space="preserve"> -palvelu, joka on tarkoitettu yhteisöverovelvollisille, päivitetään, ja sen on esitettävä automaattisesti veroilmoituksen kannalta merkitykselliset verotiedot, jotka yhtiöt ovat aiemmin ilmoittaneet julkishallinnolle. Tämän parannuksen valmistuttua palvelu on annettava 1666123 yhteisöverovelvollisen käyttöön. Perustason päivämäärä: Joulukuuta 2020.</w:t>
            </w:r>
          </w:p>
        </w:tc>
      </w:tr>
      <w:tr w:rsidR="0065073E" w14:paraId="11128318" w14:textId="77777777">
        <w:trPr>
          <w:trHeight w:val="309"/>
        </w:trPr>
        <w:tc>
          <w:tcPr>
            <w:tcW w:w="709" w:type="dxa"/>
            <w:shd w:val="clear" w:color="auto" w:fill="C6EFCE"/>
            <w:noWrap/>
          </w:tcPr>
          <w:p w14:paraId="68E85ECF" w14:textId="77777777" w:rsidR="0065073E" w:rsidRDefault="000A0998">
            <w:pPr>
              <w:pStyle w:val="P68B1DB1-Normal12"/>
              <w:spacing w:after="0"/>
              <w:jc w:val="center"/>
              <w:rPr>
                <w:rFonts w:cs="Times New Roman"/>
                <w:noProof/>
              </w:rPr>
            </w:pPr>
            <w:r>
              <w:rPr>
                <w:noProof/>
              </w:rPr>
              <w:t>381</w:t>
            </w:r>
          </w:p>
        </w:tc>
        <w:tc>
          <w:tcPr>
            <w:tcW w:w="851" w:type="dxa"/>
            <w:shd w:val="clear" w:color="auto" w:fill="C6EFCE"/>
            <w:noWrap/>
          </w:tcPr>
          <w:p w14:paraId="358A22F0" w14:textId="77777777" w:rsidR="0065073E" w:rsidRDefault="000A0998">
            <w:pPr>
              <w:pStyle w:val="P68B1DB1-Normal12"/>
              <w:spacing w:after="0"/>
              <w:jc w:val="center"/>
              <w:rPr>
                <w:rFonts w:cs="Times New Roman"/>
                <w:noProof/>
              </w:rPr>
            </w:pPr>
            <w:r>
              <w:rPr>
                <w:noProof/>
              </w:rPr>
              <w:t>C27.R3</w:t>
            </w:r>
          </w:p>
        </w:tc>
        <w:tc>
          <w:tcPr>
            <w:tcW w:w="850" w:type="dxa"/>
            <w:shd w:val="clear" w:color="auto" w:fill="C6EFCE"/>
            <w:noWrap/>
          </w:tcPr>
          <w:p w14:paraId="0F6B0EB5" w14:textId="77777777" w:rsidR="0065073E" w:rsidRDefault="000A0998">
            <w:pPr>
              <w:pStyle w:val="P68B1DB1-Normal12"/>
              <w:spacing w:after="0"/>
              <w:jc w:val="center"/>
              <w:rPr>
                <w:rFonts w:cs="Times New Roman"/>
                <w:noProof/>
              </w:rPr>
            </w:pPr>
            <w:r>
              <w:rPr>
                <w:noProof/>
              </w:rPr>
              <w:t>T</w:t>
            </w:r>
          </w:p>
        </w:tc>
        <w:tc>
          <w:tcPr>
            <w:tcW w:w="2977" w:type="dxa"/>
            <w:shd w:val="clear" w:color="auto" w:fill="C6EFCE"/>
            <w:noWrap/>
          </w:tcPr>
          <w:p w14:paraId="191FEE1A" w14:textId="77777777" w:rsidR="0065073E" w:rsidRDefault="000A0998">
            <w:pPr>
              <w:pStyle w:val="P68B1DB1-Normal12"/>
              <w:spacing w:after="0"/>
              <w:rPr>
                <w:rFonts w:cs="Times New Roman"/>
                <w:noProof/>
              </w:rPr>
            </w:pPr>
            <w:r>
              <w:rPr>
                <w:noProof/>
              </w:rPr>
              <w:t>Tehostetun avun toimittaminen veronmaksajille – Renta Web päivitetty ja saatavilla vähintään 1779505 verovelvolliselle</w:t>
            </w:r>
          </w:p>
        </w:tc>
        <w:tc>
          <w:tcPr>
            <w:tcW w:w="1134" w:type="dxa"/>
            <w:shd w:val="clear" w:color="auto" w:fill="C6EFCE"/>
            <w:noWrap/>
          </w:tcPr>
          <w:p w14:paraId="78FE25B2" w14:textId="77777777" w:rsidR="0065073E" w:rsidRDefault="000A0998">
            <w:pPr>
              <w:pStyle w:val="P68B1DB1-Normal12"/>
              <w:spacing w:after="0"/>
              <w:jc w:val="center"/>
              <w:rPr>
                <w:rFonts w:cs="Times New Roman"/>
                <w:noProof/>
              </w:rPr>
            </w:pPr>
            <w:r>
              <w:rPr>
                <w:noProof/>
              </w:rPr>
              <w:t xml:space="preserve"> </w:t>
            </w:r>
          </w:p>
        </w:tc>
        <w:tc>
          <w:tcPr>
            <w:tcW w:w="851" w:type="dxa"/>
            <w:shd w:val="clear" w:color="auto" w:fill="C6EFCE"/>
            <w:noWrap/>
          </w:tcPr>
          <w:p w14:paraId="48F91E17" w14:textId="77777777" w:rsidR="0065073E" w:rsidRDefault="000A0998">
            <w:pPr>
              <w:pStyle w:val="P68B1DB1-Normal12"/>
              <w:spacing w:after="0"/>
              <w:jc w:val="center"/>
              <w:rPr>
                <w:rFonts w:cs="Times New Roman"/>
                <w:noProof/>
              </w:rPr>
            </w:pPr>
            <w:r>
              <w:rPr>
                <w:noProof/>
              </w:rPr>
              <w:t>Määrä</w:t>
            </w:r>
          </w:p>
        </w:tc>
        <w:tc>
          <w:tcPr>
            <w:tcW w:w="992" w:type="dxa"/>
            <w:shd w:val="clear" w:color="auto" w:fill="C6EFCE"/>
            <w:noWrap/>
          </w:tcPr>
          <w:p w14:paraId="18043F16" w14:textId="77777777" w:rsidR="0065073E" w:rsidRDefault="000A0998">
            <w:pPr>
              <w:pStyle w:val="P68B1DB1-Normal12"/>
              <w:spacing w:after="0"/>
              <w:rPr>
                <w:rFonts w:cs="Times New Roman"/>
                <w:noProof/>
              </w:rPr>
            </w:pPr>
            <w:r>
              <w:rPr>
                <w:noProof/>
              </w:rPr>
              <w:t>0</w:t>
            </w:r>
          </w:p>
        </w:tc>
        <w:tc>
          <w:tcPr>
            <w:tcW w:w="709" w:type="dxa"/>
            <w:shd w:val="clear" w:color="auto" w:fill="C6EFCE"/>
            <w:noWrap/>
          </w:tcPr>
          <w:p w14:paraId="75F4E397" w14:textId="77777777" w:rsidR="0065073E" w:rsidRDefault="000A0998">
            <w:pPr>
              <w:pStyle w:val="P68B1DB1-Normal12"/>
              <w:spacing w:after="0"/>
              <w:rPr>
                <w:rFonts w:cs="Times New Roman"/>
                <w:noProof/>
              </w:rPr>
            </w:pPr>
            <w:r>
              <w:rPr>
                <w:noProof/>
              </w:rPr>
              <w:t>1 779 505</w:t>
            </w:r>
          </w:p>
        </w:tc>
        <w:tc>
          <w:tcPr>
            <w:tcW w:w="425" w:type="dxa"/>
            <w:shd w:val="clear" w:color="auto" w:fill="C6EFCE"/>
            <w:noWrap/>
          </w:tcPr>
          <w:p w14:paraId="4ECC0553" w14:textId="77777777" w:rsidR="0065073E" w:rsidRDefault="000A0998">
            <w:pPr>
              <w:pStyle w:val="P68B1DB1-Normal12"/>
              <w:spacing w:after="0"/>
              <w:jc w:val="center"/>
              <w:rPr>
                <w:rFonts w:cs="Times New Roman"/>
                <w:noProof/>
              </w:rPr>
            </w:pPr>
            <w:r>
              <w:rPr>
                <w:noProof/>
              </w:rPr>
              <w:t>Q4</w:t>
            </w:r>
          </w:p>
        </w:tc>
        <w:tc>
          <w:tcPr>
            <w:tcW w:w="709" w:type="dxa"/>
            <w:shd w:val="clear" w:color="auto" w:fill="C6EFCE"/>
            <w:noWrap/>
          </w:tcPr>
          <w:p w14:paraId="03F52988" w14:textId="77777777" w:rsidR="0065073E" w:rsidRDefault="000A0998">
            <w:pPr>
              <w:pStyle w:val="P68B1DB1-Normal12"/>
              <w:spacing w:after="0"/>
              <w:jc w:val="center"/>
              <w:rPr>
                <w:rFonts w:cs="Times New Roman"/>
                <w:noProof/>
              </w:rPr>
            </w:pPr>
            <w:r>
              <w:rPr>
                <w:noProof/>
              </w:rPr>
              <w:t>2021</w:t>
            </w:r>
          </w:p>
        </w:tc>
        <w:tc>
          <w:tcPr>
            <w:tcW w:w="5131" w:type="dxa"/>
            <w:shd w:val="clear" w:color="auto" w:fill="C6EFCE"/>
            <w:noWrap/>
          </w:tcPr>
          <w:p w14:paraId="6F46FADA" w14:textId="77777777" w:rsidR="0065073E" w:rsidRDefault="000A0998">
            <w:pPr>
              <w:pStyle w:val="P68B1DB1-Normal12"/>
              <w:spacing w:after="0"/>
              <w:rPr>
                <w:rFonts w:cs="Times New Roman"/>
                <w:noProof/>
              </w:rPr>
            </w:pPr>
            <w:r>
              <w:rPr>
                <w:i/>
                <w:noProof/>
              </w:rPr>
              <w:t>Renta Web</w:t>
            </w:r>
            <w:r>
              <w:rPr>
                <w:noProof/>
              </w:rPr>
              <w:t xml:space="preserve"> on henkilökohtaiseen tuloveroon tarkoitettu ohjelmisto, joka mahdollistaa libros</w:t>
            </w:r>
            <w:r>
              <w:rPr>
                <w:i/>
                <w:noProof/>
              </w:rPr>
              <w:t>registron</w:t>
            </w:r>
            <w:r>
              <w:rPr>
                <w:noProof/>
              </w:rPr>
              <w:t>suoran maahantuonnin henkilökohtaisiin tuloveroilmoituksiin. Se on tarkoitettu 1779505 henkilökohtaiseen tulovelvolliseen. Perustason päivämäärä: Joulukuuta 2020.</w:t>
            </w:r>
          </w:p>
        </w:tc>
      </w:tr>
      <w:tr w:rsidR="0065073E" w14:paraId="68C1902E" w14:textId="77777777">
        <w:trPr>
          <w:trHeight w:val="309"/>
        </w:trPr>
        <w:tc>
          <w:tcPr>
            <w:tcW w:w="709" w:type="dxa"/>
            <w:shd w:val="clear" w:color="auto" w:fill="C6EFCE"/>
            <w:noWrap/>
          </w:tcPr>
          <w:p w14:paraId="0E3BF9FA" w14:textId="77777777" w:rsidR="0065073E" w:rsidRDefault="000A0998">
            <w:pPr>
              <w:pStyle w:val="P68B1DB1-Normal12"/>
              <w:spacing w:after="0"/>
              <w:jc w:val="center"/>
              <w:rPr>
                <w:rFonts w:eastAsia="Times New Roman" w:cs="Times New Roman"/>
                <w:noProof/>
              </w:rPr>
            </w:pPr>
            <w:r>
              <w:rPr>
                <w:noProof/>
              </w:rPr>
              <w:t>382</w:t>
            </w:r>
          </w:p>
        </w:tc>
        <w:tc>
          <w:tcPr>
            <w:tcW w:w="851" w:type="dxa"/>
            <w:shd w:val="clear" w:color="auto" w:fill="C6EFCE"/>
            <w:noWrap/>
          </w:tcPr>
          <w:p w14:paraId="2DF19F86" w14:textId="77777777" w:rsidR="0065073E" w:rsidRDefault="000A0998">
            <w:pPr>
              <w:pStyle w:val="P68B1DB1-Normal12"/>
              <w:spacing w:after="0"/>
              <w:jc w:val="center"/>
              <w:rPr>
                <w:rFonts w:eastAsia="Times New Roman" w:cs="Times New Roman"/>
                <w:noProof/>
              </w:rPr>
            </w:pPr>
            <w:r>
              <w:rPr>
                <w:noProof/>
              </w:rPr>
              <w:t>C27.R3</w:t>
            </w:r>
          </w:p>
        </w:tc>
        <w:tc>
          <w:tcPr>
            <w:tcW w:w="850" w:type="dxa"/>
            <w:shd w:val="clear" w:color="auto" w:fill="C6EFCE"/>
            <w:noWrap/>
          </w:tcPr>
          <w:p w14:paraId="298197E5" w14:textId="77777777" w:rsidR="0065073E" w:rsidRDefault="000A0998">
            <w:pPr>
              <w:pStyle w:val="P68B1DB1-Normal12"/>
              <w:spacing w:after="0"/>
              <w:jc w:val="center"/>
              <w:rPr>
                <w:rFonts w:eastAsia="Times New Roman" w:cs="Times New Roman"/>
                <w:noProof/>
              </w:rPr>
            </w:pPr>
            <w:r>
              <w:rPr>
                <w:noProof/>
              </w:rPr>
              <w:t>M</w:t>
            </w:r>
          </w:p>
        </w:tc>
        <w:tc>
          <w:tcPr>
            <w:tcW w:w="2977" w:type="dxa"/>
            <w:shd w:val="clear" w:color="auto" w:fill="C6EFCE"/>
            <w:noWrap/>
          </w:tcPr>
          <w:p w14:paraId="6BACF937" w14:textId="77777777" w:rsidR="0065073E" w:rsidRDefault="000A0998">
            <w:pPr>
              <w:pStyle w:val="P68B1DB1-Normal12"/>
              <w:spacing w:after="0"/>
              <w:rPr>
                <w:rFonts w:eastAsia="Times New Roman" w:cs="Times New Roman"/>
                <w:noProof/>
              </w:rPr>
            </w:pPr>
            <w:r>
              <w:rPr>
                <w:noProof/>
              </w:rPr>
              <w:t>Neljän digitaalisen tukialustan toimittaminen</w:t>
            </w:r>
          </w:p>
        </w:tc>
        <w:tc>
          <w:tcPr>
            <w:tcW w:w="1134" w:type="dxa"/>
            <w:shd w:val="clear" w:color="auto" w:fill="C6EFCE"/>
            <w:noWrap/>
          </w:tcPr>
          <w:p w14:paraId="65E1A8B1" w14:textId="77777777" w:rsidR="0065073E" w:rsidRDefault="000A0998">
            <w:pPr>
              <w:pStyle w:val="P68B1DB1-Normal12"/>
              <w:spacing w:after="0"/>
              <w:jc w:val="center"/>
              <w:rPr>
                <w:rFonts w:eastAsia="Times New Roman" w:cs="Times New Roman"/>
                <w:noProof/>
              </w:rPr>
            </w:pPr>
            <w:r>
              <w:rPr>
                <w:noProof/>
              </w:rPr>
              <w:t xml:space="preserve">Verohallinnon raportin julkaiseminen </w:t>
            </w:r>
          </w:p>
        </w:tc>
        <w:tc>
          <w:tcPr>
            <w:tcW w:w="851" w:type="dxa"/>
            <w:shd w:val="clear" w:color="auto" w:fill="C6EFCE"/>
            <w:noWrap/>
          </w:tcPr>
          <w:p w14:paraId="1D1175EE" w14:textId="77777777" w:rsidR="0065073E" w:rsidRDefault="000A0998">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41E5E6F4" w14:textId="77777777" w:rsidR="0065073E" w:rsidRDefault="000A0998">
            <w:pPr>
              <w:pStyle w:val="P68B1DB1-Normal12"/>
              <w:spacing w:after="0"/>
              <w:jc w:val="right"/>
              <w:rPr>
                <w:rFonts w:eastAsia="Times New Roman" w:cs="Times New Roman"/>
                <w:noProof/>
              </w:rPr>
            </w:pPr>
            <w:r>
              <w:rPr>
                <w:noProof/>
              </w:rPr>
              <w:t xml:space="preserve"> </w:t>
            </w:r>
          </w:p>
        </w:tc>
        <w:tc>
          <w:tcPr>
            <w:tcW w:w="709" w:type="dxa"/>
            <w:shd w:val="clear" w:color="auto" w:fill="C6EFCE"/>
            <w:noWrap/>
          </w:tcPr>
          <w:p w14:paraId="2BDA0106" w14:textId="77777777" w:rsidR="0065073E" w:rsidRDefault="000A0998">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6566099C" w14:textId="77777777" w:rsidR="0065073E" w:rsidRDefault="000A0998">
            <w:pPr>
              <w:pStyle w:val="P68B1DB1-Normal12"/>
              <w:spacing w:after="0"/>
              <w:jc w:val="center"/>
              <w:rPr>
                <w:rFonts w:eastAsia="Times New Roman" w:cs="Times New Roman"/>
                <w:noProof/>
              </w:rPr>
            </w:pPr>
            <w:r>
              <w:rPr>
                <w:noProof/>
              </w:rPr>
              <w:t>Q4</w:t>
            </w:r>
          </w:p>
        </w:tc>
        <w:tc>
          <w:tcPr>
            <w:tcW w:w="709" w:type="dxa"/>
            <w:shd w:val="clear" w:color="auto" w:fill="C6EFCE"/>
            <w:noWrap/>
          </w:tcPr>
          <w:p w14:paraId="168B9BFD" w14:textId="77777777" w:rsidR="0065073E" w:rsidRDefault="000A0998">
            <w:pPr>
              <w:pStyle w:val="P68B1DB1-Normal12"/>
              <w:spacing w:after="0"/>
              <w:jc w:val="center"/>
              <w:rPr>
                <w:rFonts w:eastAsia="Times New Roman" w:cs="Times New Roman"/>
                <w:noProof/>
              </w:rPr>
            </w:pPr>
            <w:r>
              <w:rPr>
                <w:noProof/>
              </w:rPr>
              <w:t>2023</w:t>
            </w:r>
          </w:p>
        </w:tc>
        <w:tc>
          <w:tcPr>
            <w:tcW w:w="5131" w:type="dxa"/>
            <w:shd w:val="clear" w:color="auto" w:fill="C6EFCE"/>
            <w:noWrap/>
          </w:tcPr>
          <w:p w14:paraId="04EBE51F" w14:textId="77777777" w:rsidR="0065073E" w:rsidRDefault="000A0998">
            <w:pPr>
              <w:pStyle w:val="P68B1DB1-Normal12"/>
              <w:spacing w:after="0"/>
              <w:rPr>
                <w:rFonts w:eastAsia="Times New Roman" w:cs="Times New Roman"/>
                <w:noProof/>
              </w:rPr>
            </w:pPr>
            <w:r>
              <w:rPr>
                <w:noProof/>
              </w:rPr>
              <w:t>Veroviraston on otettava käyttöön neljä veroalan digitaalista tukialustaa, joilla parannetaan veronmaksajille tarjottavia palveluja. Digitaalisten palvelujen tarjoajien on toimittava virtuaalisina verkkopalveluina, jotka tarjoavat verovelvollisille laajemman tukipalvelun, jonka avulla he voivat olla yhteydessä Verovirastoon eri kielillä, jotta he voivat toteuttaa verkossa samat tukimenettelyt kuin ne, jotka ovat saatavilla perinteisessä toimistossa, kuten yleiset tiedotuspalvelut, eri menettelyissä avustaminen ja veroilmoitusten tekeminen.</w:t>
            </w:r>
          </w:p>
        </w:tc>
      </w:tr>
      <w:tr w:rsidR="0065073E" w14:paraId="2CC903A3" w14:textId="77777777">
        <w:trPr>
          <w:trHeight w:val="309"/>
        </w:trPr>
        <w:tc>
          <w:tcPr>
            <w:tcW w:w="709" w:type="dxa"/>
            <w:shd w:val="clear" w:color="auto" w:fill="C6EFCE"/>
            <w:noWrap/>
          </w:tcPr>
          <w:p w14:paraId="64C51E35" w14:textId="77777777" w:rsidR="0065073E" w:rsidRDefault="000A0998">
            <w:pPr>
              <w:pStyle w:val="P68B1DB1-Normal12"/>
              <w:spacing w:after="0"/>
              <w:jc w:val="center"/>
              <w:rPr>
                <w:rFonts w:eastAsia="Times New Roman" w:cs="Times New Roman"/>
                <w:noProof/>
              </w:rPr>
            </w:pPr>
            <w:r>
              <w:rPr>
                <w:noProof/>
              </w:rPr>
              <w:t>383</w:t>
            </w:r>
          </w:p>
        </w:tc>
        <w:tc>
          <w:tcPr>
            <w:tcW w:w="851" w:type="dxa"/>
            <w:shd w:val="clear" w:color="auto" w:fill="C6EFCE"/>
            <w:noWrap/>
          </w:tcPr>
          <w:p w14:paraId="7924CDDD" w14:textId="77777777" w:rsidR="0065073E" w:rsidRDefault="000A0998">
            <w:pPr>
              <w:pStyle w:val="P68B1DB1-Normal12"/>
              <w:spacing w:after="0"/>
              <w:jc w:val="center"/>
              <w:rPr>
                <w:rFonts w:eastAsia="Times New Roman" w:cs="Times New Roman"/>
                <w:noProof/>
              </w:rPr>
            </w:pPr>
            <w:r>
              <w:rPr>
                <w:noProof/>
              </w:rPr>
              <w:t>C27.R4</w:t>
            </w:r>
          </w:p>
        </w:tc>
        <w:tc>
          <w:tcPr>
            <w:tcW w:w="850" w:type="dxa"/>
            <w:shd w:val="clear" w:color="auto" w:fill="C6EFCE"/>
            <w:noWrap/>
          </w:tcPr>
          <w:p w14:paraId="13FA85BC" w14:textId="77777777" w:rsidR="0065073E" w:rsidRDefault="000A0998">
            <w:pPr>
              <w:pStyle w:val="P68B1DB1-Normal12"/>
              <w:spacing w:after="0"/>
              <w:jc w:val="center"/>
              <w:rPr>
                <w:rFonts w:eastAsia="Times New Roman" w:cs="Times New Roman"/>
                <w:noProof/>
              </w:rPr>
            </w:pPr>
            <w:r>
              <w:rPr>
                <w:noProof/>
              </w:rPr>
              <w:t>T</w:t>
            </w:r>
          </w:p>
        </w:tc>
        <w:tc>
          <w:tcPr>
            <w:tcW w:w="2977" w:type="dxa"/>
            <w:shd w:val="clear" w:color="auto" w:fill="C6EFCE"/>
            <w:noWrap/>
          </w:tcPr>
          <w:p w14:paraId="0CE926E3" w14:textId="77777777" w:rsidR="0065073E" w:rsidRDefault="000A0998">
            <w:pPr>
              <w:pStyle w:val="P68B1DB1-Normal12"/>
              <w:spacing w:after="0"/>
              <w:rPr>
                <w:rFonts w:eastAsia="Times New Roman" w:cs="Times New Roman"/>
                <w:noProof/>
              </w:rPr>
            </w:pPr>
            <w:r>
              <w:rPr>
                <w:noProof/>
              </w:rPr>
              <w:t xml:space="preserve">Kansainvälinen ulottuvuus – tunnistetut ulkomaiset verovelvolliset </w:t>
            </w:r>
          </w:p>
        </w:tc>
        <w:tc>
          <w:tcPr>
            <w:tcW w:w="1134" w:type="dxa"/>
            <w:shd w:val="clear" w:color="auto" w:fill="C6EFCE"/>
            <w:noWrap/>
          </w:tcPr>
          <w:p w14:paraId="67857EAC" w14:textId="77777777" w:rsidR="0065073E" w:rsidRDefault="000A0998">
            <w:pPr>
              <w:pStyle w:val="P68B1DB1-Normal12"/>
              <w:spacing w:after="0"/>
              <w:jc w:val="center"/>
              <w:rPr>
                <w:rFonts w:eastAsia="Times New Roman" w:cs="Times New Roman"/>
                <w:noProof/>
              </w:rPr>
            </w:pPr>
            <w:r>
              <w:rPr>
                <w:noProof/>
              </w:rPr>
              <w:t xml:space="preserve"> </w:t>
            </w:r>
          </w:p>
        </w:tc>
        <w:tc>
          <w:tcPr>
            <w:tcW w:w="851" w:type="dxa"/>
            <w:shd w:val="clear" w:color="auto" w:fill="C6EFCE"/>
            <w:noWrap/>
          </w:tcPr>
          <w:p w14:paraId="07596CC5" w14:textId="77777777" w:rsidR="0065073E" w:rsidRDefault="000A0998">
            <w:pPr>
              <w:pStyle w:val="P68B1DB1-Normal12"/>
              <w:spacing w:after="0"/>
              <w:jc w:val="center"/>
              <w:rPr>
                <w:rFonts w:eastAsia="Times New Roman" w:cs="Times New Roman"/>
                <w:noProof/>
              </w:rPr>
            </w:pPr>
            <w:r>
              <w:rPr>
                <w:noProof/>
              </w:rPr>
              <w:t>Lukumäärä (%)</w:t>
            </w:r>
          </w:p>
        </w:tc>
        <w:tc>
          <w:tcPr>
            <w:tcW w:w="992" w:type="dxa"/>
            <w:shd w:val="clear" w:color="auto" w:fill="C6EFCE"/>
            <w:noWrap/>
          </w:tcPr>
          <w:p w14:paraId="0CAE84B5" w14:textId="77777777" w:rsidR="0065073E" w:rsidRDefault="000A0998">
            <w:pPr>
              <w:pStyle w:val="P68B1DB1-Normal12"/>
              <w:spacing w:after="0"/>
              <w:jc w:val="right"/>
              <w:rPr>
                <w:rFonts w:eastAsia="Times New Roman" w:cs="Times New Roman"/>
                <w:noProof/>
              </w:rPr>
            </w:pPr>
            <w:r>
              <w:rPr>
                <w:noProof/>
              </w:rPr>
              <w:t>0</w:t>
            </w:r>
          </w:p>
        </w:tc>
        <w:tc>
          <w:tcPr>
            <w:tcW w:w="709" w:type="dxa"/>
            <w:shd w:val="clear" w:color="auto" w:fill="C6EFCE"/>
            <w:noWrap/>
          </w:tcPr>
          <w:p w14:paraId="1E25BDA4" w14:textId="77777777" w:rsidR="0065073E" w:rsidRDefault="000A0998">
            <w:pPr>
              <w:pStyle w:val="P68B1DB1-Normal12"/>
              <w:spacing w:after="0"/>
              <w:jc w:val="right"/>
              <w:rPr>
                <w:rFonts w:eastAsia="Times New Roman" w:cs="Times New Roman"/>
                <w:noProof/>
              </w:rPr>
            </w:pPr>
            <w:r>
              <w:rPr>
                <w:noProof/>
              </w:rPr>
              <w:t>85</w:t>
            </w:r>
          </w:p>
        </w:tc>
        <w:tc>
          <w:tcPr>
            <w:tcW w:w="425" w:type="dxa"/>
            <w:shd w:val="clear" w:color="auto" w:fill="C6EFCE"/>
            <w:noWrap/>
          </w:tcPr>
          <w:p w14:paraId="28E904A9" w14:textId="77777777" w:rsidR="0065073E" w:rsidRDefault="000A0998">
            <w:pPr>
              <w:pStyle w:val="P68B1DB1-Normal12"/>
              <w:spacing w:after="0"/>
              <w:jc w:val="center"/>
              <w:rPr>
                <w:rFonts w:eastAsia="Times New Roman" w:cs="Times New Roman"/>
                <w:noProof/>
              </w:rPr>
            </w:pPr>
            <w:r>
              <w:rPr>
                <w:noProof/>
              </w:rPr>
              <w:t>Q4</w:t>
            </w:r>
          </w:p>
        </w:tc>
        <w:tc>
          <w:tcPr>
            <w:tcW w:w="709" w:type="dxa"/>
            <w:shd w:val="clear" w:color="auto" w:fill="C6EFCE"/>
            <w:noWrap/>
          </w:tcPr>
          <w:p w14:paraId="0E649732" w14:textId="77777777" w:rsidR="0065073E" w:rsidRDefault="000A0998">
            <w:pPr>
              <w:pStyle w:val="P68B1DB1-Normal12"/>
              <w:spacing w:after="0"/>
              <w:jc w:val="center"/>
              <w:rPr>
                <w:rFonts w:eastAsia="Times New Roman" w:cs="Times New Roman"/>
                <w:noProof/>
              </w:rPr>
            </w:pPr>
            <w:r>
              <w:rPr>
                <w:noProof/>
              </w:rPr>
              <w:t>2021</w:t>
            </w:r>
          </w:p>
        </w:tc>
        <w:tc>
          <w:tcPr>
            <w:tcW w:w="5131" w:type="dxa"/>
            <w:shd w:val="clear" w:color="auto" w:fill="C6EFCE"/>
            <w:noWrap/>
          </w:tcPr>
          <w:p w14:paraId="44091DCC" w14:textId="77777777" w:rsidR="0065073E" w:rsidRDefault="000A0998">
            <w:pPr>
              <w:pStyle w:val="P68B1DB1-Normal12"/>
              <w:spacing w:after="0"/>
              <w:rPr>
                <w:rFonts w:eastAsia="Times New Roman" w:cs="Times New Roman"/>
                <w:noProof/>
              </w:rPr>
            </w:pPr>
            <w:r>
              <w:rPr>
                <w:noProof/>
              </w:rPr>
              <w:t>Parantaakseen verosäännösten noudattamista erityisesti niiden verovelvollisten osalta, jotka ovat rekisteröityneet rekisteriin ulkomaisiksi verovelvollisiksi, veroviraston on toteutettava hanke, jossa hyödynnetään eri kansainvälisistä lähteistä, kuten FATCAsta ja CRS:stä, saatuja uusia tietoja verovelvollisista. Kun hanke on saatu päätökseen, saatujen kansainvälisten tietojen odotetaan soveltuvan riskianalyysiin. Hankkeen tavoitteena on, että verotiedot, jotka koskevat vähintään 85:tä prosenttia rekisteröidyistä ulkomaisista verovelvollisista, joista verovirasto sai tietoja vuonna 2019, on tunnistettu ja sen verotiedot on tarkastettu, jotta niitä voidaan käyttää riskianalyysissä 31 päivään joulukuuta 2021 mennessä. Perustason päivämäärä: Joulukuuta 2020.</w:t>
            </w:r>
          </w:p>
        </w:tc>
      </w:tr>
      <w:tr w:rsidR="0065073E" w14:paraId="2E94181E" w14:textId="77777777">
        <w:trPr>
          <w:trHeight w:val="309"/>
        </w:trPr>
        <w:tc>
          <w:tcPr>
            <w:tcW w:w="709" w:type="dxa"/>
            <w:shd w:val="clear" w:color="auto" w:fill="C6EFCE"/>
            <w:noWrap/>
          </w:tcPr>
          <w:p w14:paraId="369D469A" w14:textId="77777777" w:rsidR="0065073E" w:rsidRDefault="000A0998">
            <w:pPr>
              <w:pStyle w:val="P68B1DB1-Normal12"/>
              <w:spacing w:after="0"/>
              <w:jc w:val="center"/>
              <w:rPr>
                <w:rFonts w:eastAsia="Times New Roman" w:cs="Times New Roman"/>
                <w:noProof/>
              </w:rPr>
            </w:pPr>
            <w:r>
              <w:rPr>
                <w:noProof/>
              </w:rPr>
              <w:t>384</w:t>
            </w:r>
          </w:p>
        </w:tc>
        <w:tc>
          <w:tcPr>
            <w:tcW w:w="851" w:type="dxa"/>
            <w:shd w:val="clear" w:color="auto" w:fill="C6EFCE"/>
            <w:noWrap/>
          </w:tcPr>
          <w:p w14:paraId="4AAA593D" w14:textId="77777777" w:rsidR="0065073E" w:rsidRDefault="000A0998">
            <w:pPr>
              <w:pStyle w:val="P68B1DB1-Normal12"/>
              <w:spacing w:after="0"/>
              <w:jc w:val="center"/>
              <w:rPr>
                <w:rFonts w:eastAsia="Times New Roman" w:cs="Times New Roman"/>
                <w:noProof/>
              </w:rPr>
            </w:pPr>
            <w:r>
              <w:rPr>
                <w:noProof/>
              </w:rPr>
              <w:t>C27.R5</w:t>
            </w:r>
          </w:p>
        </w:tc>
        <w:tc>
          <w:tcPr>
            <w:tcW w:w="850" w:type="dxa"/>
            <w:shd w:val="clear" w:color="auto" w:fill="C6EFCE"/>
            <w:noWrap/>
          </w:tcPr>
          <w:p w14:paraId="042E4418" w14:textId="77777777" w:rsidR="0065073E" w:rsidRDefault="000A0998">
            <w:pPr>
              <w:pStyle w:val="P68B1DB1-Normal12"/>
              <w:spacing w:after="0"/>
              <w:jc w:val="center"/>
              <w:rPr>
                <w:rFonts w:eastAsia="Times New Roman" w:cs="Times New Roman"/>
                <w:noProof/>
              </w:rPr>
            </w:pPr>
            <w:r>
              <w:rPr>
                <w:noProof/>
              </w:rPr>
              <w:t>T</w:t>
            </w:r>
          </w:p>
        </w:tc>
        <w:tc>
          <w:tcPr>
            <w:tcW w:w="2977" w:type="dxa"/>
            <w:shd w:val="clear" w:color="auto" w:fill="C6EFCE"/>
            <w:noWrap/>
          </w:tcPr>
          <w:p w14:paraId="7DF6F267" w14:textId="77777777" w:rsidR="0065073E" w:rsidRDefault="000A0998">
            <w:pPr>
              <w:pStyle w:val="P68B1DB1-Normal12"/>
              <w:spacing w:after="0"/>
              <w:rPr>
                <w:rFonts w:eastAsia="Times New Roman" w:cs="Times New Roman"/>
                <w:noProof/>
              </w:rPr>
            </w:pPr>
            <w:r>
              <w:rPr>
                <w:noProof/>
              </w:rPr>
              <w:t>Yhteistyömalli – Avoimuusraportit</w:t>
            </w:r>
          </w:p>
        </w:tc>
        <w:tc>
          <w:tcPr>
            <w:tcW w:w="1134" w:type="dxa"/>
            <w:shd w:val="clear" w:color="auto" w:fill="C6EFCE"/>
            <w:noWrap/>
          </w:tcPr>
          <w:p w14:paraId="05BE67A3" w14:textId="77777777" w:rsidR="0065073E" w:rsidRDefault="000A0998">
            <w:pPr>
              <w:pStyle w:val="P68B1DB1-Normal12"/>
              <w:spacing w:after="0"/>
              <w:jc w:val="center"/>
              <w:rPr>
                <w:rFonts w:eastAsia="Times New Roman" w:cs="Times New Roman"/>
                <w:noProof/>
              </w:rPr>
            </w:pPr>
            <w:r>
              <w:rPr>
                <w:noProof/>
              </w:rPr>
              <w:t xml:space="preserve"> </w:t>
            </w:r>
          </w:p>
        </w:tc>
        <w:tc>
          <w:tcPr>
            <w:tcW w:w="851" w:type="dxa"/>
            <w:shd w:val="clear" w:color="auto" w:fill="C6EFCE"/>
            <w:noWrap/>
          </w:tcPr>
          <w:p w14:paraId="749A8266" w14:textId="77777777" w:rsidR="0065073E" w:rsidRDefault="000A0998">
            <w:pPr>
              <w:pStyle w:val="P68B1DB1-Normal12"/>
              <w:spacing w:after="0"/>
              <w:jc w:val="center"/>
              <w:rPr>
                <w:rFonts w:eastAsia="Times New Roman" w:cs="Times New Roman"/>
                <w:noProof/>
              </w:rPr>
            </w:pPr>
            <w:r>
              <w:rPr>
                <w:noProof/>
              </w:rPr>
              <w:t xml:space="preserve">Määrä </w:t>
            </w:r>
          </w:p>
        </w:tc>
        <w:tc>
          <w:tcPr>
            <w:tcW w:w="992" w:type="dxa"/>
            <w:shd w:val="clear" w:color="auto" w:fill="C6EFCE"/>
            <w:noWrap/>
          </w:tcPr>
          <w:p w14:paraId="66896702" w14:textId="77777777" w:rsidR="0065073E" w:rsidRDefault="000A0998">
            <w:pPr>
              <w:pStyle w:val="P68B1DB1-Normal12"/>
              <w:spacing w:after="0"/>
              <w:jc w:val="right"/>
              <w:rPr>
                <w:rFonts w:eastAsia="Times New Roman" w:cs="Times New Roman"/>
                <w:noProof/>
              </w:rPr>
            </w:pPr>
            <w:r>
              <w:rPr>
                <w:noProof/>
              </w:rPr>
              <w:t>0</w:t>
            </w:r>
          </w:p>
        </w:tc>
        <w:tc>
          <w:tcPr>
            <w:tcW w:w="709" w:type="dxa"/>
            <w:shd w:val="clear" w:color="auto" w:fill="C6EFCE"/>
            <w:noWrap/>
          </w:tcPr>
          <w:p w14:paraId="40419D8E" w14:textId="77777777" w:rsidR="0065073E" w:rsidRDefault="000A0998">
            <w:pPr>
              <w:pStyle w:val="P68B1DB1-Normal12"/>
              <w:spacing w:after="0"/>
              <w:jc w:val="right"/>
              <w:rPr>
                <w:rFonts w:eastAsia="Times New Roman" w:cs="Times New Roman"/>
                <w:noProof/>
              </w:rPr>
            </w:pPr>
            <w:r>
              <w:rPr>
                <w:noProof/>
              </w:rPr>
              <w:t>20</w:t>
            </w:r>
          </w:p>
        </w:tc>
        <w:tc>
          <w:tcPr>
            <w:tcW w:w="425" w:type="dxa"/>
            <w:shd w:val="clear" w:color="auto" w:fill="C6EFCE"/>
            <w:noWrap/>
          </w:tcPr>
          <w:p w14:paraId="304624A8" w14:textId="77777777" w:rsidR="0065073E" w:rsidRDefault="000A0998">
            <w:pPr>
              <w:pStyle w:val="P68B1DB1-Normal12"/>
              <w:spacing w:after="0"/>
              <w:jc w:val="center"/>
              <w:rPr>
                <w:rFonts w:eastAsia="Times New Roman" w:cs="Times New Roman"/>
                <w:noProof/>
              </w:rPr>
            </w:pPr>
            <w:r>
              <w:rPr>
                <w:noProof/>
              </w:rPr>
              <w:t>Q4</w:t>
            </w:r>
          </w:p>
        </w:tc>
        <w:tc>
          <w:tcPr>
            <w:tcW w:w="709" w:type="dxa"/>
            <w:shd w:val="clear" w:color="auto" w:fill="C6EFCE"/>
            <w:noWrap/>
          </w:tcPr>
          <w:p w14:paraId="0DF9133B" w14:textId="77777777" w:rsidR="0065073E" w:rsidRDefault="000A0998">
            <w:pPr>
              <w:pStyle w:val="P68B1DB1-Normal12"/>
              <w:spacing w:after="0"/>
              <w:jc w:val="center"/>
              <w:rPr>
                <w:rFonts w:eastAsia="Times New Roman" w:cs="Times New Roman"/>
                <w:noProof/>
              </w:rPr>
            </w:pPr>
            <w:r>
              <w:rPr>
                <w:noProof/>
              </w:rPr>
              <w:t>2021</w:t>
            </w:r>
          </w:p>
        </w:tc>
        <w:tc>
          <w:tcPr>
            <w:tcW w:w="5131" w:type="dxa"/>
            <w:shd w:val="clear" w:color="auto" w:fill="C6EFCE"/>
            <w:noWrap/>
          </w:tcPr>
          <w:p w14:paraId="27637BE0" w14:textId="77777777" w:rsidR="0065073E" w:rsidRDefault="000A0998">
            <w:pPr>
              <w:pStyle w:val="P68B1DB1-Normal12"/>
              <w:spacing w:after="0"/>
              <w:rPr>
                <w:rFonts w:eastAsia="Times New Roman" w:cs="Times New Roman"/>
                <w:noProof/>
              </w:rPr>
            </w:pPr>
            <w:r>
              <w:rPr>
                <w:noProof/>
              </w:rPr>
              <w:t>Veroviraston on toteutettava vuonna 2021 hanke, jolla kannustetaan monikansallisia yrityksiä julkistamaan tietoja toiminnastaan. Näillä tiedoilla voi olla vaikutuksia kyseisten yritysten verotukseen. Tavoitteena on 20 avoimuusraporttia, jotka toimitetaan vuonna 2021.</w:t>
            </w:r>
          </w:p>
        </w:tc>
      </w:tr>
    </w:tbl>
    <w:p w14:paraId="026E0547" w14:textId="77777777" w:rsidR="0065073E" w:rsidRDefault="0065073E">
      <w:pPr>
        <w:pStyle w:val="Text1"/>
        <w:ind w:left="709"/>
        <w:rPr>
          <w:rFonts w:ascii="Times New Roman" w:hAnsi="Times New Roman" w:cs="Times New Roman"/>
          <w:noProof/>
        </w:rPr>
      </w:pPr>
    </w:p>
    <w:p w14:paraId="51CD281E" w14:textId="77777777" w:rsidR="0065073E" w:rsidRDefault="0065073E">
      <w:pPr>
        <w:pStyle w:val="SectionTitle"/>
        <w:rPr>
          <w:rFonts w:ascii="Times New Roman" w:hAnsi="Times New Roman" w:cs="Times New Roman"/>
          <w:noProof/>
        </w:rPr>
        <w:sectPr w:rsidR="0065073E" w:rsidSect="00B511EF">
          <w:headerReference w:type="even" r:id="rId577"/>
          <w:headerReference w:type="default" r:id="rId578"/>
          <w:footerReference w:type="even" r:id="rId579"/>
          <w:footerReference w:type="default" r:id="rId580"/>
          <w:headerReference w:type="first" r:id="rId581"/>
          <w:footerReference w:type="first" r:id="rId582"/>
          <w:pgSz w:w="16839" w:h="11907" w:orient="landscape"/>
          <w:pgMar w:top="1134" w:right="1134" w:bottom="1134" w:left="1134" w:header="567" w:footer="567" w:gutter="0"/>
          <w:cols w:space="720"/>
          <w:docGrid w:linePitch="360"/>
        </w:sectPr>
      </w:pPr>
    </w:p>
    <w:p w14:paraId="4688F100" w14:textId="77777777" w:rsidR="0065073E" w:rsidRDefault="000A0998">
      <w:pPr>
        <w:pStyle w:val="P68B1DB1-Heading12"/>
        <w:rPr>
          <w:rFonts w:cs="Times New Roman"/>
          <w:noProof/>
        </w:rPr>
      </w:pPr>
      <w:r>
        <w:rPr>
          <w:noProof/>
        </w:rPr>
        <w:t>AB. KOMPONENTTI 28: Verojärjestelmän mukauttaminen 2000-luvun todellisuuteen</w:t>
      </w:r>
    </w:p>
    <w:p w14:paraId="0E925F46" w14:textId="33528176" w:rsidR="0065073E" w:rsidRDefault="000A0998">
      <w:pPr>
        <w:pStyle w:val="P68B1DB1-Text118"/>
        <w:ind w:left="0"/>
        <w:rPr>
          <w:rFonts w:cs="Times New Roman"/>
          <w:noProof/>
        </w:rPr>
      </w:pPr>
      <w:r>
        <w:rPr>
          <w:noProof/>
        </w:rPr>
        <w:t xml:space="preserve">Espanjan elpymis- ja palautumissuunnitelman komponentin 28 toimenpiteisiin sisältyy erilaisia verotoimenpiteitä, kuten hätätoimenpiteitä, joista päätettiin talouskriisin akuutissa vaiheessa vuonna 2020, uusien verojen käyttöönotto vuoden 2021 valtion talousarvion yhteydessä ja keskipitkän aikavälin hankkeita, joilla tarkistetaan ja kehitetään verojärjestelmää paremmin sen tarkoituksen mukaisesti. Toimenpiteisiin sisältyy myös verokannustimia vihreän siirtymän nopeuttamiseksi. Espanjan verojärjestelmän uudistuksen tavoitteena on tehdä järjestelmästä oikeudenmukaisempi, progressiivinen, kestävämpi ja oikeudenmukaisempi. Samalla syvennetään vihreän verotuksen rakennetta, otetaan huomioon sukupuolinäkökulma ja tehostetaan yleistä etua koskevaa politiikkaa, kuten terveyden suojelua. Uudistuksilla pyritään myös edistämään talouskasvua, työpaikkojen luomista, talouden häiriönsietokykyä ja alueiden välistä yhteenkuuluvuutta. Koska verotulojen suhde BKT:hen on Espanjassa pienempi kuin vertaistalouksissa, tuloja voidaan lisätä ja julkisen talouden keskipitkän ja pitkän aikavälin kestävyyttä voidaan edistää. </w:t>
      </w:r>
    </w:p>
    <w:p w14:paraId="205DC4D7" w14:textId="72087E5C" w:rsidR="0065073E" w:rsidRDefault="000A0998">
      <w:pPr>
        <w:pStyle w:val="P68B1DB1-Text118"/>
        <w:ind w:left="0"/>
        <w:rPr>
          <w:rFonts w:cs="Times New Roman"/>
          <w:noProof/>
        </w:rPr>
      </w:pPr>
      <w:r>
        <w:rPr>
          <w:noProof/>
        </w:rPr>
        <w:t xml:space="preserve">Komponentissa käsitellään muun muassa maakohtaisia suosituksia julkisen talouden ja julkisten hankintojen kehysten vahvistamisesta kaikilla hallinnon tasoilla (maakohtainen suositus 1 2019, maakohtainen suositus 1 2019), jotka koskevat finanssipolitiikan harjoittamista, jolla pyritään saavuttamaan maltillisella tasolla oleva julkisen talouden rahoitusasema keskipitkällä aikavälillä ja varmistamaan velkakestävyys samalla, kun kannustetaan investointeihin (maakohtainen suositus 1 2020), liikenteen sähköistämisestä (maakohtainen suositus 3 2023 ja 4 2022), ekologiseen ja digitaaliseen siirtymään tehtävien investointien lisäämisestä (maakohtainen suositus 1 2023, 1 2022 ja 3 2020) ja sosiaalisten ja kohtuuhintaisten energiatehokkaiden asuntojen saatavuuden lisäämisestä erityisesti perusparannuksilla (maakohtainen suositus 3 2023 ja 4 2022). </w:t>
      </w:r>
    </w:p>
    <w:p w14:paraId="48553FBA" w14:textId="77777777" w:rsidR="0065073E" w:rsidRDefault="000A0998">
      <w:pPr>
        <w:pStyle w:val="P68B1DB1-Text118"/>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097A9153" w14:textId="77777777" w:rsidR="0065073E" w:rsidRDefault="000A0998">
      <w:pPr>
        <w:pStyle w:val="Text1"/>
        <w:ind w:left="709"/>
        <w:rPr>
          <w:rFonts w:ascii="Times New Roman" w:hAnsi="Times New Roman" w:cs="Times New Roman"/>
          <w:b/>
          <w:i/>
          <w:noProof/>
        </w:rPr>
      </w:pPr>
      <w:r>
        <w:rPr>
          <w:rFonts w:ascii="Times New Roman" w:hAnsi="Times New Roman"/>
          <w:b/>
          <w:noProof/>
          <w:u w:val="single"/>
        </w:rPr>
        <w:t xml:space="preserve">AB.1. </w:t>
      </w:r>
      <w:r>
        <w:rPr>
          <w:noProof/>
        </w:rPr>
        <w:t></w:t>
      </w:r>
      <w:r>
        <w:rPr>
          <w:rFonts w:ascii="Times New Roman" w:hAnsi="Times New Roman"/>
          <w:b/>
          <w:noProof/>
          <w:u w:val="single"/>
        </w:rPr>
        <w:t>Kuvaus uudistuksista ja investoinneista, joita rahoitetaan rahoitustuella, jota ei makseta takaisin</w:t>
      </w:r>
    </w:p>
    <w:p w14:paraId="3E25CCF5" w14:textId="77777777" w:rsidR="0065073E" w:rsidRDefault="000A0998">
      <w:pPr>
        <w:pStyle w:val="P68B1DB1-Text119"/>
        <w:ind w:left="0"/>
        <w:rPr>
          <w:rFonts w:cs="Times New Roman"/>
          <w:noProof/>
        </w:rPr>
      </w:pPr>
      <w:r>
        <w:rPr>
          <w:noProof/>
        </w:rPr>
        <w:t>Uudistus 1 (C28.R1) – Covid-19-pandemian vaikutusten lieventämiseksi vuosina 2020 ja 2021 toteutetut toimenpiteet</w:t>
      </w:r>
    </w:p>
    <w:p w14:paraId="4B34A87F" w14:textId="77777777" w:rsidR="0065073E" w:rsidRDefault="000A0998">
      <w:pPr>
        <w:pStyle w:val="P68B1DB1-Text118"/>
        <w:ind w:left="0"/>
        <w:rPr>
          <w:rFonts w:cs="Times New Roman"/>
          <w:noProof/>
        </w:rPr>
      </w:pPr>
      <w:r>
        <w:rPr>
          <w:noProof/>
        </w:rPr>
        <w:t xml:space="preserve">Espanja otti vuosina 2020 ja 2021 käyttöön useita verotoimenpiteitä covid-19-pandemian aiheuttaman talouskriisin kielteisten vaikutusten lieventämiseksi. Näitä toimenpiteitä olivat muun muassa vero- ja tullivelkojen lykkääminen, veroajan keskeyttäminen ja pidentäminen, mahdollisuus yksinkertaistaa henkilökohtaista tuloveroa, pk-yritysten yhtiövero- ja alv-järjestelmiä, tiettyjen terveyskriisin torjumiseksi tarvittavien tavaroiden alv-kannan väliaikainen alentaminen sekä maksukyvyttömyysrahaston perustaminen rahoitusalan ulkopuolisia yrityksiä varten. Näiden toimenpiteiden tavoitteena oli lieventää pandemian taloudellisia ja sosiaalisia vaikutuksia. Nämä toimenpiteet tulevat voimaan 1 päivänä helmikuuta 2020, ja joitakin niistä jatketaan vuonna 2021. </w:t>
      </w:r>
    </w:p>
    <w:p w14:paraId="3E30F3A4"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5598FB2E" w14:textId="77777777" w:rsidR="0065073E" w:rsidRDefault="0065073E">
      <w:pPr>
        <w:pStyle w:val="Text1"/>
        <w:ind w:left="0"/>
        <w:rPr>
          <w:rFonts w:ascii="Times New Roman" w:hAnsi="Times New Roman"/>
          <w:noProof/>
          <w:u w:val="single"/>
        </w:rPr>
        <w:sectPr w:rsidR="0065073E" w:rsidSect="00B511EF">
          <w:headerReference w:type="even" r:id="rId583"/>
          <w:headerReference w:type="default" r:id="rId584"/>
          <w:footerReference w:type="even" r:id="rId585"/>
          <w:footerReference w:type="default" r:id="rId586"/>
          <w:headerReference w:type="first" r:id="rId587"/>
          <w:footerReference w:type="first" r:id="rId588"/>
          <w:pgSz w:w="11907" w:h="16839"/>
          <w:pgMar w:top="1134" w:right="1134" w:bottom="1134" w:left="1134" w:header="567" w:footer="567" w:gutter="0"/>
          <w:cols w:space="720"/>
          <w:docGrid w:linePitch="360"/>
        </w:sectPr>
      </w:pPr>
    </w:p>
    <w:p w14:paraId="76FFBCCE" w14:textId="77777777" w:rsidR="0065073E" w:rsidRDefault="000A0998">
      <w:pPr>
        <w:pStyle w:val="P68B1DB1-Text119"/>
        <w:ind w:left="0"/>
        <w:rPr>
          <w:rFonts w:cs="Times New Roman"/>
          <w:noProof/>
        </w:rPr>
      </w:pPr>
      <w:r>
        <w:rPr>
          <w:noProof/>
        </w:rPr>
        <w:t>Uudistus 2 (C28.R2) – Vero-hyötyanalyysi</w:t>
      </w:r>
    </w:p>
    <w:p w14:paraId="4BFB300F" w14:textId="77777777" w:rsidR="0065073E" w:rsidRDefault="000A0998">
      <w:pPr>
        <w:pStyle w:val="P68B1DB1-Text118"/>
        <w:ind w:left="0"/>
        <w:rPr>
          <w:rFonts w:cs="Times New Roman"/>
          <w:noProof/>
          <w:sz w:val="20"/>
        </w:rPr>
      </w:pPr>
      <w:r>
        <w:rPr>
          <w:noProof/>
        </w:rPr>
        <w:t>Riippumattoman veroviranomaisen (Autriad</w:t>
      </w:r>
      <w:r>
        <w:rPr>
          <w:i/>
          <w:noProof/>
        </w:rPr>
        <w:t>Independiente de Responsabilidad Fiscal</w:t>
      </w:r>
      <w:r>
        <w:rPr>
          <w:noProof/>
        </w:rPr>
        <w:t>, AIReF) suorittamassa menojen uudelleentarkastelussa henkilökohtaista tuloveroa, valmisteveroja ja arvonlisäveroa koskevista veroetuuksista yksilöitiin mahdollisuuksia muuttaa tiettyjä veroetuuksia. Vuonna 2020 muutettiin luonnollisten henkilöiden tuloverojärjestelmien veroetuuksia sekä virvoitusjuomien ja -mehujen sekä tiettyjen lisättyä sokeria ja/tai makeutusaineita sisältävien juomien alennettua alv-kantaa. Uusien sääntelyuudistusten toteuttaminen 31 päivään maaliskuuta 2023 mennessä perustuu 15 veroetuuden arviointia varten perustetun työryhmän suosituksiin. Työryhmän tavoitteena on antaa suosituksia siitä, miten veroetuuksia voidaan edelleen muuttaa tai poistaa tulevina vuosina verojärjestelmän tehostamiseksi, tulojen lisäämiseksi, vihreän siirtymän tukemiseksi ja oikeudenmukaisuuden edistämiseksi.</w:t>
      </w:r>
      <w:r>
        <w:rPr>
          <w:noProof/>
          <w:sz w:val="20"/>
        </w:rPr>
        <w:t xml:space="preserve"> </w:t>
      </w:r>
    </w:p>
    <w:p w14:paraId="7E6F87C9" w14:textId="77777777" w:rsidR="0065073E" w:rsidRDefault="000A0998">
      <w:pPr>
        <w:pStyle w:val="P68B1DB1-Text118"/>
        <w:ind w:left="0"/>
        <w:rPr>
          <w:rFonts w:cs="Times New Roman"/>
          <w:noProof/>
        </w:rPr>
      </w:pPr>
      <w:r>
        <w:rPr>
          <w:noProof/>
        </w:rPr>
        <w:t>Toimenpiteen täytäntöönpano on saatettava päätökseen 31 päivään maaliskuuta 2023 mennessä.</w:t>
      </w:r>
    </w:p>
    <w:p w14:paraId="17B93025" w14:textId="77777777" w:rsidR="0065073E" w:rsidRDefault="000A0998">
      <w:pPr>
        <w:pStyle w:val="P68B1DB1-Text119"/>
        <w:ind w:left="0"/>
        <w:rPr>
          <w:rFonts w:cs="Times New Roman"/>
          <w:noProof/>
        </w:rPr>
      </w:pPr>
      <w:r>
        <w:rPr>
          <w:noProof/>
        </w:rPr>
        <w:t>Uudistus 3 (C28.R3) – Verouudistusta käsittelevän asiantuntijakomitean perustaminen</w:t>
      </w:r>
    </w:p>
    <w:p w14:paraId="3678B450" w14:textId="77777777" w:rsidR="0065073E" w:rsidRDefault="000A0998">
      <w:pPr>
        <w:pStyle w:val="P68B1DB1-Text118"/>
        <w:ind w:left="0"/>
        <w:rPr>
          <w:rFonts w:cs="Times New Roman"/>
          <w:noProof/>
        </w:rPr>
      </w:pPr>
      <w:r>
        <w:rPr>
          <w:noProof/>
        </w:rPr>
        <w:t>Viranomaisten on perustettava 12 päivänä huhtikuuta 2021 asiantuntijakomitea tarkastelemaan optimaalisen verojärjestelmän ominaisuuksia ja antamaan suosituksia siitä, miten nykyistä verotusta voidaan nykyaikaistaa ja mukauttaa johdonmukaisella tavalla. Asiantuntijakomitean on kiinnitettävä erityistä huomiota seuraaviin aloihin:</w:t>
      </w:r>
    </w:p>
    <w:p w14:paraId="4FAA35BB" w14:textId="77777777" w:rsidR="0065073E" w:rsidRDefault="000A0998">
      <w:pPr>
        <w:pStyle w:val="P68B1DB1-Text118"/>
        <w:numPr>
          <w:ilvl w:val="0"/>
          <w:numId w:val="716"/>
        </w:numPr>
        <w:rPr>
          <w:rFonts w:cs="Times New Roman"/>
          <w:noProof/>
        </w:rPr>
      </w:pPr>
      <w:r>
        <w:rPr>
          <w:noProof/>
        </w:rPr>
        <w:t xml:space="preserve">ympäristöverotus; </w:t>
      </w:r>
    </w:p>
    <w:p w14:paraId="4FDC2A83" w14:textId="77777777" w:rsidR="0065073E" w:rsidRDefault="000A0998">
      <w:pPr>
        <w:pStyle w:val="P68B1DB1-Text118"/>
        <w:numPr>
          <w:ilvl w:val="0"/>
          <w:numId w:val="716"/>
        </w:numPr>
        <w:rPr>
          <w:rFonts w:cs="Times New Roman"/>
          <w:noProof/>
        </w:rPr>
      </w:pPr>
      <w:r>
        <w:rPr>
          <w:noProof/>
        </w:rPr>
        <w:t>yritysverotus</w:t>
      </w:r>
    </w:p>
    <w:p w14:paraId="4C57CCCA" w14:textId="77777777" w:rsidR="0065073E" w:rsidRDefault="000A0998">
      <w:pPr>
        <w:pStyle w:val="P68B1DB1-Text118"/>
        <w:numPr>
          <w:ilvl w:val="0"/>
          <w:numId w:val="716"/>
        </w:numPr>
        <w:rPr>
          <w:rFonts w:cs="Times New Roman"/>
          <w:noProof/>
        </w:rPr>
      </w:pPr>
      <w:r>
        <w:rPr>
          <w:noProof/>
        </w:rPr>
        <w:t>digitaalitalouden verotus;</w:t>
      </w:r>
    </w:p>
    <w:p w14:paraId="5F583C1F" w14:textId="77777777" w:rsidR="0065073E" w:rsidRDefault="000A0998">
      <w:pPr>
        <w:pStyle w:val="P68B1DB1-Text118"/>
        <w:numPr>
          <w:ilvl w:val="0"/>
          <w:numId w:val="716"/>
        </w:numPr>
        <w:rPr>
          <w:rFonts w:cs="Times New Roman"/>
          <w:noProof/>
        </w:rPr>
      </w:pPr>
      <w:r>
        <w:rPr>
          <w:noProof/>
        </w:rPr>
        <w:t>varallisuusverotus, mukaan lukien kiinteistöverotus, ja yhdenmukaistamisen konkreettinen täytäntöönpano tällä alalla;</w:t>
      </w:r>
    </w:p>
    <w:p w14:paraId="570749D3" w14:textId="77777777" w:rsidR="0065073E" w:rsidRDefault="000A0998">
      <w:pPr>
        <w:pStyle w:val="P68B1DB1-Text118"/>
        <w:numPr>
          <w:ilvl w:val="0"/>
          <w:numId w:val="716"/>
        </w:numPr>
        <w:rPr>
          <w:rFonts w:cs="Times New Roman"/>
          <w:noProof/>
        </w:rPr>
      </w:pPr>
      <w:r>
        <w:rPr>
          <w:noProof/>
        </w:rPr>
        <w:t>kehittymässä olevan taloudellisen toiminnan verotus; ja</w:t>
      </w:r>
    </w:p>
    <w:p w14:paraId="4DA81851" w14:textId="77777777" w:rsidR="0065073E" w:rsidRDefault="000A0998">
      <w:pPr>
        <w:pStyle w:val="P68B1DB1-Text118"/>
        <w:numPr>
          <w:ilvl w:val="0"/>
          <w:numId w:val="716"/>
        </w:numPr>
        <w:rPr>
          <w:rFonts w:cs="Times New Roman"/>
          <w:noProof/>
        </w:rPr>
      </w:pPr>
      <w:r>
        <w:rPr>
          <w:noProof/>
        </w:rPr>
        <w:t>sukupuolten tasa-arvo.</w:t>
      </w:r>
    </w:p>
    <w:p w14:paraId="44B9AE26" w14:textId="77777777" w:rsidR="0065073E" w:rsidRDefault="000A0998">
      <w:pPr>
        <w:pStyle w:val="P68B1DB1-Text118"/>
        <w:ind w:left="0"/>
        <w:rPr>
          <w:rFonts w:cs="Times New Roman"/>
          <w:noProof/>
        </w:rPr>
      </w:pPr>
      <w:r>
        <w:rPr>
          <w:noProof/>
        </w:rPr>
        <w:t>Uudistuksen yhteydessä on myös analysoitava niiden jakaumavaikutuksia kiinnittäen erityistä huomiota lapsiperheisiin. Analyysiin on sisällyttävä ainakin seuraavat tekijät: I) vaikutus verojärjestelmän yleiseen progressiivisuuteen; II) vaikutus haavoittuvassa asemassa oleviin ryhmiin; III) vaikutus lapsiperheisiin; IV) suurten yritysten verotus; ja v) verotuksen jakautuminen työn ja pääoman verotuksen välillä.</w:t>
      </w:r>
    </w:p>
    <w:p w14:paraId="225AAFAA" w14:textId="77777777" w:rsidR="0065073E" w:rsidRDefault="000A0998">
      <w:pPr>
        <w:pStyle w:val="P68B1DB1-Text118"/>
        <w:ind w:left="0"/>
        <w:rPr>
          <w:rFonts w:cs="Times New Roman"/>
          <w:noProof/>
        </w:rPr>
      </w:pPr>
      <w:r>
        <w:rPr>
          <w:noProof/>
        </w:rPr>
        <w:t xml:space="preserve">Asiantuntijakomitea julkaisee kertomuksensa helmikuussa 2022. Kertomuksen suosituksiin perustuvat verojärjestelmään tehtävät muutokset tulevat voimaan viimeistään 31. maaliskuuta 2023. </w:t>
      </w:r>
    </w:p>
    <w:p w14:paraId="0C11C7A8" w14:textId="77777777" w:rsidR="0065073E" w:rsidRDefault="000A0998">
      <w:pPr>
        <w:pStyle w:val="P68B1DB1-Text118"/>
        <w:ind w:left="0"/>
        <w:rPr>
          <w:rFonts w:cs="Times New Roman"/>
          <w:noProof/>
        </w:rPr>
      </w:pPr>
      <w:r>
        <w:rPr>
          <w:noProof/>
        </w:rPr>
        <w:t>Toimenpiteen täytäntöönpano on saatettava päätökseen 31 päivään maaliskuuta 2023 mennessä.</w:t>
      </w:r>
    </w:p>
    <w:p w14:paraId="212522AB" w14:textId="77777777" w:rsidR="0065073E" w:rsidRDefault="000A0998">
      <w:pPr>
        <w:pStyle w:val="P68B1DB1-Text119"/>
        <w:ind w:left="0"/>
        <w:rPr>
          <w:rFonts w:cs="Times New Roman"/>
          <w:noProof/>
        </w:rPr>
      </w:pPr>
      <w:r>
        <w:rPr>
          <w:noProof/>
        </w:rPr>
        <w:t>Uudistus 4 (C28.R4) – ekologista siirtymää edistävien verotoimenpiteiden uudistaminen</w:t>
      </w:r>
    </w:p>
    <w:p w14:paraId="28AFBB29" w14:textId="77777777" w:rsidR="0065073E" w:rsidRDefault="000A0998">
      <w:pPr>
        <w:pStyle w:val="P68B1DB1-Text118"/>
        <w:ind w:left="0"/>
        <w:rPr>
          <w:rFonts w:cs="Times New Roman"/>
          <w:noProof/>
        </w:rPr>
      </w:pPr>
      <w:r>
        <w:rPr>
          <w:noProof/>
        </w:rPr>
        <w:t xml:space="preserve">Uudistus sisältää verotoimenpiteitä, joilla pyritään tukemaan vihreää siirtymää. Toimenpiteiden on sisällettävä seuraavaa: </w:t>
      </w:r>
    </w:p>
    <w:p w14:paraId="78ABE0D8" w14:textId="77777777" w:rsidR="0065073E" w:rsidRDefault="000A0998">
      <w:pPr>
        <w:pStyle w:val="P68B1DB1-Text118"/>
        <w:numPr>
          <w:ilvl w:val="0"/>
          <w:numId w:val="165"/>
        </w:numPr>
        <w:rPr>
          <w:rFonts w:cs="Times New Roman"/>
          <w:noProof/>
        </w:rPr>
      </w:pPr>
      <w:r>
        <w:rPr>
          <w:noProof/>
        </w:rPr>
        <w:t>jätteen sijoittamisesta kaatopaikoille ja polttolaitoksiin perittävän veron käyttöönotto;</w:t>
      </w:r>
    </w:p>
    <w:p w14:paraId="74DDAD36" w14:textId="77777777" w:rsidR="0065073E" w:rsidRDefault="000A0998">
      <w:pPr>
        <w:pStyle w:val="P68B1DB1-Text118"/>
        <w:numPr>
          <w:ilvl w:val="0"/>
          <w:numId w:val="165"/>
        </w:numPr>
        <w:rPr>
          <w:rFonts w:cs="Times New Roman"/>
          <w:noProof/>
        </w:rPr>
      </w:pPr>
      <w:r>
        <w:rPr>
          <w:noProof/>
        </w:rPr>
        <w:t xml:space="preserve">kertakäyttöisistä muovipakkauksista kannettavan veron käyttöönotto; </w:t>
      </w:r>
    </w:p>
    <w:p w14:paraId="774ADC70" w14:textId="77777777" w:rsidR="0065073E" w:rsidRDefault="000A0998">
      <w:pPr>
        <w:pStyle w:val="P68B1DB1-Text118"/>
        <w:numPr>
          <w:ilvl w:val="0"/>
          <w:numId w:val="165"/>
        </w:numPr>
        <w:rPr>
          <w:rFonts w:cs="Times New Roman"/>
          <w:noProof/>
        </w:rPr>
      </w:pPr>
      <w:r>
        <w:rPr>
          <w:noProof/>
        </w:rPr>
        <w:t xml:space="preserve">fluoratuista kasvihuonekaasuista kannettavan veron muuttaminen; </w:t>
      </w:r>
    </w:p>
    <w:p w14:paraId="0DF79D37" w14:textId="77777777" w:rsidR="0065073E" w:rsidRDefault="000A0998">
      <w:pPr>
        <w:pStyle w:val="P68B1DB1-Text118"/>
        <w:numPr>
          <w:ilvl w:val="0"/>
          <w:numId w:val="165"/>
        </w:numPr>
        <w:rPr>
          <w:rFonts w:cs="Times New Roman"/>
          <w:noProof/>
        </w:rPr>
      </w:pPr>
      <w:r>
        <w:rPr>
          <w:noProof/>
        </w:rPr>
        <w:t>liikkuvuuteen liittyvät verot tai maksut, kuten tiemaksut ja ajoneuvojen rekisteröintiverot; ja että</w:t>
      </w:r>
    </w:p>
    <w:p w14:paraId="6F570970" w14:textId="77777777" w:rsidR="0065073E" w:rsidRDefault="000A0998">
      <w:pPr>
        <w:pStyle w:val="P68B1DB1-Text118"/>
        <w:numPr>
          <w:ilvl w:val="0"/>
          <w:numId w:val="165"/>
        </w:numPr>
        <w:rPr>
          <w:rFonts w:cs="Times New Roman"/>
          <w:noProof/>
        </w:rPr>
      </w:pPr>
      <w:r>
        <w:rPr>
          <w:noProof/>
        </w:rPr>
        <w:t xml:space="preserve">polttoaineena käytettävien kivennäisöljyjen tukien tarkistaminen. </w:t>
      </w:r>
    </w:p>
    <w:p w14:paraId="7912124F" w14:textId="77777777" w:rsidR="0065073E" w:rsidRDefault="000A0998">
      <w:pPr>
        <w:pStyle w:val="P68B1DB1-Text118"/>
        <w:ind w:left="0"/>
        <w:rPr>
          <w:rFonts w:cs="Times New Roman"/>
          <w:noProof/>
        </w:rPr>
      </w:pPr>
      <w:r>
        <w:rPr>
          <w:noProof/>
        </w:rPr>
        <w:t xml:space="preserve">Toimenpiteiden täytäntöönpano on saatettava päätökseen 30 päivään kesäkuuta 2022 mennessä. </w:t>
      </w:r>
    </w:p>
    <w:p w14:paraId="45554E05" w14:textId="77777777" w:rsidR="0065073E" w:rsidRDefault="000A0998">
      <w:pPr>
        <w:pStyle w:val="P68B1DB1-Text119"/>
        <w:ind w:left="0"/>
        <w:rPr>
          <w:rFonts w:cs="Times New Roman"/>
          <w:noProof/>
        </w:rPr>
      </w:pPr>
      <w:r>
        <w:rPr>
          <w:noProof/>
        </w:rPr>
        <w:t>Uudistus 5 (C28.R5) – Digitaalisten palvelujen veron hyväksyminen</w:t>
      </w:r>
    </w:p>
    <w:p w14:paraId="749EF041" w14:textId="77777777" w:rsidR="0065073E" w:rsidRDefault="000A0998">
      <w:pPr>
        <w:pStyle w:val="P68B1DB1-Text118"/>
        <w:ind w:left="0"/>
        <w:rPr>
          <w:rFonts w:cs="Times New Roman"/>
          <w:noProof/>
        </w:rPr>
      </w:pPr>
      <w:r>
        <w:rPr>
          <w:noProof/>
        </w:rPr>
        <w:t xml:space="preserve">Uudistuksessa otetaan käyttöön maksu, joka perustuu sellaisten yritysten liikevaihtoon, joiden nettoliikevaihto on yli 750000000 euroa, ja tiettyjen digitaalisten palvelujen, kuten verkkomainonnan ja välityspalvelujen, tarjoamisesta Espanjassa saataviin tuloihin. Maksu ei riipu siitä, asuuko yhtiö Espanjan alueella vai ei. Maksu tulee voimaan vuoden 2021 ensimmäisellä neljänneksellä. Uudistukseen on sisällyttävä myös toimenpidettä koskeva vaikutustenarviointiraportti, joka julkaistaan viimeistään 31 päivänä maaliskuuta 2022 ja 2023. </w:t>
      </w:r>
    </w:p>
    <w:p w14:paraId="1073D0AC"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46190F0E" w14:textId="77777777" w:rsidR="0065073E" w:rsidRDefault="000A0998">
      <w:pPr>
        <w:pStyle w:val="P68B1DB1-Text119"/>
        <w:ind w:left="0"/>
        <w:rPr>
          <w:rFonts w:cs="Times New Roman"/>
          <w:noProof/>
        </w:rPr>
      </w:pPr>
      <w:r>
        <w:rPr>
          <w:noProof/>
        </w:rPr>
        <w:t>Uudistus 6 (C28.R6) – Finanssitransaktioveron hyväksyminen</w:t>
      </w:r>
    </w:p>
    <w:p w14:paraId="4A636B3F" w14:textId="77777777" w:rsidR="0065073E" w:rsidRDefault="000A0998">
      <w:pPr>
        <w:pStyle w:val="P68B1DB1-Text118"/>
        <w:ind w:left="0"/>
        <w:rPr>
          <w:rFonts w:cs="Times New Roman"/>
          <w:noProof/>
        </w:rPr>
      </w:pPr>
      <w:r>
        <w:rPr>
          <w:noProof/>
        </w:rPr>
        <w:t xml:space="preserve">Tällä toimenpiteellä otetaan käyttöön maksu, joka perustuu sellaisten espanjalaisten julkisesti noteerattujen yhtiöiden osakkeiden hankinta-arvoon, joiden markkina-arvo on yli 1000000000 euroa. Uudistuksen täytäntöönpano tuli voimaan vuoden 2021 ensimmäisellä neljänneksellä. Uudistukseen on sisällyttävä myös toimenpidettä koskeva vaikutustenarviointiraportti, joka julkaistaan viimeistään 31 päivänä maaliskuuta 2022 ja 2023. </w:t>
      </w:r>
    </w:p>
    <w:p w14:paraId="63161D96"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6279EB31" w14:textId="77777777" w:rsidR="0065073E" w:rsidRDefault="000A0998">
      <w:pPr>
        <w:pStyle w:val="P68B1DB1-Text119"/>
        <w:keepNext/>
        <w:ind w:left="0"/>
        <w:rPr>
          <w:rFonts w:cs="Times New Roman"/>
          <w:noProof/>
        </w:rPr>
      </w:pPr>
      <w:r>
        <w:rPr>
          <w:noProof/>
        </w:rPr>
        <w:t>Uudistus 7 (C28.R7) – Henkilöveroja koskevat lyhyen aikavälin verotoimenpiteet</w:t>
      </w:r>
    </w:p>
    <w:p w14:paraId="7A409F9F" w14:textId="77777777" w:rsidR="0065073E" w:rsidRDefault="000A0998">
      <w:pPr>
        <w:pStyle w:val="P68B1DB1-Text118"/>
        <w:keepNext/>
        <w:ind w:left="0"/>
        <w:rPr>
          <w:rFonts w:cs="Times New Roman"/>
          <w:noProof/>
        </w:rPr>
      </w:pPr>
      <w:r>
        <w:rPr>
          <w:noProof/>
        </w:rPr>
        <w:t>Uudistuksella lisätään henkilökohtaisen tuloveron progressiivisuutta ja uudelleenjakoa muuttamalla tuloverolakia ja varallisuusverolakia. Sen on erityisesti korotettava yleisen kansallisen asteikon verokantaa kahdella prosenttiyksiköllä yleisenä laskentaperusteena 300000 eurosta ja säästettävä 200000 eurosta kolmella prosenttiyksiköllä. Lisäksi yksilöllisten eläkemaksujen alentamisen rajaa 8000 eurosta 2000 euroon alennetaan ja yhtiön työntekijälleen suorittamien maksujen nykyistä enimmäismäärää korotetaan 8000 eurosta 10000 euroon. Lisäksi uudistuksessa korotetaan varallisuusveron viimeisen veroluokan verokantaa yhdellä prosenttiyksiköllä 2,5 prosentista 3,5 prosenttiin (yli 10000000 euron omaisuus). Uudistuksen täytäntöönpano oli määrä saada päätökseen 1. tammikuuta 2021 mennessä.</w:t>
      </w:r>
    </w:p>
    <w:p w14:paraId="1C389B63"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42ADEBEC" w14:textId="77777777" w:rsidR="0065073E" w:rsidRDefault="000A0998">
      <w:pPr>
        <w:pStyle w:val="P68B1DB1-Text119"/>
        <w:ind w:left="0"/>
        <w:rPr>
          <w:rFonts w:cs="Times New Roman"/>
          <w:noProof/>
        </w:rPr>
      </w:pPr>
      <w:r>
        <w:rPr>
          <w:noProof/>
        </w:rPr>
        <w:t>Uudistus 8 (C28.R8) – Yhtiöverotuksen lyhyen aikavälin verotoimenpiteet</w:t>
      </w:r>
    </w:p>
    <w:p w14:paraId="2540971A" w14:textId="77777777" w:rsidR="0065073E" w:rsidRDefault="000A0998">
      <w:pPr>
        <w:pStyle w:val="P68B1DB1-Normal4"/>
        <w:spacing w:before="120" w:after="120" w:line="240" w:lineRule="auto"/>
        <w:jc w:val="both"/>
        <w:rPr>
          <w:rFonts w:cs="Times New Roman"/>
          <w:noProof/>
        </w:rPr>
      </w:pPr>
      <w:r>
        <w:rPr>
          <w:noProof/>
        </w:rPr>
        <w:t xml:space="preserve">Uudistuksella muutetaan yhtiöverolakia, jotta veron osuutta julkisten menojen tukemisesta voidaan lisätä ja samalla yksinkertaistaa vapautuksia ja vähennyksiä sen varmistamiseksi, että veronmaksajat saavat vähintään 15 prosenttia. Sitä vastoin osinkoja ja pääomavoittoja, jotka ovat syntyneet omistusosuuksista Espanjan alueella sijaitsevissa ja ulkomailla asuvissa tytäryhtiöissä, alennetaan 5 prosentilla. </w:t>
      </w:r>
    </w:p>
    <w:p w14:paraId="39F1762B"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68E8E5D5" w14:textId="77777777" w:rsidR="0065073E" w:rsidRDefault="0065073E">
      <w:pPr>
        <w:spacing w:before="120" w:after="120" w:line="240" w:lineRule="auto"/>
        <w:jc w:val="both"/>
        <w:rPr>
          <w:rFonts w:ascii="Times New Roman" w:hAnsi="Times New Roman"/>
          <w:noProof/>
          <w:sz w:val="24"/>
          <w:u w:val="single"/>
        </w:rPr>
        <w:sectPr w:rsidR="0065073E" w:rsidSect="00B511EF">
          <w:headerReference w:type="even" r:id="rId589"/>
          <w:headerReference w:type="default" r:id="rId590"/>
          <w:footerReference w:type="even" r:id="rId591"/>
          <w:footerReference w:type="default" r:id="rId592"/>
          <w:headerReference w:type="first" r:id="rId593"/>
          <w:footerReference w:type="first" r:id="rId594"/>
          <w:pgSz w:w="11907" w:h="16839"/>
          <w:pgMar w:top="1134" w:right="1134" w:bottom="1134" w:left="1134" w:header="567" w:footer="567" w:gutter="0"/>
          <w:cols w:space="720"/>
          <w:docGrid w:linePitch="360"/>
        </w:sectPr>
      </w:pPr>
    </w:p>
    <w:p w14:paraId="7F4F3286" w14:textId="77777777" w:rsidR="0065073E" w:rsidRDefault="000A0998">
      <w:pPr>
        <w:pStyle w:val="P68B1DB1-Normal5"/>
        <w:spacing w:before="120" w:after="120" w:line="240" w:lineRule="auto"/>
        <w:jc w:val="both"/>
        <w:rPr>
          <w:rFonts w:cs="Times New Roman"/>
          <w:noProof/>
        </w:rPr>
      </w:pPr>
      <w:r>
        <w:rPr>
          <w:noProof/>
        </w:rPr>
        <w:t>Uudistus 9 (C28.R9) – Välillisten verojen lyhyen aikavälin verotoimenpiteet</w:t>
      </w:r>
    </w:p>
    <w:p w14:paraId="1C5235E5" w14:textId="77777777" w:rsidR="0065073E" w:rsidRDefault="000A0998">
      <w:pPr>
        <w:pStyle w:val="P68B1DB1-Normal4"/>
        <w:spacing w:before="120" w:after="120" w:line="240" w:lineRule="auto"/>
        <w:jc w:val="both"/>
        <w:rPr>
          <w:rFonts w:cs="Times New Roman"/>
          <w:noProof/>
        </w:rPr>
      </w:pPr>
      <w:r>
        <w:rPr>
          <w:noProof/>
        </w:rPr>
        <w:t xml:space="preserve">Uudistuksella laajennetaan 21 prosentin yleisen arvonlisäverokannan soveltaminen virvoitusjuomiin, mehuihin ja lisättyä sokeria sisältäviin kaasumaisiin juomiin. Tällainen toimenpide on sosiaalinen sitoumus edistää näiden juomaryhmien vastuullista kulutusta, ja se vastaa tavoitetta rahoittaa Espanjan hyvinvointivaltion ulkoiset kustannukset, jotka tässä tapauksessa johtuvat epäterveellisistä ruokavalioista. Lisäksi vakuutusmaksujen verokantaa korotetaan kahdella prosenttiyksiköllä 8 prosenttiin, mutta se pysyy kuitenkin keskitason alhaisella verokannalla suhteessa naapurimaihin. </w:t>
      </w:r>
    </w:p>
    <w:p w14:paraId="18EA455F" w14:textId="77777777" w:rsidR="0065073E" w:rsidRDefault="000A0998">
      <w:pPr>
        <w:pStyle w:val="P68B1DB1-Text118"/>
        <w:ind w:left="0"/>
        <w:rPr>
          <w:rFonts w:cs="Times New Roman"/>
          <w:noProof/>
        </w:rPr>
      </w:pPr>
      <w:r>
        <w:rPr>
          <w:noProof/>
        </w:rPr>
        <w:t>Toimenpiteen täytäntöönpano on saatettava päätökseen 31 päivään maaliskuuta 2021 mennessä.</w:t>
      </w:r>
    </w:p>
    <w:p w14:paraId="6E74034F"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AB.2. </w:t>
      </w:r>
      <w:r>
        <w:rPr>
          <w:noProof/>
        </w:rPr>
        <w:t></w:t>
      </w:r>
      <w:r>
        <w:rPr>
          <w:rFonts w:ascii="Times New Roman" w:hAnsi="Times New Roman"/>
          <w:b/>
          <w:noProof/>
          <w:u w:val="single"/>
        </w:rPr>
        <w:t>Seurantaa ja täytäntöönpanoa koskevat välitavoitteet, tavoitteet, indikaattorit ja aikataulu – rahoitustuki, jota ei makseta takaisin</w:t>
      </w:r>
    </w:p>
    <w:p w14:paraId="73AFD792" w14:textId="77777777" w:rsidR="0065073E" w:rsidRDefault="000A0998">
      <w:pPr>
        <w:pStyle w:val="P68B1DB1-Normal4"/>
        <w:spacing w:before="120" w:after="120" w:line="240" w:lineRule="auto"/>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r>
        <w:rPr>
          <w:noProof/>
        </w:rPr>
        <w:t xml:space="preserve"> </w:t>
      </w:r>
    </w:p>
    <w:p w14:paraId="3BEDEF34" w14:textId="77777777" w:rsidR="0065073E" w:rsidRDefault="0065073E">
      <w:pPr>
        <w:pStyle w:val="Text1"/>
        <w:ind w:left="0"/>
        <w:rPr>
          <w:rFonts w:ascii="Times New Roman" w:hAnsi="Times New Roman" w:cs="Times New Roman"/>
          <w:noProof/>
        </w:rPr>
        <w:sectPr w:rsidR="0065073E" w:rsidSect="00B511EF">
          <w:headerReference w:type="even" r:id="rId595"/>
          <w:headerReference w:type="default" r:id="rId596"/>
          <w:footerReference w:type="even" r:id="rId597"/>
          <w:footerReference w:type="default" r:id="rId598"/>
          <w:headerReference w:type="first" r:id="rId599"/>
          <w:footerReference w:type="first" r:id="rId600"/>
          <w:pgSz w:w="11907" w:h="16839"/>
          <w:pgMar w:top="1134" w:right="1134" w:bottom="1134" w:left="1134" w:header="567" w:footer="567" w:gutter="0"/>
          <w:cols w:space="720"/>
          <w:docGrid w:linePitch="360"/>
        </w:sectPr>
      </w:pPr>
    </w:p>
    <w:tbl>
      <w:tblPr>
        <w:tblW w:w="1536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1"/>
        <w:gridCol w:w="813"/>
        <w:gridCol w:w="812"/>
        <w:gridCol w:w="2699"/>
        <w:gridCol w:w="948"/>
        <w:gridCol w:w="408"/>
        <w:gridCol w:w="961"/>
        <w:gridCol w:w="476"/>
        <w:gridCol w:w="408"/>
        <w:gridCol w:w="543"/>
        <w:gridCol w:w="6281"/>
        <w:gridCol w:w="59"/>
      </w:tblGrid>
      <w:tr w:rsidR="0065073E" w14:paraId="587DC8A2" w14:textId="77777777">
        <w:trPr>
          <w:gridAfter w:val="1"/>
          <w:wAfter w:w="59" w:type="dxa"/>
          <w:trHeight w:val="309"/>
          <w:tblHeader/>
        </w:trPr>
        <w:tc>
          <w:tcPr>
            <w:tcW w:w="961" w:type="dxa"/>
            <w:tcBorders>
              <w:bottom w:val="nil"/>
            </w:tcBorders>
            <w:shd w:val="clear" w:color="auto" w:fill="C6D9F1" w:themeFill="text2" w:themeFillTint="33"/>
            <w:noWrap/>
            <w:vAlign w:val="center"/>
          </w:tcPr>
          <w:p w14:paraId="31FE7EC6" w14:textId="77777777" w:rsidR="0065073E" w:rsidRDefault="000A0998">
            <w:pPr>
              <w:pStyle w:val="P68B1DB1-Normal8"/>
              <w:spacing w:after="0"/>
              <w:jc w:val="center"/>
              <w:rPr>
                <w:rFonts w:cs="Times New Roman"/>
                <w:noProof/>
              </w:rPr>
            </w:pPr>
            <w:r>
              <w:rPr>
                <w:noProof/>
              </w:rPr>
              <w:t>Määrä</w:t>
            </w:r>
          </w:p>
        </w:tc>
        <w:tc>
          <w:tcPr>
            <w:tcW w:w="813" w:type="dxa"/>
            <w:tcBorders>
              <w:bottom w:val="nil"/>
            </w:tcBorders>
            <w:shd w:val="clear" w:color="auto" w:fill="C6D9F1" w:themeFill="text2" w:themeFillTint="33"/>
            <w:noWrap/>
            <w:vAlign w:val="center"/>
          </w:tcPr>
          <w:p w14:paraId="0B524674" w14:textId="77777777" w:rsidR="0065073E" w:rsidRDefault="000A0998">
            <w:pPr>
              <w:pStyle w:val="P68B1DB1-Normal8"/>
              <w:spacing w:after="0"/>
              <w:jc w:val="center"/>
              <w:rPr>
                <w:rFonts w:cs="Times New Roman"/>
                <w:noProof/>
              </w:rPr>
            </w:pPr>
            <w:r>
              <w:rPr>
                <w:noProof/>
              </w:rPr>
              <w:t>Toimenpide</w:t>
            </w:r>
          </w:p>
        </w:tc>
        <w:tc>
          <w:tcPr>
            <w:tcW w:w="812" w:type="dxa"/>
            <w:tcBorders>
              <w:bottom w:val="nil"/>
            </w:tcBorders>
            <w:shd w:val="clear" w:color="auto" w:fill="C6D9F1" w:themeFill="text2" w:themeFillTint="33"/>
            <w:noWrap/>
            <w:vAlign w:val="center"/>
          </w:tcPr>
          <w:p w14:paraId="6E657F6B"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99" w:type="dxa"/>
            <w:tcBorders>
              <w:bottom w:val="nil"/>
            </w:tcBorders>
            <w:shd w:val="clear" w:color="auto" w:fill="C6D9F1" w:themeFill="text2" w:themeFillTint="33"/>
            <w:noWrap/>
            <w:vAlign w:val="center"/>
          </w:tcPr>
          <w:p w14:paraId="46D61D50" w14:textId="77777777" w:rsidR="0065073E" w:rsidRDefault="000A0998">
            <w:pPr>
              <w:pStyle w:val="P68B1DB1-Normal8"/>
              <w:spacing w:after="0"/>
              <w:jc w:val="center"/>
              <w:rPr>
                <w:rFonts w:cs="Times New Roman"/>
                <w:noProof/>
              </w:rPr>
            </w:pPr>
            <w:r>
              <w:rPr>
                <w:noProof/>
              </w:rPr>
              <w:t>Nimi</w:t>
            </w:r>
          </w:p>
        </w:tc>
        <w:tc>
          <w:tcPr>
            <w:tcW w:w="948" w:type="dxa"/>
            <w:tcBorders>
              <w:bottom w:val="nil"/>
            </w:tcBorders>
            <w:shd w:val="clear" w:color="auto" w:fill="C6D9F1" w:themeFill="text2" w:themeFillTint="33"/>
            <w:noWrap/>
            <w:vAlign w:val="center"/>
          </w:tcPr>
          <w:p w14:paraId="1F2F6034" w14:textId="77777777" w:rsidR="0065073E" w:rsidRDefault="000A0998">
            <w:pPr>
              <w:pStyle w:val="P68B1DB1-Normal8"/>
              <w:spacing w:after="0"/>
              <w:jc w:val="center"/>
              <w:rPr>
                <w:rFonts w:cs="Times New Roman"/>
                <w:noProof/>
              </w:rPr>
            </w:pPr>
            <w:r>
              <w:rPr>
                <w:noProof/>
              </w:rPr>
              <w:t>Välitavoitteiden laadullinen indikaattori</w:t>
            </w:r>
          </w:p>
        </w:tc>
        <w:tc>
          <w:tcPr>
            <w:tcW w:w="1845" w:type="dxa"/>
            <w:gridSpan w:val="3"/>
            <w:shd w:val="clear" w:color="auto" w:fill="C6D9F1" w:themeFill="text2" w:themeFillTint="33"/>
            <w:noWrap/>
            <w:vAlign w:val="center"/>
          </w:tcPr>
          <w:p w14:paraId="778A7212" w14:textId="77777777" w:rsidR="0065073E" w:rsidRDefault="000A0998">
            <w:pPr>
              <w:pStyle w:val="P68B1DB1-Normal8"/>
              <w:spacing w:after="0"/>
              <w:jc w:val="center"/>
              <w:rPr>
                <w:rFonts w:cs="Times New Roman"/>
                <w:noProof/>
              </w:rPr>
            </w:pPr>
            <w:r>
              <w:rPr>
                <w:noProof/>
              </w:rPr>
              <w:t>Määrällinen indikaattori tavoitteelle</w:t>
            </w:r>
          </w:p>
        </w:tc>
        <w:tc>
          <w:tcPr>
            <w:tcW w:w="951" w:type="dxa"/>
            <w:gridSpan w:val="2"/>
            <w:shd w:val="clear" w:color="auto" w:fill="C6D9F1" w:themeFill="text2" w:themeFillTint="33"/>
            <w:noWrap/>
            <w:vAlign w:val="center"/>
          </w:tcPr>
          <w:p w14:paraId="15470BCF" w14:textId="77777777" w:rsidR="0065073E" w:rsidRDefault="000A0998">
            <w:pPr>
              <w:pStyle w:val="P68B1DB1-Normal8"/>
              <w:spacing w:after="0"/>
              <w:jc w:val="center"/>
              <w:rPr>
                <w:rFonts w:cs="Times New Roman"/>
                <w:noProof/>
              </w:rPr>
            </w:pPr>
            <w:r>
              <w:rPr>
                <w:noProof/>
              </w:rPr>
              <w:t>Aika</w:t>
            </w:r>
          </w:p>
        </w:tc>
        <w:tc>
          <w:tcPr>
            <w:tcW w:w="6281" w:type="dxa"/>
            <w:tcBorders>
              <w:bottom w:val="nil"/>
            </w:tcBorders>
            <w:shd w:val="clear" w:color="auto" w:fill="C6D9F1" w:themeFill="text2" w:themeFillTint="33"/>
            <w:noWrap/>
            <w:vAlign w:val="center"/>
          </w:tcPr>
          <w:p w14:paraId="619CD3FF"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7AF10250" w14:textId="77777777">
        <w:trPr>
          <w:gridAfter w:val="1"/>
          <w:wAfter w:w="59" w:type="dxa"/>
          <w:trHeight w:val="309"/>
          <w:tblHeader/>
        </w:trPr>
        <w:tc>
          <w:tcPr>
            <w:tcW w:w="961" w:type="dxa"/>
            <w:tcBorders>
              <w:top w:val="nil"/>
            </w:tcBorders>
            <w:shd w:val="clear" w:color="auto" w:fill="C6D9F1" w:themeFill="text2" w:themeFillTint="33"/>
            <w:noWrap/>
          </w:tcPr>
          <w:p w14:paraId="6C86D760" w14:textId="77777777" w:rsidR="0065073E" w:rsidRDefault="0065073E">
            <w:pPr>
              <w:spacing w:after="0"/>
              <w:jc w:val="center"/>
              <w:rPr>
                <w:rFonts w:ascii="Times New Roman" w:hAnsi="Times New Roman" w:cs="Times New Roman"/>
                <w:b/>
                <w:noProof/>
                <w:sz w:val="18"/>
              </w:rPr>
            </w:pPr>
          </w:p>
        </w:tc>
        <w:tc>
          <w:tcPr>
            <w:tcW w:w="813" w:type="dxa"/>
            <w:tcBorders>
              <w:top w:val="nil"/>
            </w:tcBorders>
            <w:shd w:val="clear" w:color="auto" w:fill="C6D9F1" w:themeFill="text2" w:themeFillTint="33"/>
            <w:noWrap/>
          </w:tcPr>
          <w:p w14:paraId="0C0166A1" w14:textId="77777777" w:rsidR="0065073E" w:rsidRDefault="0065073E">
            <w:pPr>
              <w:spacing w:after="0"/>
              <w:jc w:val="center"/>
              <w:rPr>
                <w:rFonts w:ascii="Times New Roman" w:hAnsi="Times New Roman" w:cs="Times New Roman"/>
                <w:b/>
                <w:noProof/>
                <w:sz w:val="18"/>
              </w:rPr>
            </w:pPr>
          </w:p>
        </w:tc>
        <w:tc>
          <w:tcPr>
            <w:tcW w:w="812" w:type="dxa"/>
            <w:tcBorders>
              <w:top w:val="nil"/>
            </w:tcBorders>
            <w:shd w:val="clear" w:color="auto" w:fill="C6D9F1" w:themeFill="text2" w:themeFillTint="33"/>
            <w:noWrap/>
          </w:tcPr>
          <w:p w14:paraId="2CCADF91" w14:textId="77777777" w:rsidR="0065073E" w:rsidRDefault="0065073E">
            <w:pPr>
              <w:spacing w:after="0"/>
              <w:jc w:val="center"/>
              <w:rPr>
                <w:rFonts w:ascii="Times New Roman" w:hAnsi="Times New Roman" w:cs="Times New Roman"/>
                <w:b/>
                <w:noProof/>
                <w:sz w:val="18"/>
              </w:rPr>
            </w:pPr>
          </w:p>
        </w:tc>
        <w:tc>
          <w:tcPr>
            <w:tcW w:w="2699" w:type="dxa"/>
            <w:tcBorders>
              <w:top w:val="nil"/>
            </w:tcBorders>
            <w:shd w:val="clear" w:color="auto" w:fill="C6D9F1" w:themeFill="text2" w:themeFillTint="33"/>
            <w:noWrap/>
          </w:tcPr>
          <w:p w14:paraId="7DEF968A" w14:textId="77777777" w:rsidR="0065073E" w:rsidRDefault="0065073E">
            <w:pPr>
              <w:spacing w:after="0"/>
              <w:rPr>
                <w:rFonts w:ascii="Times New Roman" w:hAnsi="Times New Roman" w:cs="Times New Roman"/>
                <w:b/>
                <w:noProof/>
                <w:sz w:val="18"/>
              </w:rPr>
            </w:pPr>
          </w:p>
        </w:tc>
        <w:tc>
          <w:tcPr>
            <w:tcW w:w="948" w:type="dxa"/>
            <w:tcBorders>
              <w:top w:val="nil"/>
            </w:tcBorders>
            <w:shd w:val="clear" w:color="auto" w:fill="C6D9F1" w:themeFill="text2" w:themeFillTint="33"/>
            <w:noWrap/>
          </w:tcPr>
          <w:p w14:paraId="6B6F164E" w14:textId="77777777" w:rsidR="0065073E" w:rsidRDefault="0065073E">
            <w:pPr>
              <w:spacing w:after="0"/>
              <w:jc w:val="center"/>
              <w:rPr>
                <w:rFonts w:ascii="Times New Roman" w:hAnsi="Times New Roman" w:cs="Times New Roman"/>
                <w:b/>
                <w:noProof/>
                <w:sz w:val="18"/>
              </w:rPr>
            </w:pPr>
          </w:p>
        </w:tc>
        <w:tc>
          <w:tcPr>
            <w:tcW w:w="408" w:type="dxa"/>
            <w:shd w:val="clear" w:color="auto" w:fill="C6D9F1" w:themeFill="text2" w:themeFillTint="33"/>
            <w:noWrap/>
          </w:tcPr>
          <w:p w14:paraId="1FB79703" w14:textId="77777777" w:rsidR="0065073E" w:rsidRDefault="000A0998">
            <w:pPr>
              <w:pStyle w:val="P68B1DB1-Normal8"/>
              <w:spacing w:after="0"/>
              <w:jc w:val="center"/>
              <w:rPr>
                <w:rFonts w:cs="Times New Roman"/>
                <w:noProof/>
              </w:rPr>
            </w:pPr>
            <w:r>
              <w:rPr>
                <w:noProof/>
              </w:rPr>
              <w:t>Yksikkö</w:t>
            </w:r>
          </w:p>
        </w:tc>
        <w:tc>
          <w:tcPr>
            <w:tcW w:w="961" w:type="dxa"/>
            <w:shd w:val="clear" w:color="auto" w:fill="C6D9F1" w:themeFill="text2" w:themeFillTint="33"/>
            <w:noWrap/>
          </w:tcPr>
          <w:p w14:paraId="61291E7C" w14:textId="08E0A50B" w:rsidR="0065073E" w:rsidRDefault="000A0998">
            <w:pPr>
              <w:pStyle w:val="P68B1DB1-Normal8"/>
              <w:spacing w:after="0"/>
              <w:jc w:val="center"/>
              <w:rPr>
                <w:rFonts w:cs="Times New Roman"/>
                <w:noProof/>
              </w:rPr>
            </w:pPr>
            <w:r>
              <w:rPr>
                <w:noProof/>
              </w:rPr>
              <w:t>Lähtötaso</w:t>
            </w:r>
          </w:p>
        </w:tc>
        <w:tc>
          <w:tcPr>
            <w:tcW w:w="476" w:type="dxa"/>
            <w:shd w:val="clear" w:color="auto" w:fill="C6D9F1" w:themeFill="text2" w:themeFillTint="33"/>
            <w:noWrap/>
          </w:tcPr>
          <w:p w14:paraId="0183776F" w14:textId="77777777" w:rsidR="0065073E" w:rsidRDefault="000A0998">
            <w:pPr>
              <w:pStyle w:val="P68B1DB1-Normal8"/>
              <w:spacing w:after="0"/>
              <w:jc w:val="center"/>
              <w:rPr>
                <w:rFonts w:cs="Times New Roman"/>
                <w:noProof/>
              </w:rPr>
            </w:pPr>
            <w:r>
              <w:rPr>
                <w:noProof/>
              </w:rPr>
              <w:t>Päämäärä</w:t>
            </w:r>
          </w:p>
        </w:tc>
        <w:tc>
          <w:tcPr>
            <w:tcW w:w="408" w:type="dxa"/>
            <w:shd w:val="clear" w:color="auto" w:fill="C6D9F1" w:themeFill="text2" w:themeFillTint="33"/>
            <w:noWrap/>
          </w:tcPr>
          <w:p w14:paraId="2B897E85" w14:textId="77777777" w:rsidR="0065073E" w:rsidRDefault="000A0998">
            <w:pPr>
              <w:pStyle w:val="P68B1DB1-Normal8"/>
              <w:spacing w:after="0"/>
              <w:jc w:val="center"/>
              <w:rPr>
                <w:rFonts w:cs="Times New Roman"/>
                <w:noProof/>
              </w:rPr>
            </w:pPr>
            <w:r>
              <w:rPr>
                <w:noProof/>
              </w:rPr>
              <w:t>Q</w:t>
            </w:r>
          </w:p>
        </w:tc>
        <w:tc>
          <w:tcPr>
            <w:tcW w:w="543" w:type="dxa"/>
            <w:shd w:val="clear" w:color="auto" w:fill="C6D9F1" w:themeFill="text2" w:themeFillTint="33"/>
            <w:noWrap/>
          </w:tcPr>
          <w:p w14:paraId="54C779B3" w14:textId="77777777" w:rsidR="0065073E" w:rsidRDefault="000A0998">
            <w:pPr>
              <w:pStyle w:val="P68B1DB1-Normal8"/>
              <w:spacing w:after="0"/>
              <w:jc w:val="center"/>
              <w:rPr>
                <w:rFonts w:cs="Times New Roman"/>
                <w:noProof/>
              </w:rPr>
            </w:pPr>
            <w:r>
              <w:rPr>
                <w:noProof/>
              </w:rPr>
              <w:t>Vuosi</w:t>
            </w:r>
          </w:p>
        </w:tc>
        <w:tc>
          <w:tcPr>
            <w:tcW w:w="6281" w:type="dxa"/>
            <w:tcBorders>
              <w:top w:val="nil"/>
            </w:tcBorders>
            <w:shd w:val="clear" w:color="auto" w:fill="C6D9F1" w:themeFill="text2" w:themeFillTint="33"/>
            <w:noWrap/>
          </w:tcPr>
          <w:p w14:paraId="0394B504" w14:textId="77777777" w:rsidR="0065073E" w:rsidRDefault="0065073E">
            <w:pPr>
              <w:spacing w:after="0"/>
              <w:rPr>
                <w:rFonts w:ascii="Times New Roman" w:hAnsi="Times New Roman" w:cs="Times New Roman"/>
                <w:b/>
                <w:noProof/>
                <w:sz w:val="18"/>
              </w:rPr>
            </w:pPr>
          </w:p>
        </w:tc>
      </w:tr>
      <w:tr w:rsidR="0065073E" w14:paraId="73BE4C25" w14:textId="77777777">
        <w:trPr>
          <w:trHeight w:val="309"/>
        </w:trPr>
        <w:tc>
          <w:tcPr>
            <w:tcW w:w="961" w:type="dxa"/>
            <w:shd w:val="clear" w:color="auto" w:fill="C6EFCE"/>
            <w:noWrap/>
          </w:tcPr>
          <w:p w14:paraId="0AF2A92F" w14:textId="77777777" w:rsidR="0065073E" w:rsidRDefault="000A0998">
            <w:pPr>
              <w:pStyle w:val="P68B1DB1-Normal12"/>
              <w:spacing w:after="0"/>
              <w:jc w:val="center"/>
              <w:rPr>
                <w:rFonts w:eastAsia="Times New Roman" w:cs="Times New Roman"/>
                <w:noProof/>
              </w:rPr>
            </w:pPr>
            <w:r>
              <w:rPr>
                <w:noProof/>
              </w:rPr>
              <w:t>385</w:t>
            </w:r>
          </w:p>
        </w:tc>
        <w:tc>
          <w:tcPr>
            <w:tcW w:w="813" w:type="dxa"/>
            <w:shd w:val="clear" w:color="auto" w:fill="C6EFCE"/>
            <w:noWrap/>
          </w:tcPr>
          <w:p w14:paraId="1A5115C4" w14:textId="77777777" w:rsidR="0065073E" w:rsidRDefault="000A0998">
            <w:pPr>
              <w:pStyle w:val="P68B1DB1-Normal12"/>
              <w:spacing w:after="0"/>
              <w:jc w:val="center"/>
              <w:rPr>
                <w:rFonts w:eastAsia="Times New Roman" w:cs="Times New Roman"/>
                <w:noProof/>
              </w:rPr>
            </w:pPr>
            <w:r>
              <w:rPr>
                <w:noProof/>
              </w:rPr>
              <w:t>C28.R1</w:t>
            </w:r>
          </w:p>
        </w:tc>
        <w:tc>
          <w:tcPr>
            <w:tcW w:w="812" w:type="dxa"/>
            <w:shd w:val="clear" w:color="auto" w:fill="C6EFCE"/>
            <w:noWrap/>
          </w:tcPr>
          <w:p w14:paraId="33BCC1B1"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6B5F73B2" w14:textId="77777777" w:rsidR="0065073E" w:rsidRDefault="000A0998">
            <w:pPr>
              <w:pStyle w:val="P68B1DB1-Normal12"/>
              <w:spacing w:after="0"/>
              <w:rPr>
                <w:rFonts w:eastAsia="Times New Roman" w:cs="Times New Roman"/>
                <w:noProof/>
              </w:rPr>
            </w:pPr>
            <w:r>
              <w:rPr>
                <w:noProof/>
              </w:rPr>
              <w:t>Vuosina 2020 ja 2021 hyväksytyt finanssipoliittiset toimenpiteet covid-19-pandemian vaikutusten lieventämiseksi.</w:t>
            </w:r>
          </w:p>
        </w:tc>
        <w:tc>
          <w:tcPr>
            <w:tcW w:w="948" w:type="dxa"/>
            <w:shd w:val="clear" w:color="auto" w:fill="C6EFCE"/>
            <w:noWrap/>
          </w:tcPr>
          <w:p w14:paraId="47E6700B" w14:textId="77777777" w:rsidR="0065073E" w:rsidRDefault="000A0998">
            <w:pPr>
              <w:pStyle w:val="P68B1DB1-Normal12"/>
              <w:spacing w:after="0"/>
              <w:jc w:val="center"/>
              <w:rPr>
                <w:rFonts w:eastAsia="Times New Roman" w:cs="Times New Roman"/>
                <w:noProof/>
              </w:rPr>
            </w:pPr>
            <w:r>
              <w:rPr>
                <w:noProof/>
              </w:rPr>
              <w:t xml:space="preserve">Lakien ja kuninkaan asetusten säännökset, joista käy ilmi niiden voimaantulo </w:t>
            </w:r>
          </w:p>
        </w:tc>
        <w:tc>
          <w:tcPr>
            <w:tcW w:w="408" w:type="dxa"/>
            <w:shd w:val="clear" w:color="auto" w:fill="C6EFCE"/>
            <w:noWrap/>
          </w:tcPr>
          <w:p w14:paraId="6E6543EA"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3DEB53C1"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07F8F4C0"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4D210DC"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39DDC115"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0B451188" w14:textId="77777777" w:rsidR="0065073E" w:rsidRDefault="000A0998">
            <w:pPr>
              <w:spacing w:after="0"/>
              <w:rPr>
                <w:rFonts w:ascii="Times New Roman" w:eastAsia="Times New Roman" w:hAnsi="Times New Roman" w:cs="Times New Roman"/>
                <w:noProof/>
                <w:sz w:val="18"/>
              </w:rPr>
            </w:pPr>
            <w:r>
              <w:rPr>
                <w:rFonts w:ascii="Times New Roman" w:hAnsi="Times New Roman"/>
                <w:noProof/>
                <w:sz w:val="18"/>
              </w:rPr>
              <w:t>Covid-19-pandemian kielteisten taloudellisten ja sosiaalisten vaikutusten lieventämiseksi vuosina 2020 ja 2021 hyväksyttyjen verotoimenpiteiden voimaantulo:</w:t>
            </w:r>
            <w:r>
              <w:rPr>
                <w:noProof/>
              </w:rPr>
              <w:t xml:space="preserve"> </w:t>
            </w:r>
            <w:r>
              <w:rPr>
                <w:noProof/>
              </w:rPr>
              <w:br/>
            </w:r>
            <w:r>
              <w:rPr>
                <w:rFonts w:ascii="Times New Roman" w:hAnsi="Times New Roman"/>
                <w:noProof/>
                <w:sz w:val="18"/>
              </w:rPr>
              <w:t>1. Siirtymäsäännökset: hallituksen covid-19-pandemian alusta lähtien hyväksymät erilaiset kuninkaan asetukset.</w:t>
            </w:r>
            <w:r>
              <w:rPr>
                <w:noProof/>
              </w:rPr>
              <w:t xml:space="preserve"> </w:t>
            </w:r>
            <w:r>
              <w:rPr>
                <w:noProof/>
              </w:rPr>
              <w:br/>
            </w:r>
            <w:r>
              <w:rPr>
                <w:rFonts w:ascii="Times New Roman" w:hAnsi="Times New Roman"/>
                <w:noProof/>
                <w:sz w:val="18"/>
              </w:rPr>
              <w:t>2. Valtion määräysten muuttaminen:</w:t>
            </w:r>
            <w:r>
              <w:rPr>
                <w:noProof/>
              </w:rPr>
              <w:t xml:space="preserve"> </w:t>
            </w:r>
            <w:r>
              <w:rPr>
                <w:noProof/>
              </w:rPr>
              <w:br/>
            </w:r>
            <w:r>
              <w:rPr>
                <w:rFonts w:ascii="Times New Roman" w:hAnsi="Times New Roman"/>
                <w:noProof/>
                <w:sz w:val="18"/>
              </w:rPr>
              <w:t>24.9.1993 annettu kuninkaan asetus (decreto legislativo) 1/1993, jolla hyväksytään passituksesta kannettavasta verosta annetun lain konsolidoitu teksti ja dokumentoidut säädökset.</w:t>
            </w:r>
            <w:r>
              <w:rPr>
                <w:noProof/>
              </w:rPr>
              <w:t xml:space="preserve"> </w:t>
            </w:r>
            <w:r>
              <w:rPr>
                <w:noProof/>
              </w:rPr>
              <w:br/>
            </w:r>
            <w:r>
              <w:rPr>
                <w:rFonts w:ascii="Times New Roman" w:hAnsi="Times New Roman"/>
                <w:noProof/>
                <w:sz w:val="18"/>
              </w:rPr>
              <w:t>− Arvonlisäverosta 28.12.1992 annettu laki 37/1992.</w:t>
            </w:r>
            <w:r>
              <w:rPr>
                <w:noProof/>
              </w:rPr>
              <w:t xml:space="preserve"> </w:t>
            </w:r>
            <w:r>
              <w:rPr>
                <w:noProof/>
              </w:rPr>
              <w:br/>
            </w:r>
            <w:r>
              <w:rPr>
                <w:rFonts w:ascii="Times New Roman" w:hAnsi="Times New Roman"/>
                <w:noProof/>
                <w:sz w:val="18"/>
              </w:rPr>
              <w:t>− Laki 49/2002, annettu 23 päivänä joulukuuta, voittoa tavoittelemattomien yhteisöjen verojärjestelmästä ja suojelijana toimimisen verokannustimista.</w:t>
            </w:r>
            <w:r>
              <w:rPr>
                <w:noProof/>
              </w:rPr>
              <w:t xml:space="preserve"> </w:t>
            </w:r>
            <w:r>
              <w:rPr>
                <w:noProof/>
              </w:rPr>
              <w:br/>
            </w:r>
            <w:r>
              <w:rPr>
                <w:rFonts w:ascii="Times New Roman" w:hAnsi="Times New Roman"/>
                <w:noProof/>
                <w:sz w:val="18"/>
              </w:rPr>
              <w:t>− Laki 58/2003, annettu 17 päivänä joulukuuta, yleinen vero.</w:t>
            </w:r>
            <w:r>
              <w:rPr>
                <w:noProof/>
              </w:rPr>
              <w:t xml:space="preserve"> </w:t>
            </w:r>
            <w:r>
              <w:rPr>
                <w:noProof/>
              </w:rPr>
              <w:br/>
            </w:r>
            <w:r>
              <w:rPr>
                <w:rFonts w:ascii="Times New Roman" w:hAnsi="Times New Roman"/>
                <w:noProof/>
                <w:sz w:val="18"/>
              </w:rPr>
              <w:t>— Henkilökohtaisesta tuloverosta 28. marraskuuta 2006 annettu laki 35/2006</w:t>
            </w:r>
          </w:p>
        </w:tc>
      </w:tr>
      <w:tr w:rsidR="0065073E" w14:paraId="1B1174ED" w14:textId="77777777">
        <w:trPr>
          <w:trHeight w:val="309"/>
        </w:trPr>
        <w:tc>
          <w:tcPr>
            <w:tcW w:w="961" w:type="dxa"/>
            <w:shd w:val="clear" w:color="auto" w:fill="C6EFCE"/>
            <w:noWrap/>
          </w:tcPr>
          <w:p w14:paraId="667C1B0E" w14:textId="77777777" w:rsidR="0065073E" w:rsidRDefault="000A0998">
            <w:pPr>
              <w:pStyle w:val="P68B1DB1-Normal12"/>
              <w:spacing w:after="0"/>
              <w:jc w:val="center"/>
              <w:rPr>
                <w:rFonts w:eastAsia="Times New Roman" w:cs="Times New Roman"/>
                <w:noProof/>
              </w:rPr>
            </w:pPr>
            <w:r>
              <w:rPr>
                <w:noProof/>
              </w:rPr>
              <w:t>386</w:t>
            </w:r>
          </w:p>
        </w:tc>
        <w:tc>
          <w:tcPr>
            <w:tcW w:w="813" w:type="dxa"/>
            <w:shd w:val="clear" w:color="auto" w:fill="C6EFCE"/>
            <w:noWrap/>
          </w:tcPr>
          <w:p w14:paraId="4226CC6A" w14:textId="77777777" w:rsidR="0065073E" w:rsidRDefault="000A0998">
            <w:pPr>
              <w:pStyle w:val="P68B1DB1-Normal12"/>
              <w:spacing w:after="0"/>
              <w:jc w:val="center"/>
              <w:rPr>
                <w:rFonts w:eastAsia="Times New Roman" w:cs="Times New Roman"/>
                <w:noProof/>
              </w:rPr>
            </w:pPr>
            <w:r>
              <w:rPr>
                <w:noProof/>
              </w:rPr>
              <w:t>C28.R2</w:t>
            </w:r>
          </w:p>
        </w:tc>
        <w:tc>
          <w:tcPr>
            <w:tcW w:w="812" w:type="dxa"/>
            <w:shd w:val="clear" w:color="auto" w:fill="C6EFCE"/>
            <w:noWrap/>
          </w:tcPr>
          <w:p w14:paraId="657CE0A9"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02C3B1A7" w14:textId="77777777" w:rsidR="0065073E" w:rsidRDefault="000A0998">
            <w:pPr>
              <w:pStyle w:val="P68B1DB1-Normal12"/>
              <w:spacing w:after="0"/>
              <w:rPr>
                <w:rFonts w:eastAsia="Times New Roman" w:cs="Times New Roman"/>
                <w:noProof/>
              </w:rPr>
            </w:pPr>
            <w:r>
              <w:rPr>
                <w:noProof/>
              </w:rPr>
              <w:t>Veroetuuksien tarkistaminen ja muutokset</w:t>
            </w:r>
          </w:p>
        </w:tc>
        <w:tc>
          <w:tcPr>
            <w:tcW w:w="948" w:type="dxa"/>
            <w:shd w:val="clear" w:color="auto" w:fill="C6EFCE"/>
            <w:noWrap/>
          </w:tcPr>
          <w:p w14:paraId="2883099E" w14:textId="77777777" w:rsidR="0065073E" w:rsidRDefault="000A0998">
            <w:pPr>
              <w:pStyle w:val="P68B1DB1-Normal12"/>
              <w:spacing w:after="0"/>
              <w:jc w:val="center"/>
              <w:rPr>
                <w:rFonts w:eastAsia="Times New Roman" w:cs="Times New Roman"/>
                <w:noProof/>
              </w:rPr>
            </w:pPr>
            <w:r>
              <w:rPr>
                <w:noProof/>
              </w:rPr>
              <w:t>Uudistusten säännökset, joista käy ilmi niiden voimaantulo ja julkaiseminen työryhmän suositusten rahoitussivustolla</w:t>
            </w:r>
          </w:p>
        </w:tc>
        <w:tc>
          <w:tcPr>
            <w:tcW w:w="408" w:type="dxa"/>
            <w:shd w:val="clear" w:color="auto" w:fill="C6EFCE"/>
            <w:noWrap/>
          </w:tcPr>
          <w:p w14:paraId="4614C3D9"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25AA3752"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0E191650"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379C683"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21C18C6C" w14:textId="77777777" w:rsidR="0065073E" w:rsidRDefault="000A0998">
            <w:pPr>
              <w:pStyle w:val="P68B1DB1-Normal12"/>
              <w:spacing w:after="0"/>
              <w:jc w:val="center"/>
              <w:rPr>
                <w:rFonts w:eastAsia="Times New Roman" w:cs="Times New Roman"/>
                <w:noProof/>
              </w:rPr>
            </w:pPr>
            <w:r>
              <w:rPr>
                <w:noProof/>
              </w:rPr>
              <w:t>2023</w:t>
            </w:r>
          </w:p>
        </w:tc>
        <w:tc>
          <w:tcPr>
            <w:tcW w:w="6340" w:type="dxa"/>
            <w:gridSpan w:val="2"/>
            <w:shd w:val="clear" w:color="auto" w:fill="C6EFCE"/>
            <w:noWrap/>
          </w:tcPr>
          <w:p w14:paraId="1934D664" w14:textId="77777777" w:rsidR="0065073E" w:rsidRDefault="000A0998">
            <w:pPr>
              <w:pStyle w:val="P68B1DB1-Normal12"/>
              <w:spacing w:after="0"/>
              <w:rPr>
                <w:rFonts w:eastAsia="Times New Roman" w:cs="Times New Roman"/>
                <w:noProof/>
              </w:rPr>
            </w:pPr>
            <w:r>
              <w:rPr>
                <w:noProof/>
              </w:rPr>
              <w:t xml:space="preserve">15 veroetuuden muuttamista tai poistamista koskevien työryhmän suositusten täytäntöönpanemiseksi tarvittavien sääntelyuudistusten voimaantulo. Veroetuudet on valittava määrällisen ja laadullisen merkityksen perusteella, ja niitä on arvioitava AIReF-menetelmän mukaisesti. Sääntelyuudistuksilla on pyrittävä tehostamaan verojärjestelmää, lisäämään tuloja, tukemaan vihreää siirtymää ja edistämään oikeudenmukaisuutta. </w:t>
            </w:r>
          </w:p>
        </w:tc>
      </w:tr>
      <w:tr w:rsidR="0065073E" w14:paraId="15764595" w14:textId="77777777">
        <w:trPr>
          <w:trHeight w:val="309"/>
        </w:trPr>
        <w:tc>
          <w:tcPr>
            <w:tcW w:w="961" w:type="dxa"/>
            <w:shd w:val="clear" w:color="auto" w:fill="C6EFCE"/>
            <w:noWrap/>
          </w:tcPr>
          <w:p w14:paraId="07BF5D3A" w14:textId="77777777" w:rsidR="0065073E" w:rsidRDefault="000A0998">
            <w:pPr>
              <w:pStyle w:val="P68B1DB1-Normal12"/>
              <w:spacing w:after="0"/>
              <w:jc w:val="center"/>
              <w:rPr>
                <w:rFonts w:eastAsia="Times New Roman" w:cs="Times New Roman"/>
                <w:noProof/>
              </w:rPr>
            </w:pPr>
            <w:r>
              <w:rPr>
                <w:noProof/>
              </w:rPr>
              <w:t>387</w:t>
            </w:r>
          </w:p>
        </w:tc>
        <w:tc>
          <w:tcPr>
            <w:tcW w:w="813" w:type="dxa"/>
            <w:shd w:val="clear" w:color="auto" w:fill="C6EFCE"/>
            <w:noWrap/>
          </w:tcPr>
          <w:p w14:paraId="5368253A" w14:textId="77777777" w:rsidR="0065073E" w:rsidRDefault="000A0998">
            <w:pPr>
              <w:pStyle w:val="P68B1DB1-Normal12"/>
              <w:spacing w:after="0"/>
              <w:jc w:val="center"/>
              <w:rPr>
                <w:rFonts w:eastAsia="Times New Roman" w:cs="Times New Roman"/>
                <w:noProof/>
              </w:rPr>
            </w:pPr>
            <w:r>
              <w:rPr>
                <w:noProof/>
              </w:rPr>
              <w:t>C28.R3</w:t>
            </w:r>
          </w:p>
        </w:tc>
        <w:tc>
          <w:tcPr>
            <w:tcW w:w="812" w:type="dxa"/>
            <w:shd w:val="clear" w:color="auto" w:fill="C6EFCE"/>
            <w:noWrap/>
          </w:tcPr>
          <w:p w14:paraId="5D6913E3"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232CC1EF" w14:textId="77777777" w:rsidR="0065073E" w:rsidRDefault="000A0998">
            <w:pPr>
              <w:pStyle w:val="P68B1DB1-Normal12"/>
              <w:spacing w:after="0"/>
              <w:rPr>
                <w:rFonts w:eastAsia="Times New Roman" w:cs="Times New Roman"/>
                <w:noProof/>
              </w:rPr>
            </w:pPr>
            <w:r>
              <w:rPr>
                <w:noProof/>
              </w:rPr>
              <w:t>Valtiovarainministeri nimittää asiantuntijakomitean.</w:t>
            </w:r>
          </w:p>
        </w:tc>
        <w:tc>
          <w:tcPr>
            <w:tcW w:w="948" w:type="dxa"/>
            <w:shd w:val="clear" w:color="auto" w:fill="C6EFCE"/>
            <w:noWrap/>
          </w:tcPr>
          <w:p w14:paraId="0718B8D5" w14:textId="77777777" w:rsidR="0065073E" w:rsidRDefault="000A0998">
            <w:pPr>
              <w:pStyle w:val="P68B1DB1-Normal12"/>
              <w:spacing w:after="0"/>
              <w:jc w:val="center"/>
              <w:rPr>
                <w:rFonts w:eastAsia="Times New Roman" w:cs="Times New Roman"/>
                <w:noProof/>
              </w:rPr>
            </w:pPr>
            <w:r>
              <w:rPr>
                <w:noProof/>
              </w:rPr>
              <w:t>Julkaiseminen verkkosivustolla</w:t>
            </w:r>
          </w:p>
        </w:tc>
        <w:tc>
          <w:tcPr>
            <w:tcW w:w="408" w:type="dxa"/>
            <w:shd w:val="clear" w:color="auto" w:fill="C6EFCE"/>
            <w:noWrap/>
          </w:tcPr>
          <w:p w14:paraId="5A777009"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3311ED00"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51BDE9C6"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DBE236C" w14:textId="77777777" w:rsidR="0065073E" w:rsidRDefault="000A0998">
            <w:pPr>
              <w:pStyle w:val="P68B1DB1-Normal12"/>
              <w:spacing w:after="0"/>
              <w:jc w:val="center"/>
              <w:rPr>
                <w:rFonts w:eastAsia="Times New Roman" w:cs="Times New Roman"/>
                <w:noProof/>
              </w:rPr>
            </w:pPr>
            <w:r>
              <w:rPr>
                <w:noProof/>
              </w:rPr>
              <w:t>TOINEN VUOSINELJÄNNES</w:t>
            </w:r>
          </w:p>
        </w:tc>
        <w:tc>
          <w:tcPr>
            <w:tcW w:w="543" w:type="dxa"/>
            <w:shd w:val="clear" w:color="auto" w:fill="C6EFCE"/>
            <w:noWrap/>
          </w:tcPr>
          <w:p w14:paraId="0261E5EB"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00BE0945" w14:textId="77777777" w:rsidR="0065073E" w:rsidRDefault="000A0998">
            <w:pPr>
              <w:pStyle w:val="P68B1DB1-Normal12"/>
              <w:spacing w:after="0"/>
              <w:rPr>
                <w:rFonts w:eastAsia="Times New Roman" w:cs="Times New Roman"/>
                <w:noProof/>
              </w:rPr>
            </w:pPr>
            <w:r>
              <w:rPr>
                <w:noProof/>
              </w:rPr>
              <w:t>Asiantuntijakomitean nimittäminen ohjaamaan verojärjestelmän uudistusta. Komitean tehtävänä on laatia tekninen analyysi tarvittavista uudistuksista ottaen huomioon nykyinen skenaario sekä odotettavissa oleva tilanne keskipitkällä ja pitkällä aikavälillä kiinnittäen erityistä huomiota seuraaviin aloihin: ympäristöverotus, yhtiöverotus, digitaalitalouden verotus, varallisuusverotus ja konkreettinen yhdenmukaistaminen tällä alalla sekä kehittymässä olevan taloudellisen toiminnan verotus.</w:t>
            </w:r>
          </w:p>
        </w:tc>
      </w:tr>
      <w:tr w:rsidR="0065073E" w14:paraId="61D5D730" w14:textId="77777777">
        <w:trPr>
          <w:trHeight w:val="309"/>
        </w:trPr>
        <w:tc>
          <w:tcPr>
            <w:tcW w:w="961" w:type="dxa"/>
            <w:shd w:val="clear" w:color="auto" w:fill="C6EFCE"/>
            <w:noWrap/>
          </w:tcPr>
          <w:p w14:paraId="7558215D" w14:textId="77777777" w:rsidR="0065073E" w:rsidRDefault="000A0998">
            <w:pPr>
              <w:pStyle w:val="P68B1DB1-Normal12"/>
              <w:spacing w:after="0"/>
              <w:jc w:val="center"/>
              <w:rPr>
                <w:rFonts w:eastAsia="Times New Roman" w:cs="Times New Roman"/>
                <w:noProof/>
              </w:rPr>
            </w:pPr>
            <w:r>
              <w:rPr>
                <w:noProof/>
              </w:rPr>
              <w:t>388</w:t>
            </w:r>
          </w:p>
        </w:tc>
        <w:tc>
          <w:tcPr>
            <w:tcW w:w="813" w:type="dxa"/>
            <w:shd w:val="clear" w:color="auto" w:fill="C6EFCE"/>
            <w:noWrap/>
          </w:tcPr>
          <w:p w14:paraId="5104DB5C" w14:textId="77777777" w:rsidR="0065073E" w:rsidRDefault="000A0998">
            <w:pPr>
              <w:pStyle w:val="P68B1DB1-Normal12"/>
              <w:spacing w:after="0"/>
              <w:jc w:val="center"/>
              <w:rPr>
                <w:rFonts w:eastAsia="Times New Roman" w:cs="Times New Roman"/>
                <w:noProof/>
              </w:rPr>
            </w:pPr>
            <w:r>
              <w:rPr>
                <w:noProof/>
              </w:rPr>
              <w:t>C28.R3</w:t>
            </w:r>
          </w:p>
        </w:tc>
        <w:tc>
          <w:tcPr>
            <w:tcW w:w="812" w:type="dxa"/>
            <w:shd w:val="clear" w:color="auto" w:fill="C6EFCE"/>
            <w:noWrap/>
          </w:tcPr>
          <w:p w14:paraId="42603E1A"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013B3195" w14:textId="77777777" w:rsidR="0065073E" w:rsidRDefault="000A0998">
            <w:pPr>
              <w:pStyle w:val="P68B1DB1-Normal12"/>
              <w:spacing w:after="0"/>
              <w:rPr>
                <w:rFonts w:eastAsia="Times New Roman" w:cs="Times New Roman"/>
                <w:noProof/>
              </w:rPr>
            </w:pPr>
            <w:r>
              <w:rPr>
                <w:noProof/>
              </w:rPr>
              <w:t>Komitean suosituksiin perustuvien uudistusten voimaantulo</w:t>
            </w:r>
          </w:p>
        </w:tc>
        <w:tc>
          <w:tcPr>
            <w:tcW w:w="948" w:type="dxa"/>
            <w:shd w:val="clear" w:color="auto" w:fill="C6EFCE"/>
            <w:noWrap/>
          </w:tcPr>
          <w:p w14:paraId="56E9D534" w14:textId="77777777" w:rsidR="0065073E" w:rsidRDefault="000A0998">
            <w:pPr>
              <w:pStyle w:val="P68B1DB1-Normal12"/>
              <w:spacing w:after="0"/>
              <w:jc w:val="center"/>
              <w:rPr>
                <w:rFonts w:eastAsia="Times New Roman" w:cs="Times New Roman"/>
                <w:noProof/>
              </w:rPr>
            </w:pPr>
            <w:r>
              <w:rPr>
                <w:noProof/>
              </w:rPr>
              <w:t xml:space="preserve">Uudistussäännökset, joista käy ilmi niiden voimaantulo </w:t>
            </w:r>
          </w:p>
        </w:tc>
        <w:tc>
          <w:tcPr>
            <w:tcW w:w="408" w:type="dxa"/>
            <w:shd w:val="clear" w:color="auto" w:fill="C6EFCE"/>
            <w:noWrap/>
          </w:tcPr>
          <w:p w14:paraId="63A50EF2"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4E3B4429"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52B2C876"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2FC14277"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241FA2C7" w14:textId="77777777" w:rsidR="0065073E" w:rsidRDefault="000A0998">
            <w:pPr>
              <w:pStyle w:val="P68B1DB1-Normal12"/>
              <w:spacing w:after="0"/>
              <w:jc w:val="center"/>
              <w:rPr>
                <w:rFonts w:eastAsia="Times New Roman" w:cs="Times New Roman"/>
                <w:noProof/>
              </w:rPr>
            </w:pPr>
            <w:r>
              <w:rPr>
                <w:noProof/>
              </w:rPr>
              <w:t>2023</w:t>
            </w:r>
          </w:p>
        </w:tc>
        <w:tc>
          <w:tcPr>
            <w:tcW w:w="6340" w:type="dxa"/>
            <w:gridSpan w:val="2"/>
            <w:shd w:val="clear" w:color="auto" w:fill="C6EFCE"/>
            <w:noWrap/>
          </w:tcPr>
          <w:p w14:paraId="6CB47412" w14:textId="77777777" w:rsidR="0065073E" w:rsidRDefault="000A0998">
            <w:pPr>
              <w:pStyle w:val="P68B1DB1-Normal12"/>
              <w:spacing w:after="0"/>
              <w:rPr>
                <w:rFonts w:eastAsia="Times New Roman" w:cs="Times New Roman"/>
                <w:noProof/>
              </w:rPr>
            </w:pPr>
            <w:r>
              <w:rPr>
                <w:noProof/>
              </w:rPr>
              <w:t>Espanjan verojärjestelmän eri osatekijöitä koskeviin asiantuntijakomitean suosituksiin perustuvien uudistusten voimaantulo Espanjan valtion tulojen ja BKT:n välisen suhteen lähentämiseksi EU:n keskiarvoon, yhtiöverotuksen vähimmäistason varmistamiseksi, verojärjestelmän tehostamiseksi, nykyaikaistamiseksi ja mukauttamiseksi uusiin suuntauksiin, myös sukupuolinäkökulmaan, keskittyen ympäristöverotukseen, yhtiöverotukseen, digitaalitalouden verotukseen, varallisuusverotuksen yhdenmukaistamiseen ja kehittymässä olevan taloudellisen toiminnan verotukseen. Uudistusten yhteydessä on myös analysoitava niiden jakaumavaikutuksia keskittyen erityisesti lapsiperheisiin.</w:t>
            </w:r>
          </w:p>
        </w:tc>
      </w:tr>
      <w:tr w:rsidR="0065073E" w14:paraId="13CBA163" w14:textId="77777777">
        <w:trPr>
          <w:trHeight w:val="309"/>
        </w:trPr>
        <w:tc>
          <w:tcPr>
            <w:tcW w:w="961" w:type="dxa"/>
            <w:shd w:val="clear" w:color="auto" w:fill="C6EFCE"/>
            <w:noWrap/>
          </w:tcPr>
          <w:p w14:paraId="63AD47FE" w14:textId="77777777" w:rsidR="0065073E" w:rsidRDefault="000A0998">
            <w:pPr>
              <w:pStyle w:val="P68B1DB1-Normal12"/>
              <w:spacing w:after="0"/>
              <w:jc w:val="center"/>
              <w:rPr>
                <w:rFonts w:eastAsia="Times New Roman" w:cs="Times New Roman"/>
                <w:noProof/>
              </w:rPr>
            </w:pPr>
            <w:r>
              <w:rPr>
                <w:noProof/>
              </w:rPr>
              <w:t>389</w:t>
            </w:r>
          </w:p>
        </w:tc>
        <w:tc>
          <w:tcPr>
            <w:tcW w:w="813" w:type="dxa"/>
            <w:shd w:val="clear" w:color="auto" w:fill="C6EFCE"/>
            <w:noWrap/>
          </w:tcPr>
          <w:p w14:paraId="09AFC946" w14:textId="77777777" w:rsidR="0065073E" w:rsidRDefault="000A0998">
            <w:pPr>
              <w:pStyle w:val="P68B1DB1-Normal12"/>
              <w:spacing w:after="0"/>
              <w:jc w:val="center"/>
              <w:rPr>
                <w:rFonts w:eastAsia="Times New Roman" w:cs="Times New Roman"/>
                <w:noProof/>
              </w:rPr>
            </w:pPr>
            <w:r>
              <w:rPr>
                <w:noProof/>
              </w:rPr>
              <w:t>C28.R4</w:t>
            </w:r>
          </w:p>
        </w:tc>
        <w:tc>
          <w:tcPr>
            <w:tcW w:w="812" w:type="dxa"/>
            <w:shd w:val="clear" w:color="auto" w:fill="C6EFCE"/>
            <w:noWrap/>
          </w:tcPr>
          <w:p w14:paraId="37C9286B"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3B206E3B" w14:textId="77777777" w:rsidR="0065073E" w:rsidRDefault="000A0998">
            <w:pPr>
              <w:pStyle w:val="P68B1DB1-Normal12"/>
              <w:spacing w:after="0"/>
              <w:rPr>
                <w:rFonts w:eastAsia="Times New Roman" w:cs="Times New Roman"/>
                <w:noProof/>
              </w:rPr>
            </w:pPr>
            <w:r>
              <w:rPr>
                <w:noProof/>
              </w:rPr>
              <w:t>Kertakäyttömuovien ja -jätteiden verot</w:t>
            </w:r>
          </w:p>
        </w:tc>
        <w:tc>
          <w:tcPr>
            <w:tcW w:w="948" w:type="dxa"/>
            <w:shd w:val="clear" w:color="auto" w:fill="C6EFCE"/>
            <w:noWrap/>
          </w:tcPr>
          <w:p w14:paraId="6631B3B5"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408" w:type="dxa"/>
            <w:shd w:val="clear" w:color="auto" w:fill="C6EFCE"/>
            <w:noWrap/>
          </w:tcPr>
          <w:p w14:paraId="1BC824A3"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68323AAF"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6A0231A0"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136B019" w14:textId="77777777" w:rsidR="0065073E" w:rsidRDefault="000A0998">
            <w:pPr>
              <w:pStyle w:val="P68B1DB1-Normal12"/>
              <w:spacing w:after="0"/>
              <w:jc w:val="center"/>
              <w:rPr>
                <w:rFonts w:eastAsia="Times New Roman" w:cs="Times New Roman"/>
                <w:noProof/>
              </w:rPr>
            </w:pPr>
            <w:r>
              <w:rPr>
                <w:noProof/>
              </w:rPr>
              <w:t>Q3</w:t>
            </w:r>
          </w:p>
        </w:tc>
        <w:tc>
          <w:tcPr>
            <w:tcW w:w="543" w:type="dxa"/>
            <w:shd w:val="clear" w:color="auto" w:fill="C6EFCE"/>
            <w:noWrap/>
          </w:tcPr>
          <w:p w14:paraId="5A0E9B47"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7D67D7B8" w14:textId="77777777" w:rsidR="0065073E" w:rsidRDefault="000A0998">
            <w:pPr>
              <w:pStyle w:val="P68B1DB1-Normal12"/>
              <w:spacing w:after="0"/>
              <w:rPr>
                <w:rFonts w:eastAsia="Times New Roman" w:cs="Times New Roman"/>
                <w:noProof/>
              </w:rPr>
            </w:pPr>
            <w:r>
              <w:rPr>
                <w:noProof/>
              </w:rPr>
              <w:t>Muoviveroja sekä jätteen sijoittamista ja polttamista koskevan lain voimaantulo kiertotalouden edistämiseksi ja kertakäyttömuovien käytön vähentämiseksi.</w:t>
            </w:r>
          </w:p>
        </w:tc>
      </w:tr>
      <w:tr w:rsidR="0065073E" w14:paraId="37F913A7" w14:textId="77777777">
        <w:trPr>
          <w:trHeight w:val="309"/>
        </w:trPr>
        <w:tc>
          <w:tcPr>
            <w:tcW w:w="961" w:type="dxa"/>
            <w:shd w:val="clear" w:color="auto" w:fill="C6EFCE"/>
            <w:noWrap/>
          </w:tcPr>
          <w:p w14:paraId="05FB0A0A" w14:textId="77777777" w:rsidR="0065073E" w:rsidRDefault="000A0998">
            <w:pPr>
              <w:pStyle w:val="P68B1DB1-Normal12"/>
              <w:spacing w:after="0"/>
              <w:jc w:val="center"/>
              <w:rPr>
                <w:rFonts w:eastAsia="Times New Roman" w:cs="Times New Roman"/>
                <w:noProof/>
              </w:rPr>
            </w:pPr>
            <w:r>
              <w:rPr>
                <w:noProof/>
              </w:rPr>
              <w:t>390</w:t>
            </w:r>
          </w:p>
        </w:tc>
        <w:tc>
          <w:tcPr>
            <w:tcW w:w="813" w:type="dxa"/>
            <w:shd w:val="clear" w:color="auto" w:fill="C6EFCE"/>
            <w:noWrap/>
          </w:tcPr>
          <w:p w14:paraId="0ABCE885" w14:textId="77777777" w:rsidR="0065073E" w:rsidRDefault="000A0998">
            <w:pPr>
              <w:pStyle w:val="P68B1DB1-Normal12"/>
              <w:spacing w:after="0"/>
              <w:jc w:val="center"/>
              <w:rPr>
                <w:rFonts w:eastAsia="Times New Roman" w:cs="Times New Roman"/>
                <w:noProof/>
              </w:rPr>
            </w:pPr>
            <w:r>
              <w:rPr>
                <w:noProof/>
              </w:rPr>
              <w:t>C28.R4</w:t>
            </w:r>
          </w:p>
        </w:tc>
        <w:tc>
          <w:tcPr>
            <w:tcW w:w="812" w:type="dxa"/>
            <w:shd w:val="clear" w:color="auto" w:fill="C6EFCE"/>
            <w:noWrap/>
          </w:tcPr>
          <w:p w14:paraId="0C30E35A"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4A8EAD8A" w14:textId="77777777" w:rsidR="0065073E" w:rsidRDefault="000A0998">
            <w:pPr>
              <w:pStyle w:val="P68B1DB1-Normal12"/>
              <w:spacing w:after="0"/>
              <w:rPr>
                <w:rFonts w:eastAsia="Times New Roman" w:cs="Times New Roman"/>
                <w:noProof/>
              </w:rPr>
            </w:pPr>
            <w:r>
              <w:rPr>
                <w:noProof/>
              </w:rPr>
              <w:t>Ajoneuvojen rekisteröintiveron ja liikenneveron analyysi</w:t>
            </w:r>
          </w:p>
        </w:tc>
        <w:tc>
          <w:tcPr>
            <w:tcW w:w="948" w:type="dxa"/>
            <w:shd w:val="clear" w:color="auto" w:fill="C6EFCE"/>
            <w:noWrap/>
          </w:tcPr>
          <w:p w14:paraId="5EA469A9" w14:textId="77777777" w:rsidR="0065073E" w:rsidRDefault="000A0998">
            <w:pPr>
              <w:pStyle w:val="P68B1DB1-Normal12"/>
              <w:spacing w:after="0"/>
              <w:jc w:val="center"/>
              <w:rPr>
                <w:rFonts w:eastAsia="Times New Roman" w:cs="Times New Roman"/>
                <w:noProof/>
              </w:rPr>
            </w:pPr>
            <w:r>
              <w:rPr>
                <w:noProof/>
              </w:rPr>
              <w:t>Julkaiseminen verkkosivustolla</w:t>
            </w:r>
          </w:p>
        </w:tc>
        <w:tc>
          <w:tcPr>
            <w:tcW w:w="408" w:type="dxa"/>
            <w:shd w:val="clear" w:color="auto" w:fill="C6EFCE"/>
            <w:noWrap/>
          </w:tcPr>
          <w:p w14:paraId="64767320"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2F2B80B2"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32F4FFFC"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C0D3FC8"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2354E8AC" w14:textId="77777777" w:rsidR="0065073E" w:rsidRDefault="000A0998">
            <w:pPr>
              <w:pStyle w:val="P68B1DB1-Normal12"/>
              <w:spacing w:after="0"/>
              <w:jc w:val="center"/>
              <w:rPr>
                <w:rFonts w:eastAsia="Times New Roman" w:cs="Times New Roman"/>
                <w:noProof/>
              </w:rPr>
            </w:pPr>
            <w:r>
              <w:rPr>
                <w:noProof/>
              </w:rPr>
              <w:t>2022</w:t>
            </w:r>
          </w:p>
        </w:tc>
        <w:tc>
          <w:tcPr>
            <w:tcW w:w="6340" w:type="dxa"/>
            <w:gridSpan w:val="2"/>
            <w:shd w:val="clear" w:color="auto" w:fill="C6EFCE"/>
            <w:noWrap/>
          </w:tcPr>
          <w:p w14:paraId="0B6EE2A2" w14:textId="77777777" w:rsidR="0065073E" w:rsidRDefault="000A0998">
            <w:pPr>
              <w:pStyle w:val="P68B1DB1-Normal12"/>
              <w:spacing w:after="0"/>
              <w:rPr>
                <w:rFonts w:eastAsia="Times New Roman" w:cs="Times New Roman"/>
                <w:noProof/>
              </w:rPr>
            </w:pPr>
            <w:r>
              <w:rPr>
                <w:noProof/>
              </w:rPr>
              <w:t xml:space="preserve">Uudistuksessa analysoidaan ajoneuvojen rekisteröintiveroa, liikenneveroa tai maksuja, kuten tiemaksuja. Tämän analyysin perusteella on harkittava lain tarkistamista, jotta voidaan edistää kestävämpää tieliikennettä ja vähentää kasvihuonekaasupäästöjä. </w:t>
            </w:r>
          </w:p>
        </w:tc>
      </w:tr>
      <w:tr w:rsidR="0065073E" w14:paraId="687375F6" w14:textId="77777777">
        <w:trPr>
          <w:trHeight w:val="309"/>
        </w:trPr>
        <w:tc>
          <w:tcPr>
            <w:tcW w:w="961" w:type="dxa"/>
            <w:shd w:val="clear" w:color="auto" w:fill="C6EFCE"/>
            <w:noWrap/>
          </w:tcPr>
          <w:p w14:paraId="6973CD59" w14:textId="77777777" w:rsidR="0065073E" w:rsidRDefault="000A0998">
            <w:pPr>
              <w:pStyle w:val="P68B1DB1-Normal12"/>
              <w:spacing w:after="0"/>
              <w:jc w:val="center"/>
              <w:rPr>
                <w:rFonts w:eastAsia="Times New Roman" w:cs="Times New Roman"/>
                <w:noProof/>
              </w:rPr>
            </w:pPr>
            <w:r>
              <w:rPr>
                <w:noProof/>
              </w:rPr>
              <w:t>391</w:t>
            </w:r>
          </w:p>
        </w:tc>
        <w:tc>
          <w:tcPr>
            <w:tcW w:w="813" w:type="dxa"/>
            <w:shd w:val="clear" w:color="auto" w:fill="C6EFCE"/>
            <w:noWrap/>
          </w:tcPr>
          <w:p w14:paraId="1A99CDD0" w14:textId="77777777" w:rsidR="0065073E" w:rsidRDefault="000A0998">
            <w:pPr>
              <w:pStyle w:val="P68B1DB1-Normal12"/>
              <w:spacing w:after="0"/>
              <w:jc w:val="center"/>
              <w:rPr>
                <w:rFonts w:eastAsia="Times New Roman" w:cs="Times New Roman"/>
                <w:noProof/>
              </w:rPr>
            </w:pPr>
            <w:r>
              <w:rPr>
                <w:noProof/>
              </w:rPr>
              <w:t>C28.R4</w:t>
            </w:r>
          </w:p>
        </w:tc>
        <w:tc>
          <w:tcPr>
            <w:tcW w:w="812" w:type="dxa"/>
            <w:shd w:val="clear" w:color="auto" w:fill="C6EFCE"/>
            <w:noWrap/>
          </w:tcPr>
          <w:p w14:paraId="19796F6B"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62B420F4" w14:textId="77777777" w:rsidR="0065073E" w:rsidRDefault="000A0998">
            <w:pPr>
              <w:pStyle w:val="P68B1DB1-Normal12"/>
              <w:spacing w:after="0"/>
              <w:rPr>
                <w:rFonts w:eastAsia="Times New Roman" w:cs="Times New Roman"/>
                <w:noProof/>
              </w:rPr>
            </w:pPr>
            <w:r>
              <w:rPr>
                <w:noProof/>
              </w:rPr>
              <w:t xml:space="preserve">Fluorattujen kaasujen verouudistuksen voimaantulo </w:t>
            </w:r>
          </w:p>
        </w:tc>
        <w:tc>
          <w:tcPr>
            <w:tcW w:w="948" w:type="dxa"/>
            <w:shd w:val="clear" w:color="auto" w:fill="C6EFCE"/>
            <w:noWrap/>
          </w:tcPr>
          <w:p w14:paraId="33611C9D"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408" w:type="dxa"/>
            <w:shd w:val="clear" w:color="auto" w:fill="C6EFCE"/>
            <w:noWrap/>
          </w:tcPr>
          <w:p w14:paraId="2F93830F"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4917AFFD"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2CC75913" w14:textId="77777777" w:rsidR="0065073E" w:rsidRDefault="000A0998">
            <w:pPr>
              <w:pStyle w:val="P68B1DB1-Normal12"/>
              <w:spacing w:after="0"/>
              <w:rPr>
                <w:rFonts w:eastAsia="Times New Roman" w:cs="Times New Roman"/>
                <w:noProof/>
              </w:rPr>
            </w:pPr>
            <w:r>
              <w:rPr>
                <w:noProof/>
              </w:rPr>
              <w:t xml:space="preserve"> </w:t>
            </w:r>
          </w:p>
        </w:tc>
        <w:tc>
          <w:tcPr>
            <w:tcW w:w="408" w:type="dxa"/>
            <w:shd w:val="clear" w:color="auto" w:fill="C6EFCE"/>
            <w:noWrap/>
          </w:tcPr>
          <w:p w14:paraId="76B0F169" w14:textId="77777777" w:rsidR="0065073E" w:rsidRDefault="000A0998">
            <w:pPr>
              <w:pStyle w:val="P68B1DB1-Normal12"/>
              <w:spacing w:after="0"/>
              <w:jc w:val="center"/>
              <w:rPr>
                <w:rFonts w:eastAsia="Times New Roman" w:cs="Times New Roman"/>
                <w:noProof/>
              </w:rPr>
            </w:pPr>
            <w:r>
              <w:rPr>
                <w:noProof/>
              </w:rPr>
              <w:t>TOINEN VUOSINELJÄNNES</w:t>
            </w:r>
          </w:p>
        </w:tc>
        <w:tc>
          <w:tcPr>
            <w:tcW w:w="543" w:type="dxa"/>
            <w:shd w:val="clear" w:color="auto" w:fill="C6EFCE"/>
            <w:noWrap/>
          </w:tcPr>
          <w:p w14:paraId="7D2A3C3B" w14:textId="77777777" w:rsidR="0065073E" w:rsidRDefault="000A0998">
            <w:pPr>
              <w:pStyle w:val="P68B1DB1-Normal12"/>
              <w:spacing w:after="0"/>
              <w:jc w:val="center"/>
              <w:rPr>
                <w:rFonts w:eastAsia="Times New Roman" w:cs="Times New Roman"/>
                <w:noProof/>
              </w:rPr>
            </w:pPr>
            <w:r>
              <w:rPr>
                <w:noProof/>
              </w:rPr>
              <w:t>2022</w:t>
            </w:r>
          </w:p>
        </w:tc>
        <w:tc>
          <w:tcPr>
            <w:tcW w:w="6340" w:type="dxa"/>
            <w:gridSpan w:val="2"/>
            <w:shd w:val="clear" w:color="auto" w:fill="C6EFCE"/>
            <w:noWrap/>
          </w:tcPr>
          <w:p w14:paraId="5855A3A2" w14:textId="77777777" w:rsidR="0065073E" w:rsidRDefault="000A0998">
            <w:pPr>
              <w:pStyle w:val="P68B1DB1-Normal12"/>
              <w:spacing w:after="0"/>
              <w:rPr>
                <w:rFonts w:eastAsia="Times New Roman" w:cs="Times New Roman"/>
                <w:noProof/>
              </w:rPr>
            </w:pPr>
            <w:r>
              <w:rPr>
                <w:noProof/>
              </w:rPr>
              <w:t xml:space="preserve">Fluorattujen kaasujen verouudistuksen voimaantulo niiden käytön hillitsemiseksi ja veronkierron vähentämiseksi. </w:t>
            </w:r>
          </w:p>
        </w:tc>
      </w:tr>
      <w:tr w:rsidR="0065073E" w14:paraId="47F6F49D" w14:textId="77777777">
        <w:trPr>
          <w:trHeight w:val="309"/>
        </w:trPr>
        <w:tc>
          <w:tcPr>
            <w:tcW w:w="961" w:type="dxa"/>
            <w:shd w:val="clear" w:color="auto" w:fill="C6EFCE"/>
            <w:noWrap/>
          </w:tcPr>
          <w:p w14:paraId="30813EBA" w14:textId="77777777" w:rsidR="0065073E" w:rsidRDefault="000A0998">
            <w:pPr>
              <w:pStyle w:val="P68B1DB1-Normal12"/>
              <w:spacing w:after="0"/>
              <w:jc w:val="center"/>
              <w:rPr>
                <w:rFonts w:eastAsia="Times New Roman" w:cs="Times New Roman"/>
                <w:noProof/>
              </w:rPr>
            </w:pPr>
            <w:r>
              <w:rPr>
                <w:noProof/>
              </w:rPr>
              <w:t>392</w:t>
            </w:r>
          </w:p>
        </w:tc>
        <w:tc>
          <w:tcPr>
            <w:tcW w:w="813" w:type="dxa"/>
            <w:shd w:val="clear" w:color="auto" w:fill="C6EFCE"/>
            <w:noWrap/>
          </w:tcPr>
          <w:p w14:paraId="69502FAC" w14:textId="77777777" w:rsidR="0065073E" w:rsidRDefault="000A0998">
            <w:pPr>
              <w:pStyle w:val="P68B1DB1-Normal12"/>
              <w:spacing w:after="0"/>
              <w:jc w:val="center"/>
              <w:rPr>
                <w:rFonts w:eastAsia="Times New Roman" w:cs="Times New Roman"/>
                <w:noProof/>
              </w:rPr>
            </w:pPr>
            <w:r>
              <w:rPr>
                <w:noProof/>
              </w:rPr>
              <w:t>C28.R5</w:t>
            </w:r>
          </w:p>
        </w:tc>
        <w:tc>
          <w:tcPr>
            <w:tcW w:w="812" w:type="dxa"/>
            <w:shd w:val="clear" w:color="auto" w:fill="C6EFCE"/>
            <w:noWrap/>
          </w:tcPr>
          <w:p w14:paraId="4441CBFA"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2B3AFE47" w14:textId="77777777" w:rsidR="0065073E" w:rsidRDefault="000A0998">
            <w:pPr>
              <w:pStyle w:val="P68B1DB1-Normal12"/>
              <w:spacing w:after="0"/>
              <w:rPr>
                <w:rFonts w:eastAsia="Times New Roman" w:cs="Times New Roman"/>
                <w:noProof/>
              </w:rPr>
            </w:pPr>
            <w:r>
              <w:rPr>
                <w:noProof/>
              </w:rPr>
              <w:t>Digitaalisten palvelujen vero</w:t>
            </w:r>
          </w:p>
        </w:tc>
        <w:tc>
          <w:tcPr>
            <w:tcW w:w="948" w:type="dxa"/>
            <w:shd w:val="clear" w:color="auto" w:fill="C6EFCE"/>
            <w:noWrap/>
          </w:tcPr>
          <w:p w14:paraId="1139B613"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408" w:type="dxa"/>
            <w:shd w:val="clear" w:color="auto" w:fill="C6EFCE"/>
            <w:noWrap/>
          </w:tcPr>
          <w:p w14:paraId="6E0AA6EE"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29B2E2DC"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4EB5E910"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33BAEE2B"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254FBBEB"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7EE8E71B" w14:textId="77777777" w:rsidR="0065073E" w:rsidRDefault="000A0998">
            <w:pPr>
              <w:pStyle w:val="P68B1DB1-Normal12"/>
              <w:spacing w:after="0"/>
              <w:rPr>
                <w:rFonts w:eastAsia="Times New Roman" w:cs="Times New Roman"/>
                <w:noProof/>
              </w:rPr>
            </w:pPr>
            <w:r>
              <w:rPr>
                <w:noProof/>
              </w:rPr>
              <w:t>Tietyistä digitaalisten palvelujen veroista annetun lain (</w:t>
            </w:r>
            <w:r>
              <w:rPr>
                <w:i/>
                <w:noProof/>
              </w:rPr>
              <w:t>Ley 4/2020, de 15 de octubre, del Impuesto sobre Determinados Servicios Digitales</w:t>
            </w:r>
            <w:r>
              <w:rPr>
                <w:noProof/>
              </w:rPr>
              <w:t>) voimaantulo, jotta hallitukselle voidaan luoda uusia tulonlähteitä, jotka perustuvat kehittyviin liiketoiminta-aloihin, samalla kun verojärjestelmää kehitetään johdonmukaisesti ja tarvittaessa kansainvälisessä kontekstissa.</w:t>
            </w:r>
          </w:p>
        </w:tc>
      </w:tr>
      <w:tr w:rsidR="0065073E" w14:paraId="241694F9" w14:textId="77777777">
        <w:trPr>
          <w:trHeight w:val="309"/>
        </w:trPr>
        <w:tc>
          <w:tcPr>
            <w:tcW w:w="961" w:type="dxa"/>
            <w:shd w:val="clear" w:color="auto" w:fill="C6EFCE"/>
            <w:noWrap/>
          </w:tcPr>
          <w:p w14:paraId="681303F9" w14:textId="77777777" w:rsidR="0065073E" w:rsidRDefault="000A0998">
            <w:pPr>
              <w:pStyle w:val="P68B1DB1-Normal12"/>
              <w:spacing w:after="0"/>
              <w:jc w:val="center"/>
              <w:rPr>
                <w:rFonts w:eastAsia="Times New Roman" w:cs="Times New Roman"/>
                <w:noProof/>
              </w:rPr>
            </w:pPr>
            <w:r>
              <w:rPr>
                <w:noProof/>
              </w:rPr>
              <w:t>393</w:t>
            </w:r>
          </w:p>
        </w:tc>
        <w:tc>
          <w:tcPr>
            <w:tcW w:w="813" w:type="dxa"/>
            <w:shd w:val="clear" w:color="auto" w:fill="C6EFCE"/>
            <w:noWrap/>
          </w:tcPr>
          <w:p w14:paraId="3C8C5899" w14:textId="77777777" w:rsidR="0065073E" w:rsidRDefault="000A0998">
            <w:pPr>
              <w:pStyle w:val="P68B1DB1-Normal12"/>
              <w:spacing w:after="0"/>
              <w:jc w:val="center"/>
              <w:rPr>
                <w:rFonts w:eastAsia="Times New Roman" w:cs="Times New Roman"/>
                <w:noProof/>
              </w:rPr>
            </w:pPr>
            <w:r>
              <w:rPr>
                <w:noProof/>
              </w:rPr>
              <w:t>C28.R6</w:t>
            </w:r>
          </w:p>
        </w:tc>
        <w:tc>
          <w:tcPr>
            <w:tcW w:w="812" w:type="dxa"/>
            <w:shd w:val="clear" w:color="auto" w:fill="C6EFCE"/>
            <w:noWrap/>
          </w:tcPr>
          <w:p w14:paraId="6F2FCA0F"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1767918B" w14:textId="77777777" w:rsidR="0065073E" w:rsidRDefault="000A0998">
            <w:pPr>
              <w:pStyle w:val="P68B1DB1-Normal12"/>
              <w:spacing w:after="0"/>
              <w:rPr>
                <w:rFonts w:eastAsia="Times New Roman" w:cs="Times New Roman"/>
                <w:noProof/>
              </w:rPr>
            </w:pPr>
            <w:r>
              <w:rPr>
                <w:noProof/>
              </w:rPr>
              <w:t>Finanssitransaktiovero</w:t>
            </w:r>
          </w:p>
        </w:tc>
        <w:tc>
          <w:tcPr>
            <w:tcW w:w="948" w:type="dxa"/>
            <w:shd w:val="clear" w:color="auto" w:fill="C6EFCE"/>
            <w:noWrap/>
          </w:tcPr>
          <w:p w14:paraId="7B475124"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408" w:type="dxa"/>
            <w:shd w:val="clear" w:color="auto" w:fill="C6EFCE"/>
            <w:noWrap/>
          </w:tcPr>
          <w:p w14:paraId="7A00D580"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0D0B806C"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0D4A5886"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7832C360"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4E7E2AA4"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5936BDA7" w14:textId="77777777" w:rsidR="0065073E" w:rsidRDefault="000A0998">
            <w:pPr>
              <w:pStyle w:val="P68B1DB1-Normal12"/>
              <w:spacing w:after="0"/>
              <w:rPr>
                <w:rFonts w:eastAsia="Times New Roman" w:cs="Times New Roman"/>
                <w:noProof/>
              </w:rPr>
            </w:pPr>
            <w:r>
              <w:rPr>
                <w:noProof/>
              </w:rPr>
              <w:t>Finanssitransaktioverosta annetun lain (</w:t>
            </w:r>
            <w:r>
              <w:rPr>
                <w:i/>
                <w:noProof/>
              </w:rPr>
              <w:t>Ley 5/2020, de 15 de octubre, del Impuesto sobre las Transacciones Financieras</w:t>
            </w:r>
            <w:r>
              <w:rPr>
                <w:noProof/>
              </w:rPr>
              <w:t>) voimaantulo uusien tulonlähteiden luomiseksi hallitukselle samalla kun verojärjestelmää kehitetään johdonmukaisesti ja tarvittaessa kansainvälisessä kontekstissa.</w:t>
            </w:r>
          </w:p>
        </w:tc>
      </w:tr>
      <w:tr w:rsidR="0065073E" w14:paraId="39BE8BCE" w14:textId="77777777">
        <w:trPr>
          <w:trHeight w:val="309"/>
        </w:trPr>
        <w:tc>
          <w:tcPr>
            <w:tcW w:w="961" w:type="dxa"/>
            <w:shd w:val="clear" w:color="auto" w:fill="C6EFCE"/>
            <w:noWrap/>
          </w:tcPr>
          <w:p w14:paraId="115DDE1D" w14:textId="77777777" w:rsidR="0065073E" w:rsidRDefault="000A0998">
            <w:pPr>
              <w:pStyle w:val="P68B1DB1-Normal12"/>
              <w:spacing w:after="0"/>
              <w:jc w:val="center"/>
              <w:rPr>
                <w:rFonts w:eastAsia="Times New Roman" w:cs="Times New Roman"/>
                <w:noProof/>
              </w:rPr>
            </w:pPr>
            <w:r>
              <w:rPr>
                <w:noProof/>
              </w:rPr>
              <w:t>394</w:t>
            </w:r>
          </w:p>
        </w:tc>
        <w:tc>
          <w:tcPr>
            <w:tcW w:w="813" w:type="dxa"/>
            <w:shd w:val="clear" w:color="auto" w:fill="C6EFCE"/>
            <w:noWrap/>
          </w:tcPr>
          <w:p w14:paraId="591EC737" w14:textId="77777777" w:rsidR="0065073E" w:rsidRDefault="000A0998">
            <w:pPr>
              <w:pStyle w:val="P68B1DB1-Normal12"/>
              <w:spacing w:after="0"/>
              <w:jc w:val="center"/>
              <w:rPr>
                <w:rFonts w:eastAsia="Times New Roman" w:cs="Times New Roman"/>
                <w:noProof/>
              </w:rPr>
            </w:pPr>
            <w:r>
              <w:rPr>
                <w:noProof/>
              </w:rPr>
              <w:t>C28.R7</w:t>
            </w:r>
          </w:p>
        </w:tc>
        <w:tc>
          <w:tcPr>
            <w:tcW w:w="812" w:type="dxa"/>
            <w:shd w:val="clear" w:color="auto" w:fill="C6EFCE"/>
            <w:noWrap/>
          </w:tcPr>
          <w:p w14:paraId="0CCD6A2A"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3F6E974A" w14:textId="77777777" w:rsidR="0065073E" w:rsidRDefault="000A0998">
            <w:pPr>
              <w:pStyle w:val="P68B1DB1-Normal12"/>
              <w:spacing w:after="0"/>
              <w:rPr>
                <w:rFonts w:eastAsia="Times New Roman" w:cs="Times New Roman"/>
                <w:noProof/>
              </w:rPr>
            </w:pPr>
            <w:r>
              <w:rPr>
                <w:noProof/>
              </w:rPr>
              <w:t>Henkilökohtaisen tuloveron ja varallisuusveron muutokset vuonna 2021</w:t>
            </w:r>
          </w:p>
        </w:tc>
        <w:tc>
          <w:tcPr>
            <w:tcW w:w="948" w:type="dxa"/>
            <w:shd w:val="clear" w:color="auto" w:fill="C6EFCE"/>
            <w:noWrap/>
          </w:tcPr>
          <w:p w14:paraId="10AEB70B" w14:textId="77777777" w:rsidR="0065073E" w:rsidRDefault="000A0998">
            <w:pPr>
              <w:pStyle w:val="P68B1DB1-Normal12"/>
              <w:spacing w:after="0"/>
              <w:jc w:val="center"/>
              <w:rPr>
                <w:rFonts w:eastAsia="Times New Roman" w:cs="Times New Roman"/>
                <w:noProof/>
              </w:rPr>
            </w:pPr>
            <w:r>
              <w:rPr>
                <w:noProof/>
              </w:rPr>
              <w:t xml:space="preserve">Talousarviolain säännös, josta käy ilmi sen voimaantulo </w:t>
            </w:r>
          </w:p>
        </w:tc>
        <w:tc>
          <w:tcPr>
            <w:tcW w:w="408" w:type="dxa"/>
            <w:shd w:val="clear" w:color="auto" w:fill="C6EFCE"/>
            <w:noWrap/>
          </w:tcPr>
          <w:p w14:paraId="19B0ED93"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3396EC4E"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3FF44640"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1937DDE5"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0F48491A"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632912AE" w14:textId="77777777" w:rsidR="0065073E" w:rsidRDefault="000A0998">
            <w:pPr>
              <w:pStyle w:val="P68B1DB1-Normal12"/>
              <w:spacing w:after="0"/>
              <w:rPr>
                <w:rFonts w:eastAsia="Times New Roman" w:cs="Times New Roman"/>
                <w:noProof/>
              </w:rPr>
            </w:pPr>
            <w:r>
              <w:rPr>
                <w:noProof/>
              </w:rPr>
              <w:t>Vuoden 2021 talousarviolailla sekä henkilökohtaiseen tuloveroon ja varallisuusveroon liittyvillä kehitysasetuksilla tehtyjen muutosten voimaantulo julkisen talouden alijäämän supistamiseksi ja henkilökohtaisen tuloverotuksen progressiivisuuden lisäämiseksi.</w:t>
            </w:r>
          </w:p>
        </w:tc>
      </w:tr>
      <w:tr w:rsidR="0065073E" w14:paraId="30F44239" w14:textId="77777777">
        <w:trPr>
          <w:trHeight w:val="309"/>
        </w:trPr>
        <w:tc>
          <w:tcPr>
            <w:tcW w:w="961" w:type="dxa"/>
            <w:shd w:val="clear" w:color="auto" w:fill="C6EFCE"/>
            <w:noWrap/>
          </w:tcPr>
          <w:p w14:paraId="5E063B92" w14:textId="77777777" w:rsidR="0065073E" w:rsidRDefault="000A0998">
            <w:pPr>
              <w:pStyle w:val="P68B1DB1-Normal12"/>
              <w:spacing w:after="0"/>
              <w:jc w:val="center"/>
              <w:rPr>
                <w:rFonts w:eastAsia="Times New Roman" w:cs="Times New Roman"/>
                <w:noProof/>
              </w:rPr>
            </w:pPr>
            <w:r>
              <w:rPr>
                <w:noProof/>
              </w:rPr>
              <w:t>395</w:t>
            </w:r>
          </w:p>
        </w:tc>
        <w:tc>
          <w:tcPr>
            <w:tcW w:w="813" w:type="dxa"/>
            <w:shd w:val="clear" w:color="auto" w:fill="C6EFCE"/>
            <w:noWrap/>
          </w:tcPr>
          <w:p w14:paraId="302832CC" w14:textId="77777777" w:rsidR="0065073E" w:rsidRDefault="000A0998">
            <w:pPr>
              <w:pStyle w:val="P68B1DB1-Normal12"/>
              <w:spacing w:after="0"/>
              <w:jc w:val="center"/>
              <w:rPr>
                <w:rFonts w:eastAsia="Times New Roman" w:cs="Times New Roman"/>
                <w:noProof/>
              </w:rPr>
            </w:pPr>
            <w:r>
              <w:rPr>
                <w:noProof/>
              </w:rPr>
              <w:t>C28.R8</w:t>
            </w:r>
          </w:p>
        </w:tc>
        <w:tc>
          <w:tcPr>
            <w:tcW w:w="812" w:type="dxa"/>
            <w:shd w:val="clear" w:color="auto" w:fill="C6EFCE"/>
            <w:noWrap/>
          </w:tcPr>
          <w:p w14:paraId="11317F06"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32E2C486" w14:textId="77777777" w:rsidR="0065073E" w:rsidRDefault="000A0998">
            <w:pPr>
              <w:pStyle w:val="P68B1DB1-Normal12"/>
              <w:spacing w:after="0"/>
              <w:rPr>
                <w:rFonts w:eastAsia="Times New Roman" w:cs="Times New Roman"/>
                <w:noProof/>
              </w:rPr>
            </w:pPr>
            <w:r>
              <w:rPr>
                <w:noProof/>
              </w:rPr>
              <w:t>Muutokset yhteisöveroon vuonna 2021</w:t>
            </w:r>
          </w:p>
        </w:tc>
        <w:tc>
          <w:tcPr>
            <w:tcW w:w="948" w:type="dxa"/>
            <w:shd w:val="clear" w:color="auto" w:fill="C6EFCE"/>
            <w:noWrap/>
          </w:tcPr>
          <w:p w14:paraId="409A1D20" w14:textId="77777777" w:rsidR="0065073E" w:rsidRDefault="000A0998">
            <w:pPr>
              <w:pStyle w:val="P68B1DB1-Normal12"/>
              <w:spacing w:after="0"/>
              <w:jc w:val="center"/>
              <w:rPr>
                <w:rFonts w:eastAsia="Times New Roman" w:cs="Times New Roman"/>
                <w:noProof/>
              </w:rPr>
            </w:pPr>
            <w:r>
              <w:rPr>
                <w:noProof/>
              </w:rPr>
              <w:t xml:space="preserve">Talousarviolain säännös, josta käy ilmi sen voimaantulo </w:t>
            </w:r>
          </w:p>
        </w:tc>
        <w:tc>
          <w:tcPr>
            <w:tcW w:w="408" w:type="dxa"/>
            <w:shd w:val="clear" w:color="auto" w:fill="C6EFCE"/>
            <w:noWrap/>
          </w:tcPr>
          <w:p w14:paraId="735C234C"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30C3102C"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465041AC"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0FF44D96"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2A512EC3"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077BBC52" w14:textId="77777777" w:rsidR="0065073E" w:rsidRDefault="000A0998">
            <w:pPr>
              <w:pStyle w:val="P68B1DB1-Normal12"/>
              <w:spacing w:after="0"/>
              <w:rPr>
                <w:rFonts w:eastAsia="Times New Roman" w:cs="Times New Roman"/>
                <w:noProof/>
              </w:rPr>
            </w:pPr>
            <w:r>
              <w:rPr>
                <w:noProof/>
              </w:rPr>
              <w:t>Vuoden 2021 talousarviolailla ja yhteisöveroon liittyvillä kehitysasetuksilla tehtyjen muutosten voimaantulo yhtiöverotulojen lisäämiseksi.</w:t>
            </w:r>
          </w:p>
        </w:tc>
      </w:tr>
      <w:tr w:rsidR="0065073E" w14:paraId="49B73336" w14:textId="77777777">
        <w:trPr>
          <w:trHeight w:val="309"/>
        </w:trPr>
        <w:tc>
          <w:tcPr>
            <w:tcW w:w="961" w:type="dxa"/>
            <w:shd w:val="clear" w:color="auto" w:fill="C6EFCE"/>
            <w:noWrap/>
          </w:tcPr>
          <w:p w14:paraId="259D5389" w14:textId="77777777" w:rsidR="0065073E" w:rsidRDefault="000A0998">
            <w:pPr>
              <w:pStyle w:val="P68B1DB1-Normal12"/>
              <w:spacing w:after="0"/>
              <w:jc w:val="center"/>
              <w:rPr>
                <w:rFonts w:eastAsia="Times New Roman" w:cs="Times New Roman"/>
                <w:noProof/>
              </w:rPr>
            </w:pPr>
            <w:r>
              <w:rPr>
                <w:noProof/>
              </w:rPr>
              <w:t>396</w:t>
            </w:r>
          </w:p>
        </w:tc>
        <w:tc>
          <w:tcPr>
            <w:tcW w:w="813" w:type="dxa"/>
            <w:shd w:val="clear" w:color="auto" w:fill="C6EFCE"/>
            <w:noWrap/>
          </w:tcPr>
          <w:p w14:paraId="1F9A658B" w14:textId="77777777" w:rsidR="0065073E" w:rsidRDefault="000A0998">
            <w:pPr>
              <w:pStyle w:val="P68B1DB1-Normal12"/>
              <w:spacing w:after="0"/>
              <w:jc w:val="center"/>
              <w:rPr>
                <w:rFonts w:eastAsia="Times New Roman" w:cs="Times New Roman"/>
                <w:noProof/>
              </w:rPr>
            </w:pPr>
            <w:r>
              <w:rPr>
                <w:noProof/>
              </w:rPr>
              <w:t>C28.R9</w:t>
            </w:r>
          </w:p>
        </w:tc>
        <w:tc>
          <w:tcPr>
            <w:tcW w:w="812" w:type="dxa"/>
            <w:shd w:val="clear" w:color="auto" w:fill="C6EFCE"/>
            <w:noWrap/>
          </w:tcPr>
          <w:p w14:paraId="013656DF" w14:textId="77777777" w:rsidR="0065073E" w:rsidRDefault="000A0998">
            <w:pPr>
              <w:pStyle w:val="P68B1DB1-Normal12"/>
              <w:spacing w:after="0"/>
              <w:jc w:val="center"/>
              <w:rPr>
                <w:rFonts w:eastAsia="Times New Roman" w:cs="Times New Roman"/>
                <w:noProof/>
              </w:rPr>
            </w:pPr>
            <w:r>
              <w:rPr>
                <w:noProof/>
              </w:rPr>
              <w:t>M</w:t>
            </w:r>
          </w:p>
        </w:tc>
        <w:tc>
          <w:tcPr>
            <w:tcW w:w="2699" w:type="dxa"/>
            <w:shd w:val="clear" w:color="auto" w:fill="C6EFCE"/>
            <w:noWrap/>
          </w:tcPr>
          <w:p w14:paraId="1CAF6688" w14:textId="77777777" w:rsidR="0065073E" w:rsidRDefault="000A0998">
            <w:pPr>
              <w:pStyle w:val="P68B1DB1-Normal12"/>
              <w:spacing w:after="0"/>
              <w:rPr>
                <w:rFonts w:eastAsia="Times New Roman" w:cs="Times New Roman"/>
                <w:noProof/>
              </w:rPr>
            </w:pPr>
            <w:r>
              <w:rPr>
                <w:noProof/>
              </w:rPr>
              <w:t>Välillisten verojen muutokset vuonna 2021</w:t>
            </w:r>
          </w:p>
        </w:tc>
        <w:tc>
          <w:tcPr>
            <w:tcW w:w="948" w:type="dxa"/>
            <w:shd w:val="clear" w:color="auto" w:fill="C6EFCE"/>
            <w:noWrap/>
          </w:tcPr>
          <w:p w14:paraId="0FFD27C2" w14:textId="77777777" w:rsidR="0065073E" w:rsidRDefault="000A0998">
            <w:pPr>
              <w:pStyle w:val="P68B1DB1-Normal12"/>
              <w:spacing w:after="0"/>
              <w:jc w:val="center"/>
              <w:rPr>
                <w:rFonts w:eastAsia="Times New Roman" w:cs="Times New Roman"/>
                <w:noProof/>
              </w:rPr>
            </w:pPr>
            <w:r>
              <w:rPr>
                <w:noProof/>
              </w:rPr>
              <w:t xml:space="preserve">Talousarviolain säännös, josta käy ilmi sen voimaantulo </w:t>
            </w:r>
          </w:p>
        </w:tc>
        <w:tc>
          <w:tcPr>
            <w:tcW w:w="408" w:type="dxa"/>
            <w:shd w:val="clear" w:color="auto" w:fill="C6EFCE"/>
            <w:noWrap/>
          </w:tcPr>
          <w:p w14:paraId="7DEAECDE" w14:textId="77777777" w:rsidR="0065073E" w:rsidRDefault="000A0998">
            <w:pPr>
              <w:pStyle w:val="P68B1DB1-Normal12"/>
              <w:spacing w:after="0"/>
              <w:jc w:val="center"/>
              <w:rPr>
                <w:rFonts w:eastAsia="Times New Roman" w:cs="Times New Roman"/>
                <w:noProof/>
              </w:rPr>
            </w:pPr>
            <w:r>
              <w:rPr>
                <w:noProof/>
              </w:rPr>
              <w:t xml:space="preserve"> </w:t>
            </w:r>
          </w:p>
        </w:tc>
        <w:tc>
          <w:tcPr>
            <w:tcW w:w="961" w:type="dxa"/>
            <w:shd w:val="clear" w:color="auto" w:fill="C6EFCE"/>
            <w:noWrap/>
          </w:tcPr>
          <w:p w14:paraId="388DE95D" w14:textId="77777777" w:rsidR="0065073E" w:rsidRDefault="000A0998">
            <w:pPr>
              <w:pStyle w:val="P68B1DB1-Normal12"/>
              <w:spacing w:after="0"/>
              <w:jc w:val="right"/>
              <w:rPr>
                <w:rFonts w:eastAsia="Times New Roman" w:cs="Times New Roman"/>
                <w:noProof/>
              </w:rPr>
            </w:pPr>
            <w:r>
              <w:rPr>
                <w:noProof/>
              </w:rPr>
              <w:t xml:space="preserve"> </w:t>
            </w:r>
          </w:p>
        </w:tc>
        <w:tc>
          <w:tcPr>
            <w:tcW w:w="476" w:type="dxa"/>
            <w:shd w:val="clear" w:color="auto" w:fill="C6EFCE"/>
            <w:noWrap/>
          </w:tcPr>
          <w:p w14:paraId="373E5573" w14:textId="77777777" w:rsidR="0065073E" w:rsidRDefault="000A0998">
            <w:pPr>
              <w:pStyle w:val="P68B1DB1-Normal12"/>
              <w:spacing w:after="0"/>
              <w:jc w:val="right"/>
              <w:rPr>
                <w:rFonts w:eastAsia="Times New Roman" w:cs="Times New Roman"/>
                <w:noProof/>
              </w:rPr>
            </w:pPr>
            <w:r>
              <w:rPr>
                <w:noProof/>
              </w:rPr>
              <w:t xml:space="preserve"> </w:t>
            </w:r>
          </w:p>
        </w:tc>
        <w:tc>
          <w:tcPr>
            <w:tcW w:w="408" w:type="dxa"/>
            <w:shd w:val="clear" w:color="auto" w:fill="C6EFCE"/>
            <w:noWrap/>
          </w:tcPr>
          <w:p w14:paraId="6D60ED3F"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3" w:type="dxa"/>
            <w:shd w:val="clear" w:color="auto" w:fill="C6EFCE"/>
            <w:noWrap/>
          </w:tcPr>
          <w:p w14:paraId="3A7A8D3D" w14:textId="77777777" w:rsidR="0065073E" w:rsidRDefault="000A0998">
            <w:pPr>
              <w:pStyle w:val="P68B1DB1-Normal12"/>
              <w:spacing w:after="0"/>
              <w:jc w:val="center"/>
              <w:rPr>
                <w:rFonts w:eastAsia="Times New Roman" w:cs="Times New Roman"/>
                <w:noProof/>
              </w:rPr>
            </w:pPr>
            <w:r>
              <w:rPr>
                <w:noProof/>
              </w:rPr>
              <w:t>2021</w:t>
            </w:r>
          </w:p>
        </w:tc>
        <w:tc>
          <w:tcPr>
            <w:tcW w:w="6340" w:type="dxa"/>
            <w:gridSpan w:val="2"/>
            <w:shd w:val="clear" w:color="auto" w:fill="C6EFCE"/>
            <w:noWrap/>
          </w:tcPr>
          <w:p w14:paraId="0A8920AD" w14:textId="77777777" w:rsidR="0065073E" w:rsidRDefault="000A0998">
            <w:pPr>
              <w:pStyle w:val="P68B1DB1-Normal12"/>
              <w:spacing w:after="0"/>
              <w:rPr>
                <w:rFonts w:eastAsia="Times New Roman" w:cs="Times New Roman"/>
                <w:noProof/>
              </w:rPr>
            </w:pPr>
            <w:r>
              <w:rPr>
                <w:noProof/>
              </w:rPr>
              <w:t>Vuoden 2021 talousarviolailla tehtyjen muutosten ja välillisiin veroihin liittyvien kehitysasetusten voimaantulo, jotta voidaan edistää terveellisempiä ruokavalioita vähentämällä tiettyjen sokeripitoisten juomien kulutusta ja lisätä valtion tuloja korottamalla vakuutusmaksuveroa.</w:t>
            </w:r>
          </w:p>
        </w:tc>
      </w:tr>
    </w:tbl>
    <w:p w14:paraId="14347876" w14:textId="77777777" w:rsidR="0065073E" w:rsidRDefault="0065073E">
      <w:pPr>
        <w:pStyle w:val="SectionTitle"/>
        <w:jc w:val="left"/>
        <w:rPr>
          <w:rFonts w:ascii="Times New Roman" w:hAnsi="Times New Roman" w:cs="Times New Roman"/>
          <w:noProof/>
        </w:rPr>
        <w:sectPr w:rsidR="0065073E" w:rsidSect="00B511EF">
          <w:headerReference w:type="even" r:id="rId601"/>
          <w:headerReference w:type="default" r:id="rId602"/>
          <w:footerReference w:type="even" r:id="rId603"/>
          <w:footerReference w:type="default" r:id="rId604"/>
          <w:headerReference w:type="first" r:id="rId605"/>
          <w:footerReference w:type="first" r:id="rId606"/>
          <w:pgSz w:w="16839" w:h="11907" w:orient="landscape"/>
          <w:pgMar w:top="1134" w:right="1134" w:bottom="1134" w:left="1134" w:header="567" w:footer="567" w:gutter="0"/>
          <w:cols w:space="720"/>
          <w:docGrid w:linePitch="360"/>
        </w:sectPr>
      </w:pPr>
    </w:p>
    <w:p w14:paraId="7DBDFDE2" w14:textId="6FA1EDBA" w:rsidR="0065073E" w:rsidRDefault="000A0998">
      <w:pPr>
        <w:pStyle w:val="Text1"/>
        <w:ind w:left="0" w:firstLine="720"/>
        <w:rPr>
          <w:rFonts w:ascii="Times New Roman" w:hAnsi="Times New Roman" w:cs="Times New Roman"/>
          <w:b/>
          <w:noProof/>
          <w:u w:val="single"/>
        </w:rPr>
      </w:pPr>
      <w:r>
        <w:rPr>
          <w:rFonts w:ascii="Times New Roman" w:hAnsi="Times New Roman"/>
          <w:b/>
          <w:noProof/>
          <w:u w:val="single"/>
        </w:rPr>
        <w:t>AB.3.</w:t>
      </w:r>
      <w:r>
        <w:rPr>
          <w:noProof/>
        </w:rPr>
        <w:tab/>
      </w:r>
      <w:r>
        <w:rPr>
          <w:rFonts w:ascii="Times New Roman" w:hAnsi="Times New Roman"/>
          <w:b/>
          <w:noProof/>
          <w:u w:val="single"/>
        </w:rPr>
        <w:t>Lainatukeen liittyvien uudistusten ja investointien kuvaus</w:t>
      </w:r>
    </w:p>
    <w:p w14:paraId="2EEB6566" w14:textId="77777777" w:rsidR="0065073E" w:rsidRDefault="000A0998">
      <w:pPr>
        <w:pStyle w:val="P68B1DB1-Normal5"/>
        <w:spacing w:before="120" w:after="120" w:line="240" w:lineRule="auto"/>
        <w:jc w:val="both"/>
        <w:rPr>
          <w:rFonts w:cs="Times New Roman"/>
          <w:noProof/>
        </w:rPr>
      </w:pPr>
      <w:r>
        <w:rPr>
          <w:noProof/>
        </w:rPr>
        <w:t>Investointi 1 (C28.I1) – Verokannustimet energiatehokkuuden perusparannuksia sekä sähköajoneuvojen ja latauspisteiden hankintoja varten</w:t>
      </w:r>
    </w:p>
    <w:p w14:paraId="179DBB9F" w14:textId="77777777" w:rsidR="0065073E" w:rsidRDefault="000A0998">
      <w:pPr>
        <w:pStyle w:val="P68B1DB1-Text118"/>
        <w:ind w:left="0"/>
        <w:rPr>
          <w:rFonts w:cs="Times New Roman"/>
          <w:noProof/>
        </w:rPr>
      </w:pPr>
      <w:r>
        <w:rPr>
          <w:noProof/>
        </w:rPr>
        <w:t>Tämän toimenpiteen tavoitteena on tarjota verokannustimia i) rakennusten peruskorjausten edistämiseksi energiatehokkuuden parantamiseksi; ja ii) kannustaa sähköajoneuvojen ja latausasemien käyttöönottoon. Toimenpide perustuu investointeihin C1.I2 ja C2.I1.</w:t>
      </w:r>
    </w:p>
    <w:p w14:paraId="65ECF819" w14:textId="0BF7FB2F" w:rsidR="0065073E" w:rsidRDefault="000A0998">
      <w:pPr>
        <w:pStyle w:val="P68B1DB1-Text118"/>
        <w:ind w:left="0"/>
        <w:rPr>
          <w:rFonts w:cs="Times New Roman"/>
          <w:noProof/>
        </w:rPr>
      </w:pPr>
      <w:r>
        <w:rPr>
          <w:noProof/>
        </w:rPr>
        <w:t>Toimenpiteen on johdettava peruskorjaustoimiin, joilla parannetaan energiatehokkuutta ja</w:t>
      </w:r>
      <w:bookmarkStart w:id="62" w:name="_Hlk145838357"/>
      <w:r>
        <w:rPr>
          <w:noProof/>
        </w:rPr>
        <w:t xml:space="preserve"> vähennetään veronmaksajien primäärienergian kulutusta keskimäärin vähintään 30 prosentilla. </w:t>
      </w:r>
    </w:p>
    <w:bookmarkEnd w:id="62"/>
    <w:p w14:paraId="4EF6C560" w14:textId="25C5FB97" w:rsidR="0065073E" w:rsidRDefault="000A0998">
      <w:pPr>
        <w:pStyle w:val="P68B1DB1-Text118"/>
        <w:ind w:left="0"/>
        <w:rPr>
          <w:rFonts w:cs="Times New Roman"/>
          <w:noProof/>
        </w:rPr>
      </w:pPr>
      <w:r>
        <w:rPr>
          <w:noProof/>
        </w:rPr>
        <w:t>Lisäksi tällä toimenpiteellä on tarjottava kotitalouksille verokannustimia sähkö- ja hybridiajoneuvojen hankintaan ja latauspisteiden asentamiseen. Verokannustimet koostuvat verovähennyksistä, joilla tuetaan kotitalouksia uusien hybridi- ja sähköajoneuvojen (BEV, REEV, PHEV, FCEV, FCHV) ja latausasemien ostamisessa.</w:t>
      </w:r>
    </w:p>
    <w:p w14:paraId="6BFEDC19" w14:textId="17E2B1FF" w:rsidR="0065073E" w:rsidRDefault="000A0998">
      <w:pPr>
        <w:pStyle w:val="Text1"/>
        <w:ind w:left="0"/>
        <w:rPr>
          <w:rFonts w:ascii="Times New Roman" w:hAnsi="Times New Roman" w:cs="Times New Roman"/>
          <w:noProof/>
        </w:rPr>
      </w:pPr>
      <w:r>
        <w:rPr>
          <w:rFonts w:ascii="Times New Roman" w:hAnsi="Times New Roman"/>
          <w:noProof/>
        </w:rPr>
        <w:t>Sen varmistamiseksi, että toimenpide on ”ei merkittävää haittaa” -periaatetta koskevien teknisten ohjeiden (2021/C58/01) mukainen, verokannustimien valintaperusteilla on rahoitettava ainoastaan päästöttömien tai vähäpäästöisten ajoneuvojen hankintaa</w:t>
      </w:r>
      <w:r>
        <w:rPr>
          <w:rStyle w:val="FootnoteReference"/>
          <w:rFonts w:ascii="Times New Roman" w:hAnsi="Times New Roman" w:cs="Times New Roman"/>
          <w:noProof/>
        </w:rPr>
        <w:footnoteReference w:id="212"/>
      </w:r>
      <w:r>
        <w:rPr>
          <w:rFonts w:ascii="Times New Roman" w:hAnsi="Times New Roman"/>
          <w:noProof/>
        </w:rPr>
        <w:t>.</w:t>
      </w:r>
    </w:p>
    <w:p w14:paraId="1DF51ED9" w14:textId="77777777" w:rsidR="0065073E" w:rsidRDefault="000A0998">
      <w:pPr>
        <w:pStyle w:val="P68B1DB1-Text118"/>
        <w:ind w:left="0"/>
        <w:rPr>
          <w:rFonts w:cs="Times New Roman"/>
          <w:noProof/>
        </w:rPr>
      </w:pPr>
      <w:r>
        <w:rPr>
          <w:noProof/>
        </w:rPr>
        <w:t>Toimenpiteiden täytäntöönpano on saatettava päätökseen 31 päivään elokuuta 2026 mennessä.</w:t>
      </w:r>
    </w:p>
    <w:p w14:paraId="533113CE" w14:textId="1F20636F" w:rsidR="0065073E" w:rsidRDefault="000A0998">
      <w:pPr>
        <w:pStyle w:val="Text1"/>
        <w:ind w:left="720"/>
        <w:rPr>
          <w:rFonts w:ascii="Times New Roman" w:hAnsi="Times New Roman" w:cs="Times New Roman"/>
          <w:b/>
          <w:noProof/>
          <w:u w:val="single"/>
        </w:rPr>
      </w:pPr>
      <w:r>
        <w:rPr>
          <w:rFonts w:ascii="Times New Roman" w:hAnsi="Times New Roman"/>
          <w:b/>
          <w:noProof/>
          <w:u w:val="single"/>
        </w:rPr>
        <w:t>AB.4.</w:t>
      </w:r>
      <w:r>
        <w:rPr>
          <w:noProof/>
        </w:rPr>
        <w:tab/>
      </w:r>
      <w:r>
        <w:rPr>
          <w:rFonts w:ascii="Times New Roman" w:hAnsi="Times New Roman"/>
          <w:b/>
          <w:noProof/>
          <w:u w:val="single"/>
        </w:rPr>
        <w:t>Lainatuen seurannan ja täytäntöönpanon välitavoitteet, tavoitteet, indikaattorit ja aikataulu</w:t>
      </w:r>
    </w:p>
    <w:p w14:paraId="00A56A71" w14:textId="5EB918D7" w:rsidR="0065073E" w:rsidRDefault="000A0998">
      <w:pPr>
        <w:pStyle w:val="P68B1DB1-Text118"/>
        <w:ind w:left="0"/>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r>
        <w:rPr>
          <w:noProof/>
        </w:rPr>
        <w:t xml:space="preserve"> </w:t>
      </w:r>
    </w:p>
    <w:p w14:paraId="64F128F2" w14:textId="77777777" w:rsidR="0065073E" w:rsidRDefault="0065073E">
      <w:pPr>
        <w:pStyle w:val="Text1"/>
        <w:ind w:left="0"/>
        <w:rPr>
          <w:rFonts w:ascii="Times New Roman" w:hAnsi="Times New Roman" w:cs="Times New Roman"/>
          <w:noProof/>
        </w:rPr>
        <w:sectPr w:rsidR="0065073E" w:rsidSect="00B511EF">
          <w:headerReference w:type="even" r:id="rId607"/>
          <w:headerReference w:type="default" r:id="rId608"/>
          <w:footerReference w:type="even" r:id="rId609"/>
          <w:footerReference w:type="default" r:id="rId610"/>
          <w:headerReference w:type="first" r:id="rId611"/>
          <w:footerReference w:type="first" r:id="rId612"/>
          <w:pgSz w:w="11907" w:h="16839"/>
          <w:pgMar w:top="1134" w:right="1134" w:bottom="1134" w:left="1134" w:header="567" w:footer="567" w:gutter="0"/>
          <w:cols w:space="720"/>
          <w:docGrid w:linePitch="360"/>
        </w:sectPr>
      </w:pPr>
    </w:p>
    <w:p w14:paraId="12BCB917" w14:textId="77777777" w:rsidR="0065073E" w:rsidRDefault="0065073E">
      <w:pPr>
        <w:pStyle w:val="Text1"/>
        <w:ind w:left="0"/>
        <w:rPr>
          <w:rFonts w:ascii="Times New Roman" w:hAnsi="Times New Roman" w:cs="Times New Roman"/>
          <w:noProof/>
        </w:rPr>
      </w:pPr>
    </w:p>
    <w:tbl>
      <w:tblPr>
        <w:tblW w:w="1541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1"/>
        <w:gridCol w:w="825"/>
        <w:gridCol w:w="825"/>
        <w:gridCol w:w="1647"/>
        <w:gridCol w:w="1100"/>
        <w:gridCol w:w="656"/>
        <w:gridCol w:w="976"/>
        <w:gridCol w:w="688"/>
        <w:gridCol w:w="413"/>
        <w:gridCol w:w="550"/>
        <w:gridCol w:w="6908"/>
      </w:tblGrid>
      <w:tr w:rsidR="0065073E" w14:paraId="0202CF4E" w14:textId="77777777">
        <w:trPr>
          <w:trHeight w:val="309"/>
          <w:tblHeader/>
        </w:trPr>
        <w:tc>
          <w:tcPr>
            <w:tcW w:w="831" w:type="dxa"/>
            <w:tcBorders>
              <w:bottom w:val="nil"/>
            </w:tcBorders>
            <w:shd w:val="clear" w:color="auto" w:fill="C6D9F1" w:themeFill="text2" w:themeFillTint="33"/>
            <w:noWrap/>
            <w:vAlign w:val="center"/>
          </w:tcPr>
          <w:p w14:paraId="66FFB269" w14:textId="77777777" w:rsidR="0065073E" w:rsidRDefault="000A0998">
            <w:pPr>
              <w:pStyle w:val="P68B1DB1-Normal8"/>
              <w:spacing w:after="0" w:line="240" w:lineRule="auto"/>
              <w:jc w:val="center"/>
              <w:rPr>
                <w:rFonts w:cs="Times New Roman"/>
                <w:noProof/>
              </w:rPr>
            </w:pPr>
            <w:r>
              <w:rPr>
                <w:noProof/>
              </w:rPr>
              <w:t>Määrä</w:t>
            </w:r>
          </w:p>
        </w:tc>
        <w:tc>
          <w:tcPr>
            <w:tcW w:w="825" w:type="dxa"/>
            <w:tcBorders>
              <w:bottom w:val="nil"/>
            </w:tcBorders>
            <w:shd w:val="clear" w:color="auto" w:fill="C6D9F1" w:themeFill="text2" w:themeFillTint="33"/>
            <w:noWrap/>
            <w:vAlign w:val="center"/>
          </w:tcPr>
          <w:p w14:paraId="7A6C5DF4" w14:textId="77777777" w:rsidR="0065073E" w:rsidRDefault="000A0998">
            <w:pPr>
              <w:pStyle w:val="P68B1DB1-Normal8"/>
              <w:spacing w:after="0" w:line="240" w:lineRule="auto"/>
              <w:jc w:val="center"/>
              <w:rPr>
                <w:rFonts w:cs="Times New Roman"/>
                <w:noProof/>
              </w:rPr>
            </w:pPr>
            <w:r>
              <w:rPr>
                <w:noProof/>
              </w:rPr>
              <w:t>Toimenpide</w:t>
            </w:r>
          </w:p>
        </w:tc>
        <w:tc>
          <w:tcPr>
            <w:tcW w:w="825" w:type="dxa"/>
            <w:tcBorders>
              <w:bottom w:val="nil"/>
            </w:tcBorders>
            <w:shd w:val="clear" w:color="auto" w:fill="C6D9F1" w:themeFill="text2" w:themeFillTint="33"/>
            <w:noWrap/>
            <w:vAlign w:val="center"/>
          </w:tcPr>
          <w:p w14:paraId="2A5D447D" w14:textId="77777777" w:rsidR="0065073E" w:rsidRDefault="000A0998">
            <w:pPr>
              <w:spacing w:after="0" w:line="240" w:lineRule="auto"/>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1647" w:type="dxa"/>
            <w:tcBorders>
              <w:bottom w:val="nil"/>
            </w:tcBorders>
            <w:shd w:val="clear" w:color="auto" w:fill="C6D9F1" w:themeFill="text2" w:themeFillTint="33"/>
            <w:noWrap/>
            <w:vAlign w:val="center"/>
          </w:tcPr>
          <w:p w14:paraId="57194A26" w14:textId="77777777" w:rsidR="0065073E" w:rsidRDefault="000A0998">
            <w:pPr>
              <w:pStyle w:val="P68B1DB1-Normal8"/>
              <w:spacing w:after="0" w:line="240" w:lineRule="auto"/>
              <w:jc w:val="center"/>
              <w:rPr>
                <w:rFonts w:cs="Times New Roman"/>
                <w:noProof/>
              </w:rPr>
            </w:pPr>
            <w:r>
              <w:rPr>
                <w:noProof/>
              </w:rPr>
              <w:t>Nimi</w:t>
            </w:r>
          </w:p>
        </w:tc>
        <w:tc>
          <w:tcPr>
            <w:tcW w:w="1100" w:type="dxa"/>
            <w:tcBorders>
              <w:bottom w:val="nil"/>
            </w:tcBorders>
            <w:shd w:val="clear" w:color="auto" w:fill="C6D9F1" w:themeFill="text2" w:themeFillTint="33"/>
            <w:noWrap/>
            <w:vAlign w:val="center"/>
          </w:tcPr>
          <w:p w14:paraId="003E6C60" w14:textId="77777777" w:rsidR="0065073E" w:rsidRDefault="000A0998">
            <w:pPr>
              <w:pStyle w:val="P68B1DB1-Normal8"/>
              <w:spacing w:after="0" w:line="240" w:lineRule="auto"/>
              <w:jc w:val="center"/>
              <w:rPr>
                <w:rFonts w:cs="Times New Roman"/>
                <w:noProof/>
              </w:rPr>
            </w:pPr>
            <w:r>
              <w:rPr>
                <w:noProof/>
              </w:rPr>
              <w:t>Välitavoitteiden laadullinen indikaattori</w:t>
            </w:r>
          </w:p>
        </w:tc>
        <w:tc>
          <w:tcPr>
            <w:tcW w:w="2320" w:type="dxa"/>
            <w:gridSpan w:val="3"/>
            <w:shd w:val="clear" w:color="auto" w:fill="C6D9F1" w:themeFill="text2" w:themeFillTint="33"/>
            <w:noWrap/>
            <w:vAlign w:val="center"/>
          </w:tcPr>
          <w:p w14:paraId="75D046CF" w14:textId="77777777" w:rsidR="0065073E" w:rsidRDefault="000A0998">
            <w:pPr>
              <w:pStyle w:val="P68B1DB1-Normal8"/>
              <w:spacing w:after="0" w:line="240" w:lineRule="auto"/>
              <w:jc w:val="center"/>
              <w:rPr>
                <w:rFonts w:cs="Times New Roman"/>
                <w:noProof/>
              </w:rPr>
            </w:pPr>
            <w:r>
              <w:rPr>
                <w:noProof/>
              </w:rPr>
              <w:t>Määrällinen indikaattori tavoitteelle</w:t>
            </w:r>
          </w:p>
        </w:tc>
        <w:tc>
          <w:tcPr>
            <w:tcW w:w="963" w:type="dxa"/>
            <w:gridSpan w:val="2"/>
            <w:shd w:val="clear" w:color="auto" w:fill="C6D9F1" w:themeFill="text2" w:themeFillTint="33"/>
            <w:noWrap/>
            <w:vAlign w:val="center"/>
          </w:tcPr>
          <w:p w14:paraId="52396C49" w14:textId="77777777" w:rsidR="0065073E" w:rsidRDefault="000A0998">
            <w:pPr>
              <w:pStyle w:val="P68B1DB1-Normal8"/>
              <w:spacing w:after="0" w:line="240" w:lineRule="auto"/>
              <w:jc w:val="center"/>
              <w:rPr>
                <w:rFonts w:cs="Times New Roman"/>
                <w:noProof/>
              </w:rPr>
            </w:pPr>
            <w:r>
              <w:rPr>
                <w:noProof/>
              </w:rPr>
              <w:t>Aika</w:t>
            </w:r>
          </w:p>
        </w:tc>
        <w:tc>
          <w:tcPr>
            <w:tcW w:w="6908" w:type="dxa"/>
            <w:tcBorders>
              <w:bottom w:val="nil"/>
            </w:tcBorders>
            <w:shd w:val="clear" w:color="auto" w:fill="C6D9F1" w:themeFill="text2" w:themeFillTint="33"/>
            <w:noWrap/>
            <w:vAlign w:val="center"/>
          </w:tcPr>
          <w:p w14:paraId="7FFC02C2" w14:textId="77777777" w:rsidR="0065073E" w:rsidRDefault="000A0998">
            <w:pPr>
              <w:pStyle w:val="P68B1DB1-Normal8"/>
              <w:spacing w:after="0" w:line="240" w:lineRule="auto"/>
              <w:jc w:val="center"/>
              <w:rPr>
                <w:rFonts w:cs="Times New Roman"/>
                <w:noProof/>
              </w:rPr>
            </w:pPr>
            <w:r>
              <w:rPr>
                <w:noProof/>
              </w:rPr>
              <w:t>Kunkin välitavoitteen ja tavoitteen kuvaus</w:t>
            </w:r>
          </w:p>
        </w:tc>
      </w:tr>
      <w:tr w:rsidR="0065073E" w14:paraId="3465697A" w14:textId="77777777">
        <w:trPr>
          <w:trHeight w:val="309"/>
          <w:tblHeader/>
        </w:trPr>
        <w:tc>
          <w:tcPr>
            <w:tcW w:w="83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65073E" w:rsidRDefault="0065073E">
            <w:pPr>
              <w:spacing w:after="0" w:line="240" w:lineRule="auto"/>
              <w:jc w:val="center"/>
              <w:rPr>
                <w:rFonts w:ascii="Times New Roman" w:hAnsi="Times New Roman" w:cs="Times New Roman"/>
                <w:b/>
                <w:noProof/>
                <w:sz w:val="18"/>
              </w:rPr>
            </w:pPr>
          </w:p>
        </w:tc>
        <w:tc>
          <w:tcPr>
            <w:tcW w:w="825"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65073E" w:rsidRDefault="0065073E">
            <w:pPr>
              <w:spacing w:after="0" w:line="240" w:lineRule="auto"/>
              <w:jc w:val="center"/>
              <w:rPr>
                <w:rFonts w:ascii="Times New Roman" w:hAnsi="Times New Roman" w:cs="Times New Roman"/>
                <w:b/>
                <w:noProof/>
                <w:sz w:val="18"/>
              </w:rPr>
            </w:pPr>
          </w:p>
        </w:tc>
        <w:tc>
          <w:tcPr>
            <w:tcW w:w="825"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65073E" w:rsidRDefault="0065073E">
            <w:pPr>
              <w:spacing w:after="0" w:line="240" w:lineRule="auto"/>
              <w:jc w:val="center"/>
              <w:rPr>
                <w:rFonts w:ascii="Times New Roman" w:hAnsi="Times New Roman" w:cs="Times New Roman"/>
                <w:b/>
                <w:noProof/>
                <w:sz w:val="18"/>
              </w:rPr>
            </w:pPr>
          </w:p>
        </w:tc>
        <w:tc>
          <w:tcPr>
            <w:tcW w:w="1647"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65073E" w:rsidRDefault="0065073E">
            <w:pPr>
              <w:spacing w:after="0" w:line="240" w:lineRule="auto"/>
              <w:rPr>
                <w:rFonts w:ascii="Times New Roman" w:hAnsi="Times New Roman" w:cs="Times New Roman"/>
                <w:b/>
                <w:noProof/>
                <w:sz w:val="18"/>
              </w:rPr>
            </w:pPr>
          </w:p>
        </w:tc>
        <w:tc>
          <w:tcPr>
            <w:tcW w:w="1100"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65073E" w:rsidRDefault="0065073E">
            <w:pPr>
              <w:spacing w:after="0" w:line="240" w:lineRule="auto"/>
              <w:jc w:val="center"/>
              <w:rPr>
                <w:rFonts w:ascii="Times New Roman" w:hAnsi="Times New Roman" w:cs="Times New Roman"/>
                <w:b/>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65073E" w:rsidRDefault="000A0998">
            <w:pPr>
              <w:pStyle w:val="P68B1DB1-Normal8"/>
              <w:spacing w:after="0" w:line="240" w:lineRule="auto"/>
              <w:jc w:val="center"/>
              <w:rPr>
                <w:rFonts w:cs="Times New Roman"/>
                <w:noProof/>
              </w:rPr>
            </w:pPr>
            <w:r>
              <w:rPr>
                <w:noProof/>
              </w:rPr>
              <w:t>Yksikkö</w:t>
            </w:r>
          </w:p>
        </w:tc>
        <w:tc>
          <w:tcPr>
            <w:tcW w:w="9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6EEA5FFD" w:rsidR="0065073E" w:rsidRDefault="000A0998">
            <w:pPr>
              <w:pStyle w:val="P68B1DB1-Normal8"/>
              <w:spacing w:after="0" w:line="240" w:lineRule="auto"/>
              <w:jc w:val="center"/>
              <w:rPr>
                <w:rFonts w:cs="Times New Roman"/>
                <w:noProof/>
              </w:rPr>
            </w:pPr>
            <w:r>
              <w:rPr>
                <w:noProof/>
              </w:rPr>
              <w:t>Lähtötaso</w:t>
            </w:r>
          </w:p>
        </w:tc>
        <w:tc>
          <w:tcPr>
            <w:tcW w:w="68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65073E" w:rsidRDefault="000A0998">
            <w:pPr>
              <w:pStyle w:val="P68B1DB1-Normal8"/>
              <w:spacing w:after="0" w:line="240" w:lineRule="auto"/>
              <w:jc w:val="center"/>
              <w:rPr>
                <w:rFonts w:cs="Times New Roman"/>
                <w:noProof/>
              </w:rPr>
            </w:pPr>
            <w:r>
              <w:rPr>
                <w:noProof/>
              </w:rPr>
              <w:t>Päämäärä</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65073E" w:rsidRDefault="000A0998">
            <w:pPr>
              <w:pStyle w:val="P68B1DB1-Normal8"/>
              <w:spacing w:after="0" w:line="240" w:lineRule="auto"/>
              <w:jc w:val="center"/>
              <w:rPr>
                <w:rFonts w:cs="Times New Roman"/>
                <w:noProof/>
              </w:rPr>
            </w:pPr>
            <w:r>
              <w:rPr>
                <w:noProof/>
              </w:rPr>
              <w:t>Q</w:t>
            </w:r>
          </w:p>
        </w:tc>
        <w:tc>
          <w:tcPr>
            <w:tcW w:w="5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65073E" w:rsidRDefault="000A0998">
            <w:pPr>
              <w:pStyle w:val="P68B1DB1-Normal8"/>
              <w:spacing w:after="0" w:line="240" w:lineRule="auto"/>
              <w:jc w:val="center"/>
              <w:rPr>
                <w:rFonts w:cs="Times New Roman"/>
                <w:noProof/>
              </w:rPr>
            </w:pPr>
            <w:r>
              <w:rPr>
                <w:noProof/>
              </w:rPr>
              <w:t>Vuosi</w:t>
            </w:r>
          </w:p>
        </w:tc>
        <w:tc>
          <w:tcPr>
            <w:tcW w:w="6908"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65073E" w:rsidRDefault="0065073E">
            <w:pPr>
              <w:spacing w:after="0" w:line="240" w:lineRule="auto"/>
              <w:rPr>
                <w:rFonts w:ascii="Times New Roman" w:hAnsi="Times New Roman" w:cs="Times New Roman"/>
                <w:b/>
                <w:noProof/>
                <w:sz w:val="18"/>
              </w:rPr>
            </w:pPr>
          </w:p>
        </w:tc>
      </w:tr>
      <w:tr w:rsidR="0065073E" w14:paraId="07329F71" w14:textId="77777777">
        <w:trPr>
          <w:trHeight w:val="309"/>
        </w:trPr>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65073E" w:rsidRDefault="000A0998">
            <w:pPr>
              <w:pStyle w:val="P68B1DB1-Normal12"/>
              <w:spacing w:after="0" w:line="240" w:lineRule="auto"/>
              <w:jc w:val="center"/>
              <w:rPr>
                <w:rFonts w:eastAsia="Times New Roman" w:cs="Times New Roman"/>
                <w:noProof/>
              </w:rPr>
            </w:pPr>
            <w:r>
              <w:rPr>
                <w:noProof/>
              </w:rPr>
              <w:t>L81</w:t>
            </w:r>
          </w:p>
        </w:tc>
        <w:tc>
          <w:tcPr>
            <w:tcW w:w="825"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65073E" w:rsidRDefault="000A0998">
            <w:pPr>
              <w:pStyle w:val="P68B1DB1-Normal12"/>
              <w:spacing w:after="0" w:line="240" w:lineRule="auto"/>
              <w:jc w:val="center"/>
              <w:rPr>
                <w:rFonts w:eastAsia="Times New Roman" w:cs="Times New Roman"/>
                <w:noProof/>
              </w:rPr>
            </w:pPr>
            <w:r>
              <w:rPr>
                <w:noProof/>
              </w:rPr>
              <w:t>C28.I1</w:t>
            </w:r>
          </w:p>
        </w:tc>
        <w:tc>
          <w:tcPr>
            <w:tcW w:w="825"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65073E" w:rsidRDefault="000A0998">
            <w:pPr>
              <w:pStyle w:val="P68B1DB1-Normal12"/>
              <w:spacing w:after="0" w:line="240" w:lineRule="auto"/>
              <w:jc w:val="center"/>
              <w:rPr>
                <w:rFonts w:eastAsia="Times New Roman" w:cs="Times New Roman"/>
                <w:noProof/>
              </w:rPr>
            </w:pPr>
            <w:r>
              <w:rPr>
                <w:noProof/>
              </w:rPr>
              <w:t>T</w:t>
            </w:r>
          </w:p>
        </w:tc>
        <w:tc>
          <w:tcPr>
            <w:tcW w:w="1647"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65073E" w:rsidRDefault="000A0998">
            <w:pPr>
              <w:pStyle w:val="P68B1DB1-Normal12"/>
              <w:spacing w:after="0" w:line="240" w:lineRule="auto"/>
              <w:rPr>
                <w:rFonts w:eastAsia="Times New Roman" w:cs="Times New Roman"/>
                <w:noProof/>
              </w:rPr>
            </w:pPr>
            <w:r>
              <w:rPr>
                <w:noProof/>
              </w:rPr>
              <w:t>Asuntojen peruskorjaustoimien loppuun saattaminen energiatehokkuuden parantamiseksi.</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65073E" w:rsidRDefault="0065073E">
            <w:pPr>
              <w:spacing w:after="0" w:line="240" w:lineRule="auto"/>
              <w:rPr>
                <w:rFonts w:ascii="Times New Roman" w:eastAsia="Times New Roman" w:hAnsi="Times New Roman" w:cs="Times New Roman"/>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65073E" w:rsidRDefault="000A0998">
            <w:pPr>
              <w:pStyle w:val="P68B1DB1-Normal12"/>
              <w:spacing w:after="0" w:line="240" w:lineRule="auto"/>
              <w:jc w:val="center"/>
              <w:rPr>
                <w:rFonts w:eastAsia="Times New Roman" w:cs="Times New Roman"/>
                <w:noProof/>
              </w:rPr>
            </w:pPr>
            <w:r>
              <w:rPr>
                <w:noProof/>
              </w:rPr>
              <w:t>Määrä</w:t>
            </w:r>
          </w:p>
        </w:tc>
        <w:tc>
          <w:tcPr>
            <w:tcW w:w="976"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65073E" w:rsidRDefault="000A0998">
            <w:pPr>
              <w:pStyle w:val="P68B1DB1-Normal12"/>
              <w:spacing w:after="0" w:line="240" w:lineRule="auto"/>
              <w:jc w:val="center"/>
              <w:rPr>
                <w:rFonts w:eastAsia="Times New Roman" w:cs="Times New Roman"/>
                <w:noProof/>
              </w:rPr>
            </w:pPr>
            <w:r>
              <w:rPr>
                <w:noProof/>
              </w:rPr>
              <w:t>410 000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65073E" w:rsidRDefault="000A0998">
            <w:pPr>
              <w:pStyle w:val="P68B1DB1-Normal12"/>
              <w:spacing w:after="0" w:line="240" w:lineRule="auto"/>
              <w:jc w:val="center"/>
              <w:rPr>
                <w:rFonts w:eastAsia="Times New Roman" w:cs="Times New Roman"/>
                <w:noProof/>
              </w:rPr>
            </w:pPr>
            <w:r>
              <w:rPr>
                <w:noProof/>
              </w:rPr>
              <w:t>510 000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65073E" w:rsidRDefault="000A0998">
            <w:pPr>
              <w:pStyle w:val="P68B1DB1-Normal12"/>
              <w:spacing w:after="0" w:line="240" w:lineRule="auto"/>
              <w:jc w:val="center"/>
              <w:rPr>
                <w:rFonts w:eastAsia="Times New Roman" w:cs="Times New Roman"/>
                <w:noProof/>
              </w:rPr>
            </w:pPr>
            <w:r>
              <w:rPr>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65073E" w:rsidRDefault="000A0998">
            <w:pPr>
              <w:pStyle w:val="P68B1DB1-Normal12"/>
              <w:spacing w:after="0" w:line="240" w:lineRule="auto"/>
              <w:jc w:val="center"/>
              <w:rPr>
                <w:rFonts w:eastAsia="Times New Roman" w:cs="Times New Roman"/>
                <w:noProof/>
              </w:rPr>
            </w:pPr>
            <w:r>
              <w:rPr>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65073E" w:rsidRDefault="000A0998">
            <w:pPr>
              <w:pStyle w:val="P68B1DB1-Normal12"/>
              <w:rPr>
                <w:rFonts w:eastAsia="Times New Roman" w:cs="Times New Roman"/>
                <w:noProof/>
              </w:rPr>
            </w:pPr>
            <w:r>
              <w:rPr>
                <w:noProof/>
              </w:rPr>
              <w:t>Vähintään 510000 asuinasuntojen peruskorjaustointa on toteutettu vähintään 355000 yksittäisessä asunnossa, joilla saavutetaan keskimäärin vähintään 30 prosentin vähennys primäärienergian kysyntään (kumulatiivinen). Indikaattoria sovellettaessa asumisen käsitteen on oltava Eurostatin määritelmän mukainen (”asunto on pysyvässä rakennuksessa tai rakennuksen rakenteellisesti erotetussa osassa oleva huone tai huoneiden sarja – mukaan lukien sen lisävarusteet, eturyhmät ja käytävät – joka rakennetaan, rakennetaan uudelleen tai muutetaan siten, että se on tarkoitettu yhden yksityisen kotitalouden asumiseen ympäri vuoden”), ja se voi tarvittaessa sisältää sosiaalisen tai julkisen asunnon. Käytetyt energiatehokkuuden parantamisindikaattorit on akkreditoitava asiaankuuluvalla energiatehokkuustodistuksella rakennusten energiatehokkuudesta 19 päivänä toukokuuta 2010 annetun Euroopan parlamentin ja neuvoston direktiivin 2010/31/EU puitteissa. Asuntojen kuntoutusten määrä määritetään kaikkien verokannustimilla toteutettujen parannus- ja kunnostustoimien summana. Primäärienergian kulutuksen keskimääräinen säästöprosentti 30 prosentin vähimmäisarvon noudattamiseksi saadaan painottamalla kunnostustoimien kokonaisuutta elpymis- ja palautumissuunnitelman mukaisesti sovelletun tuen tai rahoituksen määrällä. Tämä indikaattori sisältää parannus- ja kunnostustoimet kaikissa kunnissa niiden koosta riippumatta. Saavutettujen energiansäästöjen noudattamisen perustelemiseksi vaaditaan ja kootaan päätökseen saatettujen töiden energiatehokkuustodistukset, jotta voidaan vahvistaa saavutetut keskimääräiset energiansäästöt. (Perustaso: 30 päivänä kesäkuuta 2026 osa-alueen 2 tavoitteen 29 mukaisesti.</w:t>
            </w:r>
          </w:p>
        </w:tc>
      </w:tr>
      <w:tr w:rsidR="0065073E" w14:paraId="6CFE415C" w14:textId="77777777">
        <w:trPr>
          <w:trHeight w:val="309"/>
        </w:trPr>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65073E" w:rsidRDefault="000A0998">
            <w:pPr>
              <w:pStyle w:val="P68B1DB1-Normal12"/>
              <w:spacing w:after="0" w:line="240" w:lineRule="auto"/>
              <w:jc w:val="center"/>
              <w:rPr>
                <w:rFonts w:eastAsia="Times New Roman" w:cs="Times New Roman"/>
                <w:noProof/>
              </w:rPr>
            </w:pPr>
            <w:r>
              <w:rPr>
                <w:noProof/>
              </w:rPr>
              <w:t xml:space="preserve">L82 </w:t>
            </w:r>
          </w:p>
        </w:tc>
        <w:tc>
          <w:tcPr>
            <w:tcW w:w="825"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65073E" w:rsidRDefault="000A0998">
            <w:pPr>
              <w:pStyle w:val="P68B1DB1-Normal12"/>
              <w:spacing w:after="0" w:line="240" w:lineRule="auto"/>
              <w:jc w:val="center"/>
              <w:rPr>
                <w:rFonts w:cs="Times New Roman"/>
                <w:noProof/>
              </w:rPr>
            </w:pPr>
            <w:r>
              <w:rPr>
                <w:noProof/>
              </w:rPr>
              <w:t>C28.I1</w:t>
            </w:r>
          </w:p>
        </w:tc>
        <w:tc>
          <w:tcPr>
            <w:tcW w:w="825"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65073E" w:rsidRDefault="000A0998">
            <w:pPr>
              <w:pStyle w:val="P68B1DB1-Normal12"/>
              <w:spacing w:after="0" w:line="240" w:lineRule="auto"/>
              <w:jc w:val="center"/>
              <w:rPr>
                <w:rFonts w:eastAsia="Times New Roman" w:cs="Times New Roman"/>
                <w:noProof/>
              </w:rPr>
            </w:pPr>
            <w:r>
              <w:rPr>
                <w:noProof/>
              </w:rPr>
              <w:t>T</w:t>
            </w:r>
          </w:p>
        </w:tc>
        <w:tc>
          <w:tcPr>
            <w:tcW w:w="1647"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65073E" w:rsidRDefault="000A0998">
            <w:pPr>
              <w:pStyle w:val="P68B1DB1-Normal12"/>
              <w:spacing w:after="0" w:line="240" w:lineRule="auto"/>
              <w:rPr>
                <w:rFonts w:eastAsia="Times New Roman" w:cs="Times New Roman"/>
                <w:noProof/>
              </w:rPr>
            </w:pPr>
            <w:r>
              <w:rPr>
                <w:noProof/>
              </w:rPr>
              <w:t xml:space="preserve">Eurooppalainen vapaaehtoispalvelu ja latausinfrastruktuuri otettu käyttöön </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65073E" w:rsidRDefault="0065073E">
            <w:pPr>
              <w:spacing w:after="0" w:line="240" w:lineRule="auto"/>
              <w:jc w:val="center"/>
              <w:rPr>
                <w:rFonts w:ascii="Times New Roman" w:eastAsia="Times New Roman" w:hAnsi="Times New Roman" w:cs="Times New Roman"/>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65073E" w:rsidRDefault="000A0998">
            <w:pPr>
              <w:pStyle w:val="P68B1DB1-Normal12"/>
              <w:spacing w:after="0" w:line="240" w:lineRule="auto"/>
              <w:jc w:val="center"/>
              <w:rPr>
                <w:rFonts w:cs="Times New Roman"/>
                <w:noProof/>
              </w:rPr>
            </w:pPr>
            <w:r>
              <w:rPr>
                <w:noProof/>
              </w:rPr>
              <w:t>Määrä</w:t>
            </w:r>
          </w:p>
        </w:tc>
        <w:tc>
          <w:tcPr>
            <w:tcW w:w="976"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65073E" w:rsidRDefault="000A0998">
            <w:pPr>
              <w:pStyle w:val="P68B1DB1-Normal12"/>
              <w:spacing w:after="0" w:line="240" w:lineRule="auto"/>
              <w:jc w:val="center"/>
              <w:rPr>
                <w:rFonts w:cs="Times New Roman"/>
                <w:noProof/>
              </w:rPr>
            </w:pPr>
            <w:r>
              <w:rPr>
                <w:noProof/>
              </w:rPr>
              <w:t>238 000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65073E" w:rsidRDefault="000A0998">
            <w:pPr>
              <w:pStyle w:val="P68B1DB1-Normal12"/>
              <w:spacing w:after="0" w:line="240" w:lineRule="auto"/>
              <w:jc w:val="center"/>
              <w:rPr>
                <w:rFonts w:cs="Times New Roman"/>
                <w:noProof/>
              </w:rPr>
            </w:pPr>
            <w:r>
              <w:rPr>
                <w:noProof/>
              </w:rPr>
              <w:t xml:space="preserve">348 000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65073E" w:rsidRDefault="000A0998">
            <w:pPr>
              <w:pStyle w:val="P68B1DB1-Normal12"/>
              <w:spacing w:after="0" w:line="240" w:lineRule="auto"/>
              <w:jc w:val="center"/>
              <w:rPr>
                <w:rFonts w:eastAsia="Times New Roman" w:cs="Times New Roman"/>
                <w:noProof/>
              </w:rPr>
            </w:pPr>
            <w:r>
              <w:rPr>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65073E" w:rsidRDefault="000A0998">
            <w:pPr>
              <w:pStyle w:val="P68B1DB1-Normal12"/>
              <w:spacing w:after="0" w:line="240" w:lineRule="auto"/>
              <w:jc w:val="center"/>
              <w:rPr>
                <w:rFonts w:eastAsia="Times New Roman" w:cs="Times New Roman"/>
                <w:noProof/>
              </w:rPr>
            </w:pPr>
            <w:r>
              <w:rPr>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65073E" w:rsidRDefault="000A0998">
            <w:pPr>
              <w:pStyle w:val="P68B1DB1-Normal12"/>
              <w:spacing w:after="0" w:line="240" w:lineRule="auto"/>
              <w:rPr>
                <w:rFonts w:eastAsia="Times New Roman" w:cs="Times New Roman"/>
                <w:noProof/>
              </w:rPr>
            </w:pPr>
            <w:r>
              <w:rPr>
                <w:noProof/>
              </w:rPr>
              <w:t>Lisäksi on otettu käyttöön vähintään 110000 uutta sähköajoneuvoa (BEV, REEV, PHEV, FCEV tai FCHV) ja latausasemaa, joihin sovelletaan verokannustimia.</w:t>
            </w:r>
          </w:p>
          <w:p w14:paraId="23E39600" w14:textId="4F670BAF" w:rsidR="0065073E" w:rsidRDefault="000A0998">
            <w:pPr>
              <w:pStyle w:val="P68B1DB1-Normal12"/>
              <w:spacing w:after="0" w:line="240" w:lineRule="auto"/>
              <w:rPr>
                <w:rFonts w:eastAsia="Times New Roman" w:cs="Times New Roman"/>
                <w:noProof/>
              </w:rPr>
            </w:pPr>
            <w:r>
              <w:rPr>
                <w:noProof/>
              </w:rPr>
              <w:t>(Perustaso: 31 päivä joulukuuta 2025 osa-alueen 1 tavoitteen 419 mukaisesti.</w:t>
            </w:r>
          </w:p>
        </w:tc>
      </w:tr>
    </w:tbl>
    <w:p w14:paraId="7D3D22D9" w14:textId="77777777" w:rsidR="0065073E" w:rsidRDefault="0065073E">
      <w:pPr>
        <w:pStyle w:val="Text1"/>
        <w:rPr>
          <w:rFonts w:ascii="Times New Roman" w:hAnsi="Times New Roman" w:cs="Times New Roman"/>
          <w:noProof/>
        </w:rPr>
        <w:sectPr w:rsidR="0065073E" w:rsidSect="00B511EF">
          <w:headerReference w:type="even" r:id="rId613"/>
          <w:headerReference w:type="default" r:id="rId614"/>
          <w:footerReference w:type="even" r:id="rId615"/>
          <w:footerReference w:type="default" r:id="rId616"/>
          <w:headerReference w:type="first" r:id="rId617"/>
          <w:footerReference w:type="first" r:id="rId618"/>
          <w:pgSz w:w="16839" w:h="11907" w:orient="landscape"/>
          <w:pgMar w:top="1134" w:right="1134" w:bottom="1134" w:left="1134" w:header="567" w:footer="567" w:gutter="0"/>
          <w:cols w:space="720"/>
          <w:docGrid w:linePitch="360"/>
        </w:sectPr>
      </w:pPr>
    </w:p>
    <w:p w14:paraId="2D6EE182" w14:textId="77777777" w:rsidR="0065073E" w:rsidRDefault="000A0998">
      <w:pPr>
        <w:pStyle w:val="P68B1DB1-Heading12"/>
        <w:rPr>
          <w:rFonts w:cs="Times New Roman"/>
          <w:noProof/>
        </w:rPr>
      </w:pPr>
      <w:r>
        <w:rPr>
          <w:noProof/>
        </w:rPr>
        <w:t>AC. OSA 29: Julkisten varojen käytön tehostaminen</w:t>
      </w:r>
    </w:p>
    <w:p w14:paraId="11CE09AD" w14:textId="77777777" w:rsidR="0065073E" w:rsidRDefault="000A0998">
      <w:pPr>
        <w:pStyle w:val="P68B1DB1-Text118"/>
        <w:ind w:left="0"/>
        <w:rPr>
          <w:rFonts w:cs="Times New Roman"/>
          <w:noProof/>
        </w:rPr>
      </w:pPr>
      <w:r>
        <w:rPr>
          <w:noProof/>
        </w:rPr>
        <w:t xml:space="preserve">Espanjan elpymis- ja palautumissuunnitelman komponenttiin 29 sisältyvillä uudistuksilla pyritään i) parantamaan julkisten menojen vaikuttavuutta vahvistamalla menojen uudelleenarviointien puitteita ja käytäntöjä ja ii) mukauttamaan valtion talousarvio kestävän kehityksen tavoitteisiin ja vihreän budjetoinnin periaatteisiin. </w:t>
      </w:r>
    </w:p>
    <w:p w14:paraId="2855F655" w14:textId="77777777" w:rsidR="0065073E" w:rsidRDefault="000A0998">
      <w:pPr>
        <w:pStyle w:val="P68B1DB1-Text118"/>
        <w:ind w:left="0"/>
        <w:rPr>
          <w:rFonts w:cs="Times New Roman"/>
          <w:noProof/>
        </w:rPr>
      </w:pPr>
      <w:r>
        <w:rPr>
          <w:noProof/>
        </w:rPr>
        <w:t xml:space="preserve">Suunnitelman osatekijän tavoitteena on parantaa julkisten menojen laatua erityisesti tarkistamalla niiden koostumusta ja kohdentamalla niitä uudelleen, tukea talouskasvua ja työpaikkojen luomista sekä viime kädessä tehdä julkisesta taloudesta vakaampi ja kestävämpi keskipitkällä aikavälillä. Uudistuksilla vastataan myös uuden taloudellisen ja sosiaalisen todellisuuden asettamiin haasteisiin.  </w:t>
      </w:r>
    </w:p>
    <w:p w14:paraId="04D7F579" w14:textId="77777777" w:rsidR="0065073E" w:rsidRDefault="000A0998">
      <w:pPr>
        <w:pStyle w:val="P68B1DB1-Text118"/>
        <w:ind w:left="0"/>
        <w:rPr>
          <w:rFonts w:cs="Times New Roman"/>
          <w:noProof/>
        </w:rPr>
      </w:pPr>
      <w:r>
        <w:rPr>
          <w:noProof/>
        </w:rPr>
        <w:t>Komponentilla vastataan maakohtaiseen suositukseen, joka koskee taloustilanteen salliessa sellaisen finanssipolitiikan harjoittamista, jonka tavoitteena on saavuttaa maltillisella tasolla oleva julkisen talouden rahoitusasema keskipitkällä aikavälillä ja varmistaa velkakestävyys ja samalla kannustaa investointeihin (maakohtainen suositus 1 2020).</w:t>
      </w:r>
    </w:p>
    <w:p w14:paraId="6BF0C738" w14:textId="77777777" w:rsidR="0065073E" w:rsidRDefault="000A0998">
      <w:pPr>
        <w:pStyle w:val="P68B1DB1-Text118"/>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0F17AC41" w14:textId="77777777" w:rsidR="0065073E" w:rsidRDefault="000A0998">
      <w:pPr>
        <w:pStyle w:val="Text1"/>
        <w:ind w:left="709"/>
        <w:rPr>
          <w:rFonts w:ascii="Times New Roman" w:hAnsi="Times New Roman" w:cs="Times New Roman"/>
          <w:noProof/>
        </w:rPr>
      </w:pPr>
      <w:r>
        <w:rPr>
          <w:rFonts w:ascii="Times New Roman" w:hAnsi="Times New Roman"/>
          <w:b/>
          <w:noProof/>
          <w:u w:val="single"/>
        </w:rPr>
        <w:t xml:space="preserve">AC.1. </w:t>
      </w:r>
      <w:r>
        <w:rPr>
          <w:noProof/>
        </w:rPr>
        <w:t></w:t>
      </w:r>
      <w:r>
        <w:rPr>
          <w:rFonts w:ascii="Times New Roman" w:hAnsi="Times New Roman"/>
          <w:b/>
          <w:noProof/>
          <w:u w:val="single"/>
        </w:rPr>
        <w:t>Kuvaus uudistuksista ja investoinneista, joita rahoitetaan rahoitustuella, jota ei makseta takaisin</w:t>
      </w:r>
    </w:p>
    <w:p w14:paraId="1A37E54D" w14:textId="77777777" w:rsidR="0065073E" w:rsidRDefault="000A0998">
      <w:pPr>
        <w:pStyle w:val="P68B1DB1-Text119"/>
        <w:ind w:left="0"/>
        <w:rPr>
          <w:rFonts w:cs="Times New Roman"/>
          <w:noProof/>
        </w:rPr>
      </w:pPr>
      <w:r>
        <w:rPr>
          <w:noProof/>
        </w:rPr>
        <w:t>Uudistus 1 (C29.R1) – Julkisten menojen uudelleentarkastelu ja arviointiprosessi</w:t>
      </w:r>
    </w:p>
    <w:p w14:paraId="6D646A7A" w14:textId="77777777" w:rsidR="0065073E" w:rsidRDefault="000A0998">
      <w:pPr>
        <w:pStyle w:val="P68B1DB1-Text118"/>
        <w:ind w:left="0"/>
        <w:rPr>
          <w:rFonts w:cs="Times New Roman"/>
          <w:noProof/>
        </w:rPr>
      </w:pPr>
      <w:r>
        <w:rPr>
          <w:noProof/>
        </w:rPr>
        <w:t>Uudistuksen tavoitteena on luoda pysyvä kehys, jolla varmistetaan julkisten menojen laadun parantaminen, vahvistetaan julkisen talouden vakautta ja julkisen talouden kestävyyttä. Uudistuksessa on neljä osa-aluetta:</w:t>
      </w:r>
    </w:p>
    <w:p w14:paraId="4055AA4E" w14:textId="77777777" w:rsidR="0065073E" w:rsidRDefault="000A0998">
      <w:pPr>
        <w:pStyle w:val="P68B1DB1-Text118"/>
        <w:numPr>
          <w:ilvl w:val="0"/>
          <w:numId w:val="166"/>
        </w:numPr>
        <w:rPr>
          <w:rFonts w:cs="Times New Roman"/>
          <w:noProof/>
        </w:rPr>
      </w:pPr>
      <w:r>
        <w:rPr>
          <w:noProof/>
        </w:rPr>
        <w:t xml:space="preserve">Vuosien 2018–2020 menojen uudelleentarkastelun suositusten sisällyttäminen päätöksentekoprosessiin (vaihe I ja vaihe II): Ensimmäisen ja toisen vaiheen suositusten tehokkaan seurannan varmistamiseksi budjettiyksiköille, joille on annettu suosituksia, on annettava määräaika, jonka kuluessa niiden on vastattava suosituksiin ”noudata tai selitä” -periaatteen mukaisesti. Valtiovarainministeriölle on tarkoitus antaa tehtäväksi seurata jatkotoimia ja laatia vuosikertomus suositusten perusteella toteutetuista toimista. </w:t>
      </w:r>
    </w:p>
    <w:p w14:paraId="3173400A" w14:textId="77777777" w:rsidR="0065073E" w:rsidRDefault="000A0998">
      <w:pPr>
        <w:pStyle w:val="P68B1DB1-Text118"/>
        <w:numPr>
          <w:ilvl w:val="0"/>
          <w:numId w:val="166"/>
        </w:numPr>
        <w:rPr>
          <w:rFonts w:cs="Times New Roman"/>
          <w:noProof/>
        </w:rPr>
      </w:pPr>
      <w:r>
        <w:rPr>
          <w:noProof/>
        </w:rPr>
        <w:t xml:space="preserve">Vuoden 2021 menojen uudelleentarkastelun vaiheen III käynnistäminen: Menojen uudelleentarkastelun kolmannessa vaiheessa keskitytään rahoitusvälineisiin ja kuntien jätehuoltoon. </w:t>
      </w:r>
    </w:p>
    <w:p w14:paraId="2D6C80F9" w14:textId="77777777" w:rsidR="0065073E" w:rsidRDefault="000A0998">
      <w:pPr>
        <w:pStyle w:val="P68B1DB1-Text118"/>
        <w:numPr>
          <w:ilvl w:val="0"/>
          <w:numId w:val="166"/>
        </w:numPr>
        <w:rPr>
          <w:rFonts w:cs="Times New Roman"/>
          <w:noProof/>
        </w:rPr>
      </w:pPr>
      <w:r>
        <w:rPr>
          <w:noProof/>
        </w:rPr>
        <w:t>Uusi julkisten menojen uudelleentarkastelu- ja arviointiprosessi (2022–2026): Riippumaton finanssiviranomainen (Autridad</w:t>
      </w:r>
      <w:r>
        <w:rPr>
          <w:i/>
          <w:noProof/>
        </w:rPr>
        <w:t>Independiente de Responsabilidad Fiscal</w:t>
      </w:r>
      <w:r>
        <w:rPr>
          <w:noProof/>
        </w:rPr>
        <w:t xml:space="preserve">, AIReF) suorittaisi tulevat menojen uudelleenarvioinnit tällä kierroksella. Ministerineuvosto päättää näiden tulevien uudelleentarkastelujen painopisteistä, kattavuudesta ja aikataulusta AIReF:n kuulemisen jälkeen. Tavoitteena on julkaista vuosittain kertomus vuosina 2022–2026. </w:t>
      </w:r>
    </w:p>
    <w:p w14:paraId="369C92EB" w14:textId="77777777" w:rsidR="0065073E" w:rsidRDefault="000A0998">
      <w:pPr>
        <w:pStyle w:val="P68B1DB1-Text118"/>
        <w:numPr>
          <w:ilvl w:val="0"/>
          <w:numId w:val="166"/>
        </w:numPr>
        <w:rPr>
          <w:rFonts w:cs="Times New Roman"/>
          <w:noProof/>
        </w:rPr>
      </w:pPr>
      <w:r>
        <w:rPr>
          <w:noProof/>
        </w:rPr>
        <w:t>Arvioijan (AIReF) valmiuksien vahvistaminen: AIReF:n perussääntöä muutetaan siten, että perustetaan uusi yksikkö, joka vastaa julkisten menojen uudelleentarkastelusta.</w:t>
      </w:r>
    </w:p>
    <w:p w14:paraId="2FBD1FA2" w14:textId="77777777" w:rsidR="0065073E" w:rsidRDefault="000A0998">
      <w:pPr>
        <w:pStyle w:val="P68B1DB1-Text118"/>
        <w:ind w:left="0"/>
        <w:rPr>
          <w:rFonts w:cs="Times New Roman"/>
          <w:noProof/>
        </w:rPr>
      </w:pPr>
      <w:r>
        <w:rPr>
          <w:noProof/>
        </w:rPr>
        <w:t xml:space="preserve">Uudistuksen 1 voidaan katsoa tukevan johdonmukaisuutta ja muita uudistuksia Espanjan elpymis- ja palautumissuunnitelmassa, erityisesti komponenteissa 6, 17, 18, 21, 23 ja 28, joissa menojen uudelleentarkastelun I ja II vaiheeseen perustuvat suositukset on otettu huomioon näissä uudistusten painopisteissä. </w:t>
      </w:r>
    </w:p>
    <w:p w14:paraId="057350AA" w14:textId="77777777" w:rsidR="0065073E" w:rsidRDefault="000A0998">
      <w:pPr>
        <w:pStyle w:val="P68B1DB1-Text118"/>
        <w:ind w:left="0"/>
        <w:rPr>
          <w:rFonts w:cs="Times New Roman"/>
          <w:noProof/>
        </w:rPr>
      </w:pPr>
      <w:r>
        <w:rPr>
          <w:noProof/>
        </w:rPr>
        <w:t>Uudistus on tarkoitus saada päätökseen 30. kesäkuuta 2023 mennessä.</w:t>
      </w:r>
    </w:p>
    <w:p w14:paraId="33EA2FD3" w14:textId="77777777" w:rsidR="0065073E" w:rsidRDefault="000A0998">
      <w:pPr>
        <w:pStyle w:val="P68B1DB1-Text118"/>
        <w:ind w:left="0"/>
        <w:rPr>
          <w:rFonts w:cs="Times New Roman"/>
          <w:noProof/>
          <w:u w:val="single"/>
        </w:rPr>
      </w:pPr>
      <w:r>
        <w:rPr>
          <w:noProof/>
          <w:u w:val="single"/>
        </w:rPr>
        <w:t>Uudistus 2 (C29.R2) – Keskushallituksen talousarvion mukauttaminen Agenda 2030:n kestävänkehityksen tavoitteisiin</w:t>
      </w:r>
    </w:p>
    <w:p w14:paraId="3A396F9E" w14:textId="77777777" w:rsidR="0065073E" w:rsidRDefault="000A0998">
      <w:pPr>
        <w:pStyle w:val="P68B1DB1-Text118"/>
        <w:ind w:left="0"/>
        <w:rPr>
          <w:rFonts w:cs="Times New Roman"/>
          <w:noProof/>
        </w:rPr>
      </w:pPr>
      <w:r>
        <w:rPr>
          <w:noProof/>
        </w:rPr>
        <w:t xml:space="preserve">Uudistuksen tavoitteena on sovittaa valtion talousarvio yhteen koko suunnitelman perustana olevien kestävän kehityksen tavoitteiden kanssa. Uudistuksessa julkaistaan valtion talousarviomenettelyn yhteydessä kertomus, jossa otetaan huomioon julkisten investointien yhdenmukaisuus kestävän kehityksen tavoitteiden kanssa ennalta määritellyn menetelmän mukaisesti. Uudistus perustuu EU:n teknisen tuen välineen tuella parhaillaan suunniteltaviin menetelmiin ja seurantakehykseen. </w:t>
      </w:r>
    </w:p>
    <w:p w14:paraId="487BE28E" w14:textId="77777777" w:rsidR="0065073E" w:rsidRDefault="000A0998">
      <w:pPr>
        <w:pStyle w:val="P68B1DB1-Text118"/>
        <w:ind w:left="0"/>
        <w:rPr>
          <w:rFonts w:cs="Times New Roman"/>
          <w:noProof/>
        </w:rPr>
      </w:pPr>
      <w:r>
        <w:rPr>
          <w:noProof/>
        </w:rPr>
        <w:t>Toimenpiteen täytäntöönpano on saatettava päätökseen 30 päivään syyskuuta 2021 mennessä.</w:t>
      </w:r>
    </w:p>
    <w:p w14:paraId="53AF397A" w14:textId="77777777" w:rsidR="0065073E" w:rsidRDefault="000A0998">
      <w:pPr>
        <w:pStyle w:val="P68B1DB1-Text119"/>
        <w:ind w:left="0"/>
        <w:rPr>
          <w:rFonts w:cs="Times New Roman"/>
          <w:noProof/>
        </w:rPr>
      </w:pPr>
      <w:r>
        <w:rPr>
          <w:noProof/>
        </w:rPr>
        <w:t>Uudistus 3 (C29.R3) – Keskushallituksen talousarvion mukauttaminen vihreään budjetointiin</w:t>
      </w:r>
    </w:p>
    <w:p w14:paraId="043CD9A3" w14:textId="77777777" w:rsidR="0065073E" w:rsidRDefault="000A0998">
      <w:pPr>
        <w:pStyle w:val="P68B1DB1-Text118"/>
        <w:ind w:left="0"/>
        <w:rPr>
          <w:rFonts w:cs="Times New Roman"/>
          <w:noProof/>
        </w:rPr>
      </w:pPr>
      <w:r>
        <w:rPr>
          <w:noProof/>
        </w:rPr>
        <w:t>Uudistuksen tavoitteena on mukauttaa valtion talousarvio EU:n vihreän budjetoinnin viitekehykseen keskipitkällä aikavälillä. Sillä vahvistetaan uudistusta 2 ja yleisemmin suunnitelman vihreitä tavoitteita. Uudistuksessa julkaistaan valtion talousarviomenettelyn yhteydessä kaksi kertomusta, joissa kartoitetaan vihreät ja ruskeat menot vuosien 2023 ja 2024 talousarviolakeihin nähden. Uudistus perustuu EU:n teknisen tuen välineen tuella parhaillaan suunniteltaviin menetelmiin ja seurantakehykseen.</w:t>
      </w:r>
    </w:p>
    <w:p w14:paraId="2D75ED4D" w14:textId="77777777" w:rsidR="0065073E" w:rsidRDefault="000A0998">
      <w:pPr>
        <w:pStyle w:val="P68B1DB1-Text118"/>
        <w:ind w:left="0"/>
        <w:rPr>
          <w:rFonts w:cs="Times New Roman"/>
          <w:noProof/>
        </w:rPr>
      </w:pPr>
      <w:r>
        <w:rPr>
          <w:noProof/>
        </w:rPr>
        <w:t>Toimenpiteen täytäntöönpano on saatettava päätökseen viimeistään 30 päivänä syyskuuta 2023.</w:t>
      </w:r>
    </w:p>
    <w:p w14:paraId="201D6776"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AC.2. </w:t>
      </w:r>
      <w:r>
        <w:rPr>
          <w:noProof/>
        </w:rPr>
        <w:t></w:t>
      </w:r>
      <w:r>
        <w:rPr>
          <w:rFonts w:ascii="Times New Roman" w:hAnsi="Times New Roman"/>
          <w:b/>
          <w:noProof/>
          <w:u w:val="single"/>
        </w:rPr>
        <w:t>Seurantaa ja täytäntöönpanoa koskevat välitavoitteet, tavoitteet, indikaattorit ja aikataulu – rahoitustuki, jota ei makseta takaisin</w:t>
      </w:r>
    </w:p>
    <w:p w14:paraId="2316CE18" w14:textId="77777777" w:rsidR="0065073E" w:rsidRDefault="000A0998">
      <w:pPr>
        <w:pStyle w:val="P68B1DB1-Normal4"/>
        <w:spacing w:before="120" w:after="120" w:line="240" w:lineRule="auto"/>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r>
        <w:rPr>
          <w:noProof/>
        </w:rPr>
        <w:t xml:space="preserve"> </w:t>
      </w:r>
    </w:p>
    <w:p w14:paraId="3CED3959" w14:textId="77777777" w:rsidR="0065073E" w:rsidRDefault="0065073E">
      <w:pPr>
        <w:pStyle w:val="Text1"/>
        <w:ind w:left="0"/>
        <w:rPr>
          <w:rFonts w:ascii="Times New Roman" w:hAnsi="Times New Roman" w:cs="Times New Roman"/>
          <w:b/>
          <w:noProof/>
          <w:u w:val="single"/>
        </w:rPr>
      </w:pPr>
    </w:p>
    <w:p w14:paraId="73BDE1DF" w14:textId="77777777" w:rsidR="0065073E" w:rsidRDefault="0065073E">
      <w:pPr>
        <w:pStyle w:val="Text1"/>
        <w:ind w:left="709"/>
        <w:rPr>
          <w:rFonts w:ascii="Times New Roman" w:hAnsi="Times New Roman" w:cs="Times New Roman"/>
          <w:noProof/>
        </w:rPr>
        <w:sectPr w:rsidR="0065073E" w:rsidSect="00B511EF">
          <w:headerReference w:type="even" r:id="rId619"/>
          <w:headerReference w:type="default" r:id="rId620"/>
          <w:footerReference w:type="even" r:id="rId621"/>
          <w:footerReference w:type="default" r:id="rId622"/>
          <w:headerReference w:type="first" r:id="rId623"/>
          <w:footerReference w:type="first" r:id="rId624"/>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829"/>
        <w:gridCol w:w="828"/>
        <w:gridCol w:w="2619"/>
        <w:gridCol w:w="966"/>
        <w:gridCol w:w="691"/>
        <w:gridCol w:w="966"/>
        <w:gridCol w:w="690"/>
        <w:gridCol w:w="553"/>
        <w:gridCol w:w="553"/>
        <w:gridCol w:w="5924"/>
      </w:tblGrid>
      <w:tr w:rsidR="0065073E" w14:paraId="526BF9FA" w14:textId="77777777">
        <w:trPr>
          <w:trHeight w:val="309"/>
          <w:tblHeader/>
        </w:trPr>
        <w:tc>
          <w:tcPr>
            <w:tcW w:w="833" w:type="dxa"/>
            <w:tcBorders>
              <w:bottom w:val="nil"/>
            </w:tcBorders>
            <w:shd w:val="clear" w:color="auto" w:fill="C6D9F1" w:themeFill="text2" w:themeFillTint="33"/>
            <w:noWrap/>
            <w:vAlign w:val="center"/>
          </w:tcPr>
          <w:p w14:paraId="568F2058" w14:textId="77777777" w:rsidR="0065073E" w:rsidRDefault="000A0998">
            <w:pPr>
              <w:pStyle w:val="P68B1DB1-Normal8"/>
              <w:spacing w:after="0"/>
              <w:jc w:val="center"/>
              <w:rPr>
                <w:rFonts w:cs="Times New Roman"/>
                <w:noProof/>
              </w:rPr>
            </w:pPr>
            <w:r>
              <w:rPr>
                <w:noProof/>
              </w:rPr>
              <w:t>Määrä</w:t>
            </w:r>
          </w:p>
        </w:tc>
        <w:tc>
          <w:tcPr>
            <w:tcW w:w="829" w:type="dxa"/>
            <w:tcBorders>
              <w:bottom w:val="nil"/>
            </w:tcBorders>
            <w:shd w:val="clear" w:color="auto" w:fill="C6D9F1" w:themeFill="text2" w:themeFillTint="33"/>
            <w:noWrap/>
            <w:vAlign w:val="center"/>
          </w:tcPr>
          <w:p w14:paraId="4BD8C562" w14:textId="77777777" w:rsidR="0065073E" w:rsidRDefault="000A0998">
            <w:pPr>
              <w:pStyle w:val="P68B1DB1-Normal8"/>
              <w:spacing w:after="0"/>
              <w:jc w:val="center"/>
              <w:rPr>
                <w:rFonts w:cs="Times New Roman"/>
                <w:noProof/>
              </w:rPr>
            </w:pPr>
            <w:r>
              <w:rPr>
                <w:noProof/>
              </w:rPr>
              <w:t>Toimenpide</w:t>
            </w:r>
          </w:p>
        </w:tc>
        <w:tc>
          <w:tcPr>
            <w:tcW w:w="828" w:type="dxa"/>
            <w:tcBorders>
              <w:bottom w:val="nil"/>
            </w:tcBorders>
            <w:shd w:val="clear" w:color="auto" w:fill="C6D9F1" w:themeFill="text2" w:themeFillTint="33"/>
            <w:noWrap/>
            <w:vAlign w:val="center"/>
          </w:tcPr>
          <w:p w14:paraId="56190C47"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619" w:type="dxa"/>
            <w:tcBorders>
              <w:bottom w:val="nil"/>
            </w:tcBorders>
            <w:shd w:val="clear" w:color="auto" w:fill="C6D9F1" w:themeFill="text2" w:themeFillTint="33"/>
            <w:noWrap/>
            <w:vAlign w:val="center"/>
          </w:tcPr>
          <w:p w14:paraId="19F8EB2B" w14:textId="77777777" w:rsidR="0065073E" w:rsidRDefault="000A0998">
            <w:pPr>
              <w:pStyle w:val="P68B1DB1-Normal8"/>
              <w:spacing w:after="0"/>
              <w:jc w:val="center"/>
              <w:rPr>
                <w:rFonts w:cs="Times New Roman"/>
                <w:noProof/>
              </w:rPr>
            </w:pPr>
            <w:r>
              <w:rPr>
                <w:noProof/>
              </w:rPr>
              <w:t>Nimi</w:t>
            </w:r>
          </w:p>
        </w:tc>
        <w:tc>
          <w:tcPr>
            <w:tcW w:w="966" w:type="dxa"/>
            <w:tcBorders>
              <w:bottom w:val="nil"/>
            </w:tcBorders>
            <w:shd w:val="clear" w:color="auto" w:fill="C6D9F1" w:themeFill="text2" w:themeFillTint="33"/>
            <w:noWrap/>
            <w:vAlign w:val="center"/>
          </w:tcPr>
          <w:p w14:paraId="7D628F42" w14:textId="77777777" w:rsidR="0065073E" w:rsidRDefault="000A0998">
            <w:pPr>
              <w:pStyle w:val="P68B1DB1-Normal8"/>
              <w:spacing w:after="0"/>
              <w:jc w:val="center"/>
              <w:rPr>
                <w:rFonts w:cs="Times New Roman"/>
                <w:noProof/>
              </w:rPr>
            </w:pPr>
            <w:r>
              <w:rPr>
                <w:noProof/>
              </w:rPr>
              <w:t>Välitavoitteiden laadullinen indikaattori</w:t>
            </w:r>
          </w:p>
        </w:tc>
        <w:tc>
          <w:tcPr>
            <w:tcW w:w="2347" w:type="dxa"/>
            <w:gridSpan w:val="3"/>
            <w:shd w:val="clear" w:color="auto" w:fill="C6D9F1" w:themeFill="text2" w:themeFillTint="33"/>
            <w:noWrap/>
            <w:vAlign w:val="center"/>
          </w:tcPr>
          <w:p w14:paraId="491ED17C" w14:textId="77777777" w:rsidR="0065073E" w:rsidRDefault="000A0998">
            <w:pPr>
              <w:pStyle w:val="P68B1DB1-Normal8"/>
              <w:spacing w:after="0"/>
              <w:jc w:val="center"/>
              <w:rPr>
                <w:rFonts w:cs="Times New Roman"/>
                <w:noProof/>
              </w:rPr>
            </w:pPr>
            <w:r>
              <w:rPr>
                <w:noProof/>
              </w:rPr>
              <w:t>Määrällinen indikaattori tavoitteelle</w:t>
            </w:r>
          </w:p>
        </w:tc>
        <w:tc>
          <w:tcPr>
            <w:tcW w:w="1106" w:type="dxa"/>
            <w:gridSpan w:val="2"/>
            <w:shd w:val="clear" w:color="auto" w:fill="C6D9F1" w:themeFill="text2" w:themeFillTint="33"/>
            <w:noWrap/>
            <w:vAlign w:val="center"/>
          </w:tcPr>
          <w:p w14:paraId="3E575B49" w14:textId="77777777" w:rsidR="0065073E" w:rsidRDefault="000A0998">
            <w:pPr>
              <w:pStyle w:val="P68B1DB1-Normal8"/>
              <w:spacing w:after="0"/>
              <w:jc w:val="center"/>
              <w:rPr>
                <w:rFonts w:cs="Times New Roman"/>
                <w:noProof/>
              </w:rPr>
            </w:pPr>
            <w:r>
              <w:rPr>
                <w:noProof/>
              </w:rPr>
              <w:t>Aika</w:t>
            </w:r>
          </w:p>
        </w:tc>
        <w:tc>
          <w:tcPr>
            <w:tcW w:w="5924" w:type="dxa"/>
            <w:tcBorders>
              <w:bottom w:val="nil"/>
            </w:tcBorders>
            <w:shd w:val="clear" w:color="auto" w:fill="C6D9F1" w:themeFill="text2" w:themeFillTint="33"/>
            <w:noWrap/>
            <w:vAlign w:val="center"/>
          </w:tcPr>
          <w:p w14:paraId="3855E62C"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35CF314C" w14:textId="77777777">
        <w:trPr>
          <w:trHeight w:val="309"/>
          <w:tblHeader/>
        </w:trPr>
        <w:tc>
          <w:tcPr>
            <w:tcW w:w="833" w:type="dxa"/>
            <w:tcBorders>
              <w:top w:val="nil"/>
            </w:tcBorders>
            <w:shd w:val="clear" w:color="auto" w:fill="C6D9F1" w:themeFill="text2" w:themeFillTint="33"/>
            <w:noWrap/>
          </w:tcPr>
          <w:p w14:paraId="1361DD6A" w14:textId="77777777" w:rsidR="0065073E" w:rsidRDefault="0065073E">
            <w:pPr>
              <w:spacing w:after="0"/>
              <w:jc w:val="center"/>
              <w:rPr>
                <w:rFonts w:ascii="Times New Roman" w:hAnsi="Times New Roman" w:cs="Times New Roman"/>
                <w:b/>
                <w:noProof/>
                <w:sz w:val="18"/>
              </w:rPr>
            </w:pPr>
          </w:p>
        </w:tc>
        <w:tc>
          <w:tcPr>
            <w:tcW w:w="829" w:type="dxa"/>
            <w:tcBorders>
              <w:top w:val="nil"/>
            </w:tcBorders>
            <w:shd w:val="clear" w:color="auto" w:fill="C6D9F1" w:themeFill="text2" w:themeFillTint="33"/>
            <w:noWrap/>
          </w:tcPr>
          <w:p w14:paraId="2C77ED12" w14:textId="77777777" w:rsidR="0065073E" w:rsidRDefault="0065073E">
            <w:pPr>
              <w:spacing w:after="0"/>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0FCEA2E9" w14:textId="77777777" w:rsidR="0065073E" w:rsidRDefault="0065073E">
            <w:pPr>
              <w:spacing w:after="0"/>
              <w:jc w:val="center"/>
              <w:rPr>
                <w:rFonts w:ascii="Times New Roman" w:hAnsi="Times New Roman" w:cs="Times New Roman"/>
                <w:b/>
                <w:noProof/>
                <w:sz w:val="18"/>
              </w:rPr>
            </w:pPr>
          </w:p>
        </w:tc>
        <w:tc>
          <w:tcPr>
            <w:tcW w:w="2619" w:type="dxa"/>
            <w:tcBorders>
              <w:top w:val="nil"/>
            </w:tcBorders>
            <w:shd w:val="clear" w:color="auto" w:fill="C6D9F1" w:themeFill="text2" w:themeFillTint="33"/>
            <w:noWrap/>
          </w:tcPr>
          <w:p w14:paraId="054C702F" w14:textId="77777777" w:rsidR="0065073E" w:rsidRDefault="0065073E">
            <w:pPr>
              <w:spacing w:after="0"/>
              <w:rPr>
                <w:rFonts w:ascii="Times New Roman" w:hAnsi="Times New Roman" w:cs="Times New Roman"/>
                <w:b/>
                <w:noProof/>
                <w:sz w:val="18"/>
              </w:rPr>
            </w:pPr>
          </w:p>
        </w:tc>
        <w:tc>
          <w:tcPr>
            <w:tcW w:w="966" w:type="dxa"/>
            <w:tcBorders>
              <w:top w:val="nil"/>
            </w:tcBorders>
            <w:shd w:val="clear" w:color="auto" w:fill="C6D9F1" w:themeFill="text2" w:themeFillTint="33"/>
            <w:noWrap/>
          </w:tcPr>
          <w:p w14:paraId="60785CA4" w14:textId="77777777" w:rsidR="0065073E" w:rsidRDefault="0065073E">
            <w:pPr>
              <w:spacing w:after="0"/>
              <w:jc w:val="center"/>
              <w:rPr>
                <w:rFonts w:ascii="Times New Roman" w:hAnsi="Times New Roman" w:cs="Times New Roman"/>
                <w:b/>
                <w:noProof/>
                <w:sz w:val="18"/>
              </w:rPr>
            </w:pPr>
          </w:p>
        </w:tc>
        <w:tc>
          <w:tcPr>
            <w:tcW w:w="691" w:type="dxa"/>
            <w:shd w:val="clear" w:color="auto" w:fill="C6D9F1" w:themeFill="text2" w:themeFillTint="33"/>
            <w:noWrap/>
            <w:vAlign w:val="center"/>
          </w:tcPr>
          <w:p w14:paraId="0486E7CF" w14:textId="77777777" w:rsidR="0065073E" w:rsidRDefault="000A0998">
            <w:pPr>
              <w:pStyle w:val="P68B1DB1-Normal8"/>
              <w:spacing w:after="0"/>
              <w:jc w:val="center"/>
              <w:rPr>
                <w:rFonts w:cs="Times New Roman"/>
                <w:noProof/>
              </w:rPr>
            </w:pPr>
            <w:r>
              <w:rPr>
                <w:noProof/>
              </w:rPr>
              <w:t>Yksikkö</w:t>
            </w:r>
          </w:p>
        </w:tc>
        <w:tc>
          <w:tcPr>
            <w:tcW w:w="966" w:type="dxa"/>
            <w:shd w:val="clear" w:color="auto" w:fill="C6D9F1" w:themeFill="text2" w:themeFillTint="33"/>
            <w:noWrap/>
            <w:vAlign w:val="center"/>
          </w:tcPr>
          <w:p w14:paraId="467796B6" w14:textId="395A9F24" w:rsidR="0065073E" w:rsidRDefault="000A0998">
            <w:pPr>
              <w:pStyle w:val="P68B1DB1-Normal8"/>
              <w:spacing w:after="0"/>
              <w:jc w:val="center"/>
              <w:rPr>
                <w:rFonts w:cs="Times New Roman"/>
                <w:noProof/>
              </w:rPr>
            </w:pPr>
            <w:r>
              <w:rPr>
                <w:noProof/>
              </w:rPr>
              <w:t>Lähtötaso</w:t>
            </w:r>
          </w:p>
        </w:tc>
        <w:tc>
          <w:tcPr>
            <w:tcW w:w="690" w:type="dxa"/>
            <w:shd w:val="clear" w:color="auto" w:fill="C6D9F1" w:themeFill="text2" w:themeFillTint="33"/>
            <w:noWrap/>
            <w:vAlign w:val="center"/>
          </w:tcPr>
          <w:p w14:paraId="74DDABE4" w14:textId="77777777" w:rsidR="0065073E" w:rsidRDefault="000A0998">
            <w:pPr>
              <w:pStyle w:val="P68B1DB1-Normal8"/>
              <w:spacing w:after="0"/>
              <w:jc w:val="center"/>
              <w:rPr>
                <w:rFonts w:cs="Times New Roman"/>
                <w:noProof/>
              </w:rPr>
            </w:pPr>
            <w:r>
              <w:rPr>
                <w:noProof/>
              </w:rPr>
              <w:t>Päämäärä</w:t>
            </w:r>
          </w:p>
        </w:tc>
        <w:tc>
          <w:tcPr>
            <w:tcW w:w="553" w:type="dxa"/>
            <w:shd w:val="clear" w:color="auto" w:fill="C6D9F1" w:themeFill="text2" w:themeFillTint="33"/>
            <w:noWrap/>
            <w:vAlign w:val="center"/>
          </w:tcPr>
          <w:p w14:paraId="7718399E" w14:textId="77777777" w:rsidR="0065073E" w:rsidRDefault="000A0998">
            <w:pPr>
              <w:pStyle w:val="P68B1DB1-Normal8"/>
              <w:spacing w:after="0"/>
              <w:jc w:val="center"/>
              <w:rPr>
                <w:rFonts w:cs="Times New Roman"/>
                <w:noProof/>
              </w:rPr>
            </w:pPr>
            <w:r>
              <w:rPr>
                <w:noProof/>
              </w:rPr>
              <w:t>Q</w:t>
            </w:r>
          </w:p>
        </w:tc>
        <w:tc>
          <w:tcPr>
            <w:tcW w:w="553" w:type="dxa"/>
            <w:shd w:val="clear" w:color="auto" w:fill="C6D9F1" w:themeFill="text2" w:themeFillTint="33"/>
            <w:noWrap/>
            <w:vAlign w:val="center"/>
          </w:tcPr>
          <w:p w14:paraId="776762E6" w14:textId="77777777" w:rsidR="0065073E" w:rsidRDefault="000A0998">
            <w:pPr>
              <w:pStyle w:val="P68B1DB1-Normal8"/>
              <w:spacing w:after="0"/>
              <w:jc w:val="center"/>
              <w:rPr>
                <w:rFonts w:cs="Times New Roman"/>
                <w:noProof/>
              </w:rPr>
            </w:pPr>
            <w:r>
              <w:rPr>
                <w:noProof/>
              </w:rPr>
              <w:t>Vuosi</w:t>
            </w:r>
          </w:p>
        </w:tc>
        <w:tc>
          <w:tcPr>
            <w:tcW w:w="5924" w:type="dxa"/>
            <w:tcBorders>
              <w:top w:val="nil"/>
            </w:tcBorders>
            <w:shd w:val="clear" w:color="auto" w:fill="C6D9F1" w:themeFill="text2" w:themeFillTint="33"/>
            <w:noWrap/>
          </w:tcPr>
          <w:p w14:paraId="5449FF2D" w14:textId="77777777" w:rsidR="0065073E" w:rsidRDefault="0065073E">
            <w:pPr>
              <w:spacing w:after="0"/>
              <w:rPr>
                <w:rFonts w:ascii="Times New Roman" w:hAnsi="Times New Roman" w:cs="Times New Roman"/>
                <w:b/>
                <w:noProof/>
                <w:sz w:val="18"/>
              </w:rPr>
            </w:pPr>
          </w:p>
        </w:tc>
      </w:tr>
      <w:tr w:rsidR="0065073E" w14:paraId="2F15455E" w14:textId="77777777">
        <w:trPr>
          <w:trHeight w:val="309"/>
        </w:trPr>
        <w:tc>
          <w:tcPr>
            <w:tcW w:w="833" w:type="dxa"/>
            <w:shd w:val="clear" w:color="auto" w:fill="C6EFCE"/>
            <w:noWrap/>
          </w:tcPr>
          <w:p w14:paraId="68A3032E" w14:textId="77777777" w:rsidR="0065073E" w:rsidRDefault="000A0998">
            <w:pPr>
              <w:pStyle w:val="P68B1DB1-Normal12"/>
              <w:spacing w:after="0"/>
              <w:jc w:val="center"/>
              <w:rPr>
                <w:rFonts w:eastAsia="Times New Roman" w:cs="Times New Roman"/>
                <w:noProof/>
              </w:rPr>
            </w:pPr>
            <w:r>
              <w:rPr>
                <w:noProof/>
              </w:rPr>
              <w:t>397</w:t>
            </w:r>
          </w:p>
        </w:tc>
        <w:tc>
          <w:tcPr>
            <w:tcW w:w="829" w:type="dxa"/>
            <w:shd w:val="clear" w:color="auto" w:fill="C6EFCE"/>
            <w:noWrap/>
          </w:tcPr>
          <w:p w14:paraId="50BDDBFE" w14:textId="77777777" w:rsidR="0065073E" w:rsidRDefault="000A0998">
            <w:pPr>
              <w:pStyle w:val="P68B1DB1-Normal12"/>
              <w:spacing w:after="0"/>
              <w:jc w:val="center"/>
              <w:rPr>
                <w:rFonts w:eastAsia="Times New Roman" w:cs="Times New Roman"/>
                <w:noProof/>
              </w:rPr>
            </w:pPr>
            <w:r>
              <w:rPr>
                <w:noProof/>
              </w:rPr>
              <w:t>C29.R1</w:t>
            </w:r>
          </w:p>
        </w:tc>
        <w:tc>
          <w:tcPr>
            <w:tcW w:w="828" w:type="dxa"/>
            <w:shd w:val="clear" w:color="auto" w:fill="C6EFCE"/>
            <w:noWrap/>
          </w:tcPr>
          <w:p w14:paraId="1EAD88C6"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0264E42F" w14:textId="6F2057AA" w:rsidR="0065073E" w:rsidRDefault="000A0998">
            <w:pPr>
              <w:pStyle w:val="P68B1DB1-Normal12"/>
              <w:spacing w:after="0"/>
              <w:rPr>
                <w:rFonts w:eastAsia="Times New Roman" w:cs="Times New Roman"/>
                <w:noProof/>
              </w:rPr>
            </w:pPr>
            <w:r>
              <w:rPr>
                <w:noProof/>
              </w:rPr>
              <w:t>Pysyvän työryhmän perustaminen valtiovarainministeriöön seuraamaan aktiivisesti menojen uudelleentarkastelujen tulosten täytäntöönpanoa ja vuotuisen talousarviolain laatimismääräyksen hyväksymistä</w:t>
            </w:r>
          </w:p>
        </w:tc>
        <w:tc>
          <w:tcPr>
            <w:tcW w:w="966" w:type="dxa"/>
            <w:shd w:val="clear" w:color="auto" w:fill="C6EFCE"/>
            <w:noWrap/>
          </w:tcPr>
          <w:p w14:paraId="739280CA" w14:textId="77777777" w:rsidR="0065073E" w:rsidRDefault="000A0998">
            <w:pPr>
              <w:pStyle w:val="P68B1DB1-Normal12"/>
              <w:spacing w:after="0"/>
              <w:jc w:val="center"/>
              <w:rPr>
                <w:rFonts w:eastAsia="Times New Roman" w:cs="Times New Roman"/>
                <w:noProof/>
              </w:rPr>
            </w:pPr>
            <w:r>
              <w:rPr>
                <w:noProof/>
              </w:rPr>
              <w:t>Lainsäädännön säännökset, joista käy ilmi sen voimaantulo. Vuotuisen talousarviolain soveltamisjärjestys</w:t>
            </w:r>
          </w:p>
        </w:tc>
        <w:tc>
          <w:tcPr>
            <w:tcW w:w="691" w:type="dxa"/>
            <w:shd w:val="clear" w:color="auto" w:fill="C6EFCE"/>
            <w:noWrap/>
          </w:tcPr>
          <w:p w14:paraId="5663BB8C"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4B1EC57F"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768B7898"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5F9E48CB" w14:textId="77777777" w:rsidR="0065073E" w:rsidRDefault="000A0998">
            <w:pPr>
              <w:pStyle w:val="P68B1DB1-Normal12"/>
              <w:spacing w:after="0"/>
              <w:jc w:val="center"/>
              <w:rPr>
                <w:rFonts w:eastAsia="Times New Roman" w:cs="Times New Roman"/>
                <w:noProof/>
              </w:rPr>
            </w:pPr>
            <w:r>
              <w:rPr>
                <w:noProof/>
              </w:rPr>
              <w:t>TOINEN VUOSINELJÄNNES</w:t>
            </w:r>
          </w:p>
        </w:tc>
        <w:tc>
          <w:tcPr>
            <w:tcW w:w="553" w:type="dxa"/>
            <w:shd w:val="clear" w:color="auto" w:fill="C6EFCE"/>
            <w:noWrap/>
          </w:tcPr>
          <w:p w14:paraId="565B6B09" w14:textId="77777777" w:rsidR="0065073E" w:rsidRDefault="000A0998">
            <w:pPr>
              <w:pStyle w:val="P68B1DB1-Normal12"/>
              <w:spacing w:after="0"/>
              <w:jc w:val="center"/>
              <w:rPr>
                <w:rFonts w:eastAsia="Times New Roman" w:cs="Times New Roman"/>
                <w:noProof/>
              </w:rPr>
            </w:pPr>
            <w:r>
              <w:rPr>
                <w:noProof/>
              </w:rPr>
              <w:t>2021</w:t>
            </w:r>
          </w:p>
        </w:tc>
        <w:tc>
          <w:tcPr>
            <w:tcW w:w="5924" w:type="dxa"/>
            <w:shd w:val="clear" w:color="auto" w:fill="C6EFCE"/>
            <w:noWrap/>
          </w:tcPr>
          <w:p w14:paraId="0C262991" w14:textId="77777777" w:rsidR="0065073E" w:rsidRDefault="000A0998">
            <w:pPr>
              <w:pStyle w:val="P68B1DB1-Normal12"/>
              <w:spacing w:after="0"/>
              <w:rPr>
                <w:rFonts w:eastAsia="Times New Roman" w:cs="Times New Roman"/>
                <w:noProof/>
              </w:rPr>
            </w:pPr>
            <w:r>
              <w:rPr>
                <w:noProof/>
              </w:rPr>
              <w:t>Tulee voimaan i) valtiovarainministeriöön (talousarvio- ja menoasioiden sihteeristöön) perustettava pysyvä ryhmä, jonka tehtävänä on seurata aktiivisesti menojen uudelleenarviointien tulosten täytäntöönpanoa ja edistää ”noudata tai selitä” -periaatetta; ja ii) valtiovarainministeriö on sitoutunut julkaisemaan vuosikertomuksen, joka sisältää vastaukset kaikkiin AIReF:n antamiin menojen uudelleentarkastelua koskeviin suosituksiin. Vuotuisen talousarviolain laatimismääräykseen sisältyy keskushallinnon ja sosiaaliturvan sitoumus seurata ja seurata talousarviosyklin aikana menojen uudelleenarviointien suosituksia, mukaan lukien toimenpiteet, jotka on toteutettu tai jotka on tarkoitus toteuttaa seuraavana vuonna.</w:t>
            </w:r>
          </w:p>
        </w:tc>
      </w:tr>
      <w:tr w:rsidR="0065073E" w14:paraId="3C7FAF28" w14:textId="77777777">
        <w:trPr>
          <w:trHeight w:val="309"/>
        </w:trPr>
        <w:tc>
          <w:tcPr>
            <w:tcW w:w="833" w:type="dxa"/>
            <w:shd w:val="clear" w:color="auto" w:fill="C6EFCE"/>
            <w:noWrap/>
          </w:tcPr>
          <w:p w14:paraId="5E12E8A2" w14:textId="77777777" w:rsidR="0065073E" w:rsidRDefault="000A0998">
            <w:pPr>
              <w:pStyle w:val="P68B1DB1-Normal12"/>
              <w:spacing w:after="0"/>
              <w:jc w:val="center"/>
              <w:rPr>
                <w:rFonts w:eastAsia="Times New Roman" w:cs="Times New Roman"/>
                <w:noProof/>
              </w:rPr>
            </w:pPr>
            <w:r>
              <w:rPr>
                <w:noProof/>
              </w:rPr>
              <w:t>398</w:t>
            </w:r>
          </w:p>
        </w:tc>
        <w:tc>
          <w:tcPr>
            <w:tcW w:w="829" w:type="dxa"/>
            <w:shd w:val="clear" w:color="auto" w:fill="C6EFCE"/>
            <w:noWrap/>
          </w:tcPr>
          <w:p w14:paraId="1673859E" w14:textId="77777777" w:rsidR="0065073E" w:rsidRDefault="000A0998">
            <w:pPr>
              <w:pStyle w:val="P68B1DB1-Normal12"/>
              <w:spacing w:after="0"/>
              <w:jc w:val="center"/>
              <w:rPr>
                <w:rFonts w:eastAsia="Times New Roman" w:cs="Times New Roman"/>
                <w:noProof/>
              </w:rPr>
            </w:pPr>
            <w:r>
              <w:rPr>
                <w:noProof/>
              </w:rPr>
              <w:t>C29.R1</w:t>
            </w:r>
          </w:p>
        </w:tc>
        <w:tc>
          <w:tcPr>
            <w:tcW w:w="828" w:type="dxa"/>
            <w:shd w:val="clear" w:color="auto" w:fill="C6EFCE"/>
            <w:noWrap/>
          </w:tcPr>
          <w:p w14:paraId="68D9AE0D"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01F716A6" w14:textId="77777777" w:rsidR="0065073E" w:rsidRDefault="000A0998">
            <w:pPr>
              <w:pStyle w:val="P68B1DB1-Normal12"/>
              <w:spacing w:after="0"/>
              <w:rPr>
                <w:rFonts w:eastAsia="Times New Roman" w:cs="Times New Roman"/>
                <w:noProof/>
              </w:rPr>
            </w:pPr>
            <w:r>
              <w:rPr>
                <w:noProof/>
              </w:rPr>
              <w:t>Menojen uudelleenarvioinnin vaihe III</w:t>
            </w:r>
          </w:p>
        </w:tc>
        <w:tc>
          <w:tcPr>
            <w:tcW w:w="966" w:type="dxa"/>
            <w:shd w:val="clear" w:color="auto" w:fill="C6EFCE"/>
            <w:noWrap/>
          </w:tcPr>
          <w:p w14:paraId="7F2C7D52" w14:textId="77777777" w:rsidR="0065073E" w:rsidRDefault="000A0998">
            <w:pPr>
              <w:pStyle w:val="P68B1DB1-Normal12"/>
              <w:spacing w:after="0"/>
              <w:jc w:val="center"/>
              <w:rPr>
                <w:rFonts w:eastAsia="Times New Roman" w:cs="Times New Roman"/>
                <w:noProof/>
              </w:rPr>
            </w:pPr>
            <w:r>
              <w:rPr>
                <w:noProof/>
              </w:rPr>
              <w:t>Ministerineuvoston hyväksyntä:</w:t>
            </w:r>
          </w:p>
        </w:tc>
        <w:tc>
          <w:tcPr>
            <w:tcW w:w="691" w:type="dxa"/>
            <w:shd w:val="clear" w:color="auto" w:fill="C6EFCE"/>
            <w:noWrap/>
          </w:tcPr>
          <w:p w14:paraId="68D0BAA2"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2A94D5C2"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2AD94573"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6C4A1BAD" w14:textId="77777777" w:rsidR="0065073E" w:rsidRDefault="000A0998">
            <w:pPr>
              <w:pStyle w:val="P68B1DB1-Normal12"/>
              <w:spacing w:after="0"/>
              <w:jc w:val="center"/>
              <w:rPr>
                <w:rFonts w:eastAsia="Times New Roman" w:cs="Times New Roman"/>
                <w:noProof/>
              </w:rPr>
            </w:pPr>
            <w:r>
              <w:rPr>
                <w:noProof/>
              </w:rPr>
              <w:t>TOINEN VUOSINELJÄNNES</w:t>
            </w:r>
          </w:p>
        </w:tc>
        <w:tc>
          <w:tcPr>
            <w:tcW w:w="553" w:type="dxa"/>
            <w:shd w:val="clear" w:color="auto" w:fill="C6EFCE"/>
            <w:noWrap/>
          </w:tcPr>
          <w:p w14:paraId="72149FF3" w14:textId="77777777" w:rsidR="0065073E" w:rsidRDefault="000A0998">
            <w:pPr>
              <w:pStyle w:val="P68B1DB1-Normal12"/>
              <w:spacing w:after="0"/>
              <w:jc w:val="center"/>
              <w:rPr>
                <w:rFonts w:eastAsia="Times New Roman" w:cs="Times New Roman"/>
                <w:noProof/>
              </w:rPr>
            </w:pPr>
            <w:r>
              <w:rPr>
                <w:noProof/>
              </w:rPr>
              <w:t>2021</w:t>
            </w:r>
          </w:p>
        </w:tc>
        <w:tc>
          <w:tcPr>
            <w:tcW w:w="5924" w:type="dxa"/>
            <w:shd w:val="clear" w:color="auto" w:fill="C6EFCE"/>
            <w:noWrap/>
          </w:tcPr>
          <w:p w14:paraId="1C4920E5" w14:textId="77777777" w:rsidR="0065073E" w:rsidRDefault="000A0998">
            <w:pPr>
              <w:pStyle w:val="P68B1DB1-Normal12"/>
              <w:spacing w:after="0"/>
              <w:rPr>
                <w:rFonts w:eastAsia="Times New Roman" w:cs="Times New Roman"/>
                <w:noProof/>
              </w:rPr>
            </w:pPr>
            <w:r>
              <w:rPr>
                <w:noProof/>
              </w:rPr>
              <w:t xml:space="preserve">Ministerineuvosto päättää menojen uudelleentarkastelun kolmannen vaiheen käynnistämisestä vuonna 2021. Menojen uudelleentarkastelun kolmannessa vaiheessa on käsiteltävä vähintään kahta osa-aluetta:  rahoitusvälineet ja yhdyskuntajätehuolto. AIReF suorittaa menojen uudelleentarkastelun. </w:t>
            </w:r>
          </w:p>
        </w:tc>
      </w:tr>
      <w:tr w:rsidR="0065073E" w14:paraId="6A6D47CF" w14:textId="77777777">
        <w:trPr>
          <w:trHeight w:val="309"/>
        </w:trPr>
        <w:tc>
          <w:tcPr>
            <w:tcW w:w="833" w:type="dxa"/>
            <w:shd w:val="clear" w:color="auto" w:fill="C6EFCE"/>
            <w:noWrap/>
          </w:tcPr>
          <w:p w14:paraId="096F73B1" w14:textId="77777777" w:rsidR="0065073E" w:rsidRDefault="000A0998">
            <w:pPr>
              <w:pStyle w:val="P68B1DB1-Normal12"/>
              <w:spacing w:after="0"/>
              <w:jc w:val="center"/>
              <w:rPr>
                <w:rFonts w:cs="Times New Roman"/>
                <w:noProof/>
              </w:rPr>
            </w:pPr>
            <w:r>
              <w:rPr>
                <w:noProof/>
              </w:rPr>
              <w:t>399</w:t>
            </w:r>
          </w:p>
        </w:tc>
        <w:tc>
          <w:tcPr>
            <w:tcW w:w="829" w:type="dxa"/>
            <w:shd w:val="clear" w:color="auto" w:fill="C6EFCE"/>
            <w:noWrap/>
          </w:tcPr>
          <w:p w14:paraId="13B5FED5" w14:textId="77777777" w:rsidR="0065073E" w:rsidRDefault="000A0998">
            <w:pPr>
              <w:pStyle w:val="P68B1DB1-Normal12"/>
              <w:spacing w:after="0"/>
              <w:jc w:val="center"/>
              <w:rPr>
                <w:rFonts w:cs="Times New Roman"/>
                <w:noProof/>
              </w:rPr>
            </w:pPr>
            <w:r>
              <w:rPr>
                <w:noProof/>
              </w:rPr>
              <w:t>C29.R1</w:t>
            </w:r>
          </w:p>
        </w:tc>
        <w:tc>
          <w:tcPr>
            <w:tcW w:w="828" w:type="dxa"/>
            <w:shd w:val="clear" w:color="auto" w:fill="C6EFCE"/>
            <w:noWrap/>
          </w:tcPr>
          <w:p w14:paraId="47FDE754" w14:textId="77777777" w:rsidR="0065073E" w:rsidRDefault="000A0998">
            <w:pPr>
              <w:pStyle w:val="P68B1DB1-Normal12"/>
              <w:spacing w:after="0"/>
              <w:jc w:val="center"/>
              <w:rPr>
                <w:rFonts w:cs="Times New Roman"/>
                <w:noProof/>
              </w:rPr>
            </w:pPr>
            <w:r>
              <w:rPr>
                <w:noProof/>
              </w:rPr>
              <w:t>M</w:t>
            </w:r>
          </w:p>
        </w:tc>
        <w:tc>
          <w:tcPr>
            <w:tcW w:w="2619" w:type="dxa"/>
            <w:shd w:val="clear" w:color="auto" w:fill="C6EFCE"/>
            <w:noWrap/>
          </w:tcPr>
          <w:p w14:paraId="72A052F6" w14:textId="77777777" w:rsidR="0065073E" w:rsidRDefault="000A0998">
            <w:pPr>
              <w:pStyle w:val="P68B1DB1-Normal12"/>
              <w:spacing w:after="0"/>
              <w:rPr>
                <w:rFonts w:cs="Times New Roman"/>
                <w:noProof/>
              </w:rPr>
            </w:pPr>
            <w:r>
              <w:rPr>
                <w:noProof/>
              </w:rPr>
              <w:t>Perustetaan AIReF:ään pysyvä yksikkö, joka vastaa hallituksen valtuuttamista menojen uudelleentarkasteluista.</w:t>
            </w:r>
          </w:p>
        </w:tc>
        <w:tc>
          <w:tcPr>
            <w:tcW w:w="966" w:type="dxa"/>
            <w:shd w:val="clear" w:color="auto" w:fill="C6EFCE"/>
            <w:noWrap/>
          </w:tcPr>
          <w:p w14:paraId="0B9B9238" w14:textId="77777777" w:rsidR="0065073E" w:rsidRDefault="000A0998">
            <w:pPr>
              <w:pStyle w:val="P68B1DB1-Normal12"/>
              <w:spacing w:after="0"/>
              <w:jc w:val="center"/>
              <w:rPr>
                <w:rFonts w:cs="Times New Roman"/>
                <w:noProof/>
              </w:rPr>
            </w:pPr>
            <w:r>
              <w:rPr>
                <w:noProof/>
              </w:rPr>
              <w:t>Maaseudun kehittämisasetuksen säännökset, joista käy ilmi sen voimaantulo</w:t>
            </w:r>
          </w:p>
        </w:tc>
        <w:tc>
          <w:tcPr>
            <w:tcW w:w="691" w:type="dxa"/>
            <w:shd w:val="clear" w:color="auto" w:fill="C6EFCE"/>
            <w:noWrap/>
          </w:tcPr>
          <w:p w14:paraId="6A4522B7" w14:textId="77777777" w:rsidR="0065073E" w:rsidRDefault="000A0998">
            <w:pPr>
              <w:pStyle w:val="P68B1DB1-Normal12"/>
              <w:spacing w:after="0"/>
              <w:jc w:val="center"/>
              <w:rPr>
                <w:rFonts w:cs="Times New Roman"/>
                <w:noProof/>
              </w:rPr>
            </w:pPr>
            <w:r>
              <w:rPr>
                <w:noProof/>
              </w:rPr>
              <w:t xml:space="preserve"> </w:t>
            </w:r>
          </w:p>
        </w:tc>
        <w:tc>
          <w:tcPr>
            <w:tcW w:w="966" w:type="dxa"/>
            <w:shd w:val="clear" w:color="auto" w:fill="C6EFCE"/>
            <w:noWrap/>
          </w:tcPr>
          <w:p w14:paraId="7951C568" w14:textId="77777777" w:rsidR="0065073E" w:rsidRDefault="000A0998">
            <w:pPr>
              <w:pStyle w:val="P68B1DB1-Normal12"/>
              <w:spacing w:after="0"/>
              <w:jc w:val="right"/>
              <w:rPr>
                <w:rFonts w:cs="Times New Roman"/>
                <w:noProof/>
              </w:rPr>
            </w:pPr>
            <w:r>
              <w:rPr>
                <w:noProof/>
              </w:rPr>
              <w:t xml:space="preserve"> </w:t>
            </w:r>
          </w:p>
        </w:tc>
        <w:tc>
          <w:tcPr>
            <w:tcW w:w="690" w:type="dxa"/>
            <w:shd w:val="clear" w:color="auto" w:fill="C6EFCE"/>
            <w:noWrap/>
          </w:tcPr>
          <w:p w14:paraId="510F1B72" w14:textId="77777777" w:rsidR="0065073E" w:rsidRDefault="000A0998">
            <w:pPr>
              <w:pStyle w:val="P68B1DB1-Normal12"/>
              <w:spacing w:after="0"/>
              <w:jc w:val="right"/>
              <w:rPr>
                <w:rFonts w:cs="Times New Roman"/>
                <w:noProof/>
              </w:rPr>
            </w:pPr>
            <w:r>
              <w:rPr>
                <w:noProof/>
              </w:rPr>
              <w:t xml:space="preserve"> </w:t>
            </w:r>
          </w:p>
        </w:tc>
        <w:tc>
          <w:tcPr>
            <w:tcW w:w="553" w:type="dxa"/>
            <w:shd w:val="clear" w:color="auto" w:fill="C6EFCE"/>
            <w:noWrap/>
          </w:tcPr>
          <w:p w14:paraId="4B9CB736" w14:textId="77777777" w:rsidR="0065073E" w:rsidRDefault="000A0998">
            <w:pPr>
              <w:pStyle w:val="P68B1DB1-Normal12"/>
              <w:spacing w:after="0"/>
              <w:jc w:val="center"/>
              <w:rPr>
                <w:rFonts w:cs="Times New Roman"/>
                <w:noProof/>
              </w:rPr>
            </w:pPr>
            <w:r>
              <w:rPr>
                <w:noProof/>
              </w:rPr>
              <w:t>TOINEN VUOSINELJÄNNES</w:t>
            </w:r>
          </w:p>
        </w:tc>
        <w:tc>
          <w:tcPr>
            <w:tcW w:w="553" w:type="dxa"/>
            <w:shd w:val="clear" w:color="auto" w:fill="C6EFCE"/>
            <w:noWrap/>
          </w:tcPr>
          <w:p w14:paraId="562D6171" w14:textId="77777777" w:rsidR="0065073E" w:rsidRDefault="000A0998">
            <w:pPr>
              <w:pStyle w:val="P68B1DB1-Normal12"/>
              <w:spacing w:after="0"/>
              <w:jc w:val="center"/>
              <w:rPr>
                <w:rFonts w:cs="Times New Roman"/>
                <w:noProof/>
              </w:rPr>
            </w:pPr>
            <w:r>
              <w:rPr>
                <w:noProof/>
              </w:rPr>
              <w:t>2021</w:t>
            </w:r>
          </w:p>
        </w:tc>
        <w:tc>
          <w:tcPr>
            <w:tcW w:w="5924" w:type="dxa"/>
            <w:shd w:val="clear" w:color="auto" w:fill="C6EFCE"/>
            <w:noWrap/>
          </w:tcPr>
          <w:p w14:paraId="26000930" w14:textId="77777777" w:rsidR="0065073E" w:rsidRDefault="000A0998">
            <w:pPr>
              <w:pStyle w:val="P68B1DB1-Normal12"/>
              <w:spacing w:after="0"/>
              <w:rPr>
                <w:rFonts w:cs="Times New Roman"/>
                <w:noProof/>
              </w:rPr>
            </w:pPr>
            <w:r>
              <w:rPr>
                <w:noProof/>
              </w:rPr>
              <w:t xml:space="preserve">Tulee voimaan AIReF:n orgaanisen säädöksen 215/2014 muutos, johon liittyy hallituksen tilaamien menojen uudelleenarviointien suorittamisesta vastaavan pysyvän yksikön perustaminen. </w:t>
            </w:r>
          </w:p>
        </w:tc>
      </w:tr>
      <w:tr w:rsidR="0065073E" w14:paraId="2C879550" w14:textId="77777777">
        <w:trPr>
          <w:trHeight w:val="309"/>
        </w:trPr>
        <w:tc>
          <w:tcPr>
            <w:tcW w:w="833" w:type="dxa"/>
            <w:shd w:val="clear" w:color="auto" w:fill="C6EFCE"/>
            <w:noWrap/>
          </w:tcPr>
          <w:p w14:paraId="7D68B413" w14:textId="77777777" w:rsidR="0065073E" w:rsidRDefault="000A0998">
            <w:pPr>
              <w:pStyle w:val="P68B1DB1-Normal12"/>
              <w:spacing w:after="0"/>
              <w:jc w:val="center"/>
              <w:rPr>
                <w:rFonts w:eastAsia="Times New Roman" w:cs="Times New Roman"/>
                <w:noProof/>
              </w:rPr>
            </w:pPr>
            <w:r>
              <w:rPr>
                <w:noProof/>
              </w:rPr>
              <w:t>400</w:t>
            </w:r>
          </w:p>
        </w:tc>
        <w:tc>
          <w:tcPr>
            <w:tcW w:w="829" w:type="dxa"/>
            <w:shd w:val="clear" w:color="auto" w:fill="C6EFCE"/>
            <w:noWrap/>
          </w:tcPr>
          <w:p w14:paraId="34D141FA" w14:textId="77777777" w:rsidR="0065073E" w:rsidRDefault="000A0998">
            <w:pPr>
              <w:pStyle w:val="P68B1DB1-Normal12"/>
              <w:spacing w:after="0"/>
              <w:jc w:val="center"/>
              <w:rPr>
                <w:rFonts w:eastAsia="Times New Roman" w:cs="Times New Roman"/>
                <w:noProof/>
              </w:rPr>
            </w:pPr>
            <w:r>
              <w:rPr>
                <w:noProof/>
              </w:rPr>
              <w:t>C29.R1</w:t>
            </w:r>
          </w:p>
        </w:tc>
        <w:tc>
          <w:tcPr>
            <w:tcW w:w="828" w:type="dxa"/>
            <w:shd w:val="clear" w:color="auto" w:fill="C6EFCE"/>
            <w:noWrap/>
          </w:tcPr>
          <w:p w14:paraId="5ADCDE13"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664058F7" w14:textId="77777777" w:rsidR="0065073E" w:rsidRDefault="000A0998">
            <w:pPr>
              <w:pStyle w:val="P68B1DB1-Normal12"/>
              <w:spacing w:after="0"/>
              <w:rPr>
                <w:rFonts w:eastAsia="Times New Roman" w:cs="Times New Roman"/>
                <w:noProof/>
              </w:rPr>
            </w:pPr>
            <w:r>
              <w:rPr>
                <w:noProof/>
              </w:rPr>
              <w:t>Ministerineuvosto hyväksyy AIReF:n tehtäväksi annettavat menojen uudelleenarvioinnit (2022–26).</w:t>
            </w:r>
          </w:p>
        </w:tc>
        <w:tc>
          <w:tcPr>
            <w:tcW w:w="966" w:type="dxa"/>
            <w:shd w:val="clear" w:color="auto" w:fill="C6EFCE"/>
            <w:noWrap/>
          </w:tcPr>
          <w:p w14:paraId="4DA1E24F" w14:textId="77777777" w:rsidR="0065073E" w:rsidRDefault="000A0998">
            <w:pPr>
              <w:pStyle w:val="P68B1DB1-Normal12"/>
              <w:spacing w:after="0"/>
              <w:jc w:val="center"/>
              <w:rPr>
                <w:rFonts w:eastAsia="Times New Roman" w:cs="Times New Roman"/>
                <w:noProof/>
              </w:rPr>
            </w:pPr>
            <w:r>
              <w:rPr>
                <w:noProof/>
              </w:rPr>
              <w:t>Ministerineuvoston sopimuksen määräys, josta käy ilmi sen voimaantulo</w:t>
            </w:r>
          </w:p>
        </w:tc>
        <w:tc>
          <w:tcPr>
            <w:tcW w:w="691" w:type="dxa"/>
            <w:shd w:val="clear" w:color="auto" w:fill="C6EFCE"/>
            <w:noWrap/>
          </w:tcPr>
          <w:p w14:paraId="5673BDB9"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314257EC"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5933B9EC" w14:textId="77777777" w:rsidR="0065073E" w:rsidRDefault="000A0998">
            <w:pPr>
              <w:pStyle w:val="P68B1DB1-Normal12"/>
              <w:spacing w:after="0"/>
              <w:rPr>
                <w:rFonts w:eastAsia="Times New Roman" w:cs="Times New Roman"/>
                <w:noProof/>
              </w:rPr>
            </w:pPr>
            <w:r>
              <w:rPr>
                <w:noProof/>
              </w:rPr>
              <w:t xml:space="preserve"> </w:t>
            </w:r>
          </w:p>
        </w:tc>
        <w:tc>
          <w:tcPr>
            <w:tcW w:w="553" w:type="dxa"/>
            <w:shd w:val="clear" w:color="auto" w:fill="C6EFCE"/>
            <w:noWrap/>
          </w:tcPr>
          <w:p w14:paraId="30706DA0" w14:textId="77777777" w:rsidR="0065073E" w:rsidRDefault="000A0998">
            <w:pPr>
              <w:pStyle w:val="P68B1DB1-Normal12"/>
              <w:spacing w:after="0"/>
              <w:jc w:val="center"/>
              <w:rPr>
                <w:rFonts w:eastAsia="Times New Roman" w:cs="Times New Roman"/>
                <w:noProof/>
              </w:rPr>
            </w:pPr>
            <w:r>
              <w:rPr>
                <w:noProof/>
              </w:rPr>
              <w:t>Q4</w:t>
            </w:r>
          </w:p>
        </w:tc>
        <w:tc>
          <w:tcPr>
            <w:tcW w:w="553" w:type="dxa"/>
            <w:shd w:val="clear" w:color="auto" w:fill="C6EFCE"/>
            <w:noWrap/>
          </w:tcPr>
          <w:p w14:paraId="642A5343" w14:textId="77777777" w:rsidR="0065073E" w:rsidRDefault="000A0998">
            <w:pPr>
              <w:pStyle w:val="P68B1DB1-Normal12"/>
              <w:spacing w:after="0"/>
              <w:jc w:val="center"/>
              <w:rPr>
                <w:rFonts w:eastAsia="Times New Roman" w:cs="Times New Roman"/>
                <w:noProof/>
              </w:rPr>
            </w:pPr>
            <w:r>
              <w:rPr>
                <w:noProof/>
              </w:rPr>
              <w:t>2021</w:t>
            </w:r>
          </w:p>
        </w:tc>
        <w:tc>
          <w:tcPr>
            <w:tcW w:w="5924" w:type="dxa"/>
            <w:shd w:val="clear" w:color="auto" w:fill="C6EFCE"/>
            <w:noWrap/>
          </w:tcPr>
          <w:p w14:paraId="46C91DC3" w14:textId="77777777" w:rsidR="0065073E" w:rsidRDefault="000A0998">
            <w:pPr>
              <w:pStyle w:val="P68B1DB1-Normal12"/>
              <w:spacing w:after="0"/>
              <w:rPr>
                <w:rFonts w:eastAsia="Times New Roman" w:cs="Times New Roman"/>
                <w:noProof/>
              </w:rPr>
            </w:pPr>
            <w:r>
              <w:rPr>
                <w:noProof/>
              </w:rPr>
              <w:t xml:space="preserve">Uusi monivuotinen julkisten menojen uudelleentarkastelusykli kattaa vuodet 2022–2026. Jotta hakemus voidaan suunnitella asianmukaisesti ja kerätä tarvittavat tiedot menojen uudelleentarkastelun jokaista vaihetta varten, ministerineuvosto päättää AIReF:ää kuultuaan ainakin politiikan alat, asianomaiset julkisyhteisöt ja ajanjaksot, joita analyysi koskee, sekä asiaankuuluvat metodologiset näkökohdat. </w:t>
            </w:r>
          </w:p>
        </w:tc>
      </w:tr>
      <w:tr w:rsidR="0065073E" w14:paraId="3B5884ED" w14:textId="77777777">
        <w:trPr>
          <w:trHeight w:val="390"/>
        </w:trPr>
        <w:tc>
          <w:tcPr>
            <w:tcW w:w="833" w:type="dxa"/>
            <w:shd w:val="clear" w:color="auto" w:fill="C6EFCE"/>
            <w:noWrap/>
          </w:tcPr>
          <w:p w14:paraId="6877DEE0" w14:textId="77777777" w:rsidR="0065073E" w:rsidRDefault="000A0998">
            <w:pPr>
              <w:pStyle w:val="P68B1DB1-Normal12"/>
              <w:spacing w:after="0"/>
              <w:jc w:val="center"/>
              <w:rPr>
                <w:rFonts w:eastAsia="Times New Roman" w:cs="Times New Roman"/>
                <w:noProof/>
              </w:rPr>
            </w:pPr>
            <w:r>
              <w:rPr>
                <w:noProof/>
              </w:rPr>
              <w:t>401</w:t>
            </w:r>
          </w:p>
        </w:tc>
        <w:tc>
          <w:tcPr>
            <w:tcW w:w="829" w:type="dxa"/>
            <w:shd w:val="clear" w:color="auto" w:fill="C6EFCE"/>
            <w:noWrap/>
          </w:tcPr>
          <w:p w14:paraId="59AE15C9" w14:textId="77777777" w:rsidR="0065073E" w:rsidRDefault="000A0998">
            <w:pPr>
              <w:pStyle w:val="P68B1DB1-Normal12"/>
              <w:spacing w:after="0"/>
              <w:jc w:val="center"/>
              <w:rPr>
                <w:rFonts w:eastAsia="Times New Roman" w:cs="Times New Roman"/>
                <w:noProof/>
              </w:rPr>
            </w:pPr>
            <w:r>
              <w:rPr>
                <w:noProof/>
              </w:rPr>
              <w:t>C29.R1</w:t>
            </w:r>
          </w:p>
        </w:tc>
        <w:tc>
          <w:tcPr>
            <w:tcW w:w="828" w:type="dxa"/>
            <w:shd w:val="clear" w:color="auto" w:fill="C6EFCE"/>
            <w:noWrap/>
          </w:tcPr>
          <w:p w14:paraId="068694C4"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7405E763" w14:textId="77777777" w:rsidR="0065073E" w:rsidRDefault="000A0998">
            <w:pPr>
              <w:pStyle w:val="P68B1DB1-Normal12"/>
              <w:spacing w:after="0"/>
              <w:rPr>
                <w:rFonts w:eastAsia="Times New Roman" w:cs="Times New Roman"/>
                <w:noProof/>
              </w:rPr>
            </w:pPr>
            <w:r>
              <w:rPr>
                <w:noProof/>
              </w:rPr>
              <w:t>Seurantakertomuksen julkaiseminen</w:t>
            </w:r>
          </w:p>
        </w:tc>
        <w:tc>
          <w:tcPr>
            <w:tcW w:w="966" w:type="dxa"/>
            <w:shd w:val="clear" w:color="auto" w:fill="C6EFCE"/>
            <w:noWrap/>
          </w:tcPr>
          <w:p w14:paraId="218AA60C" w14:textId="77777777" w:rsidR="0065073E" w:rsidRDefault="000A0998">
            <w:pPr>
              <w:pStyle w:val="P68B1DB1-Normal12"/>
              <w:spacing w:after="0"/>
              <w:jc w:val="center"/>
              <w:rPr>
                <w:rFonts w:eastAsia="Times New Roman" w:cs="Times New Roman"/>
                <w:noProof/>
              </w:rPr>
            </w:pPr>
            <w:r>
              <w:rPr>
                <w:noProof/>
              </w:rPr>
              <w:t>Julkaiseminen valtiovarainministeriön verkkosivustolla</w:t>
            </w:r>
          </w:p>
        </w:tc>
        <w:tc>
          <w:tcPr>
            <w:tcW w:w="691" w:type="dxa"/>
            <w:shd w:val="clear" w:color="auto" w:fill="C6EFCE"/>
            <w:noWrap/>
          </w:tcPr>
          <w:p w14:paraId="5F10CF2F"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22E91A17"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639A99ED"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3D10146E"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53" w:type="dxa"/>
            <w:shd w:val="clear" w:color="auto" w:fill="C6EFCE"/>
            <w:noWrap/>
          </w:tcPr>
          <w:p w14:paraId="2CEC990D" w14:textId="77777777" w:rsidR="0065073E" w:rsidRDefault="000A0998">
            <w:pPr>
              <w:pStyle w:val="P68B1DB1-Normal12"/>
              <w:spacing w:after="0"/>
              <w:jc w:val="center"/>
              <w:rPr>
                <w:rFonts w:eastAsia="Times New Roman" w:cs="Times New Roman"/>
                <w:noProof/>
              </w:rPr>
            </w:pPr>
            <w:r>
              <w:rPr>
                <w:noProof/>
              </w:rPr>
              <w:t>2022</w:t>
            </w:r>
          </w:p>
        </w:tc>
        <w:tc>
          <w:tcPr>
            <w:tcW w:w="5924" w:type="dxa"/>
            <w:shd w:val="clear" w:color="auto" w:fill="C6EFCE"/>
            <w:noWrap/>
          </w:tcPr>
          <w:p w14:paraId="0BB86071" w14:textId="77777777" w:rsidR="0065073E" w:rsidRDefault="000A0998">
            <w:pPr>
              <w:pStyle w:val="P68B1DB1-Normal12"/>
              <w:spacing w:after="0"/>
              <w:rPr>
                <w:rFonts w:eastAsia="Times New Roman" w:cs="Times New Roman"/>
                <w:noProof/>
              </w:rPr>
            </w:pPr>
            <w:r>
              <w:rPr>
                <w:noProof/>
              </w:rPr>
              <w:t>Seurantakertomuksen julkaiseminen vuosittain. Kertomuksessa on lueteltava AIReF:n antamat suositukset ja esitettävä yksityiskohtaisesti lainsäädännölliset muutokset tai muut toimenpiteet, jotka on toteutettu niiden korjaamiseksi. Jos menokeskukset, joille suositukset on osoitettu, eivät ole samaa mieltä niiden kanssa, on esitettävä asianmukaiset perustelut.</w:t>
            </w:r>
          </w:p>
        </w:tc>
      </w:tr>
      <w:tr w:rsidR="0065073E" w14:paraId="1AAEC9ED" w14:textId="77777777">
        <w:trPr>
          <w:trHeight w:val="309"/>
        </w:trPr>
        <w:tc>
          <w:tcPr>
            <w:tcW w:w="833" w:type="dxa"/>
            <w:shd w:val="clear" w:color="auto" w:fill="C6EFCE"/>
            <w:noWrap/>
          </w:tcPr>
          <w:p w14:paraId="4DF04293" w14:textId="77777777" w:rsidR="0065073E" w:rsidRDefault="000A0998">
            <w:pPr>
              <w:pStyle w:val="P68B1DB1-Normal12"/>
              <w:spacing w:after="0"/>
              <w:jc w:val="center"/>
              <w:rPr>
                <w:rFonts w:eastAsia="Times New Roman" w:cs="Times New Roman"/>
                <w:noProof/>
              </w:rPr>
            </w:pPr>
            <w:r>
              <w:rPr>
                <w:noProof/>
              </w:rPr>
              <w:t>402</w:t>
            </w:r>
          </w:p>
        </w:tc>
        <w:tc>
          <w:tcPr>
            <w:tcW w:w="829" w:type="dxa"/>
            <w:shd w:val="clear" w:color="auto" w:fill="C6EFCE"/>
            <w:noWrap/>
          </w:tcPr>
          <w:p w14:paraId="1536F060" w14:textId="77777777" w:rsidR="0065073E" w:rsidRDefault="000A0998">
            <w:pPr>
              <w:pStyle w:val="P68B1DB1-Normal12"/>
              <w:spacing w:after="0"/>
              <w:jc w:val="center"/>
              <w:rPr>
                <w:rFonts w:eastAsia="Times New Roman" w:cs="Times New Roman"/>
                <w:noProof/>
              </w:rPr>
            </w:pPr>
            <w:r>
              <w:rPr>
                <w:noProof/>
              </w:rPr>
              <w:t>C29.R1</w:t>
            </w:r>
          </w:p>
        </w:tc>
        <w:tc>
          <w:tcPr>
            <w:tcW w:w="828" w:type="dxa"/>
            <w:shd w:val="clear" w:color="auto" w:fill="C6EFCE"/>
            <w:noWrap/>
          </w:tcPr>
          <w:p w14:paraId="77B046B9"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40961BB9" w14:textId="77777777" w:rsidR="0065073E" w:rsidRDefault="000A0998">
            <w:pPr>
              <w:pStyle w:val="P68B1DB1-Normal12"/>
              <w:spacing w:after="0"/>
              <w:rPr>
                <w:rFonts w:eastAsia="Times New Roman" w:cs="Times New Roman"/>
                <w:noProof/>
              </w:rPr>
            </w:pPr>
            <w:r>
              <w:rPr>
                <w:noProof/>
              </w:rPr>
              <w:t>Menojen uudelleenarvioinnin vaihe III</w:t>
            </w:r>
          </w:p>
        </w:tc>
        <w:tc>
          <w:tcPr>
            <w:tcW w:w="966" w:type="dxa"/>
            <w:shd w:val="clear" w:color="auto" w:fill="C6EFCE"/>
            <w:noWrap/>
          </w:tcPr>
          <w:p w14:paraId="59B24D11" w14:textId="77777777" w:rsidR="0065073E" w:rsidRDefault="000A0998">
            <w:pPr>
              <w:pStyle w:val="P68B1DB1-Normal12"/>
              <w:spacing w:after="0"/>
              <w:jc w:val="center"/>
              <w:rPr>
                <w:rFonts w:eastAsia="Times New Roman" w:cs="Times New Roman"/>
                <w:noProof/>
              </w:rPr>
            </w:pPr>
            <w:r>
              <w:rPr>
                <w:noProof/>
              </w:rPr>
              <w:t>Raporttien julkaiseminen AIReF:n verkkosivustolla</w:t>
            </w:r>
          </w:p>
        </w:tc>
        <w:tc>
          <w:tcPr>
            <w:tcW w:w="691" w:type="dxa"/>
            <w:shd w:val="clear" w:color="auto" w:fill="C6EFCE"/>
            <w:noWrap/>
          </w:tcPr>
          <w:p w14:paraId="28435C3F"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3B3692E9"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37AECD10"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47FD9F2D" w14:textId="77777777" w:rsidR="0065073E" w:rsidRDefault="000A0998">
            <w:pPr>
              <w:pStyle w:val="P68B1DB1-Normal12"/>
              <w:spacing w:after="0"/>
              <w:jc w:val="center"/>
              <w:rPr>
                <w:rFonts w:eastAsia="Times New Roman" w:cs="Times New Roman"/>
                <w:noProof/>
              </w:rPr>
            </w:pPr>
            <w:r>
              <w:rPr>
                <w:noProof/>
              </w:rPr>
              <w:t>TOINEN VUOSINELJÄNNES</w:t>
            </w:r>
          </w:p>
        </w:tc>
        <w:tc>
          <w:tcPr>
            <w:tcW w:w="553" w:type="dxa"/>
            <w:shd w:val="clear" w:color="auto" w:fill="C6EFCE"/>
            <w:noWrap/>
          </w:tcPr>
          <w:p w14:paraId="67D05C4F" w14:textId="77777777" w:rsidR="0065073E" w:rsidRDefault="000A0998">
            <w:pPr>
              <w:pStyle w:val="P68B1DB1-Normal12"/>
              <w:spacing w:after="0"/>
              <w:jc w:val="center"/>
              <w:rPr>
                <w:rFonts w:eastAsia="Times New Roman" w:cs="Times New Roman"/>
                <w:noProof/>
              </w:rPr>
            </w:pPr>
            <w:r>
              <w:rPr>
                <w:noProof/>
              </w:rPr>
              <w:t>2023</w:t>
            </w:r>
          </w:p>
        </w:tc>
        <w:tc>
          <w:tcPr>
            <w:tcW w:w="5924" w:type="dxa"/>
            <w:shd w:val="clear" w:color="auto" w:fill="C6EFCE"/>
            <w:noWrap/>
          </w:tcPr>
          <w:p w14:paraId="3F72302B" w14:textId="77777777" w:rsidR="0065073E" w:rsidRDefault="000A0998">
            <w:pPr>
              <w:pStyle w:val="P68B1DB1-Normal12"/>
              <w:spacing w:after="0"/>
              <w:rPr>
                <w:rFonts w:eastAsia="Times New Roman" w:cs="Times New Roman"/>
                <w:noProof/>
              </w:rPr>
            </w:pPr>
            <w:r>
              <w:rPr>
                <w:noProof/>
              </w:rPr>
              <w:t>AIReF:n menojen uudelleentarkastelun kolmatta vaihetta koskevien raporttien julkaiseminen.</w:t>
            </w:r>
          </w:p>
        </w:tc>
      </w:tr>
      <w:tr w:rsidR="0065073E" w14:paraId="4BC432FA" w14:textId="77777777">
        <w:trPr>
          <w:trHeight w:val="309"/>
        </w:trPr>
        <w:tc>
          <w:tcPr>
            <w:tcW w:w="833" w:type="dxa"/>
            <w:shd w:val="clear" w:color="auto" w:fill="C6EFCE"/>
            <w:noWrap/>
          </w:tcPr>
          <w:p w14:paraId="3E853694" w14:textId="77777777" w:rsidR="0065073E" w:rsidRDefault="000A0998">
            <w:pPr>
              <w:pStyle w:val="P68B1DB1-Normal12"/>
              <w:spacing w:after="0"/>
              <w:jc w:val="center"/>
              <w:rPr>
                <w:rFonts w:eastAsia="Times New Roman" w:cs="Times New Roman"/>
                <w:noProof/>
              </w:rPr>
            </w:pPr>
            <w:r>
              <w:rPr>
                <w:noProof/>
              </w:rPr>
              <w:t>403</w:t>
            </w:r>
          </w:p>
        </w:tc>
        <w:tc>
          <w:tcPr>
            <w:tcW w:w="829" w:type="dxa"/>
            <w:shd w:val="clear" w:color="auto" w:fill="C6EFCE"/>
            <w:noWrap/>
          </w:tcPr>
          <w:p w14:paraId="178BAF6C" w14:textId="77777777" w:rsidR="0065073E" w:rsidRDefault="000A0998">
            <w:pPr>
              <w:pStyle w:val="P68B1DB1-Normal12"/>
              <w:spacing w:after="0"/>
              <w:jc w:val="center"/>
              <w:rPr>
                <w:rFonts w:eastAsia="Times New Roman" w:cs="Times New Roman"/>
                <w:noProof/>
              </w:rPr>
            </w:pPr>
            <w:r>
              <w:rPr>
                <w:noProof/>
              </w:rPr>
              <w:t>C29.R2</w:t>
            </w:r>
          </w:p>
        </w:tc>
        <w:tc>
          <w:tcPr>
            <w:tcW w:w="828" w:type="dxa"/>
            <w:shd w:val="clear" w:color="auto" w:fill="C6EFCE"/>
            <w:noWrap/>
          </w:tcPr>
          <w:p w14:paraId="64D58C09"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6F6A323F" w14:textId="77777777" w:rsidR="0065073E" w:rsidRDefault="000A0998">
            <w:pPr>
              <w:pStyle w:val="P68B1DB1-Normal12"/>
              <w:spacing w:after="0"/>
              <w:rPr>
                <w:rFonts w:eastAsia="Times New Roman" w:cs="Times New Roman"/>
                <w:noProof/>
              </w:rPr>
            </w:pPr>
            <w:r>
              <w:rPr>
                <w:noProof/>
              </w:rPr>
              <w:t>Kertomus talousarvion yhdenmukaistamisesta kestävän kehityksen tavoitteiden kanssa</w:t>
            </w:r>
          </w:p>
        </w:tc>
        <w:tc>
          <w:tcPr>
            <w:tcW w:w="966" w:type="dxa"/>
            <w:shd w:val="clear" w:color="auto" w:fill="C6EFCE"/>
            <w:noWrap/>
          </w:tcPr>
          <w:p w14:paraId="58169A30" w14:textId="77777777" w:rsidR="0065073E" w:rsidRDefault="000A0998">
            <w:pPr>
              <w:pStyle w:val="P68B1DB1-Normal12"/>
              <w:spacing w:after="0"/>
              <w:jc w:val="center"/>
              <w:rPr>
                <w:rFonts w:eastAsia="Times New Roman" w:cs="Times New Roman"/>
                <w:noProof/>
              </w:rPr>
            </w:pPr>
            <w:r>
              <w:rPr>
                <w:noProof/>
              </w:rPr>
              <w:t>Julkaiseminen täydentävänä asiakirjana vuotuisessa talousarviolaissa</w:t>
            </w:r>
          </w:p>
        </w:tc>
        <w:tc>
          <w:tcPr>
            <w:tcW w:w="691" w:type="dxa"/>
            <w:shd w:val="clear" w:color="auto" w:fill="C6EFCE"/>
            <w:noWrap/>
          </w:tcPr>
          <w:p w14:paraId="762614A7"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2DF3361E"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666FE2A8"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6D5724FD" w14:textId="77777777" w:rsidR="0065073E" w:rsidRDefault="000A0998">
            <w:pPr>
              <w:pStyle w:val="P68B1DB1-Normal12"/>
              <w:spacing w:after="0"/>
              <w:jc w:val="center"/>
              <w:rPr>
                <w:rFonts w:eastAsia="Times New Roman" w:cs="Times New Roman"/>
                <w:noProof/>
              </w:rPr>
            </w:pPr>
            <w:r>
              <w:rPr>
                <w:noProof/>
              </w:rPr>
              <w:t>Q3</w:t>
            </w:r>
          </w:p>
        </w:tc>
        <w:tc>
          <w:tcPr>
            <w:tcW w:w="553" w:type="dxa"/>
            <w:shd w:val="clear" w:color="auto" w:fill="C6EFCE"/>
            <w:noWrap/>
          </w:tcPr>
          <w:p w14:paraId="4332F592" w14:textId="77777777" w:rsidR="0065073E" w:rsidRDefault="000A0998">
            <w:pPr>
              <w:pStyle w:val="P68B1DB1-Normal12"/>
              <w:spacing w:after="0"/>
              <w:jc w:val="center"/>
              <w:rPr>
                <w:rFonts w:eastAsia="Times New Roman" w:cs="Times New Roman"/>
                <w:noProof/>
              </w:rPr>
            </w:pPr>
            <w:r>
              <w:rPr>
                <w:noProof/>
              </w:rPr>
              <w:t>2021</w:t>
            </w:r>
          </w:p>
        </w:tc>
        <w:tc>
          <w:tcPr>
            <w:tcW w:w="5924" w:type="dxa"/>
            <w:shd w:val="clear" w:color="auto" w:fill="C6EFCE"/>
            <w:noWrap/>
          </w:tcPr>
          <w:p w14:paraId="1503BF07" w14:textId="77777777" w:rsidR="0065073E" w:rsidRDefault="000A0998">
            <w:pPr>
              <w:pStyle w:val="P68B1DB1-Normal12"/>
              <w:spacing w:after="0"/>
              <w:rPr>
                <w:rFonts w:eastAsia="Times New Roman" w:cs="Times New Roman"/>
                <w:noProof/>
              </w:rPr>
            </w:pPr>
            <w:r>
              <w:rPr>
                <w:noProof/>
              </w:rPr>
              <w:t>Vuoden 2022 talousarviolakiesitykseen liittyvän kertomuksen julkaiseminen sen mukauttamisesta kestävän kehityksen tavoitteisiin.</w:t>
            </w:r>
          </w:p>
        </w:tc>
      </w:tr>
      <w:tr w:rsidR="0065073E" w14:paraId="30A10A31" w14:textId="77777777">
        <w:trPr>
          <w:trHeight w:val="309"/>
        </w:trPr>
        <w:tc>
          <w:tcPr>
            <w:tcW w:w="833" w:type="dxa"/>
            <w:shd w:val="clear" w:color="auto" w:fill="C6EFCE"/>
            <w:noWrap/>
          </w:tcPr>
          <w:p w14:paraId="40E48CF1" w14:textId="77777777" w:rsidR="0065073E" w:rsidRDefault="000A0998">
            <w:pPr>
              <w:pStyle w:val="P68B1DB1-Normal12"/>
              <w:spacing w:after="0"/>
              <w:jc w:val="center"/>
              <w:rPr>
                <w:rFonts w:eastAsia="Times New Roman" w:cs="Times New Roman"/>
                <w:noProof/>
              </w:rPr>
            </w:pPr>
            <w:r>
              <w:rPr>
                <w:noProof/>
              </w:rPr>
              <w:t>404</w:t>
            </w:r>
          </w:p>
        </w:tc>
        <w:tc>
          <w:tcPr>
            <w:tcW w:w="829" w:type="dxa"/>
            <w:shd w:val="clear" w:color="auto" w:fill="C6EFCE"/>
            <w:noWrap/>
          </w:tcPr>
          <w:p w14:paraId="1AFFD783" w14:textId="77777777" w:rsidR="0065073E" w:rsidRDefault="000A0998">
            <w:pPr>
              <w:pStyle w:val="P68B1DB1-Normal12"/>
              <w:spacing w:after="0"/>
              <w:jc w:val="center"/>
              <w:rPr>
                <w:rFonts w:eastAsia="Times New Roman" w:cs="Times New Roman"/>
                <w:noProof/>
              </w:rPr>
            </w:pPr>
            <w:r>
              <w:rPr>
                <w:noProof/>
              </w:rPr>
              <w:t>C29.R3</w:t>
            </w:r>
          </w:p>
        </w:tc>
        <w:tc>
          <w:tcPr>
            <w:tcW w:w="828" w:type="dxa"/>
            <w:shd w:val="clear" w:color="auto" w:fill="C6EFCE"/>
            <w:noWrap/>
          </w:tcPr>
          <w:p w14:paraId="63FB8DE3" w14:textId="77777777" w:rsidR="0065073E" w:rsidRDefault="000A0998">
            <w:pPr>
              <w:pStyle w:val="P68B1DB1-Normal12"/>
              <w:spacing w:after="0"/>
              <w:jc w:val="center"/>
              <w:rPr>
                <w:rFonts w:eastAsia="Times New Roman" w:cs="Times New Roman"/>
                <w:noProof/>
              </w:rPr>
            </w:pPr>
            <w:r>
              <w:rPr>
                <w:noProof/>
              </w:rPr>
              <w:t>M</w:t>
            </w:r>
          </w:p>
        </w:tc>
        <w:tc>
          <w:tcPr>
            <w:tcW w:w="2619" w:type="dxa"/>
            <w:shd w:val="clear" w:color="auto" w:fill="C6EFCE"/>
            <w:noWrap/>
          </w:tcPr>
          <w:p w14:paraId="447F1A60" w14:textId="77777777" w:rsidR="0065073E" w:rsidRDefault="000A0998">
            <w:pPr>
              <w:pStyle w:val="P68B1DB1-Normal12"/>
              <w:spacing w:after="0"/>
              <w:rPr>
                <w:rFonts w:eastAsia="Times New Roman" w:cs="Times New Roman"/>
                <w:noProof/>
              </w:rPr>
            </w:pPr>
            <w:r>
              <w:rPr>
                <w:noProof/>
              </w:rPr>
              <w:t>Vihreän budjetoinnin yhdenmukaistamista koskeva kertomus</w:t>
            </w:r>
          </w:p>
        </w:tc>
        <w:tc>
          <w:tcPr>
            <w:tcW w:w="966" w:type="dxa"/>
            <w:shd w:val="clear" w:color="auto" w:fill="C6EFCE"/>
            <w:noWrap/>
          </w:tcPr>
          <w:p w14:paraId="5B23B7B4" w14:textId="77777777" w:rsidR="0065073E" w:rsidRDefault="000A0998">
            <w:pPr>
              <w:pStyle w:val="P68B1DB1-Normal12"/>
              <w:spacing w:after="0"/>
              <w:jc w:val="center"/>
              <w:rPr>
                <w:rFonts w:eastAsia="Times New Roman" w:cs="Times New Roman"/>
                <w:noProof/>
              </w:rPr>
            </w:pPr>
            <w:r>
              <w:rPr>
                <w:noProof/>
              </w:rPr>
              <w:t>Julkaiseminen täydentävänä asiakirjana vuotuisessa talousarviolaissa</w:t>
            </w:r>
          </w:p>
        </w:tc>
        <w:tc>
          <w:tcPr>
            <w:tcW w:w="691" w:type="dxa"/>
            <w:shd w:val="clear" w:color="auto" w:fill="C6EFCE"/>
            <w:noWrap/>
          </w:tcPr>
          <w:p w14:paraId="044B64A3" w14:textId="77777777" w:rsidR="0065073E" w:rsidRDefault="000A0998">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5B607870" w14:textId="77777777" w:rsidR="0065073E" w:rsidRDefault="000A0998">
            <w:pPr>
              <w:pStyle w:val="P68B1DB1-Normal12"/>
              <w:spacing w:after="0"/>
              <w:jc w:val="right"/>
              <w:rPr>
                <w:rFonts w:eastAsia="Times New Roman" w:cs="Times New Roman"/>
                <w:noProof/>
              </w:rPr>
            </w:pPr>
            <w:r>
              <w:rPr>
                <w:noProof/>
              </w:rPr>
              <w:t xml:space="preserve"> </w:t>
            </w:r>
          </w:p>
        </w:tc>
        <w:tc>
          <w:tcPr>
            <w:tcW w:w="690" w:type="dxa"/>
            <w:shd w:val="clear" w:color="auto" w:fill="C6EFCE"/>
            <w:noWrap/>
          </w:tcPr>
          <w:p w14:paraId="1EF93582" w14:textId="77777777" w:rsidR="0065073E" w:rsidRDefault="000A0998">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59868761" w14:textId="77777777" w:rsidR="0065073E" w:rsidRDefault="000A0998">
            <w:pPr>
              <w:pStyle w:val="P68B1DB1-Normal12"/>
              <w:spacing w:after="0"/>
              <w:jc w:val="center"/>
              <w:rPr>
                <w:rFonts w:eastAsia="Times New Roman" w:cs="Times New Roman"/>
                <w:noProof/>
              </w:rPr>
            </w:pPr>
            <w:r>
              <w:rPr>
                <w:noProof/>
              </w:rPr>
              <w:t>Q3</w:t>
            </w:r>
          </w:p>
        </w:tc>
        <w:tc>
          <w:tcPr>
            <w:tcW w:w="553" w:type="dxa"/>
            <w:shd w:val="clear" w:color="auto" w:fill="C6EFCE"/>
            <w:noWrap/>
          </w:tcPr>
          <w:p w14:paraId="19047533" w14:textId="77777777" w:rsidR="0065073E" w:rsidRDefault="000A0998">
            <w:pPr>
              <w:pStyle w:val="P68B1DB1-Normal12"/>
              <w:spacing w:after="0"/>
              <w:jc w:val="center"/>
              <w:rPr>
                <w:rFonts w:eastAsia="Times New Roman" w:cs="Times New Roman"/>
                <w:noProof/>
              </w:rPr>
            </w:pPr>
            <w:r>
              <w:rPr>
                <w:noProof/>
              </w:rPr>
              <w:t>2022</w:t>
            </w:r>
          </w:p>
        </w:tc>
        <w:tc>
          <w:tcPr>
            <w:tcW w:w="5924" w:type="dxa"/>
            <w:shd w:val="clear" w:color="auto" w:fill="C6EFCE"/>
            <w:noWrap/>
          </w:tcPr>
          <w:p w14:paraId="5B10DAA6" w14:textId="77777777" w:rsidR="0065073E" w:rsidRDefault="000A0998">
            <w:pPr>
              <w:pStyle w:val="P68B1DB1-Normal12"/>
              <w:spacing w:after="0"/>
              <w:rPr>
                <w:rFonts w:eastAsia="Times New Roman" w:cs="Times New Roman"/>
                <w:noProof/>
              </w:rPr>
            </w:pPr>
            <w:r>
              <w:rPr>
                <w:noProof/>
              </w:rPr>
              <w:t>Vuoden 2023 talousarviolakiin liittyvä kertomus vihreästä talousarviosta (vihreä ulottuvuus). Kertomuksessa kartoitetaan vihreät menot vuotuisessa talousarviolaissa ja laaditaan EU:n teknisen tuen välineen tuella suunniteltujen menetelmien ja seurantakehyksen mukaisesti.</w:t>
            </w:r>
          </w:p>
        </w:tc>
      </w:tr>
      <w:tr w:rsidR="0065073E" w14:paraId="279F1ECF" w14:textId="77777777">
        <w:trPr>
          <w:trHeight w:val="309"/>
        </w:trPr>
        <w:tc>
          <w:tcPr>
            <w:tcW w:w="833" w:type="dxa"/>
            <w:shd w:val="clear" w:color="auto" w:fill="C6EFCE"/>
            <w:noWrap/>
          </w:tcPr>
          <w:p w14:paraId="2D10C541" w14:textId="77777777" w:rsidR="0065073E" w:rsidRDefault="000A0998">
            <w:pPr>
              <w:pStyle w:val="P68B1DB1-Normal12"/>
              <w:spacing w:after="0"/>
              <w:jc w:val="center"/>
              <w:rPr>
                <w:rFonts w:cs="Times New Roman"/>
                <w:noProof/>
              </w:rPr>
            </w:pPr>
            <w:r>
              <w:rPr>
                <w:noProof/>
              </w:rPr>
              <w:t>405</w:t>
            </w:r>
          </w:p>
        </w:tc>
        <w:tc>
          <w:tcPr>
            <w:tcW w:w="829" w:type="dxa"/>
            <w:shd w:val="clear" w:color="auto" w:fill="C6EFCE"/>
            <w:noWrap/>
          </w:tcPr>
          <w:p w14:paraId="776C2514" w14:textId="77777777" w:rsidR="0065073E" w:rsidRDefault="000A0998">
            <w:pPr>
              <w:pStyle w:val="P68B1DB1-Normal12"/>
              <w:spacing w:after="0"/>
              <w:jc w:val="center"/>
              <w:rPr>
                <w:rFonts w:cs="Times New Roman"/>
                <w:noProof/>
              </w:rPr>
            </w:pPr>
            <w:r>
              <w:rPr>
                <w:noProof/>
              </w:rPr>
              <w:t>C29.R3</w:t>
            </w:r>
          </w:p>
        </w:tc>
        <w:tc>
          <w:tcPr>
            <w:tcW w:w="828" w:type="dxa"/>
            <w:shd w:val="clear" w:color="auto" w:fill="C6EFCE"/>
            <w:noWrap/>
          </w:tcPr>
          <w:p w14:paraId="0AD761A3" w14:textId="77777777" w:rsidR="0065073E" w:rsidRDefault="000A0998">
            <w:pPr>
              <w:pStyle w:val="P68B1DB1-Normal12"/>
              <w:spacing w:after="0"/>
              <w:jc w:val="center"/>
              <w:rPr>
                <w:rFonts w:cs="Times New Roman"/>
                <w:noProof/>
              </w:rPr>
            </w:pPr>
            <w:r>
              <w:rPr>
                <w:noProof/>
              </w:rPr>
              <w:t>M</w:t>
            </w:r>
          </w:p>
        </w:tc>
        <w:tc>
          <w:tcPr>
            <w:tcW w:w="2619" w:type="dxa"/>
            <w:shd w:val="clear" w:color="auto" w:fill="C6EFCE"/>
            <w:noWrap/>
          </w:tcPr>
          <w:p w14:paraId="03C956F3" w14:textId="77777777" w:rsidR="0065073E" w:rsidRDefault="000A0998">
            <w:pPr>
              <w:pStyle w:val="P68B1DB1-Normal12"/>
              <w:spacing w:after="0"/>
              <w:rPr>
                <w:rFonts w:cs="Times New Roman"/>
                <w:noProof/>
              </w:rPr>
            </w:pPr>
            <w:r>
              <w:rPr>
                <w:noProof/>
              </w:rPr>
              <w:t>Vihreän budjetoinnin yhdenmukaistamista koskeva kertomus</w:t>
            </w:r>
          </w:p>
        </w:tc>
        <w:tc>
          <w:tcPr>
            <w:tcW w:w="966" w:type="dxa"/>
            <w:shd w:val="clear" w:color="auto" w:fill="C6EFCE"/>
            <w:noWrap/>
          </w:tcPr>
          <w:p w14:paraId="5E196C9C" w14:textId="77777777" w:rsidR="0065073E" w:rsidRDefault="000A0998">
            <w:pPr>
              <w:pStyle w:val="P68B1DB1-Normal12"/>
              <w:spacing w:after="0"/>
              <w:jc w:val="center"/>
              <w:rPr>
                <w:rFonts w:cs="Times New Roman"/>
                <w:noProof/>
              </w:rPr>
            </w:pPr>
            <w:r>
              <w:rPr>
                <w:noProof/>
              </w:rPr>
              <w:t>Julkaiseminen täydentävänä asiakirjana vuotuisessa talousarviolaissa</w:t>
            </w:r>
          </w:p>
        </w:tc>
        <w:tc>
          <w:tcPr>
            <w:tcW w:w="691" w:type="dxa"/>
            <w:shd w:val="clear" w:color="auto" w:fill="C6EFCE"/>
            <w:noWrap/>
          </w:tcPr>
          <w:p w14:paraId="10688FB1" w14:textId="77777777" w:rsidR="0065073E" w:rsidRDefault="000A0998">
            <w:pPr>
              <w:pStyle w:val="P68B1DB1-Normal12"/>
              <w:spacing w:after="0"/>
              <w:jc w:val="center"/>
              <w:rPr>
                <w:rFonts w:cs="Times New Roman"/>
                <w:noProof/>
              </w:rPr>
            </w:pPr>
            <w:r>
              <w:rPr>
                <w:noProof/>
              </w:rPr>
              <w:t xml:space="preserve"> </w:t>
            </w:r>
          </w:p>
        </w:tc>
        <w:tc>
          <w:tcPr>
            <w:tcW w:w="966" w:type="dxa"/>
            <w:shd w:val="clear" w:color="auto" w:fill="C6EFCE"/>
            <w:noWrap/>
          </w:tcPr>
          <w:p w14:paraId="165D25D0" w14:textId="77777777" w:rsidR="0065073E" w:rsidRDefault="000A0998">
            <w:pPr>
              <w:pStyle w:val="P68B1DB1-Normal12"/>
              <w:spacing w:after="0"/>
              <w:jc w:val="right"/>
              <w:rPr>
                <w:rFonts w:cs="Times New Roman"/>
                <w:noProof/>
              </w:rPr>
            </w:pPr>
            <w:r>
              <w:rPr>
                <w:noProof/>
              </w:rPr>
              <w:t xml:space="preserve"> </w:t>
            </w:r>
          </w:p>
        </w:tc>
        <w:tc>
          <w:tcPr>
            <w:tcW w:w="690" w:type="dxa"/>
            <w:shd w:val="clear" w:color="auto" w:fill="C6EFCE"/>
            <w:noWrap/>
          </w:tcPr>
          <w:p w14:paraId="0E804BFF" w14:textId="77777777" w:rsidR="0065073E" w:rsidRDefault="000A0998">
            <w:pPr>
              <w:pStyle w:val="P68B1DB1-Normal12"/>
              <w:spacing w:after="0"/>
              <w:jc w:val="right"/>
              <w:rPr>
                <w:rFonts w:cs="Times New Roman"/>
                <w:noProof/>
              </w:rPr>
            </w:pPr>
            <w:r>
              <w:rPr>
                <w:noProof/>
              </w:rPr>
              <w:t xml:space="preserve"> </w:t>
            </w:r>
          </w:p>
        </w:tc>
        <w:tc>
          <w:tcPr>
            <w:tcW w:w="553" w:type="dxa"/>
            <w:shd w:val="clear" w:color="auto" w:fill="C6EFCE"/>
            <w:noWrap/>
          </w:tcPr>
          <w:p w14:paraId="6AF02849" w14:textId="77777777" w:rsidR="0065073E" w:rsidRDefault="000A0998">
            <w:pPr>
              <w:pStyle w:val="P68B1DB1-Normal12"/>
              <w:spacing w:after="0"/>
              <w:jc w:val="center"/>
              <w:rPr>
                <w:rFonts w:cs="Times New Roman"/>
                <w:noProof/>
              </w:rPr>
            </w:pPr>
            <w:r>
              <w:rPr>
                <w:noProof/>
              </w:rPr>
              <w:t>Q3</w:t>
            </w:r>
          </w:p>
        </w:tc>
        <w:tc>
          <w:tcPr>
            <w:tcW w:w="553" w:type="dxa"/>
            <w:shd w:val="clear" w:color="auto" w:fill="C6EFCE"/>
            <w:noWrap/>
          </w:tcPr>
          <w:p w14:paraId="1A4670A2" w14:textId="77777777" w:rsidR="0065073E" w:rsidRDefault="000A0998">
            <w:pPr>
              <w:pStyle w:val="P68B1DB1-Normal12"/>
              <w:spacing w:after="0"/>
              <w:jc w:val="center"/>
              <w:rPr>
                <w:rFonts w:cs="Times New Roman"/>
                <w:noProof/>
              </w:rPr>
            </w:pPr>
            <w:r>
              <w:rPr>
                <w:noProof/>
              </w:rPr>
              <w:t>2023</w:t>
            </w:r>
          </w:p>
        </w:tc>
        <w:tc>
          <w:tcPr>
            <w:tcW w:w="5924" w:type="dxa"/>
            <w:shd w:val="clear" w:color="auto" w:fill="C6EFCE"/>
            <w:noWrap/>
          </w:tcPr>
          <w:p w14:paraId="1B5BB0EC" w14:textId="77777777" w:rsidR="0065073E" w:rsidRDefault="000A0998">
            <w:pPr>
              <w:pStyle w:val="P68B1DB1-Normal12"/>
              <w:spacing w:after="0"/>
              <w:rPr>
                <w:rFonts w:cs="Times New Roman"/>
                <w:noProof/>
              </w:rPr>
            </w:pPr>
            <w:r>
              <w:rPr>
                <w:noProof/>
              </w:rPr>
              <w:t>Vuoden 2024 talousarviolakiin liittyvä mietintö vihreästä talousarviosta (ruskea ulottuvuus). Kertomuksessa kartoitetaan ruskeat menot vuotuisessa talousarviolaissa ja laaditaan EU:n teknisen tuen välineen tuella suunniteltujen menetelmien ja seurantakehyksen mukaisesti.</w:t>
            </w:r>
          </w:p>
        </w:tc>
      </w:tr>
    </w:tbl>
    <w:p w14:paraId="1E6DB335" w14:textId="77777777" w:rsidR="0065073E" w:rsidRDefault="0065073E">
      <w:pPr>
        <w:pStyle w:val="SectionTitle"/>
        <w:rPr>
          <w:rFonts w:ascii="Times New Roman" w:hAnsi="Times New Roman" w:cs="Times New Roman"/>
          <w:noProof/>
          <w:sz w:val="2"/>
        </w:rPr>
        <w:sectPr w:rsidR="0065073E" w:rsidSect="00B511EF">
          <w:headerReference w:type="even" r:id="rId625"/>
          <w:headerReference w:type="default" r:id="rId626"/>
          <w:footerReference w:type="even" r:id="rId627"/>
          <w:footerReference w:type="default" r:id="rId628"/>
          <w:headerReference w:type="first" r:id="rId629"/>
          <w:footerReference w:type="first" r:id="rId630"/>
          <w:pgSz w:w="16839" w:h="11907" w:orient="landscape"/>
          <w:pgMar w:top="1134" w:right="1134" w:bottom="1134" w:left="1134" w:header="567" w:footer="567" w:gutter="0"/>
          <w:cols w:space="720"/>
          <w:docGrid w:linePitch="360"/>
        </w:sectPr>
      </w:pPr>
    </w:p>
    <w:p w14:paraId="7180C115" w14:textId="77777777" w:rsidR="0065073E" w:rsidRDefault="000A0998">
      <w:pPr>
        <w:pStyle w:val="P68B1DB1-Heading12"/>
        <w:rPr>
          <w:rFonts w:cs="Times New Roman"/>
          <w:noProof/>
        </w:rPr>
      </w:pPr>
      <w:r>
        <w:rPr>
          <w:noProof/>
        </w:rPr>
        <w:t>AD. KOMPONENTTI 30: Eläkkeet</w:t>
      </w:r>
    </w:p>
    <w:p w14:paraId="737C31BF" w14:textId="77777777" w:rsidR="0065073E" w:rsidRDefault="000A0998">
      <w:pPr>
        <w:pStyle w:val="Text1"/>
        <w:ind w:left="0"/>
        <w:rPr>
          <w:rStyle w:val="IntenseEmphasis"/>
          <w:rFonts w:ascii="Times New Roman" w:hAnsi="Times New Roman" w:cs="Times New Roman"/>
          <w:i w:val="0"/>
          <w:noProof/>
          <w:color w:val="auto"/>
        </w:rPr>
      </w:pPr>
      <w:r>
        <w:rPr>
          <w:rFonts w:ascii="Times New Roman" w:hAnsi="Times New Roman"/>
          <w:noProof/>
        </w:rPr>
        <w:t>Espanjan elpymis- ja palautumissuunnitelman komponentin tavoitteena on uudistaa eläkejärjestelmää, jotta voidaan i) varmistaa järjestelmän rahoituksen kestävyys lyhyellä, keskipitkällä ja pitkällä aikavälillä, ii) säilyttää eläkkeiden ostovoima, iii) säilyttää eläkkeiden riittävyys, iv) suojella eläkeläisiä köyhyydeltä ja v) varmistaa sukupolvien välinen oikeudenmukaisuus. Uudistustoimenpiteet perustuvat parlamentin laajaan yksimielisyyteen Toledon sopimuksen suositusten hyväksymisestä</w:t>
      </w:r>
      <w:r>
        <w:rPr>
          <w:rStyle w:val="FootnoteReference"/>
          <w:rFonts w:ascii="Times New Roman" w:hAnsi="Times New Roman" w:cs="Times New Roman"/>
          <w:noProof/>
        </w:rPr>
        <w:footnoteReference w:id="213"/>
      </w:r>
      <w:r>
        <w:rPr>
          <w:rFonts w:ascii="Times New Roman" w:hAnsi="Times New Roman"/>
          <w:noProof/>
        </w:rPr>
        <w:t>. Toimenpiteitä, joista käydään edelleen työmarkkinaosapuolten vuoropuhelua, ovat muun muassa seuraavat: I) rahoituslähteiden eriyttäminen, ii) tarkistettu eläke-etuuksien indeksointimekanismi, iii) varhaiseläkkeelle siirtymisen kannustimet ja varhaiseläkkeelle siirtymistä koskevat sääntelymuutokset, iv) eläkemaksukauden muuttaminen vanhuuseläkkeen laskemista varten, v) itsenäisten ammatinharjoittajien uusi maksujärjestelmä, joka perustuu reaalituloihin, ja vi) ammatillisten lisäeläkejärjestelmien kehittäminen työehtosopimusneuvottelujen avulla.</w:t>
      </w:r>
    </w:p>
    <w:p w14:paraId="7E8D549C" w14:textId="77777777" w:rsidR="0065073E" w:rsidRDefault="000A0998">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Komponentissa otetaan huomioon maakohtaiset suositukset, jotka koskevat eläkejärjestelmän kestävyyden säilyttämistä (maakohtainen suositus 1 2019) ja finanssipolitiikan harjoittamista taloudellisten olosuhteiden salliessa. Tavoitteena on saavuttaa maltillisella tasolla oleva julkisen talouden rahoitusasema keskipitkällä aikavälillä ja varmistaa velkakestävyys samalla kun kannustetaan investointeihin (maakohtainen suositus 1 2020). </w:t>
      </w:r>
    </w:p>
    <w:p w14:paraId="0EF3D7FD" w14:textId="77777777" w:rsidR="0065073E" w:rsidRDefault="000A0998">
      <w:pPr>
        <w:pStyle w:val="P68B1DB1-Text118"/>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3BB1CD5E"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AD.1 </w:t>
      </w:r>
      <w:r>
        <w:rPr>
          <w:noProof/>
        </w:rPr>
        <w:t></w:t>
      </w:r>
      <w:r>
        <w:rPr>
          <w:rFonts w:ascii="Times New Roman" w:hAnsi="Times New Roman"/>
          <w:b/>
          <w:noProof/>
          <w:u w:val="single"/>
        </w:rPr>
        <w:t>Kuvaus uudistuksista ja investoinneista, joita rahoitetaan rahoitustuella, jota ei makseta takaisin</w:t>
      </w:r>
    </w:p>
    <w:p w14:paraId="2F205B6D" w14:textId="77777777" w:rsidR="0065073E" w:rsidRDefault="000A0998">
      <w:pPr>
        <w:pStyle w:val="P68B1DB1-Text119"/>
        <w:ind w:left="0"/>
        <w:rPr>
          <w:rFonts w:cs="Times New Roman"/>
          <w:noProof/>
        </w:rPr>
      </w:pPr>
      <w:r>
        <w:rPr>
          <w:noProof/>
        </w:rPr>
        <w:t>Uudistus 1 (C30.R1) – Sosiaaliturvan rahoituslähteiden erottaminen</w:t>
      </w:r>
    </w:p>
    <w:p w14:paraId="07603AFE" w14:textId="77777777" w:rsidR="0065073E" w:rsidRDefault="000A0998">
      <w:pPr>
        <w:pStyle w:val="P68B1DB1-Normal4"/>
        <w:spacing w:before="120" w:after="120" w:line="240" w:lineRule="auto"/>
        <w:jc w:val="both"/>
        <w:rPr>
          <w:rFonts w:cs="Times New Roman"/>
          <w:noProof/>
        </w:rPr>
      </w:pPr>
      <w:r>
        <w:rPr>
          <w:noProof/>
        </w:rPr>
        <w:t xml:space="preserve">Uudistuksen tavoitteena on muuttaa eläkejärjestelmän rahoitusta Toledo-sopimuksen suositusten mukaisesti siten, että maksuihin perustuvat etuudet rahoitetaan sosiaaliturvamaksuilla ja maksuihin perustumattomat etuudet maksetaan valtion talousarviosta. Uudistus koostuu siitä, että valtio ottaa vastatakseen useiden sellaisten menoerien rahoittamisesta, jotka tällä hetkellä katetaan sosiaaliturvamaksuilla. Uudistuksella vahvistetaan maksuosuuksien ja etuuksien välistä yhteyttä ja parannetaan maksujärjestelmän taloudellista kestävyyttä. </w:t>
      </w:r>
    </w:p>
    <w:p w14:paraId="11C3E650" w14:textId="77777777" w:rsidR="0065073E" w:rsidRDefault="000A0998">
      <w:pPr>
        <w:pStyle w:val="P68B1DB1-Normal4"/>
        <w:spacing w:before="120" w:after="120" w:line="240" w:lineRule="auto"/>
        <w:jc w:val="both"/>
        <w:rPr>
          <w:rFonts w:cs="Times New Roman"/>
          <w:noProof/>
        </w:rPr>
      </w:pPr>
      <w:r>
        <w:rPr>
          <w:noProof/>
        </w:rPr>
        <w:t xml:space="preserve">Menoerät, jotka aiemmin rahoitettiin sosiaaliturvamaksuilla mutta joita pidetään tässä uudistuksessa maksuihin perustumattomina ja valtion talousarviosta rahoitettuina, koostuvat i) osasta maksuihin perustumatonta työllisyyspolitiikkaa, ii) sosiaaliturvamaksujen alentamisesta työllisyyden edistämiseksi, iii) synnytys- ja lastenhoitoavustuksista, iv) varhaiseläkkeelle jäämiseen liittyvistä menoista, v) äitiyseläkkeen lisästä, v) perheenjäsenten eläkkeistä, vi) tukitoimenpiteistä (implisiittiset tuet) erityisjärjestelmiin ja vii) vanhuuseläkkeen laskentaan liittyvien maksuerojen täydentämisestä aiheutuvat kustannukset. </w:t>
      </w:r>
    </w:p>
    <w:p w14:paraId="23673BD8" w14:textId="77777777" w:rsidR="0065073E" w:rsidRDefault="000A0998">
      <w:pPr>
        <w:pStyle w:val="P68B1DB1-Normal4"/>
        <w:spacing w:before="120" w:after="120" w:line="240" w:lineRule="auto"/>
        <w:jc w:val="both"/>
        <w:rPr>
          <w:rFonts w:cs="Times New Roman"/>
          <w:noProof/>
        </w:rPr>
      </w:pPr>
      <w:r>
        <w:rPr>
          <w:noProof/>
        </w:rPr>
        <w:t xml:space="preserve">Uudistus on aloitettu valtion vuoden 2021 yleisen talousarvion säännöksillä, ja se toteutetaan asteittain siirtämällä varoja valtion talousarviosta sosiaaliturvabudjettiin. </w:t>
      </w:r>
    </w:p>
    <w:p w14:paraId="4A6F8A76" w14:textId="77777777" w:rsidR="0065073E" w:rsidRDefault="000A0998">
      <w:pPr>
        <w:pStyle w:val="P68B1DB1-Normal4"/>
        <w:spacing w:before="120" w:after="120" w:line="240" w:lineRule="auto"/>
        <w:jc w:val="both"/>
        <w:rPr>
          <w:rFonts w:cs="Times New Roman"/>
          <w:noProof/>
        </w:rPr>
      </w:pPr>
      <w:r>
        <w:rPr>
          <w:noProof/>
        </w:rPr>
        <w:t>Toimenpide on pantava täytäntöön 31 päivään joulukuuta 2023 mennessä.</w:t>
      </w:r>
    </w:p>
    <w:p w14:paraId="341FA52A" w14:textId="77777777" w:rsidR="0065073E" w:rsidRDefault="000A0998">
      <w:pPr>
        <w:pStyle w:val="P68B1DB1-Text118"/>
        <w:ind w:left="0"/>
        <w:rPr>
          <w:rFonts w:cs="Times New Roman"/>
          <w:noProof/>
          <w:u w:val="single"/>
        </w:rPr>
      </w:pPr>
      <w:r>
        <w:rPr>
          <w:noProof/>
          <w:u w:val="single"/>
        </w:rPr>
        <w:t>Uudistus 2 (C30.R2) – Eläkkeiden ostovoiman säilyttäminen,</w:t>
      </w:r>
      <w:r>
        <w:rPr>
          <w:noProof/>
        </w:rPr>
        <w:t xml:space="preserve"> </w:t>
      </w:r>
      <w:r>
        <w:rPr>
          <w:noProof/>
          <w:u w:val="single"/>
        </w:rPr>
        <w:t>todellisen eläkeiän mukauttaminen lakisääteiseen eläkeikään, vanhuuseläkkeen laskentajakson mukauttaminen uusiin työuriin ja</w:t>
      </w:r>
      <w:r>
        <w:rPr>
          <w:noProof/>
        </w:rPr>
        <w:t xml:space="preserve"> </w:t>
      </w:r>
      <w:r>
        <w:rPr>
          <w:noProof/>
          <w:u w:val="single"/>
        </w:rPr>
        <w:t>kestävyystekijän korvaaminen sukupolvien välisellä oikeudenmukaisuusmekanismilla</w:t>
      </w:r>
    </w:p>
    <w:p w14:paraId="3D0FFCFF" w14:textId="77777777" w:rsidR="0065073E" w:rsidRDefault="000A0998">
      <w:pPr>
        <w:pStyle w:val="P68B1DB1-Normal4"/>
        <w:spacing w:before="120" w:after="120" w:line="240" w:lineRule="auto"/>
        <w:jc w:val="both"/>
        <w:rPr>
          <w:rFonts w:cs="Times New Roman"/>
          <w:noProof/>
        </w:rPr>
      </w:pPr>
      <w:r>
        <w:rPr>
          <w:noProof/>
        </w:rPr>
        <w:t xml:space="preserve">Uudistuksen tavoitteena on i) taata eläkeläisten ostovoima, ii) lisätä työvoimaosuutta lakisääteistä eläkeikää lähellä olevissa ikäryhmissä, iii) lykätä eläkkeelle siirtymistä, iv) vahvistaa maksujärjestelmän progressiivisuutta, v) mukauttaa nykyistä sääntelyä katkottomiin työuriin ja muihin epätyypillisen työn muotoihin ja vi) puuttua tulevien väestörakenteen muutosten vaikutuksiin heikentämättä nykyisten ja tulevien eläkkeiden riittävyyttä. Uudistus koostuu neljästä erillisestä sääntelyuudistuksesta, jotka ovat Toledo-sopimuksen suositusten mukaisia ja jotka on määrä hyväksyä kahdessa vaiheessa. </w:t>
      </w:r>
    </w:p>
    <w:p w14:paraId="29699A14" w14:textId="77777777" w:rsidR="0065073E" w:rsidRDefault="000A0998">
      <w:pPr>
        <w:pStyle w:val="P68B1DB1-Normal4"/>
        <w:spacing w:before="120" w:after="120" w:line="240" w:lineRule="auto"/>
        <w:rPr>
          <w:rFonts w:cs="Times New Roman"/>
          <w:noProof/>
        </w:rPr>
      </w:pPr>
      <w:r>
        <w:rPr>
          <w:noProof/>
        </w:rPr>
        <w:t>Uudistukset, jotka tulevat voimaan 31. joulukuuta 2021 mennessä, ovat seuraavat:</w:t>
      </w:r>
    </w:p>
    <w:p w14:paraId="5348CA21" w14:textId="77777777" w:rsidR="0065073E" w:rsidRDefault="000A0998">
      <w:pPr>
        <w:pStyle w:val="P68B1DB1-ListParagraph6"/>
        <w:numPr>
          <w:ilvl w:val="0"/>
          <w:numId w:val="718"/>
        </w:numPr>
        <w:spacing w:before="120" w:after="120" w:line="240" w:lineRule="auto"/>
        <w:jc w:val="both"/>
        <w:rPr>
          <w:rFonts w:cs="Times New Roman"/>
          <w:noProof/>
        </w:rPr>
      </w:pPr>
      <w:r>
        <w:rPr>
          <w:noProof/>
        </w:rPr>
        <w:t xml:space="preserve">Uusi indeksointimekanismi, joka kytkee eläke-etuudet inflaatioon ja jonka tavoitteena on taata eläkeläisten ostovoima pysyvästi. </w:t>
      </w:r>
    </w:p>
    <w:p w14:paraId="2A7F3E2A" w14:textId="77777777" w:rsidR="0065073E" w:rsidRDefault="000A0998">
      <w:pPr>
        <w:pStyle w:val="P68B1DB1-ListParagraph6"/>
        <w:numPr>
          <w:ilvl w:val="0"/>
          <w:numId w:val="718"/>
        </w:numPr>
        <w:spacing w:before="120" w:after="120" w:line="240" w:lineRule="auto"/>
        <w:jc w:val="both"/>
        <w:rPr>
          <w:rFonts w:cs="Times New Roman"/>
          <w:noProof/>
        </w:rPr>
      </w:pPr>
      <w:r>
        <w:rPr>
          <w:noProof/>
        </w:rPr>
        <w:t>Todellisen eläkkeellesiirtymisiän mukauttaminen lakisääteiseen eläkeikään siten, että tavoitteena on lisätä työvoimaosuutta lakisääteistä eläkeikää lähellä olevissa ikäryhmissä ja lykätä eläkkeelle siirtymistä. Toimenpide koostuu seuraavista sääntelymuutoksista:</w:t>
      </w:r>
    </w:p>
    <w:p w14:paraId="6E80937E" w14:textId="77777777" w:rsidR="0065073E" w:rsidRDefault="000A0998">
      <w:pPr>
        <w:pStyle w:val="P68B1DB1-ListParagraph6"/>
        <w:numPr>
          <w:ilvl w:val="1"/>
          <w:numId w:val="167"/>
        </w:numPr>
        <w:spacing w:before="120" w:after="120" w:line="240" w:lineRule="auto"/>
        <w:jc w:val="both"/>
        <w:rPr>
          <w:rFonts w:cs="Times New Roman"/>
          <w:noProof/>
        </w:rPr>
      </w:pPr>
      <w:r>
        <w:rPr>
          <w:noProof/>
        </w:rPr>
        <w:t xml:space="preserve"> Uusien kannustimien luominen eläkkeelle siirtymisen lykkäämiseksi (lisääntyneet taloudelliset kannustimet eläkkeelle siirtymisen lykkäämiseksi ja työn ja eläkkeiden yhteensopivuuden edistäminen). Eläkkeelle siirtymistä lykkäävillä työntekijöillä on erityisesti oikeus valita seuraavista: eläkkeen määrän korottaminen kultakin täydeltä lisämaksuvuodelta, joka otetaan huomioon lakisääteisen eläkkeellesiirtymisiän ja tosiasiallisen eläkkeelle jäämisen välillä; kertasuoritus; ja kahden viimeksi mainitun yhdistelmä.</w:t>
      </w:r>
    </w:p>
    <w:p w14:paraId="55A7387E" w14:textId="77777777" w:rsidR="0065073E" w:rsidRDefault="000A0998">
      <w:pPr>
        <w:pStyle w:val="P68B1DB1-ListParagraph6"/>
        <w:numPr>
          <w:ilvl w:val="1"/>
          <w:numId w:val="167"/>
        </w:numPr>
        <w:spacing w:before="120" w:after="120" w:line="240" w:lineRule="auto"/>
        <w:jc w:val="both"/>
        <w:rPr>
          <w:rFonts w:cs="Times New Roman"/>
          <w:noProof/>
        </w:rPr>
      </w:pPr>
      <w:r>
        <w:rPr>
          <w:noProof/>
        </w:rPr>
        <w:t>Varhaiseläkkeelle jäämistä koskevien nykyisen sääntelyn esteiden vahvistaminen varhaiseläkkeelle siirtymistä koskevassa nykyisessä sääntelyssä. Varhaiseläkkeelle siirtymistä koskevaa vähennysastetta on muutettava todellisen eläkeiän nostamiseksi ja eläkeläisille myönnetyn etuoikeutetun kohtelun poistamiseksi siten, että enimmäismaksuperustaa sovelletaan. Kollektiivisia neuvotteluja koskevat määräykset, jotka velvoittavat eläkkeen saamisen normaaliin eläkeikään, ovat kiellettyjä.</w:t>
      </w:r>
    </w:p>
    <w:p w14:paraId="0B2F0D06" w14:textId="77777777" w:rsidR="0065073E" w:rsidRDefault="000A0998">
      <w:pPr>
        <w:pStyle w:val="P68B1DB1-Normal4"/>
        <w:spacing w:before="120" w:after="120" w:line="240" w:lineRule="auto"/>
        <w:rPr>
          <w:rFonts w:cs="Times New Roman"/>
          <w:noProof/>
        </w:rPr>
      </w:pPr>
      <w:r>
        <w:rPr>
          <w:noProof/>
        </w:rPr>
        <w:t>Uudistukset, jotka tulevat voimaan 31. joulukuuta 2022 mennessä, ovat seuraavat:</w:t>
      </w:r>
    </w:p>
    <w:p w14:paraId="27134B17" w14:textId="77777777" w:rsidR="0065073E" w:rsidRDefault="000A0998">
      <w:pPr>
        <w:pStyle w:val="P68B1DB1-ListParagraph6"/>
        <w:numPr>
          <w:ilvl w:val="0"/>
          <w:numId w:val="717"/>
        </w:numPr>
        <w:spacing w:before="120" w:after="120" w:line="240" w:lineRule="auto"/>
        <w:jc w:val="both"/>
        <w:rPr>
          <w:rFonts w:cs="Times New Roman"/>
          <w:noProof/>
        </w:rPr>
      </w:pPr>
      <w:r>
        <w:rPr>
          <w:noProof/>
        </w:rPr>
        <w:t xml:space="preserve">Maksukauden mukauttaminen vanhuuseläkkeen laskentaa varten, jotta voidaan vahvistaa järjestelmän progressiivisuutta ja mukauttaa nykyistä asetusta katkottomiin työuriin ja muihin epätyypillisen työn muotoihin. </w:t>
      </w:r>
    </w:p>
    <w:p w14:paraId="2A3475C4" w14:textId="77777777" w:rsidR="0065073E" w:rsidRDefault="000A0998">
      <w:pPr>
        <w:pStyle w:val="P68B1DB1-ListParagraph6"/>
        <w:numPr>
          <w:ilvl w:val="0"/>
          <w:numId w:val="717"/>
        </w:numPr>
        <w:spacing w:before="120" w:after="120" w:line="240" w:lineRule="auto"/>
        <w:jc w:val="both"/>
        <w:rPr>
          <w:rFonts w:cs="Times New Roman"/>
          <w:noProof/>
        </w:rPr>
      </w:pPr>
      <w:r>
        <w:rPr>
          <w:noProof/>
        </w:rPr>
        <w:t xml:space="preserve">Kestävyystekijän korvaaminen mekanismilla, jolla taataan sukupolvien välinen pääoma ja julkisen talouden kestävyys. Toimenpiteen tavoitteena on puuttua tulevien väestörakenteen muutosten vaikutuksiin heikentämättä nykyisten ja tulevien eläkkeiden riittävyyttä. </w:t>
      </w:r>
    </w:p>
    <w:p w14:paraId="3996B3D3" w14:textId="77777777" w:rsidR="0065073E" w:rsidRDefault="000A0998">
      <w:pPr>
        <w:pStyle w:val="P68B1DB1-Normal4"/>
        <w:spacing w:before="120" w:after="120" w:line="240" w:lineRule="auto"/>
        <w:jc w:val="both"/>
        <w:rPr>
          <w:rFonts w:cs="Times New Roman"/>
          <w:noProof/>
        </w:rPr>
      </w:pPr>
      <w:r>
        <w:rPr>
          <w:noProof/>
        </w:rPr>
        <w:t>Toimenpide on pantava täytäntöön 31 päivään joulukuuta 2022 mennessä.</w:t>
      </w:r>
    </w:p>
    <w:p w14:paraId="657D7466" w14:textId="77777777" w:rsidR="0065073E" w:rsidRDefault="000A0998">
      <w:pPr>
        <w:pStyle w:val="P68B1DB1-Normal5"/>
        <w:keepNext/>
        <w:spacing w:before="120" w:after="120" w:line="240" w:lineRule="auto"/>
        <w:rPr>
          <w:rFonts w:cs="Times New Roman"/>
          <w:noProof/>
        </w:rPr>
      </w:pPr>
      <w:r>
        <w:rPr>
          <w:noProof/>
        </w:rPr>
        <w:t>Uudistus 3 (C30.R3) – Itsenäisten ammatinharjoittajien sosiaaliturvamaksujärjestelmän uudistaminen</w:t>
      </w:r>
    </w:p>
    <w:p w14:paraId="18E76997" w14:textId="77777777" w:rsidR="0065073E" w:rsidRDefault="000A0998">
      <w:pPr>
        <w:pStyle w:val="P68B1DB1-Normal4"/>
        <w:spacing w:before="120" w:after="120" w:line="240" w:lineRule="auto"/>
        <w:jc w:val="both"/>
        <w:rPr>
          <w:rFonts w:cs="Times New Roman"/>
          <w:noProof/>
        </w:rPr>
      </w:pPr>
      <w:r>
        <w:rPr>
          <w:noProof/>
        </w:rPr>
        <w:t>Uudistuksen tavoitteena on tasavertainen työntekijöiden ja itsenäisten ammatinharjoittajien kohtelu, lisätä eläkejärjestelmään suoritettavia maksuja ja varmistaa, että itsenäiset ammatinharjoittajat saavat riittävät eläketulot. Uudistuksella muutetaan itsenäisten ammatinharjoittajien maksujärjestelmää. Uudistuksessa itsenäisten ammatinharjoittajien maksuosuudet perustuvat Toledo-sopimuksen suositusten mukaisesti itse valitsemansa maksupohjan sijasta reaalituloihin. Lopullinen maksu lasketaan veroviranomaisten hankkimien itsenäisten ammatinharjoittajien tulojen perusteella. Uudistus toteutetaan asteittain korottamalla vähimmäismaksupohjaa uuteen järjestelmään mukautumiseksi.</w:t>
      </w:r>
    </w:p>
    <w:p w14:paraId="00CA74FD" w14:textId="77777777" w:rsidR="0065073E" w:rsidRDefault="000A0998">
      <w:pPr>
        <w:pStyle w:val="P68B1DB1-Normal4"/>
        <w:spacing w:before="120" w:after="120" w:line="240" w:lineRule="auto"/>
        <w:rPr>
          <w:rFonts w:cs="Times New Roman"/>
          <w:noProof/>
        </w:rPr>
      </w:pPr>
      <w:r>
        <w:rPr>
          <w:noProof/>
        </w:rPr>
        <w:t>Toimenpide on pantava täytäntöön viimeistään 30 päivänä kesäkuuta 2022.</w:t>
      </w:r>
    </w:p>
    <w:p w14:paraId="71F6CB0D" w14:textId="77777777" w:rsidR="0065073E" w:rsidRDefault="000A0998">
      <w:pPr>
        <w:pStyle w:val="P68B1DB1-Normal5"/>
        <w:keepNext/>
        <w:spacing w:before="120" w:after="120" w:line="240" w:lineRule="auto"/>
        <w:rPr>
          <w:rFonts w:cs="Times New Roman"/>
          <w:noProof/>
        </w:rPr>
      </w:pPr>
      <w:r>
        <w:rPr>
          <w:noProof/>
        </w:rPr>
        <w:t>Uudistus 4 (C30.R4) – äitiyslisäyksen vähentäminen</w:t>
      </w:r>
    </w:p>
    <w:p w14:paraId="23D893F5" w14:textId="77777777" w:rsidR="0065073E" w:rsidRDefault="000A0998">
      <w:pPr>
        <w:pStyle w:val="P68B1DB1-Normal4"/>
        <w:keepNext/>
        <w:spacing w:before="120" w:after="120" w:line="240" w:lineRule="auto"/>
        <w:jc w:val="both"/>
        <w:rPr>
          <w:rFonts w:cs="Times New Roman"/>
          <w:noProof/>
        </w:rPr>
      </w:pPr>
      <w:r>
        <w:rPr>
          <w:noProof/>
        </w:rPr>
        <w:t>Uudistuksen tavoitteena on korvata vanhemmille, pääasiassa äideille, syntymisestä ja lastenhoidosta aiheutuvat kustannukset sukupuolten välisen eläke-eron kaventamiseksi. Uudistuksessa suunnitellaan äitiyslisä uudelleen, ja se on jo hyväksytty (2. helmikuuta annettu kuninkaan asetus 3/2021). Euroopan unionin tuomioistuin katsoi 12. joulukuuta 2019 antamassaan tuomiossa, että aiempi äitiyslisä, joka oli voimassa vuodesta 2016 lähtien, syrjii miehiä. Uudistetun äitiyslomalisän odotetaan noudattavan tuomioistuimen päätöstä ja ehkäisevän syrjintää. Uusi lisä perustuu maksuväylien analysointiin, jotta voidaan määrittää, kumpi vanhemmista oli kaikkein heikoimmassa asemassa lapsen syntymän vuoksi maksuperusteisella urallaan, ja edellyttäen, että erityisen epäedullisessa asemassa olevan vanhemman poissa ollessa äidille myönnetään lisä.</w:t>
      </w:r>
    </w:p>
    <w:p w14:paraId="46B0E21D" w14:textId="77777777" w:rsidR="0065073E" w:rsidRDefault="000A0998">
      <w:pPr>
        <w:pStyle w:val="P68B1DB1-Normal4"/>
        <w:spacing w:before="120" w:after="120" w:line="240" w:lineRule="auto"/>
        <w:rPr>
          <w:rFonts w:cs="Times New Roman"/>
          <w:noProof/>
        </w:rPr>
      </w:pPr>
      <w:r>
        <w:rPr>
          <w:noProof/>
        </w:rPr>
        <w:t>Toimenpide on pantava täytäntöön 31 päivään maaliskuuta 2021 mennessä.</w:t>
      </w:r>
    </w:p>
    <w:p w14:paraId="0ADF50A6" w14:textId="77777777" w:rsidR="0065073E" w:rsidRDefault="000A0998">
      <w:pPr>
        <w:pStyle w:val="P68B1DB1-Normal5"/>
        <w:spacing w:before="120" w:after="120" w:line="240" w:lineRule="auto"/>
        <w:rPr>
          <w:rFonts w:cs="Times New Roman"/>
          <w:noProof/>
        </w:rPr>
      </w:pPr>
      <w:r>
        <w:rPr>
          <w:noProof/>
        </w:rPr>
        <w:t>Uudistus 5 (C30.R5) – Nykyisen lisäeläkejärjestelmän tarkistaminen</w:t>
      </w:r>
    </w:p>
    <w:p w14:paraId="3425A92D" w14:textId="77777777" w:rsidR="0065073E" w:rsidRDefault="000A0998">
      <w:pPr>
        <w:pStyle w:val="P68B1DB1-Normal4"/>
        <w:spacing w:before="120" w:after="120" w:line="240" w:lineRule="auto"/>
        <w:jc w:val="both"/>
        <w:rPr>
          <w:rFonts w:cs="Times New Roman"/>
          <w:noProof/>
        </w:rPr>
      </w:pPr>
      <w:r>
        <w:rPr>
          <w:noProof/>
        </w:rPr>
        <w:t xml:space="preserve">Uudistuksella tarkistetaan lisäeläkejärjestelmän sääntelykehystä, jotta voidaan lisätä työehtosopimusneuvotteluissa sovittujen ammatillisten lisäeläkejärjestelmien kattavuutta mieluiten alakohtaisella tasolla. Ammatillisia lisäeläkejärjestelmiä koskevalla uudella oikeudellisella kehyksellä on tarkoitus kattaa työntekijät, joilla ei ole ammatillisia lisäeläkejärjestelmiä, ja itsenäiset ammatinharjoittajat, joilla ei tällä hetkellä ole pääsyä näihin toisen pilarin järjestelmiin. </w:t>
      </w:r>
    </w:p>
    <w:p w14:paraId="23D7F805" w14:textId="77777777" w:rsidR="0065073E" w:rsidRDefault="000A0998">
      <w:pPr>
        <w:pStyle w:val="P68B1DB1-Normal4"/>
        <w:spacing w:before="120" w:after="120" w:line="240" w:lineRule="auto"/>
        <w:rPr>
          <w:rFonts w:cs="Times New Roman"/>
          <w:noProof/>
        </w:rPr>
      </w:pPr>
      <w:r>
        <w:rPr>
          <w:noProof/>
        </w:rPr>
        <w:t>Uudistuksen erityistoimenpiteisiin kuuluvat seuraavat:</w:t>
      </w:r>
    </w:p>
    <w:p w14:paraId="2F529509" w14:textId="77777777" w:rsidR="0065073E" w:rsidRDefault="000A0998">
      <w:pPr>
        <w:pStyle w:val="P68B1DB1-ListParagraph6"/>
        <w:numPr>
          <w:ilvl w:val="0"/>
          <w:numId w:val="168"/>
        </w:numPr>
        <w:spacing w:before="120" w:after="120" w:line="240" w:lineRule="auto"/>
        <w:rPr>
          <w:rFonts w:cs="Times New Roman"/>
          <w:noProof/>
        </w:rPr>
      </w:pPr>
      <w:r>
        <w:rPr>
          <w:noProof/>
        </w:rPr>
        <w:t xml:space="preserve">Perustetaan julkisesti tuettuja rahastoja ammatillisia lisäeläkkeitä varten, joita hallinnoi yksityinen sektori. </w:t>
      </w:r>
    </w:p>
    <w:p w14:paraId="0E2C3D1C" w14:textId="77777777" w:rsidR="0065073E" w:rsidRDefault="000A0998">
      <w:pPr>
        <w:pStyle w:val="P68B1DB1-ListParagraph6"/>
        <w:numPr>
          <w:ilvl w:val="0"/>
          <w:numId w:val="168"/>
        </w:numPr>
        <w:spacing w:before="120" w:after="120" w:line="240" w:lineRule="auto"/>
        <w:rPr>
          <w:rFonts w:cs="Times New Roman"/>
          <w:noProof/>
        </w:rPr>
      </w:pPr>
      <w:r>
        <w:rPr>
          <w:noProof/>
        </w:rPr>
        <w:t>Kannustimet ja sääntelymuutokset, joilla lisätään työehtosopimusneuvottelujen avulla sovittujen ammatillisten lisäeläkejärjestelmien kattavuutta.</w:t>
      </w:r>
    </w:p>
    <w:p w14:paraId="52310F8C" w14:textId="77777777" w:rsidR="0065073E" w:rsidRDefault="000A0998">
      <w:pPr>
        <w:pStyle w:val="P68B1DB1-ListParagraph6"/>
        <w:numPr>
          <w:ilvl w:val="0"/>
          <w:numId w:val="168"/>
        </w:numPr>
        <w:spacing w:before="120" w:after="120" w:line="240" w:lineRule="auto"/>
        <w:rPr>
          <w:rFonts w:cs="Times New Roman"/>
          <w:noProof/>
        </w:rPr>
      </w:pPr>
      <w:r>
        <w:rPr>
          <w:noProof/>
        </w:rPr>
        <w:t>Eläkejärjestelmien menettelyjen yksinkertaistaminen.</w:t>
      </w:r>
    </w:p>
    <w:p w14:paraId="3F2E466D" w14:textId="77777777" w:rsidR="0065073E" w:rsidRDefault="000A0998">
      <w:pPr>
        <w:pStyle w:val="P68B1DB1-ListParagraph6"/>
        <w:numPr>
          <w:ilvl w:val="0"/>
          <w:numId w:val="168"/>
        </w:numPr>
        <w:spacing w:before="120" w:after="120" w:line="240" w:lineRule="auto"/>
        <w:rPr>
          <w:rFonts w:cs="Times New Roman"/>
          <w:noProof/>
        </w:rPr>
      </w:pPr>
      <w:r>
        <w:rPr>
          <w:noProof/>
        </w:rPr>
        <w:t>Sääntelymuutokset, joilla edistetään työntekijöiden liikkuvuutta eri yritysten ja alojen välillä.</w:t>
      </w:r>
    </w:p>
    <w:p w14:paraId="6D5091E5" w14:textId="77777777" w:rsidR="0065073E" w:rsidRDefault="000A0998">
      <w:pPr>
        <w:pStyle w:val="P68B1DB1-ListParagraph6"/>
        <w:numPr>
          <w:ilvl w:val="0"/>
          <w:numId w:val="168"/>
        </w:numPr>
        <w:spacing w:before="120" w:after="120" w:line="240" w:lineRule="auto"/>
        <w:rPr>
          <w:rFonts w:cs="Times New Roman"/>
          <w:noProof/>
        </w:rPr>
      </w:pPr>
      <w:r>
        <w:rPr>
          <w:noProof/>
        </w:rPr>
        <w:t>Verokannustimet, joilla edistetään osallistumista kollektiivisiin ammatillisiin järjestelmiin</w:t>
      </w:r>
    </w:p>
    <w:p w14:paraId="46F9F747" w14:textId="77777777" w:rsidR="0065073E" w:rsidRDefault="000A0998">
      <w:pPr>
        <w:pStyle w:val="P68B1DB1-ListParagraph6"/>
        <w:numPr>
          <w:ilvl w:val="0"/>
          <w:numId w:val="168"/>
        </w:numPr>
        <w:spacing w:before="120" w:after="120" w:line="240" w:lineRule="auto"/>
        <w:rPr>
          <w:rFonts w:cs="Times New Roman"/>
          <w:noProof/>
        </w:rPr>
      </w:pPr>
      <w:r>
        <w:rPr>
          <w:noProof/>
        </w:rPr>
        <w:t>Kollektiivisten hallintajärjestelmien hallinnointikustannusten rajoittaminen alle 0,30 prosenttiin hoidettavina olevista varoista.</w:t>
      </w:r>
    </w:p>
    <w:p w14:paraId="7E9026A5" w14:textId="77777777" w:rsidR="0065073E" w:rsidRDefault="000A0998">
      <w:pPr>
        <w:pStyle w:val="P68B1DB1-Normal4"/>
        <w:spacing w:before="120" w:after="120" w:line="240" w:lineRule="auto"/>
        <w:jc w:val="both"/>
        <w:rPr>
          <w:rFonts w:cs="Times New Roman"/>
          <w:noProof/>
        </w:rPr>
      </w:pPr>
      <w:r>
        <w:rPr>
          <w:noProof/>
        </w:rPr>
        <w:t xml:space="preserve">Uudistuksen täytäntöönpano on aloitettu valtion vuoden 2021 yleiseen talousarvioon sisältyvillä säännöksillä, joilla siirretään aiemmin yksilöllisiin eläkejärjestelmiin liittyviä verokannustimia kollektiivisten järjestelmien hyväksi (toimenpide v. edellä) ja edistämällä julkisesti ammatillisia lisäeläkkeitä tarjoavia rahastoja (edellä oleva toimenpide i). </w:t>
      </w:r>
    </w:p>
    <w:p w14:paraId="7B278F8F" w14:textId="77777777" w:rsidR="0065073E" w:rsidRDefault="000A0998">
      <w:pPr>
        <w:pStyle w:val="P68B1DB1-Normal4"/>
        <w:spacing w:before="120" w:after="120" w:line="240" w:lineRule="auto"/>
        <w:jc w:val="both"/>
        <w:rPr>
          <w:rFonts w:cs="Times New Roman"/>
          <w:noProof/>
        </w:rPr>
      </w:pPr>
      <w:r>
        <w:rPr>
          <w:noProof/>
        </w:rPr>
        <w:t>Toimenpide on pantava täytäntöön viimeistään 30 päivänä kesäkuuta 2022.</w:t>
      </w:r>
    </w:p>
    <w:p w14:paraId="37BB5876" w14:textId="77777777" w:rsidR="0065073E" w:rsidRDefault="000A0998">
      <w:pPr>
        <w:pStyle w:val="P68B1DB1-Normal5"/>
        <w:spacing w:before="120" w:after="120" w:line="240" w:lineRule="auto"/>
        <w:rPr>
          <w:rFonts w:cs="Times New Roman"/>
          <w:noProof/>
        </w:rPr>
      </w:pPr>
      <w:r>
        <w:rPr>
          <w:noProof/>
        </w:rPr>
        <w:t>Uudistus 6 (C30.R6) – Maksun enimmäismäärän mukauttaminen</w:t>
      </w:r>
    </w:p>
    <w:p w14:paraId="293D75EB" w14:textId="77777777" w:rsidR="0065073E" w:rsidRDefault="000A0998">
      <w:pPr>
        <w:spacing w:before="120" w:after="120" w:line="240" w:lineRule="auto"/>
        <w:jc w:val="both"/>
        <w:rPr>
          <w:rFonts w:ascii="Times New Roman" w:hAnsi="Times New Roman" w:cs="Times New Roman"/>
          <w:noProof/>
          <w:sz w:val="24"/>
        </w:rPr>
      </w:pPr>
      <w:r>
        <w:rPr>
          <w:rFonts w:ascii="Times New Roman" w:hAnsi="Times New Roman"/>
          <w:noProof/>
          <w:sz w:val="24"/>
        </w:rPr>
        <w:t>Uudistuksella korotetaan eläkejärjestelmän enimmäismaksupohjaa ja mukautetaan enimmäiseläkkeitä maksupohjan laajentamiseksi, eläkejärjestelmän progressiivisuuden lisäämiseksi ja kokonaistulojen lisäämiseksi. Toimenpiteet ovat Toledo-sopimuksen suositusten mukaisia. Järjestelmää mukautetaan asteittain, jotta rahoittajat voivat mukautua muutoksiin. Eläkkeiden enimmäismääriä ja maksuperusteiden enimmäismääriä korotetaan vastaavasti järjestelmän maksuperusteisen luonteen säilyttämiseksi. Uudistus toteutetaan asteittain</w:t>
      </w:r>
      <w:r>
        <w:rPr>
          <w:rStyle w:val="normaltextrun"/>
          <w:rFonts w:ascii="Times New Roman" w:hAnsi="Times New Roman"/>
          <w:noProof/>
          <w:sz w:val="24"/>
          <w:bdr w:val="none" w:sz="0" w:space="0" w:color="auto" w:frame="1"/>
        </w:rPr>
        <w:t xml:space="preserve"> </w:t>
      </w:r>
      <w:r>
        <w:rPr>
          <w:rFonts w:ascii="Times New Roman" w:hAnsi="Times New Roman"/>
          <w:noProof/>
          <w:sz w:val="24"/>
        </w:rPr>
        <w:t>seuraavien 30 vuoden aikana.</w:t>
      </w:r>
    </w:p>
    <w:p w14:paraId="35E1840D" w14:textId="77777777" w:rsidR="0065073E" w:rsidRDefault="000A0998">
      <w:pPr>
        <w:pStyle w:val="P68B1DB1-Normal4"/>
        <w:spacing w:before="120" w:after="120" w:line="240" w:lineRule="auto"/>
        <w:jc w:val="both"/>
        <w:rPr>
          <w:rFonts w:cs="Times New Roman"/>
          <w:noProof/>
        </w:rPr>
      </w:pPr>
      <w:r>
        <w:rPr>
          <w:noProof/>
        </w:rPr>
        <w:t xml:space="preserve">Toimenpide tulee voimaan viimeistään 31 päivänä joulukuuta 2022. </w:t>
      </w:r>
    </w:p>
    <w:p w14:paraId="2793ABBC"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AD.2. </w:t>
      </w:r>
      <w:r>
        <w:rPr>
          <w:noProof/>
        </w:rPr>
        <w:t></w:t>
      </w:r>
      <w:r>
        <w:rPr>
          <w:rFonts w:ascii="Times New Roman" w:hAnsi="Times New Roman"/>
          <w:b/>
          <w:noProof/>
          <w:u w:val="single"/>
        </w:rPr>
        <w:t>Seurantaa ja täytäntöönpanoa koskevat välitavoitteet, tavoitteet, indikaattorit ja aikataulu – rahoitustuki, jota ei makseta takaisin</w:t>
      </w:r>
    </w:p>
    <w:p w14:paraId="673009EF" w14:textId="77777777" w:rsidR="0065073E" w:rsidRDefault="000A0998">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perustason päivämäärä on 1. helmikuuta 2020, ellei toimen kuvauksessa toisin mainita. Taulukossa esitetyt määrät eivät sisällä arvonlisäveroa.</w:t>
      </w:r>
      <w:r>
        <w:rPr>
          <w:noProof/>
        </w:rPr>
        <w:t xml:space="preserve"> </w:t>
      </w:r>
    </w:p>
    <w:p w14:paraId="38FA1055" w14:textId="77777777" w:rsidR="0065073E" w:rsidRDefault="0065073E">
      <w:pPr>
        <w:pStyle w:val="Text1"/>
        <w:ind w:left="709"/>
        <w:rPr>
          <w:rFonts w:ascii="Times New Roman" w:hAnsi="Times New Roman" w:cs="Times New Roman"/>
          <w:noProof/>
        </w:rPr>
        <w:sectPr w:rsidR="0065073E" w:rsidSect="00B511EF">
          <w:headerReference w:type="even" r:id="rId631"/>
          <w:headerReference w:type="default" r:id="rId632"/>
          <w:footerReference w:type="even" r:id="rId633"/>
          <w:footerReference w:type="default" r:id="rId634"/>
          <w:headerReference w:type="first" r:id="rId635"/>
          <w:footerReference w:type="first" r:id="rId636"/>
          <w:pgSz w:w="11907" w:h="16839"/>
          <w:pgMar w:top="1134" w:right="1134" w:bottom="1134" w:left="1134" w:header="567" w:footer="567" w:gutter="0"/>
          <w:cols w:space="720"/>
          <w:docGrid w:linePitch="360"/>
        </w:sectPr>
      </w:pPr>
    </w:p>
    <w:tbl>
      <w:tblPr>
        <w:tblW w:w="1573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11"/>
        <w:gridCol w:w="823"/>
        <w:gridCol w:w="821"/>
        <w:gridCol w:w="2459"/>
        <w:gridCol w:w="957"/>
        <w:gridCol w:w="548"/>
        <w:gridCol w:w="957"/>
        <w:gridCol w:w="548"/>
        <w:gridCol w:w="413"/>
        <w:gridCol w:w="548"/>
        <w:gridCol w:w="6550"/>
      </w:tblGrid>
      <w:tr w:rsidR="0065073E" w14:paraId="363FFDC5" w14:textId="77777777">
        <w:trPr>
          <w:trHeight w:val="309"/>
          <w:tblHeader/>
        </w:trPr>
        <w:tc>
          <w:tcPr>
            <w:tcW w:w="1111" w:type="dxa"/>
            <w:tcBorders>
              <w:bottom w:val="nil"/>
            </w:tcBorders>
            <w:shd w:val="clear" w:color="auto" w:fill="C6D9F1" w:themeFill="text2" w:themeFillTint="33"/>
            <w:noWrap/>
            <w:vAlign w:val="center"/>
          </w:tcPr>
          <w:p w14:paraId="6C51660B" w14:textId="77777777" w:rsidR="0065073E" w:rsidRDefault="000A0998">
            <w:pPr>
              <w:pStyle w:val="P68B1DB1-Normal8"/>
              <w:spacing w:after="0"/>
              <w:jc w:val="center"/>
              <w:rPr>
                <w:rFonts w:cs="Times New Roman"/>
                <w:noProof/>
              </w:rPr>
            </w:pPr>
            <w:r>
              <w:rPr>
                <w:noProof/>
              </w:rPr>
              <w:t>Määrä</w:t>
            </w:r>
          </w:p>
        </w:tc>
        <w:tc>
          <w:tcPr>
            <w:tcW w:w="823" w:type="dxa"/>
            <w:tcBorders>
              <w:bottom w:val="nil"/>
            </w:tcBorders>
            <w:shd w:val="clear" w:color="auto" w:fill="C6D9F1" w:themeFill="text2" w:themeFillTint="33"/>
            <w:noWrap/>
            <w:vAlign w:val="center"/>
          </w:tcPr>
          <w:p w14:paraId="09C493AF" w14:textId="77777777" w:rsidR="0065073E" w:rsidRDefault="000A0998">
            <w:pPr>
              <w:pStyle w:val="P68B1DB1-Normal8"/>
              <w:spacing w:after="0"/>
              <w:jc w:val="center"/>
              <w:rPr>
                <w:rFonts w:cs="Times New Roman"/>
                <w:noProof/>
              </w:rPr>
            </w:pPr>
            <w:r>
              <w:rPr>
                <w:noProof/>
              </w:rPr>
              <w:t>Toimenpide</w:t>
            </w:r>
          </w:p>
        </w:tc>
        <w:tc>
          <w:tcPr>
            <w:tcW w:w="821" w:type="dxa"/>
            <w:tcBorders>
              <w:bottom w:val="nil"/>
            </w:tcBorders>
            <w:shd w:val="clear" w:color="auto" w:fill="C6D9F1" w:themeFill="text2" w:themeFillTint="33"/>
            <w:noWrap/>
            <w:vAlign w:val="center"/>
          </w:tcPr>
          <w:p w14:paraId="55625267"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459" w:type="dxa"/>
            <w:tcBorders>
              <w:bottom w:val="nil"/>
            </w:tcBorders>
            <w:shd w:val="clear" w:color="auto" w:fill="C6D9F1" w:themeFill="text2" w:themeFillTint="33"/>
            <w:noWrap/>
            <w:vAlign w:val="center"/>
          </w:tcPr>
          <w:p w14:paraId="38000B3E" w14:textId="77777777" w:rsidR="0065073E" w:rsidRDefault="000A0998">
            <w:pPr>
              <w:pStyle w:val="P68B1DB1-Normal8"/>
              <w:spacing w:after="0"/>
              <w:jc w:val="center"/>
              <w:rPr>
                <w:rFonts w:cs="Times New Roman"/>
                <w:noProof/>
              </w:rPr>
            </w:pPr>
            <w:r>
              <w:rPr>
                <w:noProof/>
              </w:rPr>
              <w:t>Nimi</w:t>
            </w:r>
          </w:p>
        </w:tc>
        <w:tc>
          <w:tcPr>
            <w:tcW w:w="957" w:type="dxa"/>
            <w:tcBorders>
              <w:bottom w:val="nil"/>
            </w:tcBorders>
            <w:shd w:val="clear" w:color="auto" w:fill="C6D9F1" w:themeFill="text2" w:themeFillTint="33"/>
            <w:noWrap/>
            <w:vAlign w:val="center"/>
          </w:tcPr>
          <w:p w14:paraId="74BC0A7C" w14:textId="77777777" w:rsidR="0065073E" w:rsidRDefault="000A0998">
            <w:pPr>
              <w:pStyle w:val="P68B1DB1-Normal8"/>
              <w:spacing w:after="0"/>
              <w:jc w:val="center"/>
              <w:rPr>
                <w:rFonts w:cs="Times New Roman"/>
                <w:noProof/>
              </w:rPr>
            </w:pPr>
            <w:r>
              <w:rPr>
                <w:noProof/>
              </w:rPr>
              <w:t>Välitavoitteiden laadullinen indikaattori</w:t>
            </w:r>
          </w:p>
        </w:tc>
        <w:tc>
          <w:tcPr>
            <w:tcW w:w="2053" w:type="dxa"/>
            <w:gridSpan w:val="3"/>
            <w:shd w:val="clear" w:color="auto" w:fill="C6D9F1" w:themeFill="text2" w:themeFillTint="33"/>
            <w:noWrap/>
            <w:vAlign w:val="center"/>
          </w:tcPr>
          <w:p w14:paraId="6CEB2364" w14:textId="77777777" w:rsidR="0065073E" w:rsidRDefault="000A0998">
            <w:pPr>
              <w:pStyle w:val="P68B1DB1-Normal8"/>
              <w:spacing w:after="0"/>
              <w:jc w:val="center"/>
              <w:rPr>
                <w:rFonts w:cs="Times New Roman"/>
                <w:noProof/>
              </w:rPr>
            </w:pPr>
            <w:r>
              <w:rPr>
                <w:noProof/>
              </w:rPr>
              <w:t>Määrällinen indikaattori tavoitteelle</w:t>
            </w:r>
          </w:p>
        </w:tc>
        <w:tc>
          <w:tcPr>
            <w:tcW w:w="961" w:type="dxa"/>
            <w:gridSpan w:val="2"/>
            <w:shd w:val="clear" w:color="auto" w:fill="C6D9F1" w:themeFill="text2" w:themeFillTint="33"/>
            <w:noWrap/>
            <w:vAlign w:val="center"/>
          </w:tcPr>
          <w:p w14:paraId="13B9A659" w14:textId="77777777" w:rsidR="0065073E" w:rsidRDefault="000A0998">
            <w:pPr>
              <w:pStyle w:val="P68B1DB1-Normal8"/>
              <w:spacing w:after="0"/>
              <w:jc w:val="center"/>
              <w:rPr>
                <w:rFonts w:cs="Times New Roman"/>
                <w:noProof/>
              </w:rPr>
            </w:pPr>
            <w:r>
              <w:rPr>
                <w:noProof/>
              </w:rPr>
              <w:t>Aika</w:t>
            </w:r>
          </w:p>
        </w:tc>
        <w:tc>
          <w:tcPr>
            <w:tcW w:w="6550" w:type="dxa"/>
            <w:tcBorders>
              <w:bottom w:val="nil"/>
            </w:tcBorders>
            <w:shd w:val="clear" w:color="auto" w:fill="C6D9F1" w:themeFill="text2" w:themeFillTint="33"/>
            <w:noWrap/>
            <w:vAlign w:val="center"/>
          </w:tcPr>
          <w:p w14:paraId="542F50EA"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51E2E2CF" w14:textId="77777777">
        <w:trPr>
          <w:trHeight w:val="309"/>
          <w:tblHeader/>
        </w:trPr>
        <w:tc>
          <w:tcPr>
            <w:tcW w:w="1111" w:type="dxa"/>
            <w:tcBorders>
              <w:top w:val="nil"/>
            </w:tcBorders>
            <w:shd w:val="clear" w:color="auto" w:fill="C6D9F1" w:themeFill="text2" w:themeFillTint="33"/>
            <w:noWrap/>
          </w:tcPr>
          <w:p w14:paraId="4FF74376" w14:textId="77777777" w:rsidR="0065073E" w:rsidRDefault="0065073E">
            <w:pPr>
              <w:spacing w:after="0"/>
              <w:jc w:val="center"/>
              <w:rPr>
                <w:rFonts w:ascii="Times New Roman" w:hAnsi="Times New Roman" w:cs="Times New Roman"/>
                <w:b/>
                <w:noProof/>
                <w:sz w:val="18"/>
              </w:rPr>
            </w:pPr>
          </w:p>
        </w:tc>
        <w:tc>
          <w:tcPr>
            <w:tcW w:w="823" w:type="dxa"/>
            <w:tcBorders>
              <w:top w:val="nil"/>
            </w:tcBorders>
            <w:shd w:val="clear" w:color="auto" w:fill="C6D9F1" w:themeFill="text2" w:themeFillTint="33"/>
            <w:noWrap/>
          </w:tcPr>
          <w:p w14:paraId="5BE3D7FD" w14:textId="77777777" w:rsidR="0065073E" w:rsidRDefault="0065073E">
            <w:pPr>
              <w:spacing w:after="0"/>
              <w:jc w:val="center"/>
              <w:rPr>
                <w:rFonts w:ascii="Times New Roman" w:hAnsi="Times New Roman" w:cs="Times New Roman"/>
                <w:b/>
                <w:noProof/>
                <w:sz w:val="18"/>
              </w:rPr>
            </w:pPr>
          </w:p>
        </w:tc>
        <w:tc>
          <w:tcPr>
            <w:tcW w:w="821" w:type="dxa"/>
            <w:tcBorders>
              <w:top w:val="nil"/>
            </w:tcBorders>
            <w:shd w:val="clear" w:color="auto" w:fill="C6D9F1" w:themeFill="text2" w:themeFillTint="33"/>
            <w:noWrap/>
          </w:tcPr>
          <w:p w14:paraId="4EE1E1BF" w14:textId="77777777" w:rsidR="0065073E" w:rsidRDefault="0065073E">
            <w:pPr>
              <w:spacing w:after="0"/>
              <w:jc w:val="center"/>
              <w:rPr>
                <w:rFonts w:ascii="Times New Roman" w:hAnsi="Times New Roman" w:cs="Times New Roman"/>
                <w:b/>
                <w:noProof/>
                <w:sz w:val="18"/>
              </w:rPr>
            </w:pPr>
          </w:p>
        </w:tc>
        <w:tc>
          <w:tcPr>
            <w:tcW w:w="2459" w:type="dxa"/>
            <w:tcBorders>
              <w:top w:val="nil"/>
            </w:tcBorders>
            <w:shd w:val="clear" w:color="auto" w:fill="C6D9F1" w:themeFill="text2" w:themeFillTint="33"/>
            <w:noWrap/>
          </w:tcPr>
          <w:p w14:paraId="4A9E3840" w14:textId="77777777" w:rsidR="0065073E" w:rsidRDefault="0065073E">
            <w:pPr>
              <w:spacing w:after="0"/>
              <w:rPr>
                <w:rFonts w:ascii="Times New Roman" w:hAnsi="Times New Roman" w:cs="Times New Roman"/>
                <w:b/>
                <w:noProof/>
                <w:sz w:val="18"/>
              </w:rPr>
            </w:pPr>
          </w:p>
        </w:tc>
        <w:tc>
          <w:tcPr>
            <w:tcW w:w="957" w:type="dxa"/>
            <w:tcBorders>
              <w:top w:val="nil"/>
            </w:tcBorders>
            <w:shd w:val="clear" w:color="auto" w:fill="C6D9F1" w:themeFill="text2" w:themeFillTint="33"/>
            <w:noWrap/>
          </w:tcPr>
          <w:p w14:paraId="32E0BD40" w14:textId="77777777" w:rsidR="0065073E" w:rsidRDefault="0065073E">
            <w:pPr>
              <w:spacing w:after="0"/>
              <w:jc w:val="center"/>
              <w:rPr>
                <w:rFonts w:ascii="Times New Roman" w:hAnsi="Times New Roman" w:cs="Times New Roman"/>
                <w:b/>
                <w:noProof/>
                <w:sz w:val="18"/>
              </w:rPr>
            </w:pPr>
          </w:p>
        </w:tc>
        <w:tc>
          <w:tcPr>
            <w:tcW w:w="548" w:type="dxa"/>
            <w:shd w:val="clear" w:color="auto" w:fill="C6D9F1" w:themeFill="text2" w:themeFillTint="33"/>
            <w:noWrap/>
          </w:tcPr>
          <w:p w14:paraId="72C91D75" w14:textId="77777777" w:rsidR="0065073E" w:rsidRDefault="000A0998">
            <w:pPr>
              <w:pStyle w:val="P68B1DB1-Normal8"/>
              <w:spacing w:after="0"/>
              <w:jc w:val="center"/>
              <w:rPr>
                <w:rFonts w:cs="Times New Roman"/>
                <w:noProof/>
              </w:rPr>
            </w:pPr>
            <w:r>
              <w:rPr>
                <w:noProof/>
              </w:rPr>
              <w:t>Yksikkö</w:t>
            </w:r>
          </w:p>
        </w:tc>
        <w:tc>
          <w:tcPr>
            <w:tcW w:w="957" w:type="dxa"/>
            <w:shd w:val="clear" w:color="auto" w:fill="C6D9F1" w:themeFill="text2" w:themeFillTint="33"/>
            <w:noWrap/>
          </w:tcPr>
          <w:p w14:paraId="287C1036" w14:textId="45603448" w:rsidR="0065073E" w:rsidRDefault="000A0998">
            <w:pPr>
              <w:pStyle w:val="P68B1DB1-Normal8"/>
              <w:spacing w:after="0"/>
              <w:jc w:val="center"/>
              <w:rPr>
                <w:rFonts w:cs="Times New Roman"/>
                <w:noProof/>
              </w:rPr>
            </w:pPr>
            <w:r>
              <w:rPr>
                <w:noProof/>
              </w:rPr>
              <w:t>Lähtötaso</w:t>
            </w:r>
          </w:p>
        </w:tc>
        <w:tc>
          <w:tcPr>
            <w:tcW w:w="548" w:type="dxa"/>
            <w:shd w:val="clear" w:color="auto" w:fill="C6D9F1" w:themeFill="text2" w:themeFillTint="33"/>
            <w:noWrap/>
          </w:tcPr>
          <w:p w14:paraId="3A86A116" w14:textId="77777777" w:rsidR="0065073E" w:rsidRDefault="000A0998">
            <w:pPr>
              <w:pStyle w:val="P68B1DB1-Normal8"/>
              <w:spacing w:after="0"/>
              <w:jc w:val="center"/>
              <w:rPr>
                <w:rFonts w:cs="Times New Roman"/>
                <w:noProof/>
              </w:rPr>
            </w:pPr>
            <w:r>
              <w:rPr>
                <w:noProof/>
              </w:rPr>
              <w:t>Päämäärä</w:t>
            </w:r>
          </w:p>
        </w:tc>
        <w:tc>
          <w:tcPr>
            <w:tcW w:w="413" w:type="dxa"/>
            <w:shd w:val="clear" w:color="auto" w:fill="C6D9F1" w:themeFill="text2" w:themeFillTint="33"/>
            <w:noWrap/>
          </w:tcPr>
          <w:p w14:paraId="59DEAF0B" w14:textId="77777777" w:rsidR="0065073E" w:rsidRDefault="000A0998">
            <w:pPr>
              <w:pStyle w:val="P68B1DB1-Normal8"/>
              <w:spacing w:after="0"/>
              <w:jc w:val="center"/>
              <w:rPr>
                <w:rFonts w:cs="Times New Roman"/>
                <w:noProof/>
              </w:rPr>
            </w:pPr>
            <w:r>
              <w:rPr>
                <w:noProof/>
              </w:rPr>
              <w:t>Q</w:t>
            </w:r>
          </w:p>
        </w:tc>
        <w:tc>
          <w:tcPr>
            <w:tcW w:w="548" w:type="dxa"/>
            <w:shd w:val="clear" w:color="auto" w:fill="C6D9F1" w:themeFill="text2" w:themeFillTint="33"/>
            <w:noWrap/>
          </w:tcPr>
          <w:p w14:paraId="4EEE21F8" w14:textId="77777777" w:rsidR="0065073E" w:rsidRDefault="000A0998">
            <w:pPr>
              <w:pStyle w:val="P68B1DB1-Normal8"/>
              <w:spacing w:after="0"/>
              <w:jc w:val="center"/>
              <w:rPr>
                <w:rFonts w:cs="Times New Roman"/>
                <w:noProof/>
              </w:rPr>
            </w:pPr>
            <w:r>
              <w:rPr>
                <w:noProof/>
              </w:rPr>
              <w:t>Vuosi</w:t>
            </w:r>
          </w:p>
        </w:tc>
        <w:tc>
          <w:tcPr>
            <w:tcW w:w="6550" w:type="dxa"/>
            <w:tcBorders>
              <w:top w:val="nil"/>
            </w:tcBorders>
            <w:shd w:val="clear" w:color="auto" w:fill="C6D9F1" w:themeFill="text2" w:themeFillTint="33"/>
            <w:noWrap/>
          </w:tcPr>
          <w:p w14:paraId="209A134B" w14:textId="77777777" w:rsidR="0065073E" w:rsidRDefault="0065073E">
            <w:pPr>
              <w:spacing w:after="0"/>
              <w:rPr>
                <w:rFonts w:ascii="Times New Roman" w:hAnsi="Times New Roman" w:cs="Times New Roman"/>
                <w:b/>
                <w:noProof/>
                <w:sz w:val="18"/>
              </w:rPr>
            </w:pPr>
          </w:p>
        </w:tc>
      </w:tr>
      <w:tr w:rsidR="0065073E" w14:paraId="2DB6F3D3" w14:textId="77777777">
        <w:trPr>
          <w:trHeight w:val="309"/>
        </w:trPr>
        <w:tc>
          <w:tcPr>
            <w:tcW w:w="1111" w:type="dxa"/>
            <w:shd w:val="clear" w:color="auto" w:fill="C6EFCE"/>
            <w:noWrap/>
          </w:tcPr>
          <w:p w14:paraId="082412BE" w14:textId="77777777" w:rsidR="0065073E" w:rsidRDefault="000A0998">
            <w:pPr>
              <w:pStyle w:val="P68B1DB1-Normal12"/>
              <w:spacing w:after="0"/>
              <w:jc w:val="center"/>
              <w:rPr>
                <w:rFonts w:eastAsia="Times New Roman" w:cs="Times New Roman"/>
                <w:noProof/>
              </w:rPr>
            </w:pPr>
            <w:r>
              <w:rPr>
                <w:noProof/>
              </w:rPr>
              <w:t>406</w:t>
            </w:r>
          </w:p>
        </w:tc>
        <w:tc>
          <w:tcPr>
            <w:tcW w:w="823" w:type="dxa"/>
            <w:shd w:val="clear" w:color="auto" w:fill="C6EFCE"/>
            <w:noWrap/>
          </w:tcPr>
          <w:p w14:paraId="6AEFB9F2" w14:textId="77777777" w:rsidR="0065073E" w:rsidRDefault="000A0998">
            <w:pPr>
              <w:pStyle w:val="P68B1DB1-Normal12"/>
              <w:spacing w:after="0"/>
              <w:jc w:val="center"/>
              <w:rPr>
                <w:rFonts w:eastAsia="Times New Roman" w:cs="Times New Roman"/>
                <w:noProof/>
              </w:rPr>
            </w:pPr>
            <w:r>
              <w:rPr>
                <w:noProof/>
              </w:rPr>
              <w:t>C30.R1</w:t>
            </w:r>
          </w:p>
        </w:tc>
        <w:tc>
          <w:tcPr>
            <w:tcW w:w="821" w:type="dxa"/>
            <w:shd w:val="clear" w:color="auto" w:fill="C6EFCE"/>
            <w:noWrap/>
          </w:tcPr>
          <w:p w14:paraId="09BD583A"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3FEE5E58" w14:textId="77777777" w:rsidR="0065073E" w:rsidRDefault="000A0998">
            <w:pPr>
              <w:pStyle w:val="P68B1DB1-Normal12"/>
              <w:spacing w:after="0"/>
              <w:rPr>
                <w:rFonts w:eastAsia="Times New Roman" w:cs="Times New Roman"/>
                <w:noProof/>
              </w:rPr>
            </w:pPr>
            <w:r>
              <w:rPr>
                <w:noProof/>
              </w:rPr>
              <w:t>Sosiaaliturvan rahoituksen erottaminen toisistaan</w:t>
            </w:r>
          </w:p>
        </w:tc>
        <w:tc>
          <w:tcPr>
            <w:tcW w:w="957" w:type="dxa"/>
            <w:shd w:val="clear" w:color="auto" w:fill="C6EFCE"/>
            <w:noWrap/>
          </w:tcPr>
          <w:p w14:paraId="36A6356E"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215C802C"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74ADEF33"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4FBE61DA"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55BCB871"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43FCB57F" w14:textId="77777777" w:rsidR="0065073E" w:rsidRDefault="000A0998">
            <w:pPr>
              <w:pStyle w:val="P68B1DB1-Normal12"/>
              <w:spacing w:after="0"/>
              <w:jc w:val="center"/>
              <w:rPr>
                <w:rFonts w:eastAsia="Times New Roman" w:cs="Times New Roman"/>
                <w:noProof/>
              </w:rPr>
            </w:pPr>
            <w:r>
              <w:rPr>
                <w:noProof/>
              </w:rPr>
              <w:t>2020</w:t>
            </w:r>
          </w:p>
        </w:tc>
        <w:tc>
          <w:tcPr>
            <w:tcW w:w="6550" w:type="dxa"/>
            <w:shd w:val="clear" w:color="auto" w:fill="C6EFCE"/>
            <w:noWrap/>
          </w:tcPr>
          <w:p w14:paraId="50CB98EF" w14:textId="77777777" w:rsidR="0065073E" w:rsidRDefault="000A0998">
            <w:pPr>
              <w:pStyle w:val="P68B1DB1-Normal12"/>
              <w:spacing w:after="0"/>
              <w:rPr>
                <w:rFonts w:eastAsia="Times New Roman" w:cs="Times New Roman"/>
                <w:noProof/>
              </w:rPr>
            </w:pPr>
            <w:r>
              <w:rPr>
                <w:noProof/>
              </w:rPr>
              <w:t>Valtion vuoden 2021 yleisestä talousarviosta 30. joulukuuta annetun lain 11/2020 voimaantulo sosiaaliturvan rahoituslähteiden eriyttämisestä. Valtio siirtää vuosittain sosiaaliturvajärjestelmään maksuihin perustumattomia menoja vastaavan määrän. Tämä mahdollistaa sosiaaliturvavajeen supistamisen ja sen siirtämisen keskushallinnolle, jolla on riittävät välineet sen korjaamiseksi. Se myös hälventää epäilyjä järjestelmän vakavaraisuudesta, joka parantaa edellytyksiä vastata keskipitkän ja pitkän aikavälin haasteisiin. Vuoden 2021 valtion talousarviosta annetussa laissa säädetään ensimmäisestä ja merkittävästä askelesta tähän suuntaan.</w:t>
            </w:r>
          </w:p>
        </w:tc>
      </w:tr>
      <w:tr w:rsidR="0065073E" w14:paraId="16C2201F" w14:textId="77777777">
        <w:trPr>
          <w:trHeight w:val="309"/>
        </w:trPr>
        <w:tc>
          <w:tcPr>
            <w:tcW w:w="1111" w:type="dxa"/>
            <w:shd w:val="clear" w:color="auto" w:fill="C6EFCE"/>
            <w:noWrap/>
          </w:tcPr>
          <w:p w14:paraId="5EB4A7D0" w14:textId="77777777" w:rsidR="0065073E" w:rsidRDefault="000A0998">
            <w:pPr>
              <w:pStyle w:val="P68B1DB1-Normal12"/>
              <w:spacing w:after="0"/>
              <w:jc w:val="center"/>
              <w:rPr>
                <w:rFonts w:eastAsia="Times New Roman" w:cs="Times New Roman"/>
                <w:noProof/>
              </w:rPr>
            </w:pPr>
            <w:r>
              <w:rPr>
                <w:noProof/>
              </w:rPr>
              <w:t>407</w:t>
            </w:r>
          </w:p>
        </w:tc>
        <w:tc>
          <w:tcPr>
            <w:tcW w:w="823" w:type="dxa"/>
            <w:shd w:val="clear" w:color="auto" w:fill="C6EFCE"/>
            <w:noWrap/>
          </w:tcPr>
          <w:p w14:paraId="5396BF50" w14:textId="77777777" w:rsidR="0065073E" w:rsidRDefault="000A0998">
            <w:pPr>
              <w:pStyle w:val="P68B1DB1-Normal12"/>
              <w:spacing w:after="0"/>
              <w:jc w:val="center"/>
              <w:rPr>
                <w:rFonts w:eastAsia="Times New Roman" w:cs="Times New Roman"/>
                <w:noProof/>
              </w:rPr>
            </w:pPr>
            <w:r>
              <w:rPr>
                <w:noProof/>
              </w:rPr>
              <w:t>C30.R2</w:t>
            </w:r>
          </w:p>
        </w:tc>
        <w:tc>
          <w:tcPr>
            <w:tcW w:w="821" w:type="dxa"/>
            <w:shd w:val="clear" w:color="auto" w:fill="C6EFCE"/>
            <w:noWrap/>
          </w:tcPr>
          <w:p w14:paraId="5936375A"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0FF668FD" w14:textId="77777777" w:rsidR="0065073E" w:rsidRDefault="000A0998">
            <w:pPr>
              <w:pStyle w:val="P68B1DB1-Normal12"/>
              <w:spacing w:after="0"/>
              <w:rPr>
                <w:rFonts w:eastAsia="Times New Roman" w:cs="Times New Roman"/>
                <w:noProof/>
              </w:rPr>
            </w:pPr>
            <w:r>
              <w:rPr>
                <w:noProof/>
              </w:rPr>
              <w:t>Eläkkeiden ostovoiman säilyttäminen sekä todellisen eläkeiän ja lakisääteisen eläkeiän yhdenmukaistaminen</w:t>
            </w:r>
          </w:p>
        </w:tc>
        <w:tc>
          <w:tcPr>
            <w:tcW w:w="957" w:type="dxa"/>
            <w:shd w:val="clear" w:color="auto" w:fill="C6EFCE"/>
            <w:noWrap/>
          </w:tcPr>
          <w:p w14:paraId="7B267DF6"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0EBB2E39"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3DE8EAE4"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2B8810C9"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1DF8AE56"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6844DF5F" w14:textId="77777777" w:rsidR="0065073E" w:rsidRDefault="000A0998">
            <w:pPr>
              <w:pStyle w:val="P68B1DB1-Normal12"/>
              <w:spacing w:after="0"/>
              <w:jc w:val="center"/>
              <w:rPr>
                <w:rFonts w:eastAsia="Times New Roman" w:cs="Times New Roman"/>
                <w:noProof/>
              </w:rPr>
            </w:pPr>
            <w:r>
              <w:rPr>
                <w:noProof/>
              </w:rPr>
              <w:t>2021</w:t>
            </w:r>
          </w:p>
        </w:tc>
        <w:tc>
          <w:tcPr>
            <w:tcW w:w="6550" w:type="dxa"/>
            <w:shd w:val="clear" w:color="auto" w:fill="C6EFCE"/>
            <w:noWrap/>
          </w:tcPr>
          <w:p w14:paraId="353A4050" w14:textId="77777777" w:rsidR="0065073E" w:rsidRDefault="000A0998">
            <w:pPr>
              <w:spacing w:after="0"/>
              <w:rPr>
                <w:rFonts w:ascii="Times New Roman" w:eastAsia="Times New Roman" w:hAnsi="Times New Roman" w:cs="Times New Roman"/>
                <w:noProof/>
                <w:sz w:val="18"/>
              </w:rPr>
            </w:pPr>
            <w:r>
              <w:rPr>
                <w:rFonts w:ascii="Times New Roman" w:hAnsi="Times New Roman"/>
                <w:noProof/>
                <w:sz w:val="18"/>
              </w:rPr>
              <w:t>Euroopan unionin virallisessa lehdessä julkaistun lainsäädännön voimaantulo, jonka tavoitteena on</w:t>
            </w:r>
            <w:r>
              <w:rPr>
                <w:noProof/>
              </w:rPr>
              <w:t xml:space="preserve"> </w:t>
            </w:r>
            <w:r>
              <w:rPr>
                <w:noProof/>
              </w:rPr>
              <w:br/>
            </w:r>
            <w:r>
              <w:rPr>
                <w:rFonts w:ascii="Times New Roman" w:hAnsi="Times New Roman"/>
                <w:noProof/>
                <w:sz w:val="18"/>
              </w:rPr>
              <w:t xml:space="preserve">a) Eläkkeiden ostovoiman säilyttäminen: kehitetään uusi uudelleenarviointimekanismi, jossa eläkkeet kytketään inflaatioon, jotta varmistetaan, että eläkeläisten ostovoima taataan pysyvästi. </w:t>
            </w:r>
            <w:r>
              <w:rPr>
                <w:noProof/>
              </w:rPr>
              <w:t xml:space="preserve"> </w:t>
            </w:r>
            <w:r>
              <w:rPr>
                <w:noProof/>
              </w:rPr>
              <w:br/>
            </w:r>
            <w:r>
              <w:rPr>
                <w:rFonts w:ascii="Times New Roman" w:hAnsi="Times New Roman"/>
                <w:noProof/>
                <w:sz w:val="18"/>
              </w:rPr>
              <w:t>b) Todellisen eläkeiän ja lakisääteisen eläkeiän mukauttaminen: tarjotaan kannustimia eläkkeelle siirtymisen lykkäämiseen, mukaan lukien taloudellisten kannustimien lisääminen ja työn ja eläkkeelle siirtymisen yhteensovittamisen edistäminen, jotta voidaan lisätä työvoimaosuutta lakisääteistä eläkeikää lähellä olevissa ikäryhmissä ja lykätä eläkkeelle siirtymistä.</w:t>
            </w:r>
          </w:p>
        </w:tc>
      </w:tr>
      <w:tr w:rsidR="0065073E" w14:paraId="76FB77AA" w14:textId="77777777">
        <w:trPr>
          <w:trHeight w:val="309"/>
        </w:trPr>
        <w:tc>
          <w:tcPr>
            <w:tcW w:w="1111" w:type="dxa"/>
            <w:shd w:val="clear" w:color="auto" w:fill="C6EFCE"/>
            <w:noWrap/>
          </w:tcPr>
          <w:p w14:paraId="3056FDAF" w14:textId="77777777" w:rsidR="0065073E" w:rsidRDefault="000A0998">
            <w:pPr>
              <w:pStyle w:val="P68B1DB1-Normal12"/>
              <w:spacing w:after="0"/>
              <w:jc w:val="center"/>
              <w:rPr>
                <w:rFonts w:eastAsia="Times New Roman" w:cs="Times New Roman"/>
                <w:noProof/>
              </w:rPr>
            </w:pPr>
            <w:r>
              <w:rPr>
                <w:noProof/>
              </w:rPr>
              <w:t>408</w:t>
            </w:r>
          </w:p>
        </w:tc>
        <w:tc>
          <w:tcPr>
            <w:tcW w:w="823" w:type="dxa"/>
            <w:shd w:val="clear" w:color="auto" w:fill="C6EFCE"/>
            <w:noWrap/>
          </w:tcPr>
          <w:p w14:paraId="144EF3CD" w14:textId="77777777" w:rsidR="0065073E" w:rsidRDefault="000A0998">
            <w:pPr>
              <w:pStyle w:val="P68B1DB1-Normal12"/>
              <w:spacing w:after="0"/>
              <w:jc w:val="center"/>
              <w:rPr>
                <w:rFonts w:eastAsia="Times New Roman" w:cs="Times New Roman"/>
                <w:noProof/>
              </w:rPr>
            </w:pPr>
            <w:r>
              <w:rPr>
                <w:noProof/>
              </w:rPr>
              <w:t>C30.R2</w:t>
            </w:r>
          </w:p>
        </w:tc>
        <w:tc>
          <w:tcPr>
            <w:tcW w:w="821" w:type="dxa"/>
            <w:shd w:val="clear" w:color="auto" w:fill="C6EFCE"/>
            <w:noWrap/>
          </w:tcPr>
          <w:p w14:paraId="33EBAF0E"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73A76CAC" w14:textId="77777777" w:rsidR="0065073E" w:rsidRDefault="000A0998">
            <w:pPr>
              <w:pStyle w:val="P68B1DB1-Normal12"/>
              <w:spacing w:after="0"/>
              <w:rPr>
                <w:rFonts w:eastAsia="Times New Roman" w:cs="Times New Roman"/>
                <w:noProof/>
              </w:rPr>
            </w:pPr>
            <w:r>
              <w:rPr>
                <w:noProof/>
              </w:rPr>
              <w:t xml:space="preserve">Vanhuuseläkkeen laskentakauden mukauttaminen </w:t>
            </w:r>
          </w:p>
        </w:tc>
        <w:tc>
          <w:tcPr>
            <w:tcW w:w="957" w:type="dxa"/>
            <w:shd w:val="clear" w:color="auto" w:fill="C6EFCE"/>
            <w:noWrap/>
          </w:tcPr>
          <w:p w14:paraId="7900F259"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345E47E1"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1FF84CD8"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13A8C699"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4CD7A40A"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07BCDFEA"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73E6C409" w14:textId="77777777" w:rsidR="0065073E" w:rsidRDefault="000A0998">
            <w:pPr>
              <w:pStyle w:val="P68B1DB1-Normal12"/>
              <w:spacing w:after="0"/>
              <w:rPr>
                <w:rFonts w:eastAsia="Times New Roman" w:cs="Times New Roman"/>
                <w:noProof/>
              </w:rPr>
            </w:pPr>
            <w:r>
              <w:rPr>
                <w:noProof/>
              </w:rPr>
              <w:t xml:space="preserve">Laskentakauden mukauttamista koskevan lainsäädännön voimaantulo siten, että vanhuuseläkkeen laskentajaksoa pidennetään. </w:t>
            </w:r>
          </w:p>
        </w:tc>
      </w:tr>
      <w:tr w:rsidR="0065073E" w14:paraId="3CDCC6A4" w14:textId="77777777">
        <w:trPr>
          <w:trHeight w:val="309"/>
        </w:trPr>
        <w:tc>
          <w:tcPr>
            <w:tcW w:w="1111" w:type="dxa"/>
            <w:shd w:val="clear" w:color="auto" w:fill="C6EFCE"/>
            <w:noWrap/>
          </w:tcPr>
          <w:p w14:paraId="282AB244" w14:textId="77777777" w:rsidR="0065073E" w:rsidRDefault="000A0998">
            <w:pPr>
              <w:pStyle w:val="P68B1DB1-Normal12"/>
              <w:spacing w:after="0"/>
              <w:jc w:val="center"/>
              <w:rPr>
                <w:rFonts w:eastAsia="Times New Roman" w:cs="Times New Roman"/>
                <w:noProof/>
              </w:rPr>
            </w:pPr>
            <w:r>
              <w:rPr>
                <w:noProof/>
              </w:rPr>
              <w:t>409</w:t>
            </w:r>
          </w:p>
        </w:tc>
        <w:tc>
          <w:tcPr>
            <w:tcW w:w="823" w:type="dxa"/>
            <w:shd w:val="clear" w:color="auto" w:fill="C6EFCE"/>
            <w:noWrap/>
          </w:tcPr>
          <w:p w14:paraId="090597C6" w14:textId="77777777" w:rsidR="0065073E" w:rsidRDefault="000A0998">
            <w:pPr>
              <w:pStyle w:val="P68B1DB1-Normal12"/>
              <w:spacing w:after="0"/>
              <w:jc w:val="center"/>
              <w:rPr>
                <w:rFonts w:eastAsia="Times New Roman" w:cs="Times New Roman"/>
                <w:noProof/>
              </w:rPr>
            </w:pPr>
            <w:r>
              <w:rPr>
                <w:noProof/>
              </w:rPr>
              <w:t>C30.R2</w:t>
            </w:r>
          </w:p>
        </w:tc>
        <w:tc>
          <w:tcPr>
            <w:tcW w:w="821" w:type="dxa"/>
            <w:shd w:val="clear" w:color="auto" w:fill="C6EFCE"/>
            <w:noWrap/>
          </w:tcPr>
          <w:p w14:paraId="369C3BD4"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22B016FF" w14:textId="77777777" w:rsidR="0065073E" w:rsidRDefault="000A0998">
            <w:pPr>
              <w:pStyle w:val="P68B1DB1-Normal12"/>
              <w:spacing w:after="0"/>
              <w:rPr>
                <w:rFonts w:eastAsia="Times New Roman" w:cs="Times New Roman"/>
                <w:noProof/>
              </w:rPr>
            </w:pPr>
            <w:r>
              <w:rPr>
                <w:noProof/>
              </w:rPr>
              <w:t>Kestävyystekijän korvaaminen sukupolvien välisellä pääomajärjestelyllä</w:t>
            </w:r>
          </w:p>
        </w:tc>
        <w:tc>
          <w:tcPr>
            <w:tcW w:w="957" w:type="dxa"/>
            <w:shd w:val="clear" w:color="auto" w:fill="C6EFCE"/>
            <w:noWrap/>
          </w:tcPr>
          <w:p w14:paraId="586F0C74" w14:textId="77777777" w:rsidR="0065073E" w:rsidRDefault="000A0998">
            <w:pPr>
              <w:pStyle w:val="P68B1DB1-Normal12"/>
              <w:spacing w:after="0"/>
              <w:jc w:val="center"/>
              <w:rPr>
                <w:rFonts w:eastAsia="Times New Roman" w:cs="Times New Roman"/>
                <w:noProof/>
              </w:rPr>
            </w:pPr>
            <w:r>
              <w:rPr>
                <w:noProof/>
              </w:rPr>
              <w:t>Lain säännös, josta käy ilmi sen voimaantulo</w:t>
            </w:r>
          </w:p>
        </w:tc>
        <w:tc>
          <w:tcPr>
            <w:tcW w:w="548" w:type="dxa"/>
            <w:shd w:val="clear" w:color="auto" w:fill="C6EFCE"/>
            <w:noWrap/>
          </w:tcPr>
          <w:p w14:paraId="373D937C"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504FD19D"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21295E83"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4B1B7F56"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78F0E579"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4CA04DFD" w14:textId="77777777" w:rsidR="0065073E" w:rsidRDefault="000A0998">
            <w:pPr>
              <w:pStyle w:val="P68B1DB1-Normal12"/>
              <w:spacing w:after="0"/>
              <w:rPr>
                <w:rFonts w:eastAsia="Times New Roman" w:cs="Times New Roman"/>
                <w:noProof/>
              </w:rPr>
            </w:pPr>
            <w:r>
              <w:rPr>
                <w:noProof/>
              </w:rPr>
              <w:t>Sellaisen nykyisen kestävyystekijän korvaamista koskevan lainsäädännön voimaantulo, jossa eläkkeet kytketään elinajanodotteeseen, mekanismiin, jolla taataan sukupolvien välinen tasapuolisuus ja julkisen talouden kestävyys sopeutumalla väestörakenteen muutoksiin.</w:t>
            </w:r>
          </w:p>
        </w:tc>
      </w:tr>
      <w:tr w:rsidR="0065073E" w14:paraId="290F56ED" w14:textId="77777777">
        <w:trPr>
          <w:trHeight w:val="309"/>
        </w:trPr>
        <w:tc>
          <w:tcPr>
            <w:tcW w:w="1111" w:type="dxa"/>
            <w:shd w:val="clear" w:color="auto" w:fill="C6EFCE"/>
            <w:noWrap/>
          </w:tcPr>
          <w:p w14:paraId="7CBD5259" w14:textId="77777777" w:rsidR="0065073E" w:rsidRDefault="000A0998">
            <w:pPr>
              <w:pStyle w:val="P68B1DB1-Normal12"/>
              <w:spacing w:after="0"/>
              <w:jc w:val="center"/>
              <w:rPr>
                <w:rFonts w:eastAsia="Times New Roman" w:cs="Times New Roman"/>
                <w:noProof/>
              </w:rPr>
            </w:pPr>
            <w:r>
              <w:rPr>
                <w:noProof/>
              </w:rPr>
              <w:t>410</w:t>
            </w:r>
          </w:p>
        </w:tc>
        <w:tc>
          <w:tcPr>
            <w:tcW w:w="823" w:type="dxa"/>
            <w:shd w:val="clear" w:color="auto" w:fill="C6EFCE"/>
            <w:noWrap/>
          </w:tcPr>
          <w:p w14:paraId="060D1932" w14:textId="77777777" w:rsidR="0065073E" w:rsidRDefault="000A0998">
            <w:pPr>
              <w:pStyle w:val="P68B1DB1-Normal12"/>
              <w:spacing w:after="0"/>
              <w:jc w:val="center"/>
              <w:rPr>
                <w:rFonts w:eastAsia="Times New Roman" w:cs="Times New Roman"/>
                <w:noProof/>
              </w:rPr>
            </w:pPr>
            <w:r>
              <w:rPr>
                <w:noProof/>
              </w:rPr>
              <w:t>C30.R2</w:t>
            </w:r>
          </w:p>
        </w:tc>
        <w:tc>
          <w:tcPr>
            <w:tcW w:w="821" w:type="dxa"/>
            <w:shd w:val="clear" w:color="auto" w:fill="C6EFCE"/>
            <w:noWrap/>
          </w:tcPr>
          <w:p w14:paraId="3F8C4631"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036D9408" w14:textId="77777777" w:rsidR="0065073E" w:rsidRDefault="000A0998">
            <w:pPr>
              <w:pStyle w:val="P68B1DB1-Normal12"/>
              <w:spacing w:after="0"/>
              <w:rPr>
                <w:rFonts w:eastAsia="Times New Roman" w:cs="Times New Roman"/>
                <w:noProof/>
              </w:rPr>
            </w:pPr>
            <w:r>
              <w:rPr>
                <w:noProof/>
              </w:rPr>
              <w:t>Päivitetyt ennusteet siitä, miten vuosina 2021 ja 2022 toteutetuilla eläkeuudistuksilla varmistetaan julkisen talouden pitkän aikavälin kestävyys</w:t>
            </w:r>
          </w:p>
        </w:tc>
        <w:tc>
          <w:tcPr>
            <w:tcW w:w="957" w:type="dxa"/>
            <w:shd w:val="clear" w:color="auto" w:fill="C6EFCE"/>
            <w:noWrap/>
          </w:tcPr>
          <w:p w14:paraId="1DD49C4C" w14:textId="77777777" w:rsidR="0065073E" w:rsidRDefault="000A0998">
            <w:pPr>
              <w:pStyle w:val="P68B1DB1-Normal12"/>
              <w:spacing w:after="0"/>
              <w:jc w:val="center"/>
              <w:rPr>
                <w:rFonts w:eastAsia="Times New Roman" w:cs="Times New Roman"/>
                <w:noProof/>
              </w:rPr>
            </w:pPr>
            <w:r>
              <w:rPr>
                <w:noProof/>
              </w:rPr>
              <w:t>Raportin julkaiseminen sosiaaliturvan verkkosivustolla</w:t>
            </w:r>
          </w:p>
        </w:tc>
        <w:tc>
          <w:tcPr>
            <w:tcW w:w="548" w:type="dxa"/>
            <w:shd w:val="clear" w:color="auto" w:fill="C6EFCE"/>
            <w:noWrap/>
          </w:tcPr>
          <w:p w14:paraId="007CDB97"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5100EA60"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2B2C3966"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5AA2B8CC"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2F985389"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01C9780E" w14:textId="77777777" w:rsidR="0065073E" w:rsidRDefault="000A0998">
            <w:pPr>
              <w:pStyle w:val="P68B1DB1-Normal12"/>
              <w:spacing w:after="0"/>
              <w:rPr>
                <w:rFonts w:eastAsia="Times New Roman" w:cs="Times New Roman"/>
                <w:noProof/>
              </w:rPr>
            </w:pPr>
            <w:r>
              <w:rPr>
                <w:noProof/>
              </w:rPr>
              <w:t>Julkaistaan päivitetyt ennusteet, joista käy ilmi, miten vuosina 2021 ja 2022 toteutetuilla eläkeuudistuksilla varmistetaan julkisen talouden pitkän aikavälin kestävyys, ottaen huomioon myös muiden rakenneuudistusten, kuten työmarkkinauudistusten, vaikutukset.</w:t>
            </w:r>
          </w:p>
        </w:tc>
      </w:tr>
      <w:tr w:rsidR="0065073E" w14:paraId="342F6CB7" w14:textId="77777777">
        <w:trPr>
          <w:trHeight w:val="309"/>
        </w:trPr>
        <w:tc>
          <w:tcPr>
            <w:tcW w:w="1111" w:type="dxa"/>
            <w:shd w:val="clear" w:color="auto" w:fill="C6EFCE"/>
            <w:noWrap/>
          </w:tcPr>
          <w:p w14:paraId="4C869186" w14:textId="77777777" w:rsidR="0065073E" w:rsidRDefault="000A0998">
            <w:pPr>
              <w:pStyle w:val="P68B1DB1-Normal12"/>
              <w:spacing w:after="0"/>
              <w:jc w:val="center"/>
              <w:rPr>
                <w:rFonts w:eastAsia="Times New Roman" w:cs="Times New Roman"/>
                <w:noProof/>
              </w:rPr>
            </w:pPr>
            <w:r>
              <w:rPr>
                <w:noProof/>
              </w:rPr>
              <w:t>411</w:t>
            </w:r>
          </w:p>
        </w:tc>
        <w:tc>
          <w:tcPr>
            <w:tcW w:w="823" w:type="dxa"/>
            <w:shd w:val="clear" w:color="auto" w:fill="C6EFCE"/>
            <w:noWrap/>
          </w:tcPr>
          <w:p w14:paraId="6189A0D6" w14:textId="77777777" w:rsidR="0065073E" w:rsidRDefault="000A0998">
            <w:pPr>
              <w:pStyle w:val="P68B1DB1-Normal12"/>
              <w:spacing w:after="0"/>
              <w:jc w:val="center"/>
              <w:rPr>
                <w:rFonts w:eastAsia="Times New Roman" w:cs="Times New Roman"/>
                <w:noProof/>
              </w:rPr>
            </w:pPr>
            <w:r>
              <w:rPr>
                <w:noProof/>
              </w:rPr>
              <w:t>C30.R3</w:t>
            </w:r>
          </w:p>
        </w:tc>
        <w:tc>
          <w:tcPr>
            <w:tcW w:w="821" w:type="dxa"/>
            <w:shd w:val="clear" w:color="auto" w:fill="C6EFCE"/>
            <w:noWrap/>
          </w:tcPr>
          <w:p w14:paraId="77EC25CE"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3973378A" w14:textId="77777777" w:rsidR="0065073E" w:rsidRDefault="000A0998">
            <w:pPr>
              <w:pStyle w:val="P68B1DB1-Normal12"/>
              <w:spacing w:after="0"/>
              <w:rPr>
                <w:rFonts w:eastAsia="Times New Roman" w:cs="Times New Roman"/>
                <w:noProof/>
              </w:rPr>
            </w:pPr>
            <w:r>
              <w:rPr>
                <w:noProof/>
              </w:rPr>
              <w:t>Itsenäisten ammatinharjoittajien sosiaaliturvamaksujärjestelmän uudistaminen</w:t>
            </w:r>
          </w:p>
        </w:tc>
        <w:tc>
          <w:tcPr>
            <w:tcW w:w="957" w:type="dxa"/>
            <w:shd w:val="clear" w:color="auto" w:fill="C6EFCE"/>
            <w:noWrap/>
          </w:tcPr>
          <w:p w14:paraId="14266B99"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20FA847B"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45B9297E"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6B799333"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3210EFDC" w14:textId="77777777" w:rsidR="0065073E" w:rsidRDefault="000A0998">
            <w:pPr>
              <w:pStyle w:val="P68B1DB1-Normal12"/>
              <w:spacing w:after="0"/>
              <w:jc w:val="center"/>
              <w:rPr>
                <w:rFonts w:eastAsia="Times New Roman" w:cs="Times New Roman"/>
                <w:noProof/>
              </w:rPr>
            </w:pPr>
            <w:r>
              <w:rPr>
                <w:noProof/>
              </w:rPr>
              <w:t>TOINEN VUOSINELJÄNNES</w:t>
            </w:r>
          </w:p>
        </w:tc>
        <w:tc>
          <w:tcPr>
            <w:tcW w:w="548" w:type="dxa"/>
            <w:shd w:val="clear" w:color="auto" w:fill="C6EFCE"/>
            <w:noWrap/>
          </w:tcPr>
          <w:p w14:paraId="4ECE86CA"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6415D23D" w14:textId="77777777" w:rsidR="0065073E" w:rsidRDefault="000A0998">
            <w:pPr>
              <w:pStyle w:val="P68B1DB1-Normal12"/>
              <w:spacing w:after="0"/>
              <w:rPr>
                <w:rFonts w:eastAsia="Times New Roman" w:cs="Times New Roman"/>
                <w:noProof/>
              </w:rPr>
            </w:pPr>
            <w:r>
              <w:rPr>
                <w:noProof/>
              </w:rPr>
              <w:t>Itsenäisten ammatinharjoittajien sosiaaliturvamaksujärjestelmän uudistamista koskevan lainsäädännön voimaantulo ja maksujärjestelmän asteittainen muuttaminen siten, että se perustuu reaalituloihin.</w:t>
            </w:r>
          </w:p>
        </w:tc>
      </w:tr>
      <w:tr w:rsidR="0065073E" w14:paraId="07B2E1AD" w14:textId="77777777">
        <w:trPr>
          <w:trHeight w:val="309"/>
        </w:trPr>
        <w:tc>
          <w:tcPr>
            <w:tcW w:w="1111" w:type="dxa"/>
            <w:shd w:val="clear" w:color="auto" w:fill="C6EFCE"/>
            <w:noWrap/>
          </w:tcPr>
          <w:p w14:paraId="1A6A7A4E" w14:textId="77777777" w:rsidR="0065073E" w:rsidRDefault="000A0998">
            <w:pPr>
              <w:pStyle w:val="P68B1DB1-Normal12"/>
              <w:spacing w:after="0"/>
              <w:jc w:val="center"/>
              <w:rPr>
                <w:rFonts w:eastAsia="Times New Roman" w:cs="Times New Roman"/>
                <w:noProof/>
              </w:rPr>
            </w:pPr>
            <w:r>
              <w:rPr>
                <w:noProof/>
              </w:rPr>
              <w:t>412</w:t>
            </w:r>
          </w:p>
        </w:tc>
        <w:tc>
          <w:tcPr>
            <w:tcW w:w="823" w:type="dxa"/>
            <w:shd w:val="clear" w:color="auto" w:fill="C6EFCE"/>
            <w:noWrap/>
          </w:tcPr>
          <w:p w14:paraId="01E2C34E" w14:textId="77777777" w:rsidR="0065073E" w:rsidRDefault="000A0998">
            <w:pPr>
              <w:pStyle w:val="P68B1DB1-Normal12"/>
              <w:spacing w:after="0"/>
              <w:jc w:val="center"/>
              <w:rPr>
                <w:rFonts w:eastAsia="Times New Roman" w:cs="Times New Roman"/>
                <w:noProof/>
              </w:rPr>
            </w:pPr>
            <w:r>
              <w:rPr>
                <w:noProof/>
              </w:rPr>
              <w:t>C30.R4</w:t>
            </w:r>
          </w:p>
        </w:tc>
        <w:tc>
          <w:tcPr>
            <w:tcW w:w="821" w:type="dxa"/>
            <w:shd w:val="clear" w:color="auto" w:fill="C6EFCE"/>
            <w:noWrap/>
          </w:tcPr>
          <w:p w14:paraId="736B26F4"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70C25181" w14:textId="77777777" w:rsidR="0065073E" w:rsidRDefault="000A0998">
            <w:pPr>
              <w:pStyle w:val="P68B1DB1-Normal12"/>
              <w:spacing w:after="0"/>
              <w:rPr>
                <w:rFonts w:eastAsia="Times New Roman" w:cs="Times New Roman"/>
                <w:noProof/>
              </w:rPr>
            </w:pPr>
            <w:r>
              <w:rPr>
                <w:noProof/>
              </w:rPr>
              <w:t>Äitiyslisäyksen virtaviivaistaminen</w:t>
            </w:r>
          </w:p>
        </w:tc>
        <w:tc>
          <w:tcPr>
            <w:tcW w:w="957" w:type="dxa"/>
            <w:shd w:val="clear" w:color="auto" w:fill="C6EFCE"/>
            <w:noWrap/>
          </w:tcPr>
          <w:p w14:paraId="69BDC429" w14:textId="77777777" w:rsidR="0065073E" w:rsidRDefault="000A0998">
            <w:pPr>
              <w:pStyle w:val="P68B1DB1-Normal12"/>
              <w:spacing w:after="0"/>
              <w:jc w:val="center"/>
              <w:rPr>
                <w:rFonts w:eastAsia="Times New Roman" w:cs="Times New Roman"/>
                <w:noProof/>
              </w:rPr>
            </w:pPr>
            <w:r>
              <w:rPr>
                <w:noProof/>
              </w:rPr>
              <w:t xml:space="preserve">RDL:n säännös, josta käy ilmi sen voimaantulo </w:t>
            </w:r>
          </w:p>
        </w:tc>
        <w:tc>
          <w:tcPr>
            <w:tcW w:w="548" w:type="dxa"/>
            <w:shd w:val="clear" w:color="auto" w:fill="C6EFCE"/>
            <w:noWrap/>
          </w:tcPr>
          <w:p w14:paraId="301B544D"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237DEE08"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31217D80"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6CD8741C"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48" w:type="dxa"/>
            <w:shd w:val="clear" w:color="auto" w:fill="C6EFCE"/>
            <w:noWrap/>
          </w:tcPr>
          <w:p w14:paraId="46EB437E" w14:textId="77777777" w:rsidR="0065073E" w:rsidRDefault="000A0998">
            <w:pPr>
              <w:pStyle w:val="P68B1DB1-Normal12"/>
              <w:spacing w:after="0"/>
              <w:jc w:val="center"/>
              <w:rPr>
                <w:rFonts w:eastAsia="Times New Roman" w:cs="Times New Roman"/>
                <w:noProof/>
              </w:rPr>
            </w:pPr>
            <w:r>
              <w:rPr>
                <w:noProof/>
              </w:rPr>
              <w:t>2021</w:t>
            </w:r>
          </w:p>
        </w:tc>
        <w:tc>
          <w:tcPr>
            <w:tcW w:w="6550" w:type="dxa"/>
            <w:shd w:val="clear" w:color="auto" w:fill="C6EFCE"/>
            <w:noWrap/>
          </w:tcPr>
          <w:p w14:paraId="4A891336" w14:textId="77777777" w:rsidR="0065073E" w:rsidRDefault="000A0998">
            <w:pPr>
              <w:pStyle w:val="P68B1DB1-Normal12"/>
              <w:spacing w:after="0"/>
              <w:rPr>
                <w:rFonts w:eastAsia="Times New Roman" w:cs="Times New Roman"/>
                <w:noProof/>
              </w:rPr>
            </w:pPr>
            <w:r>
              <w:rPr>
                <w:noProof/>
              </w:rPr>
              <w:t>Äitiyslisäyksen virtaviivaistamisesta 3. helmikuuta 2021 annetun kuninkaallisen asetuksen 3/2021 voimaantulo. Unionin tuomioistuimen 12. joulukuuta 2019 antaman tuomion noudattamiseksi eläkelisäyksiä on virtaviivaistettava ja keskityttävä sukupuolten välisen kuilun kaventamiseen. Vanhemmille, joiden työelämä on muuttunut välittömästi vanhemmuuden jälkeen, otetaan käyttöön kiinteämääräinen maksu.</w:t>
            </w:r>
          </w:p>
        </w:tc>
      </w:tr>
      <w:tr w:rsidR="0065073E" w14:paraId="571DC049" w14:textId="77777777">
        <w:trPr>
          <w:trHeight w:val="309"/>
        </w:trPr>
        <w:tc>
          <w:tcPr>
            <w:tcW w:w="1111" w:type="dxa"/>
            <w:shd w:val="clear" w:color="auto" w:fill="C6EFCE"/>
            <w:noWrap/>
          </w:tcPr>
          <w:p w14:paraId="74886244" w14:textId="77777777" w:rsidR="0065073E" w:rsidRDefault="000A0998">
            <w:pPr>
              <w:pStyle w:val="P68B1DB1-Normal12"/>
              <w:spacing w:after="0"/>
              <w:jc w:val="center"/>
              <w:rPr>
                <w:rFonts w:eastAsia="Times New Roman" w:cs="Times New Roman"/>
                <w:noProof/>
              </w:rPr>
            </w:pPr>
            <w:r>
              <w:rPr>
                <w:noProof/>
              </w:rPr>
              <w:t>413</w:t>
            </w:r>
          </w:p>
        </w:tc>
        <w:tc>
          <w:tcPr>
            <w:tcW w:w="823" w:type="dxa"/>
            <w:shd w:val="clear" w:color="auto" w:fill="C6EFCE"/>
            <w:noWrap/>
          </w:tcPr>
          <w:p w14:paraId="2F2EC24A" w14:textId="77777777" w:rsidR="0065073E" w:rsidRDefault="000A0998">
            <w:pPr>
              <w:pStyle w:val="P68B1DB1-Normal12"/>
              <w:spacing w:after="0"/>
              <w:jc w:val="center"/>
              <w:rPr>
                <w:rFonts w:eastAsia="Times New Roman" w:cs="Times New Roman"/>
                <w:noProof/>
              </w:rPr>
            </w:pPr>
            <w:r>
              <w:rPr>
                <w:noProof/>
              </w:rPr>
              <w:t>C30.R5</w:t>
            </w:r>
          </w:p>
        </w:tc>
        <w:tc>
          <w:tcPr>
            <w:tcW w:w="821" w:type="dxa"/>
            <w:shd w:val="clear" w:color="auto" w:fill="C6EFCE"/>
            <w:noWrap/>
          </w:tcPr>
          <w:p w14:paraId="2FE066D4"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4ED5939A" w14:textId="6CF1DE84" w:rsidR="0065073E" w:rsidRDefault="000A0998">
            <w:pPr>
              <w:pStyle w:val="P68B1DB1-Normal12"/>
              <w:spacing w:after="0"/>
              <w:rPr>
                <w:rFonts w:eastAsia="Times New Roman" w:cs="Times New Roman"/>
                <w:noProof/>
              </w:rPr>
            </w:pPr>
            <w:r>
              <w:rPr>
                <w:noProof/>
              </w:rPr>
              <w:t>Nykyiseen lisäeläkejärjestelmään liittyvien verohelpotusten tarkistaminen</w:t>
            </w:r>
          </w:p>
        </w:tc>
        <w:tc>
          <w:tcPr>
            <w:tcW w:w="957" w:type="dxa"/>
            <w:shd w:val="clear" w:color="auto" w:fill="C6EFCE"/>
            <w:noWrap/>
          </w:tcPr>
          <w:p w14:paraId="728C6ACF" w14:textId="77777777" w:rsidR="0065073E" w:rsidRDefault="000A0998">
            <w:pPr>
              <w:pStyle w:val="P68B1DB1-Normal12"/>
              <w:spacing w:after="0"/>
              <w:jc w:val="center"/>
              <w:rPr>
                <w:rFonts w:eastAsia="Times New Roman" w:cs="Times New Roman"/>
                <w:noProof/>
              </w:rPr>
            </w:pPr>
            <w:r>
              <w:rPr>
                <w:noProof/>
              </w:rPr>
              <w:t xml:space="preserve">Lain säännös, josta käy ilmi loppusäännöksen 11 ja 62 §:n voimaantulo </w:t>
            </w:r>
          </w:p>
        </w:tc>
        <w:tc>
          <w:tcPr>
            <w:tcW w:w="548" w:type="dxa"/>
            <w:shd w:val="clear" w:color="auto" w:fill="C6EFCE"/>
            <w:noWrap/>
          </w:tcPr>
          <w:p w14:paraId="0FEA8EAC"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34701F8C"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4C770724"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0D59BC49"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4698E595" w14:textId="77777777" w:rsidR="0065073E" w:rsidRDefault="000A0998">
            <w:pPr>
              <w:pStyle w:val="P68B1DB1-Normal12"/>
              <w:spacing w:after="0"/>
              <w:jc w:val="center"/>
              <w:rPr>
                <w:rFonts w:eastAsia="Times New Roman" w:cs="Times New Roman"/>
                <w:noProof/>
              </w:rPr>
            </w:pPr>
            <w:r>
              <w:rPr>
                <w:noProof/>
              </w:rPr>
              <w:t>2020</w:t>
            </w:r>
          </w:p>
        </w:tc>
        <w:tc>
          <w:tcPr>
            <w:tcW w:w="6550" w:type="dxa"/>
            <w:shd w:val="clear" w:color="auto" w:fill="C6EFCE"/>
            <w:noWrap/>
          </w:tcPr>
          <w:p w14:paraId="72AC4D48" w14:textId="77777777" w:rsidR="0065073E" w:rsidRDefault="000A0998">
            <w:pPr>
              <w:pStyle w:val="P68B1DB1-Normal12"/>
              <w:spacing w:after="0"/>
              <w:rPr>
                <w:rFonts w:eastAsia="Times New Roman" w:cs="Times New Roman"/>
                <w:noProof/>
              </w:rPr>
            </w:pPr>
            <w:r>
              <w:rPr>
                <w:noProof/>
              </w:rPr>
              <w:t>Nykyiseen lisäeläkejärjestelmään liittyvien verohelpotusten tarkistamisesta 30 päivänä joulukuuta 2021 annetun lain 11/2020 voimaantulo. Oikeus verohelpotuksiin siirretään yksityisistä eläkejärjestelmistä ammatillisiin lisäeläkejärjestelmiin, jotka perustuvat työehtosopimuksiin. Uuden kehyksen käyttöönoton kannalta merkityksellisiä talousarviolain säännöksiä ovat LPGE:n loppusäännös 11 ja 62 §.</w:t>
            </w:r>
          </w:p>
        </w:tc>
      </w:tr>
      <w:tr w:rsidR="0065073E" w14:paraId="3E04544D" w14:textId="77777777">
        <w:trPr>
          <w:trHeight w:val="309"/>
        </w:trPr>
        <w:tc>
          <w:tcPr>
            <w:tcW w:w="1111" w:type="dxa"/>
            <w:shd w:val="clear" w:color="auto" w:fill="C6EFCE"/>
            <w:noWrap/>
          </w:tcPr>
          <w:p w14:paraId="2B66978C" w14:textId="77777777" w:rsidR="0065073E" w:rsidRDefault="000A0998">
            <w:pPr>
              <w:pStyle w:val="P68B1DB1-Normal12"/>
              <w:spacing w:after="0"/>
              <w:jc w:val="center"/>
              <w:rPr>
                <w:rFonts w:eastAsia="Times New Roman" w:cs="Times New Roman"/>
                <w:noProof/>
              </w:rPr>
            </w:pPr>
            <w:r>
              <w:rPr>
                <w:noProof/>
              </w:rPr>
              <w:t>414</w:t>
            </w:r>
          </w:p>
        </w:tc>
        <w:tc>
          <w:tcPr>
            <w:tcW w:w="823" w:type="dxa"/>
            <w:shd w:val="clear" w:color="auto" w:fill="C6EFCE"/>
            <w:noWrap/>
          </w:tcPr>
          <w:p w14:paraId="19D0A656" w14:textId="77777777" w:rsidR="0065073E" w:rsidRDefault="000A0998">
            <w:pPr>
              <w:pStyle w:val="P68B1DB1-Normal12"/>
              <w:spacing w:after="0"/>
              <w:jc w:val="center"/>
              <w:rPr>
                <w:rFonts w:eastAsia="Times New Roman" w:cs="Times New Roman"/>
                <w:noProof/>
              </w:rPr>
            </w:pPr>
            <w:r>
              <w:rPr>
                <w:noProof/>
              </w:rPr>
              <w:t>C30.R5</w:t>
            </w:r>
          </w:p>
        </w:tc>
        <w:tc>
          <w:tcPr>
            <w:tcW w:w="821" w:type="dxa"/>
            <w:shd w:val="clear" w:color="auto" w:fill="C6EFCE"/>
            <w:noWrap/>
          </w:tcPr>
          <w:p w14:paraId="7489E7DD"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6990F315" w14:textId="77777777" w:rsidR="0065073E" w:rsidRDefault="000A0998">
            <w:pPr>
              <w:pStyle w:val="P68B1DB1-Normal12"/>
              <w:spacing w:after="0"/>
              <w:rPr>
                <w:rFonts w:eastAsia="Times New Roman" w:cs="Times New Roman"/>
                <w:noProof/>
              </w:rPr>
            </w:pPr>
            <w:r>
              <w:rPr>
                <w:noProof/>
              </w:rPr>
              <w:t>Nykyisen lisäeläkejärjestelmän uudelleentarkastelu</w:t>
            </w:r>
          </w:p>
        </w:tc>
        <w:tc>
          <w:tcPr>
            <w:tcW w:w="957" w:type="dxa"/>
            <w:shd w:val="clear" w:color="auto" w:fill="C6EFCE"/>
            <w:noWrap/>
          </w:tcPr>
          <w:p w14:paraId="78CA58BF"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05BB9BB7"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09516691"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12D88D2A"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18AC387C" w14:textId="77777777" w:rsidR="0065073E" w:rsidRDefault="000A0998">
            <w:pPr>
              <w:pStyle w:val="P68B1DB1-Normal12"/>
              <w:spacing w:after="0"/>
              <w:jc w:val="center"/>
              <w:rPr>
                <w:rFonts w:eastAsia="Times New Roman" w:cs="Times New Roman"/>
                <w:noProof/>
              </w:rPr>
            </w:pPr>
            <w:r>
              <w:rPr>
                <w:noProof/>
              </w:rPr>
              <w:t>TOINEN VUOSINELJÄNNES</w:t>
            </w:r>
          </w:p>
        </w:tc>
        <w:tc>
          <w:tcPr>
            <w:tcW w:w="548" w:type="dxa"/>
            <w:shd w:val="clear" w:color="auto" w:fill="C6EFCE"/>
            <w:noWrap/>
          </w:tcPr>
          <w:p w14:paraId="21FFB7AD"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6A363E63" w14:textId="77777777" w:rsidR="0065073E" w:rsidRDefault="000A0998">
            <w:pPr>
              <w:pStyle w:val="P68B1DB1-Normal12"/>
              <w:spacing w:after="0"/>
              <w:rPr>
                <w:rFonts w:eastAsia="Times New Roman" w:cs="Times New Roman"/>
                <w:noProof/>
              </w:rPr>
            </w:pPr>
            <w:r>
              <w:rPr>
                <w:noProof/>
              </w:rPr>
              <w:t>Nykyisen lisäeläkejärjestelmän tarkistamista koskevan lainsäädännön voimaantulo eläkejärjestelmien edistämiseksi perustamalla eläkerahastoja, jotka ovat avoimia kaikille yrityksille ja työntekijöille.</w:t>
            </w:r>
          </w:p>
        </w:tc>
      </w:tr>
      <w:tr w:rsidR="0065073E" w14:paraId="46E1F473" w14:textId="77777777">
        <w:trPr>
          <w:trHeight w:val="309"/>
        </w:trPr>
        <w:tc>
          <w:tcPr>
            <w:tcW w:w="1111" w:type="dxa"/>
            <w:shd w:val="clear" w:color="auto" w:fill="C6EFCE"/>
            <w:noWrap/>
          </w:tcPr>
          <w:p w14:paraId="4722DCDF" w14:textId="77777777" w:rsidR="0065073E" w:rsidRDefault="000A0998">
            <w:pPr>
              <w:pStyle w:val="P68B1DB1-Normal12"/>
              <w:spacing w:after="0"/>
              <w:jc w:val="center"/>
              <w:rPr>
                <w:rFonts w:eastAsia="Times New Roman" w:cs="Times New Roman"/>
                <w:noProof/>
              </w:rPr>
            </w:pPr>
            <w:r>
              <w:rPr>
                <w:noProof/>
              </w:rPr>
              <w:t>415</w:t>
            </w:r>
          </w:p>
        </w:tc>
        <w:tc>
          <w:tcPr>
            <w:tcW w:w="823" w:type="dxa"/>
            <w:shd w:val="clear" w:color="auto" w:fill="C6EFCE"/>
            <w:noWrap/>
          </w:tcPr>
          <w:p w14:paraId="1F803B1E" w14:textId="77777777" w:rsidR="0065073E" w:rsidRDefault="000A0998">
            <w:pPr>
              <w:pStyle w:val="P68B1DB1-Normal12"/>
              <w:spacing w:after="0"/>
              <w:jc w:val="center"/>
              <w:rPr>
                <w:rFonts w:eastAsia="Times New Roman" w:cs="Times New Roman"/>
                <w:noProof/>
              </w:rPr>
            </w:pPr>
            <w:r>
              <w:rPr>
                <w:noProof/>
              </w:rPr>
              <w:t>C30.R6</w:t>
            </w:r>
          </w:p>
        </w:tc>
        <w:tc>
          <w:tcPr>
            <w:tcW w:w="821" w:type="dxa"/>
            <w:shd w:val="clear" w:color="auto" w:fill="C6EFCE"/>
            <w:noWrap/>
          </w:tcPr>
          <w:p w14:paraId="1568BB27" w14:textId="77777777" w:rsidR="0065073E" w:rsidRDefault="000A0998">
            <w:pPr>
              <w:pStyle w:val="P68B1DB1-Normal12"/>
              <w:spacing w:after="0"/>
              <w:jc w:val="center"/>
              <w:rPr>
                <w:rFonts w:eastAsia="Times New Roman" w:cs="Times New Roman"/>
                <w:noProof/>
              </w:rPr>
            </w:pPr>
            <w:r>
              <w:rPr>
                <w:noProof/>
              </w:rPr>
              <w:t>M</w:t>
            </w:r>
          </w:p>
        </w:tc>
        <w:tc>
          <w:tcPr>
            <w:tcW w:w="2459" w:type="dxa"/>
            <w:shd w:val="clear" w:color="auto" w:fill="C6EFCE"/>
            <w:noWrap/>
          </w:tcPr>
          <w:p w14:paraId="6DE0850E" w14:textId="77777777" w:rsidR="0065073E" w:rsidRDefault="000A0998">
            <w:pPr>
              <w:pStyle w:val="P68B1DB1-Normal12"/>
              <w:spacing w:after="0"/>
              <w:rPr>
                <w:rFonts w:eastAsia="Times New Roman" w:cs="Times New Roman"/>
                <w:noProof/>
              </w:rPr>
            </w:pPr>
            <w:r>
              <w:rPr>
                <w:noProof/>
              </w:rPr>
              <w:t>Enimmäismaksupohjan mukauttaminen</w:t>
            </w:r>
          </w:p>
        </w:tc>
        <w:tc>
          <w:tcPr>
            <w:tcW w:w="957" w:type="dxa"/>
            <w:shd w:val="clear" w:color="auto" w:fill="C6EFCE"/>
            <w:noWrap/>
          </w:tcPr>
          <w:p w14:paraId="595D6BA3" w14:textId="77777777" w:rsidR="0065073E" w:rsidRDefault="000A0998">
            <w:pPr>
              <w:pStyle w:val="P68B1DB1-Normal12"/>
              <w:spacing w:after="0"/>
              <w:jc w:val="center"/>
              <w:rPr>
                <w:rFonts w:eastAsia="Times New Roman" w:cs="Times New Roman"/>
                <w:noProof/>
              </w:rPr>
            </w:pPr>
            <w:r>
              <w:rPr>
                <w:noProof/>
              </w:rPr>
              <w:t xml:space="preserve">Lain säännös, josta käy ilmi sen voimaantulo </w:t>
            </w:r>
          </w:p>
        </w:tc>
        <w:tc>
          <w:tcPr>
            <w:tcW w:w="548" w:type="dxa"/>
            <w:shd w:val="clear" w:color="auto" w:fill="C6EFCE"/>
            <w:noWrap/>
          </w:tcPr>
          <w:p w14:paraId="6FF7284D" w14:textId="77777777" w:rsidR="0065073E" w:rsidRDefault="000A0998">
            <w:pPr>
              <w:pStyle w:val="P68B1DB1-Normal12"/>
              <w:spacing w:after="0"/>
              <w:jc w:val="center"/>
              <w:rPr>
                <w:rFonts w:eastAsia="Times New Roman" w:cs="Times New Roman"/>
                <w:noProof/>
              </w:rPr>
            </w:pPr>
            <w:r>
              <w:rPr>
                <w:noProof/>
              </w:rPr>
              <w:t xml:space="preserve"> </w:t>
            </w:r>
          </w:p>
        </w:tc>
        <w:tc>
          <w:tcPr>
            <w:tcW w:w="957" w:type="dxa"/>
            <w:shd w:val="clear" w:color="auto" w:fill="C6EFCE"/>
            <w:noWrap/>
          </w:tcPr>
          <w:p w14:paraId="77D1F4E0" w14:textId="77777777" w:rsidR="0065073E" w:rsidRDefault="000A0998">
            <w:pPr>
              <w:pStyle w:val="P68B1DB1-Normal12"/>
              <w:spacing w:after="0"/>
              <w:jc w:val="right"/>
              <w:rPr>
                <w:rFonts w:eastAsia="Times New Roman" w:cs="Times New Roman"/>
                <w:noProof/>
              </w:rPr>
            </w:pPr>
            <w:r>
              <w:rPr>
                <w:noProof/>
              </w:rPr>
              <w:t xml:space="preserve"> </w:t>
            </w:r>
          </w:p>
        </w:tc>
        <w:tc>
          <w:tcPr>
            <w:tcW w:w="548" w:type="dxa"/>
            <w:shd w:val="clear" w:color="auto" w:fill="C6EFCE"/>
            <w:noWrap/>
          </w:tcPr>
          <w:p w14:paraId="4CAC2C96" w14:textId="77777777" w:rsidR="0065073E" w:rsidRDefault="000A0998">
            <w:pPr>
              <w:pStyle w:val="P68B1DB1-Normal12"/>
              <w:spacing w:after="0"/>
              <w:jc w:val="right"/>
              <w:rPr>
                <w:rFonts w:eastAsia="Times New Roman" w:cs="Times New Roman"/>
                <w:noProof/>
              </w:rPr>
            </w:pPr>
            <w:r>
              <w:rPr>
                <w:noProof/>
              </w:rPr>
              <w:t xml:space="preserve"> </w:t>
            </w:r>
          </w:p>
        </w:tc>
        <w:tc>
          <w:tcPr>
            <w:tcW w:w="413" w:type="dxa"/>
            <w:shd w:val="clear" w:color="auto" w:fill="C6EFCE"/>
            <w:noWrap/>
          </w:tcPr>
          <w:p w14:paraId="04375009"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59061F11" w14:textId="77777777" w:rsidR="0065073E" w:rsidRDefault="000A0998">
            <w:pPr>
              <w:pStyle w:val="P68B1DB1-Normal12"/>
              <w:spacing w:after="0"/>
              <w:jc w:val="center"/>
              <w:rPr>
                <w:rFonts w:eastAsia="Times New Roman" w:cs="Times New Roman"/>
                <w:noProof/>
              </w:rPr>
            </w:pPr>
            <w:r>
              <w:rPr>
                <w:noProof/>
              </w:rPr>
              <w:t>2022</w:t>
            </w:r>
          </w:p>
        </w:tc>
        <w:tc>
          <w:tcPr>
            <w:tcW w:w="6550" w:type="dxa"/>
            <w:shd w:val="clear" w:color="auto" w:fill="C6EFCE"/>
            <w:noWrap/>
          </w:tcPr>
          <w:p w14:paraId="5AE2B90C" w14:textId="77777777" w:rsidR="0065073E" w:rsidRDefault="000A0998">
            <w:pPr>
              <w:pStyle w:val="P68B1DB1-Normal12"/>
              <w:spacing w:after="0"/>
              <w:rPr>
                <w:rFonts w:eastAsia="Times New Roman" w:cs="Times New Roman"/>
                <w:noProof/>
              </w:rPr>
            </w:pPr>
            <w:r>
              <w:rPr>
                <w:noProof/>
              </w:rPr>
              <w:t>Enimmäismaksuperustan mukauttamista koskevan lainsäädännön voimaantulo: järjestelmän enimmäismaksupohjan asteittainen korottaminen ja eläkkeiden enimmäismäärien mukauttaminen maksupohjan ja järjestelmän progressiivisuuden laajentamiseksi ja kokonaistulojen lisäämiseksi.</w:t>
            </w:r>
          </w:p>
        </w:tc>
      </w:tr>
    </w:tbl>
    <w:p w14:paraId="656BB99D" w14:textId="77777777" w:rsidR="0065073E" w:rsidRDefault="0065073E">
      <w:pPr>
        <w:pStyle w:val="Text1"/>
        <w:ind w:left="0"/>
        <w:rPr>
          <w:rFonts w:ascii="Times New Roman" w:hAnsi="Times New Roman" w:cs="Times New Roman"/>
          <w:noProof/>
        </w:rPr>
        <w:sectPr w:rsidR="0065073E" w:rsidSect="00B511EF">
          <w:headerReference w:type="even" r:id="rId637"/>
          <w:headerReference w:type="default" r:id="rId638"/>
          <w:footerReference w:type="even" r:id="rId639"/>
          <w:footerReference w:type="default" r:id="rId640"/>
          <w:headerReference w:type="first" r:id="rId641"/>
          <w:footerReference w:type="first" r:id="rId642"/>
          <w:pgSz w:w="16839" w:h="11907" w:orient="landscape"/>
          <w:pgMar w:top="1134" w:right="1134" w:bottom="1134" w:left="1134" w:header="567" w:footer="567" w:gutter="0"/>
          <w:cols w:space="720"/>
          <w:docGrid w:linePitch="360"/>
        </w:sectPr>
      </w:pPr>
    </w:p>
    <w:p w14:paraId="70BCB411" w14:textId="77777777" w:rsidR="0065073E" w:rsidRDefault="000A0998">
      <w:pPr>
        <w:pStyle w:val="P68B1DB1-Heading12"/>
        <w:rPr>
          <w:rFonts w:cs="Times New Roman"/>
          <w:noProof/>
        </w:rPr>
      </w:pPr>
      <w:r>
        <w:rPr>
          <w:noProof/>
        </w:rPr>
        <w:t>AE. OSA 31: REPowerEU-luku</w:t>
      </w:r>
    </w:p>
    <w:p w14:paraId="1254EFEE" w14:textId="77777777" w:rsidR="0065073E" w:rsidRDefault="000A0998">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REPowerEU-luvun tavoitteena on vähentää yleistä riippuvuutta fossiilisista polttoaineista ja erityisesti yksinkertaistaa uusien sähköverkkojen ja uusiutuvaa energiaa koskevien hankkeiden lupamenettelyjä, tukea uusiutuvan energian ja uusiutuvan vedyn tuotantoa, parantaa uusiutuvien energialähteiden arvoketjua ja edistää teollisuuden hiilestä irtautumista. </w:t>
      </w:r>
    </w:p>
    <w:p w14:paraId="5F854BC2" w14:textId="76DDF745" w:rsidR="0065073E" w:rsidRDefault="000A0998">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Komponentissa käsitellään maakohtaisia suosituksia, jotka liittyvät yleisen riippuvuuden vähentämiseen fossiilisista polttoaineista vuosina 2022 ja 2023. Sillä edistetään toimenpiteitä, joilla nopeutetaan uusiutuvan energian käyttöönottoa keskittyen hajautettuihin laitoksiin ja omaan kulutukseen, muun muassa yksinkertaistamalla edelleen lupamenettelyjä ja parantamalla verkkoon pääsyä. Sillä tuetaan myös täydentäviä investointeja varastointiin, verkkoinfrastruktuuriin ja uusiutuvaan vetyyn (maakohtainen suositus 4 2022 ja maakohtainen suositus 3 2023). </w:t>
      </w:r>
    </w:p>
    <w:p w14:paraId="17B84A90" w14:textId="77777777" w:rsidR="0065073E" w:rsidRDefault="000A0998">
      <w:pPr>
        <w:pStyle w:val="P68B1DB1-Text118"/>
        <w:ind w:left="0"/>
        <w:rPr>
          <w:rFonts w:cs="Times New Roman"/>
          <w:noProof/>
        </w:rPr>
      </w:pPr>
      <w:r>
        <w:rPr>
          <w:noProof/>
        </w:rPr>
        <w:t>Mikään tämän komponentin toimenpide ei saa aiheuttaa asetuksen (EU) 2020/852 17 artiklassa tarkoitettua merkittävää haittaa ympäristötavoitteille, kun otetaan huomioon elpymis- ja palautumissuunnitelmassa esitettyjen toimenpiteiden kuvaus ja lieventämistoimet ”ei merkittävää haittaa” -periaatteen mukaisten teknisten ohjeiden (2021/C58/01) mukaisesti.</w:t>
      </w:r>
    </w:p>
    <w:p w14:paraId="14113E2C" w14:textId="77777777" w:rsidR="0065073E" w:rsidRDefault="000A0998">
      <w:pPr>
        <w:pStyle w:val="Text1"/>
        <w:ind w:left="709"/>
        <w:rPr>
          <w:rFonts w:ascii="Times New Roman" w:hAnsi="Times New Roman" w:cs="Times New Roman"/>
          <w:b/>
          <w:noProof/>
          <w:u w:val="single"/>
        </w:rPr>
      </w:pPr>
      <w:r>
        <w:rPr>
          <w:rFonts w:ascii="Times New Roman" w:hAnsi="Times New Roman"/>
          <w:b/>
          <w:noProof/>
          <w:u w:val="single"/>
        </w:rPr>
        <w:t xml:space="preserve">AE.1. </w:t>
      </w:r>
      <w:r>
        <w:rPr>
          <w:noProof/>
        </w:rPr>
        <w:t></w:t>
      </w:r>
      <w:r>
        <w:rPr>
          <w:rFonts w:ascii="Times New Roman" w:hAnsi="Times New Roman"/>
          <w:b/>
          <w:noProof/>
          <w:u w:val="single"/>
        </w:rPr>
        <w:t>Kuvaus uudistuksista ja investoinneista, joita rahoitetaan rahoitustuella, jota ei makseta takaisin</w:t>
      </w:r>
    </w:p>
    <w:p w14:paraId="748AD8E0" w14:textId="3713CBA6" w:rsidR="0065073E" w:rsidRDefault="000A0998">
      <w:pPr>
        <w:pStyle w:val="P68B1DB1-Text119"/>
        <w:ind w:left="0"/>
        <w:rPr>
          <w:rFonts w:cs="Times New Roman"/>
          <w:noProof/>
        </w:rPr>
      </w:pPr>
      <w:r>
        <w:rPr>
          <w:noProof/>
        </w:rPr>
        <w:t>Uudistus 1 (C31.R1) – Uudistus uusiutuvan energian tuotantohankkeiden ja sähköverkkoinfrastruktuurin lupamenettelyjen parantamiseksi</w:t>
      </w:r>
    </w:p>
    <w:p w14:paraId="0DAF00BD" w14:textId="3F3825BF" w:rsidR="0065073E" w:rsidRDefault="000A0998">
      <w:pPr>
        <w:pStyle w:val="P68B1DB1-Normal4"/>
        <w:spacing w:before="120" w:after="120" w:line="240" w:lineRule="auto"/>
        <w:jc w:val="both"/>
        <w:rPr>
          <w:rFonts w:cs="Times New Roman"/>
          <w:noProof/>
        </w:rPr>
      </w:pPr>
      <w:r>
        <w:rPr>
          <w:noProof/>
        </w:rPr>
        <w:t>Uudistuksella on kaksi tavoitetta. Ensinnäkin yksinkertaistetaan uusiutuvan energian tuotantoa ja sähköverkkoinfrastruktuuria koskevia lupamenettelyjä ja toiseksi yksinkertaistetaan lupahakemusten käsittelyä. Ensimmäisen tavoitteen osalta uudistus koostuu lainsäädännöstä, jolla yksinkertaistetaan uusiutuvaa energiaa koskeviin hankkeisiin ja sähköverkkoinfrastruktuuriin sovellettavia menettelyjä. Tältä osin uudistukseen on sisällyttävä seuraavat osatekijät:</w:t>
      </w:r>
    </w:p>
    <w:p w14:paraId="0DBC13C7" w14:textId="77777777" w:rsidR="0065073E" w:rsidRDefault="000A0998">
      <w:pPr>
        <w:pStyle w:val="P68B1DB1-ListParagraph6"/>
        <w:numPr>
          <w:ilvl w:val="0"/>
          <w:numId w:val="643"/>
        </w:numPr>
        <w:spacing w:before="120" w:after="120" w:line="240" w:lineRule="auto"/>
        <w:jc w:val="both"/>
        <w:rPr>
          <w:rFonts w:cs="Times New Roman"/>
          <w:noProof/>
        </w:rPr>
      </w:pPr>
      <w:r>
        <w:rPr>
          <w:noProof/>
        </w:rPr>
        <w:t>yksinkertaistetaan menettelyjä tiettyjen hankeluokkien osalta, mukaan lukien ympäristövaikutusten arviointi ja lupamenettely;</w:t>
      </w:r>
    </w:p>
    <w:p w14:paraId="034F66DA" w14:textId="77777777" w:rsidR="0065073E" w:rsidRDefault="000A0998">
      <w:pPr>
        <w:pStyle w:val="P68B1DB1-ListParagraph6"/>
        <w:numPr>
          <w:ilvl w:val="0"/>
          <w:numId w:val="643"/>
        </w:numPr>
        <w:spacing w:before="120" w:after="120" w:line="240" w:lineRule="auto"/>
        <w:jc w:val="both"/>
        <w:rPr>
          <w:rFonts w:cs="Times New Roman"/>
          <w:noProof/>
        </w:rPr>
      </w:pPr>
      <w:r>
        <w:rPr>
          <w:noProof/>
        </w:rPr>
        <w:t>selkeytetään ja kevennetään tiettyjen hankkeiden hallinnollista taakkaa, joka liittyy uusiutuvien kaasujen syöttämiseen kaasuverkkoon;</w:t>
      </w:r>
    </w:p>
    <w:p w14:paraId="18297D75" w14:textId="77777777" w:rsidR="0065073E" w:rsidRDefault="000A0998">
      <w:pPr>
        <w:pStyle w:val="P68B1DB1-ListParagraph6"/>
        <w:numPr>
          <w:ilvl w:val="0"/>
          <w:numId w:val="643"/>
        </w:numPr>
        <w:spacing w:before="120" w:after="120" w:line="240" w:lineRule="auto"/>
        <w:jc w:val="both"/>
        <w:rPr>
          <w:rFonts w:cs="Times New Roman"/>
          <w:noProof/>
        </w:rPr>
      </w:pPr>
      <w:r>
        <w:rPr>
          <w:noProof/>
        </w:rPr>
        <w:t>Asetetaan määräaika, jonka kuluessa CNMC:n on annettava raportti uusien uusiutuvaa energiaa koskevien hankkeiden hyväksymisestä;</w:t>
      </w:r>
    </w:p>
    <w:p w14:paraId="0ABEB731" w14:textId="77777777" w:rsidR="0065073E" w:rsidRDefault="000A0998">
      <w:pPr>
        <w:pStyle w:val="P68B1DB1-ListParagraph6"/>
        <w:numPr>
          <w:ilvl w:val="0"/>
          <w:numId w:val="643"/>
        </w:numPr>
        <w:spacing w:before="120" w:after="120" w:line="240" w:lineRule="auto"/>
        <w:jc w:val="both"/>
        <w:rPr>
          <w:rFonts w:cs="Times New Roman"/>
          <w:noProof/>
        </w:rPr>
      </w:pPr>
      <w:r>
        <w:rPr>
          <w:noProof/>
        </w:rPr>
        <w:t>Itse tuotetun energian käyttöä koskevien rajoitusten poistaminen ja lupamenettelyjen yksinkertaistaminen;</w:t>
      </w:r>
    </w:p>
    <w:p w14:paraId="51869A6E" w14:textId="77777777" w:rsidR="0065073E" w:rsidRDefault="000A0998">
      <w:pPr>
        <w:pStyle w:val="P68B1DB1-ListParagraph6"/>
        <w:numPr>
          <w:ilvl w:val="0"/>
          <w:numId w:val="643"/>
        </w:numPr>
        <w:spacing w:before="120" w:after="120" w:line="240" w:lineRule="auto"/>
        <w:jc w:val="both"/>
        <w:rPr>
          <w:rFonts w:cs="Times New Roman"/>
          <w:noProof/>
        </w:rPr>
      </w:pPr>
      <w:r>
        <w:rPr>
          <w:noProof/>
        </w:rPr>
        <w:t>Verkkokapasiteetin jakamisen parantaminen.</w:t>
      </w:r>
    </w:p>
    <w:p w14:paraId="33DF60AD" w14:textId="77777777" w:rsidR="0065073E" w:rsidRDefault="000A0998">
      <w:pPr>
        <w:pStyle w:val="P68B1DB1-Normal4"/>
        <w:spacing w:before="120" w:after="120" w:line="240" w:lineRule="auto"/>
        <w:jc w:val="both"/>
        <w:rPr>
          <w:rFonts w:cs="Times New Roman"/>
          <w:noProof/>
        </w:rPr>
      </w:pPr>
      <w:r>
        <w:rPr>
          <w:noProof/>
        </w:rPr>
        <w:t>Toisen tavoitteen osalta uudistus edellyttää uuden hallintoyksikön perustamista keskushallintoon tukemaan uusiutuvan energian hankkeiden lupahakemusten käsittelyä.</w:t>
      </w:r>
    </w:p>
    <w:p w14:paraId="1B8CAA36"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viimeistään 30 päivänä syyskuuta 2023.</w:t>
      </w:r>
    </w:p>
    <w:p w14:paraId="7E6A9987" w14:textId="77777777" w:rsidR="0065073E" w:rsidRDefault="0065073E">
      <w:pPr>
        <w:spacing w:before="120" w:after="120" w:line="240" w:lineRule="auto"/>
        <w:jc w:val="both"/>
        <w:rPr>
          <w:rFonts w:ascii="Times New Roman" w:hAnsi="Times New Roman" w:cs="Times New Roman"/>
          <w:noProof/>
          <w:sz w:val="24"/>
        </w:rPr>
      </w:pPr>
    </w:p>
    <w:p w14:paraId="5A90CDEC" w14:textId="77777777" w:rsidR="0065073E" w:rsidRDefault="000A0998">
      <w:pPr>
        <w:pStyle w:val="P68B1DB1-Text119"/>
        <w:keepNext/>
        <w:keepLines/>
        <w:ind w:left="0"/>
        <w:rPr>
          <w:rFonts w:cs="Times New Roman"/>
          <w:noProof/>
        </w:rPr>
      </w:pPr>
      <w:r>
        <w:rPr>
          <w:noProof/>
        </w:rPr>
        <w:t>Investointi 1 (C31.I1) – Investoinnit, joilla edistetään omaa kulutusta (joka perustuu uusiutuvaan energiaan ja mittarin takaiseen varastointiin) ja energiayhteisöihin</w:t>
      </w:r>
    </w:p>
    <w:p w14:paraId="0038B692" w14:textId="77777777" w:rsidR="0065073E" w:rsidRDefault="000A0998">
      <w:pPr>
        <w:pStyle w:val="P68B1DB1-Normal4"/>
        <w:keepNext/>
        <w:keepLines/>
        <w:spacing w:before="120" w:after="120" w:line="240" w:lineRule="auto"/>
        <w:jc w:val="both"/>
        <w:rPr>
          <w:rFonts w:cs="Times New Roman"/>
          <w:noProof/>
        </w:rPr>
      </w:pPr>
      <w:r>
        <w:rPr>
          <w:noProof/>
        </w:rPr>
        <w:t>Tällä investoinnilla laajennetaan toimenpiteitä C7.I1, C7.R3 ja C8.I1. Tämän investoinnin tarkoituksena on edistää oman kulutuksen sovelluksia, varastointia mittarin taakse ja energiayhteisöjä. Investoinnilla tuetaan seuraavia:</w:t>
      </w:r>
    </w:p>
    <w:p w14:paraId="1AC0BEBB" w14:textId="77777777" w:rsidR="0065073E" w:rsidRDefault="000A0998">
      <w:pPr>
        <w:pStyle w:val="P68B1DB1-ListParagraph6"/>
        <w:numPr>
          <w:ilvl w:val="0"/>
          <w:numId w:val="640"/>
        </w:numPr>
        <w:spacing w:before="120" w:after="120" w:line="240" w:lineRule="auto"/>
        <w:jc w:val="both"/>
        <w:rPr>
          <w:rFonts w:cs="Times New Roman"/>
          <w:noProof/>
        </w:rPr>
      </w:pPr>
      <w:r>
        <w:rPr>
          <w:noProof/>
        </w:rPr>
        <w:t>rakennuksiin tai tuotantoprosesseihin integroidut oman kulutuksen sovellukset, jotka perustuvat uusiutuvan energian teknologioihin tai mittausmittarin takana oleviin varastointiratkaisuihin; ja</w:t>
      </w:r>
    </w:p>
    <w:p w14:paraId="6F61CE8B" w14:textId="680CDCD0" w:rsidR="0065073E" w:rsidRDefault="000A0998">
      <w:pPr>
        <w:pStyle w:val="P68B1DB1-ListParagraph6"/>
        <w:numPr>
          <w:ilvl w:val="0"/>
          <w:numId w:val="640"/>
        </w:numPr>
        <w:spacing w:before="120" w:after="120" w:line="240" w:lineRule="auto"/>
        <w:jc w:val="both"/>
        <w:rPr>
          <w:rFonts w:cs="Times New Roman"/>
          <w:noProof/>
        </w:rPr>
      </w:pPr>
      <w:r>
        <w:rPr>
          <w:noProof/>
        </w:rPr>
        <w:t xml:space="preserve">aloitteet, joita energiayhteisöt toteuttavat joko asentamalla uusiutuvaa energiaa tai energiatehokkuusratkaisuja tai toteuttamalla osallistavia ja yhteisöllisiä prosesseja. </w:t>
      </w:r>
    </w:p>
    <w:p w14:paraId="163DA515" w14:textId="0441C799" w:rsidR="0065073E" w:rsidRDefault="000A0998">
      <w:pPr>
        <w:pStyle w:val="P68B1DB1-Normal4"/>
        <w:spacing w:before="120" w:after="120" w:line="240" w:lineRule="auto"/>
        <w:jc w:val="both"/>
        <w:rPr>
          <w:rFonts w:cs="Times New Roman"/>
          <w:noProof/>
        </w:rPr>
      </w:pPr>
      <w:r>
        <w:rPr>
          <w:noProof/>
        </w:rPr>
        <w:t>Kohdissa C7.I1, C7.R3 ja C8.I1 tarkoitetuilla oikeudellisilla välineillä voidaan edistää tämän toimenpiteen täytäntöönpanoa, kunhan niihin ei liity kaksinkertaista rahoitusta.</w:t>
      </w:r>
    </w:p>
    <w:p w14:paraId="55F2D066" w14:textId="77777777" w:rsidR="0065073E" w:rsidRDefault="000A0998">
      <w:pPr>
        <w:pStyle w:val="P68B1DB1-Normal4"/>
        <w:spacing w:before="120" w:after="120" w:line="240" w:lineRule="auto"/>
        <w:jc w:val="both"/>
        <w:rPr>
          <w:rFonts w:cs="Times New Roman"/>
          <w:noProof/>
        </w:rPr>
      </w:pPr>
      <w:r>
        <w:rPr>
          <w:noProof/>
        </w:rPr>
        <w:t>Toimenpiteen täytäntöönpano on saatettava päätökseen 31 päivään elokuuta 2026 mennessä.</w:t>
      </w:r>
    </w:p>
    <w:p w14:paraId="5F31B49E" w14:textId="5899E68B" w:rsidR="0065073E" w:rsidRDefault="000A0998">
      <w:pPr>
        <w:pStyle w:val="P68B1DB1-Text119"/>
        <w:ind w:left="0"/>
        <w:rPr>
          <w:rFonts w:cs="Times New Roman"/>
          <w:noProof/>
        </w:rPr>
      </w:pPr>
      <w:r>
        <w:rPr>
          <w:noProof/>
        </w:rPr>
        <w:t>Investointi 2 (C31.I2) – Järjestelmä uusiutuvan vedyn tuotannon ja käyttöönoton tukemiseksi</w:t>
      </w:r>
    </w:p>
    <w:p w14:paraId="1F1B972A" w14:textId="507FFBE4" w:rsidR="0065073E" w:rsidRDefault="000A0998">
      <w:pPr>
        <w:pStyle w:val="P68B1DB1-Normal4"/>
        <w:spacing w:before="120" w:after="120" w:line="240" w:lineRule="auto"/>
        <w:jc w:val="both"/>
        <w:rPr>
          <w:rFonts w:cs="Times New Roman"/>
          <w:noProof/>
        </w:rPr>
      </w:pPr>
      <w:r>
        <w:rPr>
          <w:noProof/>
        </w:rPr>
        <w:t xml:space="preserve">Tämä toimenpide koostuu julkisesta investoinnista tukijärjestelmään, joka kattaa tuet ja mahdollisesti oman pääoman, riskipääoma mukaan lukien, uusiutuvan vedyn tuotannon ja käyttöönoton tukemiseksi. Ohjelman on toimittava tarjoamalla taloudellisia kannustimia myöntämällä avustuksia tai pääomasijoituksia, riskipääoma mukaan luettuna, yksityiselle sektorille sekä vastaavaa toimintaa harjoittaville julkisyhteisöille ja julkisoikeudellisille laitoksille. Elpymis- ja palautumistukivälineen investointien perusteella tukijärjestelmällä pyritään alun perin tarjoamaan rahoitusta vähintään 1600000000 euroa. Ohjelmaa hallinnoi toteutuskumppanina toimiva ”Instituto de Diversificación y Ahorro de la Energía” (IDAE). </w:t>
      </w:r>
    </w:p>
    <w:p w14:paraId="0082D6BE" w14:textId="60D50E3F" w:rsidR="0065073E" w:rsidRDefault="000A0998">
      <w:pPr>
        <w:pStyle w:val="P68B1DB1-Normal4"/>
        <w:spacing w:before="120" w:after="120" w:line="240" w:lineRule="auto"/>
        <w:jc w:val="both"/>
        <w:rPr>
          <w:rFonts w:cs="Times New Roman"/>
          <w:noProof/>
        </w:rPr>
      </w:pPr>
      <w:r>
        <w:rPr>
          <w:noProof/>
        </w:rPr>
        <w:t>Espanjan on järjestelmään tehtävän investoinnin toteuttamiseksi hyväksyttävä yksi tai useampi oikeudellinen väline (kun kyseessä ovat pääomasijoitukset, tämä väline olisi IDAE:n hyväksymä investointipolitiikka), jolla perustetaan järjestelmä ja johon on sisällyttävä seuraavat osatekijät:</w:t>
      </w:r>
    </w:p>
    <w:p w14:paraId="3674D825" w14:textId="49FE8BE6" w:rsidR="0065073E" w:rsidRDefault="000A0998">
      <w:pPr>
        <w:pStyle w:val="P68B1DB1-ListParagraph6"/>
        <w:numPr>
          <w:ilvl w:val="0"/>
          <w:numId w:val="685"/>
        </w:numPr>
        <w:spacing w:before="120" w:after="120" w:line="240" w:lineRule="auto"/>
        <w:jc w:val="both"/>
        <w:rPr>
          <w:rFonts w:cs="Times New Roman"/>
          <w:noProof/>
        </w:rPr>
      </w:pPr>
      <w:r>
        <w:rPr>
          <w:noProof/>
        </w:rPr>
        <w:t>Luettelo tukikelpoisista toimista, joiden on oltava vähintään yksi seuraavista:</w:t>
      </w:r>
    </w:p>
    <w:p w14:paraId="54DDDFA0" w14:textId="6A879C26" w:rsidR="0065073E" w:rsidRDefault="000A0998">
      <w:pPr>
        <w:pStyle w:val="P68B1DB1-ListParagraph6"/>
        <w:numPr>
          <w:ilvl w:val="1"/>
          <w:numId w:val="685"/>
        </w:numPr>
        <w:spacing w:before="120" w:after="120" w:line="240" w:lineRule="auto"/>
        <w:jc w:val="both"/>
        <w:rPr>
          <w:rFonts w:cs="Times New Roman"/>
          <w:noProof/>
        </w:rPr>
      </w:pPr>
      <w:r>
        <w:rPr>
          <w:noProof/>
        </w:rPr>
        <w:t>Tuetaan innovointia arvoketjussa ja uusiutuvaa vetyä koskevaa tietopohjaa: tähän lohkoon voi sisältyä tutkimusta ja kehittämistä, teknologian siirtoa sekä valmistus- ja testausjärjestelmiä ja -komponentteja.</w:t>
      </w:r>
    </w:p>
    <w:p w14:paraId="5ED8DAA2" w14:textId="77777777" w:rsidR="0065073E" w:rsidRDefault="000A0998">
      <w:pPr>
        <w:pStyle w:val="P68B1DB1-ListParagraph6"/>
        <w:numPr>
          <w:ilvl w:val="1"/>
          <w:numId w:val="685"/>
        </w:numPr>
        <w:spacing w:before="120" w:after="120" w:line="240" w:lineRule="auto"/>
        <w:jc w:val="both"/>
        <w:rPr>
          <w:rFonts w:cs="Times New Roman"/>
          <w:noProof/>
        </w:rPr>
      </w:pPr>
      <w:r>
        <w:rPr>
          <w:noProof/>
        </w:rPr>
        <w:t>Perustetaan uusiutuvan vedyn klustereita, joissa tuotanto, jalostus ja kulutus integroidaan laajamittaisesti.</w:t>
      </w:r>
    </w:p>
    <w:p w14:paraId="40486D11" w14:textId="77777777" w:rsidR="0065073E" w:rsidRDefault="000A0998">
      <w:pPr>
        <w:pStyle w:val="P68B1DB1-ListParagraph6"/>
        <w:numPr>
          <w:ilvl w:val="1"/>
          <w:numId w:val="685"/>
        </w:numPr>
        <w:spacing w:before="120" w:after="120" w:line="240" w:lineRule="auto"/>
        <w:jc w:val="both"/>
        <w:rPr>
          <w:rFonts w:cs="Times New Roman"/>
          <w:noProof/>
        </w:rPr>
      </w:pPr>
      <w:r>
        <w:rPr>
          <w:noProof/>
        </w:rPr>
        <w:t>Kehitetään edelläkävijähankkeita, jotka mahdollistaisivat uusiutuvan vedyn käyttöönoton pienemmässä mittakaavassa eri aloilla, kuten teollisuudessa, sähköntuotannossa, lämmönkäytössä ja liikenteessä.</w:t>
      </w:r>
    </w:p>
    <w:p w14:paraId="358CF473" w14:textId="54D8E812" w:rsidR="0065073E" w:rsidRDefault="000A0998">
      <w:pPr>
        <w:pStyle w:val="P68B1DB1-ListParagraph6"/>
        <w:numPr>
          <w:ilvl w:val="1"/>
          <w:numId w:val="685"/>
        </w:numPr>
        <w:spacing w:before="120" w:after="120" w:line="240" w:lineRule="auto"/>
        <w:jc w:val="both"/>
        <w:rPr>
          <w:rFonts w:cs="Times New Roman"/>
          <w:noProof/>
        </w:rPr>
      </w:pPr>
      <w:r>
        <w:rPr>
          <w:noProof/>
        </w:rPr>
        <w:t>Tuetaan Espanjan uusiutuvan vedyn järjestelmän integrointia eurooppalaiseen järjestelmään esimerkiksi tukemalla yrityksiä eurooppalaisissa hankkeissa, kuten IPCEI-aloitteissa. Näiden IPCEI-aloitteiden tuloksena olevien hankkeiden on kuuluttava edellä mainittuihin kolmeen tukikelpoiseen toimeen (arvoketju, klusterit, uraauurtavat hankkeet).</w:t>
      </w:r>
    </w:p>
    <w:p w14:paraId="7B8AC05B" w14:textId="77777777" w:rsidR="0065073E" w:rsidRDefault="0065073E">
      <w:pPr>
        <w:pStyle w:val="ListParagraph"/>
        <w:spacing w:before="120" w:after="120" w:line="240" w:lineRule="auto"/>
        <w:ind w:left="1440"/>
        <w:jc w:val="both"/>
        <w:rPr>
          <w:rFonts w:ascii="Times New Roman" w:hAnsi="Times New Roman" w:cs="Times New Roman"/>
          <w:noProof/>
          <w:sz w:val="24"/>
        </w:rPr>
      </w:pPr>
    </w:p>
    <w:p w14:paraId="1502686F" w14:textId="04352246" w:rsidR="0065073E" w:rsidRDefault="000A0998">
      <w:pPr>
        <w:pStyle w:val="P68B1DB1-ListParagraph6"/>
        <w:numPr>
          <w:ilvl w:val="0"/>
          <w:numId w:val="685"/>
        </w:numPr>
        <w:spacing w:before="120" w:after="120" w:line="240" w:lineRule="auto"/>
        <w:jc w:val="both"/>
        <w:rPr>
          <w:rFonts w:cs="Times New Roman"/>
          <w:noProof/>
        </w:rPr>
      </w:pPr>
      <w:r>
        <w:rPr>
          <w:noProof/>
        </w:rPr>
        <w:t xml:space="preserve">Järjestelmän päätöksentekoprosessin kuvaus: Investointikomitea tai tekninen arviointikomitea arvioi hakemukset ja valitsee tuensaajat, jotka otetaan huomioon lopullisissa myöntämispäätöksissä tai investointipäätöksissä, ja ne hyväksytään hallituksesta riippumattomien jäsenten äänten enemmistöllä, mikä tarkoittaa, että heidän on oltava joko IDAE:n palveluksessa olevaa henkilöstöä ja/tai muita riippumattomia asiantuntijoita. Ohjelman mukaiset lopulliset myöntämispäätökset tai investointipäätökset on rajoitettava investointikomitean tai vastaavan hallintoelimen ehdottaman myöntämispäätöksen tai investointipäätöksen hyväksymiseen (muutoksitta) tai veto-oikeuden käyttämiseen. Jos IDAE osallistuu johonkin hakijoista ja kyseisen ehdotuspyynnön määrärahat eivät riitä kattamaan kaikkia vastaanotettuja hakemuksia, arviointiprosessi on tarkastettava ulkoisesti IDAE:n ”Plan de Mitigación de Potenciales Conflictos de Interés en Sociedades Participadas” -julkaisun mukaisesti. </w:t>
      </w:r>
    </w:p>
    <w:p w14:paraId="186D2A17" w14:textId="77777777" w:rsidR="0065073E" w:rsidRDefault="0065073E">
      <w:pPr>
        <w:pStyle w:val="ListParagraph"/>
        <w:spacing w:before="120" w:after="120" w:line="240" w:lineRule="auto"/>
        <w:jc w:val="both"/>
        <w:rPr>
          <w:rFonts w:ascii="Times New Roman" w:hAnsi="Times New Roman" w:cs="Times New Roman"/>
          <w:noProof/>
          <w:sz w:val="24"/>
        </w:rPr>
      </w:pPr>
    </w:p>
    <w:p w14:paraId="2EF47DF0" w14:textId="3FE0D6B7" w:rsidR="0065073E" w:rsidRDefault="000A0998">
      <w:pPr>
        <w:pStyle w:val="P68B1DB1-ListParagraph6"/>
        <w:numPr>
          <w:ilvl w:val="0"/>
          <w:numId w:val="685"/>
        </w:numPr>
        <w:spacing w:before="120" w:after="120" w:line="240" w:lineRule="auto"/>
        <w:jc w:val="both"/>
        <w:rPr>
          <w:rFonts w:cs="Times New Roman"/>
          <w:noProof/>
          <w:sz w:val="28"/>
        </w:rPr>
      </w:pPr>
      <w:r>
        <w:rPr>
          <w:noProof/>
        </w:rPr>
        <w:t>Vaatimus noudattaa ”ei merkittävää haittaa” -periaatetta elpymis- ja palautumistukivälineen puitteissa (2021/C58/01) esitetyn ”ei merkittävää haittaa” -periaatteen mukaisesti. Kun on kyse yrityksille myönnettävästä yleisestä tuesta (mukaan lukien oman pääoman ehtoinen pääoma ja riskipääoma), oikeudellisen välineen (tai -välineiden) ulkopuolelle jätetään yritykset,</w:t>
      </w:r>
      <w:r>
        <w:rPr>
          <w:noProof/>
        </w:rPr>
        <w:footnoteReference w:id="214"/>
      </w:r>
      <w:r>
        <w:rPr>
          <w:noProof/>
        </w:rPr>
        <w:t xml:space="preserve"> jotka keskittyvät erityisesti seuraaviin aloihin: I) fossiilisiin polttoaineisiin perustuva energiantuotanto ja siihen liittyvä toiminta</w:t>
      </w:r>
      <w:r>
        <w:rPr>
          <w:noProof/>
        </w:rPr>
        <w:footnoteReference w:id="215"/>
      </w:r>
      <w:r>
        <w:rPr>
          <w:noProof/>
        </w:rPr>
        <w:t>; II) energiaintensiiviset ja/tai paljon hiilidioksidipäästöjä aiheuttavat teollisuudenalat</w:t>
      </w:r>
      <w:r>
        <w:rPr>
          <w:noProof/>
        </w:rPr>
        <w:footnoteReference w:id="216"/>
      </w:r>
      <w:r>
        <w:rPr>
          <w:noProof/>
        </w:rPr>
        <w:t>; saastuttavien ajoneuvojen tuotanto, vuokraus tai myynti</w:t>
      </w:r>
      <w:r>
        <w:rPr>
          <w:noProof/>
        </w:rPr>
        <w:footnoteReference w:id="217"/>
      </w:r>
      <w:r>
        <w:rPr>
          <w:noProof/>
        </w:rPr>
        <w:t>; IV) jätteiden keruu, käsittely ja</w:t>
      </w:r>
      <w:r>
        <w:rPr>
          <w:noProof/>
        </w:rPr>
        <w:footnoteReference w:id="218"/>
      </w:r>
      <w:r>
        <w:rPr>
          <w:noProof/>
        </w:rPr>
        <w:t>loppusijoitus, v) ydinpolttoaineen käsittely, ydinenergian tuotanto. Lisäksi oikeudellisissa välineissä on edellytettävä, että tukijärjestelmien lopulliset edunsaajat noudattavat asiaankuuluvaa EU:n ja kansallista ympäristölainsäädäntöä.</w:t>
      </w:r>
    </w:p>
    <w:p w14:paraId="749021E6" w14:textId="77777777" w:rsidR="0065073E" w:rsidRDefault="0065073E">
      <w:pPr>
        <w:pStyle w:val="ListParagraph"/>
        <w:rPr>
          <w:rFonts w:ascii="Times New Roman" w:hAnsi="Times New Roman" w:cs="Times New Roman"/>
          <w:noProof/>
          <w:sz w:val="24"/>
        </w:rPr>
      </w:pPr>
    </w:p>
    <w:p w14:paraId="587159DB" w14:textId="77777777" w:rsidR="0065073E" w:rsidRDefault="000A0998">
      <w:pPr>
        <w:pStyle w:val="P68B1DB1-ListParagraph6"/>
        <w:numPr>
          <w:ilvl w:val="0"/>
          <w:numId w:val="685"/>
        </w:numPr>
        <w:rPr>
          <w:rFonts w:cs="Times New Roman"/>
          <w:noProof/>
        </w:rPr>
      </w:pPr>
      <w:r>
        <w:rPr>
          <w:noProof/>
        </w:rPr>
        <w:t>Vaatimus, jonka mukaan lainajärjestelyn lopulliset edunsaajat eivät saa saada tukea muista unionin välineistä samojen kustannusten kattamiseksi.</w:t>
      </w:r>
    </w:p>
    <w:p w14:paraId="437F1A94" w14:textId="77777777" w:rsidR="0065073E" w:rsidRDefault="0065073E">
      <w:pPr>
        <w:pStyle w:val="ListParagraph"/>
        <w:rPr>
          <w:rFonts w:ascii="Times New Roman" w:hAnsi="Times New Roman" w:cs="Times New Roman"/>
          <w:noProof/>
          <w:sz w:val="24"/>
        </w:rPr>
      </w:pPr>
    </w:p>
    <w:p w14:paraId="3D2CCAAB" w14:textId="057099D2" w:rsidR="0065073E" w:rsidRDefault="000A0998">
      <w:pPr>
        <w:pStyle w:val="P68B1DB1-ListParagraph6"/>
        <w:numPr>
          <w:ilvl w:val="0"/>
          <w:numId w:val="685"/>
        </w:numPr>
        <w:jc w:val="both"/>
        <w:rPr>
          <w:rFonts w:cs="Times New Roman"/>
          <w:noProof/>
        </w:rPr>
      </w:pPr>
      <w:r>
        <w:rPr>
          <w:noProof/>
        </w:rPr>
        <w:t>Järjestelmän kattama määrä ja vaatimus, jonka mukaan järjestelmästä mahdollisesti saatavat käyttämättömät tulot on investoitava uudelleen edellä lueteltuihin toimintoihin, myös vuoden 2026 jälkeen.</w:t>
      </w:r>
    </w:p>
    <w:p w14:paraId="3595B9C6" w14:textId="77777777" w:rsidR="0065073E" w:rsidRDefault="0065073E">
      <w:pPr>
        <w:pStyle w:val="ListParagraph"/>
        <w:rPr>
          <w:rFonts w:ascii="Times New Roman" w:hAnsi="Times New Roman" w:cs="Times New Roman"/>
          <w:noProof/>
          <w:sz w:val="24"/>
        </w:rPr>
      </w:pPr>
    </w:p>
    <w:p w14:paraId="3ABE6782" w14:textId="62DAE74C" w:rsidR="0065073E" w:rsidRDefault="000A0998">
      <w:pPr>
        <w:pStyle w:val="ListParagraph"/>
        <w:numPr>
          <w:ilvl w:val="0"/>
          <w:numId w:val="685"/>
        </w:numPr>
        <w:jc w:val="both"/>
        <w:rPr>
          <w:rFonts w:ascii="Times New Roman" w:hAnsi="Times New Roman" w:cs="Times New Roman"/>
          <w:noProof/>
          <w:sz w:val="24"/>
        </w:rPr>
      </w:pPr>
      <w:r>
        <w:rPr>
          <w:rFonts w:ascii="Times New Roman" w:hAnsi="Times New Roman"/>
          <w:noProof/>
          <w:sz w:val="24"/>
        </w:rPr>
        <w:t>Ilmastoinvestointeja koskevat raportointivaatimukset tukijärjestelmän osalta</w:t>
      </w:r>
      <w:r>
        <w:rPr>
          <w:rStyle w:val="FootnoteReference"/>
          <w:rFonts w:ascii="Times New Roman" w:hAnsi="Times New Roman" w:cs="Times New Roman"/>
          <w:noProof/>
          <w:sz w:val="24"/>
        </w:rPr>
        <w:footnoteReference w:id="219"/>
      </w:r>
      <w:r>
        <w:rPr>
          <w:rFonts w:ascii="Times New Roman" w:hAnsi="Times New Roman"/>
          <w:noProof/>
          <w:sz w:val="24"/>
        </w:rPr>
        <w:t>.</w:t>
      </w:r>
    </w:p>
    <w:p w14:paraId="677D9A98" w14:textId="4CBC5F6F" w:rsidR="0065073E" w:rsidRDefault="000A0998">
      <w:pPr>
        <w:pStyle w:val="P68B1DB1-ListParagraph6"/>
        <w:numPr>
          <w:ilvl w:val="0"/>
          <w:numId w:val="685"/>
        </w:numPr>
        <w:spacing w:before="120" w:after="120" w:line="240" w:lineRule="auto"/>
        <w:jc w:val="both"/>
        <w:rPr>
          <w:rFonts w:cs="Times New Roman"/>
          <w:noProof/>
        </w:rPr>
      </w:pPr>
      <w:r>
        <w:rPr>
          <w:noProof/>
        </w:rPr>
        <w:t>Kun on kyse oman pääoman ehtoisista sijoituksista, mukaan lukien riskipääoma, sijoituspolitiikan keskeisiin vaatimuksiin, jotka koskevat varojen mahdollista myöntämistä oman pääoman ehtoisiin sijoituksiin, riskipääoma mukaan luettuna, ovat seuraavat:</w:t>
      </w:r>
    </w:p>
    <w:p w14:paraId="247597BE" w14:textId="70F6C82D" w:rsidR="0065073E" w:rsidRDefault="000A0998">
      <w:pPr>
        <w:pStyle w:val="P68B1DB1-ListParagraph6"/>
        <w:numPr>
          <w:ilvl w:val="0"/>
          <w:numId w:val="710"/>
        </w:numPr>
        <w:spacing w:before="120" w:after="120" w:line="240" w:lineRule="auto"/>
        <w:jc w:val="both"/>
        <w:rPr>
          <w:rFonts w:cs="Times New Roman"/>
          <w:noProof/>
        </w:rPr>
      </w:pPr>
      <w:r>
        <w:rPr>
          <w:noProof/>
        </w:rPr>
        <w:t>Rahoitustuotteita koskevien budjettikohtien ja tukikelpoisten lopullisten tuensaajien kuvaus</w:t>
      </w:r>
    </w:p>
    <w:p w14:paraId="3314A103" w14:textId="365AC497" w:rsidR="0065073E" w:rsidRDefault="000A0998">
      <w:pPr>
        <w:pStyle w:val="P68B1DB1-ListParagraph6"/>
        <w:numPr>
          <w:ilvl w:val="0"/>
          <w:numId w:val="710"/>
        </w:numPr>
        <w:spacing w:before="120" w:after="120" w:line="240" w:lineRule="auto"/>
        <w:jc w:val="both"/>
        <w:rPr>
          <w:rFonts w:cs="Times New Roman"/>
          <w:noProof/>
        </w:rPr>
      </w:pPr>
      <w:r>
        <w:rPr>
          <w:noProof/>
        </w:rPr>
        <w:t>Vaatimus, jonka mukaan kaikkien tuettujen investointien on oltava taloudellisesti kannattavia.</w:t>
      </w:r>
    </w:p>
    <w:p w14:paraId="1B5B1E05" w14:textId="77777777" w:rsidR="0065073E" w:rsidRDefault="0065073E">
      <w:pPr>
        <w:pStyle w:val="ListParagraph"/>
        <w:rPr>
          <w:rFonts w:ascii="Times New Roman" w:hAnsi="Times New Roman" w:cs="Times New Roman"/>
          <w:noProof/>
          <w:sz w:val="24"/>
        </w:rPr>
      </w:pPr>
    </w:p>
    <w:p w14:paraId="4D08A146" w14:textId="259E26FD" w:rsidR="0065073E" w:rsidRDefault="000A0998">
      <w:pPr>
        <w:pStyle w:val="P68B1DB1-ListParagraph6"/>
        <w:numPr>
          <w:ilvl w:val="0"/>
          <w:numId w:val="685"/>
        </w:numPr>
        <w:spacing w:before="120" w:after="120" w:line="240" w:lineRule="auto"/>
        <w:jc w:val="both"/>
        <w:rPr>
          <w:rFonts w:cs="Times New Roman"/>
          <w:noProof/>
        </w:rPr>
      </w:pPr>
      <w:r>
        <w:rPr>
          <w:noProof/>
        </w:rPr>
        <w:t>Pääomasijoitusten, myös riskipääoman, osalta seuraavat seuranta-, tilintarkastus- ja valvontavaatimukset:</w:t>
      </w:r>
    </w:p>
    <w:p w14:paraId="0FEDB7AD" w14:textId="1A85DC8A" w:rsidR="0065073E" w:rsidRDefault="000A0998">
      <w:pPr>
        <w:pStyle w:val="P68B1DB1-ListParagraph6"/>
        <w:numPr>
          <w:ilvl w:val="0"/>
          <w:numId w:val="706"/>
        </w:numPr>
        <w:rPr>
          <w:rFonts w:cs="Times New Roman"/>
          <w:noProof/>
        </w:rPr>
      </w:pPr>
      <w:r>
        <w:rPr>
          <w:noProof/>
        </w:rPr>
        <w:t>Kuvaus IDAE:n seurantajärjestelmästä, jolla raportoidaan käyttöön otetuista investoinneista.</w:t>
      </w:r>
    </w:p>
    <w:p w14:paraId="2DAC249E" w14:textId="1C6A607E" w:rsidR="0065073E" w:rsidRDefault="000A0998">
      <w:pPr>
        <w:pStyle w:val="P68B1DB1-ListParagraph6"/>
        <w:numPr>
          <w:ilvl w:val="0"/>
          <w:numId w:val="706"/>
        </w:numPr>
        <w:spacing w:before="120" w:after="120" w:line="240" w:lineRule="auto"/>
        <w:jc w:val="both"/>
        <w:rPr>
          <w:rFonts w:cs="Times New Roman"/>
          <w:noProof/>
        </w:rPr>
      </w:pPr>
      <w:r>
        <w:rPr>
          <w:noProof/>
        </w:rPr>
        <w:t xml:space="preserve">Kuvaus IDAE:n menettelyistä, joilla varmistetaan petosten, lahjonnan ja eturistiriitojen ehkäiseminen, havaitseminen ja korjaaminen. </w:t>
      </w:r>
    </w:p>
    <w:p w14:paraId="3EA93286" w14:textId="046A78D2" w:rsidR="0065073E" w:rsidRDefault="000A0998">
      <w:pPr>
        <w:pStyle w:val="P68B1DB1-ListParagraph6"/>
        <w:numPr>
          <w:ilvl w:val="0"/>
          <w:numId w:val="706"/>
        </w:numPr>
        <w:spacing w:before="120" w:after="120" w:line="240" w:lineRule="auto"/>
        <w:jc w:val="both"/>
        <w:rPr>
          <w:rFonts w:cs="Times New Roman"/>
          <w:noProof/>
        </w:rPr>
      </w:pPr>
      <w:r>
        <w:rPr>
          <w:noProof/>
        </w:rPr>
        <w:t>Velvollisuus tarkistaa jokaisen toimen tukikelpoisuus ohjelman perustamista koskevassa säädöksessä vahvistettujen vaatimusten mukaisesti ennen kuin sitoudutaan rahoittamaan toimea.</w:t>
      </w:r>
    </w:p>
    <w:p w14:paraId="75DAF728" w14:textId="5D763AEC" w:rsidR="0065073E" w:rsidRDefault="000A0998">
      <w:pPr>
        <w:pStyle w:val="P68B1DB1-ListParagraph6"/>
        <w:numPr>
          <w:ilvl w:val="0"/>
          <w:numId w:val="706"/>
        </w:numPr>
        <w:spacing w:before="120" w:after="120" w:line="240" w:lineRule="auto"/>
        <w:jc w:val="both"/>
        <w:rPr>
          <w:rFonts w:cs="Times New Roman"/>
          <w:noProof/>
        </w:rPr>
      </w:pPr>
      <w:r>
        <w:rPr>
          <w:noProof/>
        </w:rPr>
        <w:t xml:space="preserve">Velvoite suorittaa riskiperusteisia jälkitarkastuksia IDAE:n tarkastussuunnitelman mukaisesti. Näillä tarkastuksilla todennetaan i) valvontajärjestelmien tehokkuus, mukaan lukien petosten, korruption ja eturistiriitojen havaitseminen;  II) ”ei merkittävää haittaa” -periaatteen, valtiontukisääntöjen sekä ilmastotavoitteita ja digitaalisia tavoitteita koskevien vaatimusten noudattaminen; ja iii) noudatetaan vaatimusta, jonka mukaan IDAE:n on tarkistettava, että lopullinen edunsaaja esittää vastuullisen ilmoituksen sen tarkistamiseksi, katetaanko samat kustannukset jostakin muusta unionin välineestä. Tarkastuksissa on myös todennettava toimien laillisuus ja se, että järjestelmän perustamista koskevan yhden tai useamman sovellettavan oikeudellisen välineen ehtoja noudatetaan. </w:t>
      </w:r>
    </w:p>
    <w:p w14:paraId="3D3DF0B7" w14:textId="77777777" w:rsidR="0065073E" w:rsidRDefault="000A0998">
      <w:pPr>
        <w:pStyle w:val="P68B1DB1-Normal4"/>
        <w:spacing w:before="120" w:after="120" w:line="240" w:lineRule="auto"/>
        <w:jc w:val="both"/>
        <w:rPr>
          <w:rFonts w:cs="Times New Roman"/>
          <w:noProof/>
        </w:rPr>
      </w:pPr>
      <w:r>
        <w:rPr>
          <w:noProof/>
        </w:rPr>
        <w:t>Investointi on toteutettava viimeistään 31 päivänä elokuuta 2026.</w:t>
      </w:r>
    </w:p>
    <w:p w14:paraId="0C487F77" w14:textId="0EC3D453" w:rsidR="0065073E" w:rsidRDefault="000A0998">
      <w:pPr>
        <w:pStyle w:val="P68B1DB1-Text119"/>
        <w:ind w:left="0"/>
        <w:rPr>
          <w:rFonts w:cs="Times New Roman"/>
          <w:noProof/>
        </w:rPr>
      </w:pPr>
      <w:r>
        <w:rPr>
          <w:noProof/>
        </w:rPr>
        <w:t>Investointi 3 (C31.I3) – Tukijärjestelmä uusiutuvien energialähteiden arvoketjun ja varastoinnin tukemiseksi</w:t>
      </w:r>
    </w:p>
    <w:p w14:paraId="544EA9AF" w14:textId="6C539A4A" w:rsidR="0065073E" w:rsidRDefault="000A0998">
      <w:pPr>
        <w:pStyle w:val="P68B1DB1-Normal4"/>
        <w:spacing w:before="120" w:after="120" w:line="240" w:lineRule="auto"/>
        <w:jc w:val="both"/>
        <w:rPr>
          <w:rFonts w:cs="Times New Roman"/>
          <w:noProof/>
        </w:rPr>
      </w:pPr>
      <w:r>
        <w:rPr>
          <w:noProof/>
        </w:rPr>
        <w:t xml:space="preserve">Tämä toimenpide koostuu julkisesta investoinnista tukijärjestelmään, joka kattaa tuet ja mahdollisesti oman pääoman, riskipääoma mukaan lukien, uusiutuvan energian ja varastoinnin arvoketjun tukemiseksi. Ohjelman on toimittava tarjoamalla taloudellisia kannustimia myöntämällä avustuksia tai pääomasijoituksia, riskipääoma mukaan luettuna, yksityiselle sektorille sekä vastaavaa toimintaa harjoittaville julkisyhteisöille ja julkisoikeudellisille laitoksille. Elpymis- ja palautumistukivälineen investointien perusteella tukijärjestelmällä pyritään alun perin tarjoamaan rahoitusta vähintään 1000000000 euroa. Ohjelmaa hallinnoi toteutuskumppanina toimiva ”Instituto de Diversificación y Ahorro de la Energía” (IDAE). </w:t>
      </w:r>
    </w:p>
    <w:p w14:paraId="68D073EA" w14:textId="6C0985BE" w:rsidR="0065073E" w:rsidRDefault="000A0998">
      <w:pPr>
        <w:pStyle w:val="P68B1DB1-Normal4"/>
        <w:spacing w:before="120" w:after="120" w:line="240" w:lineRule="auto"/>
        <w:jc w:val="both"/>
        <w:rPr>
          <w:rFonts w:cs="Times New Roman"/>
          <w:noProof/>
        </w:rPr>
      </w:pPr>
      <w:r>
        <w:rPr>
          <w:noProof/>
        </w:rPr>
        <w:t>Investoinnin toteuttamiseksi hallituksen on hyväksyttävä yksi tai useampi oikeudellinen väline (kun on kyse oman pääoman ehtoisista sijoituksista, tämä väline olisi IDAE:n hyväksymä sijoituspolitiikka), joka sisältää seuraavat osatekijät:</w:t>
      </w:r>
    </w:p>
    <w:p w14:paraId="1FFBD3F1" w14:textId="5C7BEB29" w:rsidR="0065073E" w:rsidRDefault="000A0998">
      <w:pPr>
        <w:pStyle w:val="P68B1DB1-ListParagraph6"/>
        <w:numPr>
          <w:ilvl w:val="0"/>
          <w:numId w:val="707"/>
        </w:numPr>
        <w:spacing w:before="120" w:after="120" w:line="240" w:lineRule="auto"/>
        <w:jc w:val="both"/>
        <w:rPr>
          <w:rFonts w:cs="Times New Roman"/>
          <w:noProof/>
        </w:rPr>
      </w:pPr>
      <w:bookmarkStart w:id="63" w:name="_Hlk145070219"/>
      <w:r>
        <w:rPr>
          <w:noProof/>
        </w:rPr>
        <w:t>Luettelo tukikelpoisista toimista, joiden on oltava vähintään yksi seuraavista: nettonollatalouteen siirtymisen kannalta merkityksellisten teknologioiden ja komponenttien suunnittelu, valmistus, varastointi, kierrätys tai tutkimus ja kehittäminen. Esimerkkejä näistä teknologioista tai komponenteista ovat akut, aurinkopaneelit, tuuliturbiinit ja lämpöpumput. Näiden teknologioiden valmistuksessa tarvittavien raaka-aineiden talteenottoa voidaan myös tukea</w:t>
      </w:r>
      <w:bookmarkEnd w:id="63"/>
      <w:r>
        <w:rPr>
          <w:noProof/>
        </w:rPr>
        <w:t>.</w:t>
      </w:r>
    </w:p>
    <w:p w14:paraId="1AFE88AA" w14:textId="77777777" w:rsidR="0065073E" w:rsidRDefault="0065073E">
      <w:pPr>
        <w:pStyle w:val="ListParagraph"/>
        <w:spacing w:before="120" w:after="120" w:line="240" w:lineRule="auto"/>
        <w:jc w:val="both"/>
        <w:rPr>
          <w:rFonts w:ascii="Times New Roman" w:hAnsi="Times New Roman" w:cs="Times New Roman"/>
          <w:noProof/>
          <w:sz w:val="24"/>
        </w:rPr>
      </w:pPr>
    </w:p>
    <w:p w14:paraId="31CD9981" w14:textId="4B1A93FC" w:rsidR="0065073E" w:rsidRDefault="000A0998">
      <w:pPr>
        <w:pStyle w:val="P68B1DB1-ListParagraph6"/>
        <w:numPr>
          <w:ilvl w:val="0"/>
          <w:numId w:val="707"/>
        </w:numPr>
        <w:spacing w:before="120" w:after="120" w:line="240" w:lineRule="auto"/>
        <w:jc w:val="both"/>
        <w:rPr>
          <w:rFonts w:cs="Times New Roman"/>
          <w:noProof/>
        </w:rPr>
      </w:pPr>
      <w:r>
        <w:rPr>
          <w:noProof/>
        </w:rPr>
        <w:t>Järjestelmän päätöksentekoprosessin kuvaus: Investointikomitea tai tekninen arviointikomitea arvioi hakemukset ja valitsee tuensaajat, jotka otetaan huomioon lopullisissa myöntämispäätöksissä tai investointipäätöksissä, ja ne hyväksytään hallituksesta riippumattomien jäsenten äänten enemmistöllä, mikä tarkoittaa, että heidän on oltava joko IDAE:n palveluksessa olevaa henkilöstöä ja/tai muita riippumattomia asiantuntijoita. Tukijärjestelmän mukaiset lopulliset myöntämispäätökset tai investointipäätökset rajoittuvat investointikomitean tai vastaavan hallintoelimen ehdottaman myöntämispäätöksen tai investointipäätöksen hyväksymiseen (muutoksitta) tai veto-oikeuden käyttämiseen. Jos IDAE osallistuu johonkin hakijoista ja kyseisen ehdotuspyynnön määrärahat eivät riitä kattamaan kaikkia vastaanotettuja hakemuksia, arviointiprosessi on tarkastettava ulkoisesti IDAE:n ”Plan de Mitigación de Potenciales Conflictos de Interés en Sociedades Participadas” -julkaisun mukaisesti.</w:t>
      </w:r>
    </w:p>
    <w:p w14:paraId="3786C919" w14:textId="77777777" w:rsidR="0065073E" w:rsidRDefault="0065073E">
      <w:pPr>
        <w:pStyle w:val="ListParagraph"/>
        <w:spacing w:before="120" w:after="120" w:line="240" w:lineRule="auto"/>
        <w:jc w:val="both"/>
        <w:rPr>
          <w:rFonts w:ascii="Times New Roman" w:hAnsi="Times New Roman" w:cs="Times New Roman"/>
          <w:noProof/>
          <w:sz w:val="24"/>
        </w:rPr>
      </w:pPr>
    </w:p>
    <w:p w14:paraId="48DD98C0" w14:textId="60DFF60F" w:rsidR="0065073E" w:rsidRDefault="000A0998">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Vaatimus noudattaa ”ei merkittävää haittaa” -periaatetta elpymis- ja palautumistukivälineen puitteissa, sellaisena kuin se esitetään ”ei merkittävää haittaa” -periaatetta (2021/C58/01). Oikeudellisessa välineessä (säädöksissä) suljetaan pois erityisesti seuraavat toimet: I) fossiilisiin polttoaineisiin liittyvät toimet, mukaan lukien loppupään käyttö</w:t>
      </w:r>
      <w:r>
        <w:rPr>
          <w:rStyle w:val="FootnoteReference"/>
          <w:rFonts w:ascii="Times New Roman" w:hAnsi="Times New Roman" w:cs="Times New Roman"/>
          <w:noProof/>
          <w:sz w:val="24"/>
        </w:rPr>
        <w:footnoteReference w:id="220"/>
      </w:r>
      <w:r>
        <w:rPr>
          <w:rFonts w:ascii="Times New Roman" w:hAnsi="Times New Roman"/>
          <w:noProof/>
          <w:sz w:val="24"/>
        </w:rPr>
        <w:t>; II)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sz w:val="24"/>
        </w:rPr>
        <w:footnoteReference w:id="221"/>
      </w:r>
      <w:r>
        <w:rPr>
          <w:rFonts w:ascii="Times New Roman" w:hAnsi="Times New Roman"/>
          <w:noProof/>
          <w:sz w:val="24"/>
        </w:rPr>
        <w:t>; ja iii) jätteiden kaatopaikkoihin, polttolaitoksiin</w:t>
      </w:r>
      <w:r>
        <w:rPr>
          <w:rStyle w:val="FootnoteReference"/>
          <w:rFonts w:ascii="Times New Roman" w:hAnsi="Times New Roman" w:cs="Times New Roman"/>
          <w:noProof/>
          <w:sz w:val="24"/>
        </w:rPr>
        <w:footnoteReference w:id="222"/>
      </w:r>
      <w:r>
        <w:rPr>
          <w:rFonts w:ascii="Times New Roman" w:hAnsi="Times New Roman"/>
          <w:noProof/>
          <w:sz w:val="24"/>
        </w:rPr>
        <w:t xml:space="preserve"> ja mekaanisiin biologisiin käsittelylaitoksiin liittyvät toimet</w:t>
      </w:r>
      <w:r>
        <w:rPr>
          <w:rStyle w:val="FootnoteReference"/>
          <w:rFonts w:ascii="Times New Roman" w:hAnsi="Times New Roman" w:cs="Times New Roman"/>
          <w:noProof/>
          <w:sz w:val="24"/>
        </w:rPr>
        <w:footnoteReference w:id="223"/>
      </w:r>
      <w:r>
        <w:rPr>
          <w:rFonts w:ascii="Times New Roman" w:hAnsi="Times New Roman"/>
          <w:noProof/>
          <w:sz w:val="24"/>
        </w:rPr>
        <w:t>. Kun on kyse yrityksille myönnettävästä yleisestä tuesta (mukaan lukien oman pääoman ehtoinen pääoma ja riskipääoma), oikeudellisen välineen (tai -välineiden) ulkopuolelle jätetään yritykset,</w:t>
      </w:r>
      <w:r>
        <w:rPr>
          <w:rFonts w:ascii="Times New Roman" w:hAnsi="Times New Roman"/>
          <w:noProof/>
          <w:sz w:val="24"/>
        </w:rPr>
        <w:footnoteReference w:id="224"/>
      </w:r>
      <w:r>
        <w:rPr>
          <w:rFonts w:ascii="Times New Roman" w:hAnsi="Times New Roman"/>
          <w:noProof/>
          <w:sz w:val="24"/>
        </w:rPr>
        <w:t xml:space="preserve"> jotka keskittyvät erityisesti seuraaviin aloihin: I) fossiilisiin polttoaineisiin perustuva energiantuotanto ja siihen liittyvä toiminta</w:t>
      </w:r>
      <w:r>
        <w:rPr>
          <w:rFonts w:ascii="Times New Roman" w:hAnsi="Times New Roman"/>
          <w:noProof/>
          <w:sz w:val="24"/>
        </w:rPr>
        <w:footnoteReference w:id="225"/>
      </w:r>
      <w:r>
        <w:rPr>
          <w:rFonts w:ascii="Times New Roman" w:hAnsi="Times New Roman"/>
          <w:noProof/>
          <w:sz w:val="24"/>
        </w:rPr>
        <w:t>; II) energiaintensiiviset ja/tai paljon hiilidioksidipäästöjä aiheuttavat teollisuudenalat</w:t>
      </w:r>
      <w:r>
        <w:rPr>
          <w:rFonts w:ascii="Times New Roman" w:hAnsi="Times New Roman"/>
          <w:noProof/>
          <w:sz w:val="24"/>
        </w:rPr>
        <w:footnoteReference w:id="226"/>
      </w:r>
      <w:r>
        <w:rPr>
          <w:rFonts w:ascii="Times New Roman" w:hAnsi="Times New Roman"/>
          <w:noProof/>
          <w:sz w:val="24"/>
        </w:rPr>
        <w:t>; saastuttavien ajoneuvojen tuotanto, vuokraus tai myynti</w:t>
      </w:r>
      <w:r>
        <w:rPr>
          <w:rFonts w:ascii="Times New Roman" w:hAnsi="Times New Roman"/>
          <w:noProof/>
          <w:sz w:val="24"/>
        </w:rPr>
        <w:footnoteReference w:id="227"/>
      </w:r>
      <w:r>
        <w:rPr>
          <w:rFonts w:ascii="Times New Roman" w:hAnsi="Times New Roman"/>
          <w:noProof/>
          <w:sz w:val="24"/>
        </w:rPr>
        <w:t>; IV) jätteiden keruu, käsittely ja</w:t>
      </w:r>
      <w:r>
        <w:rPr>
          <w:rFonts w:ascii="Times New Roman" w:hAnsi="Times New Roman"/>
          <w:noProof/>
          <w:sz w:val="24"/>
        </w:rPr>
        <w:footnoteReference w:id="228"/>
      </w:r>
      <w:r>
        <w:rPr>
          <w:rFonts w:ascii="Times New Roman" w:hAnsi="Times New Roman"/>
          <w:noProof/>
          <w:sz w:val="24"/>
        </w:rPr>
        <w:t>loppusijoitus, v) ydinpolttoaineen käsittely, ydinenergian tuotanto. Lisäksi oikeudellisissa välineissä on edellytettävä, että tukijärjestelmien lopulliset edunsaajat noudattavat asiaankuuluvaa EU:n ja kansallista ympäristölainsäädäntöä.</w:t>
      </w:r>
    </w:p>
    <w:p w14:paraId="03F8977B" w14:textId="77777777" w:rsidR="0065073E" w:rsidRDefault="0065073E">
      <w:pPr>
        <w:pStyle w:val="ListParagraph"/>
        <w:spacing w:before="120" w:after="120" w:line="240" w:lineRule="auto"/>
        <w:jc w:val="both"/>
        <w:rPr>
          <w:rFonts w:ascii="Times New Roman" w:hAnsi="Times New Roman" w:cs="Times New Roman"/>
          <w:noProof/>
          <w:sz w:val="24"/>
        </w:rPr>
      </w:pPr>
    </w:p>
    <w:p w14:paraId="089313FD" w14:textId="7B198AA4" w:rsidR="0065073E" w:rsidRDefault="000A0998">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Ilmastoinvestointeja koskevat vaatimukset tukijärjestelmässä: vähintään 902000000 eurolla tukijärjestelmään tehtävistä investoinneista on edistettävä ilmastonmuutostavoitteen saavuttamista elpymis- ja palautumistukivälinettä koskevan asetuksen liitteen VI mukaisesti.</w:t>
      </w:r>
      <w:r>
        <w:rPr>
          <w:rStyle w:val="FootnoteReference"/>
          <w:rFonts w:ascii="Times New Roman" w:hAnsi="Times New Roman" w:cs="Times New Roman"/>
          <w:noProof/>
          <w:sz w:val="24"/>
        </w:rPr>
        <w:footnoteReference w:id="229"/>
      </w:r>
      <w:r>
        <w:rPr>
          <w:rFonts w:ascii="Times New Roman" w:hAnsi="Times New Roman"/>
          <w:noProof/>
          <w:sz w:val="24"/>
        </w:rPr>
        <w:t xml:space="preserve"> </w:t>
      </w:r>
    </w:p>
    <w:p w14:paraId="7839E154" w14:textId="77777777" w:rsidR="0065073E" w:rsidRDefault="0065073E">
      <w:pPr>
        <w:pStyle w:val="ListParagraph"/>
        <w:spacing w:before="120" w:after="120" w:line="240" w:lineRule="auto"/>
        <w:jc w:val="both"/>
        <w:rPr>
          <w:rFonts w:ascii="Times New Roman" w:hAnsi="Times New Roman" w:cs="Times New Roman"/>
          <w:noProof/>
          <w:sz w:val="24"/>
        </w:rPr>
      </w:pPr>
    </w:p>
    <w:p w14:paraId="5F863CB7" w14:textId="77777777" w:rsidR="0065073E" w:rsidRDefault="000A0998">
      <w:pPr>
        <w:pStyle w:val="P68B1DB1-ListParagraph6"/>
        <w:numPr>
          <w:ilvl w:val="0"/>
          <w:numId w:val="711"/>
        </w:numPr>
        <w:spacing w:before="120" w:after="120" w:line="240" w:lineRule="auto"/>
        <w:jc w:val="both"/>
        <w:rPr>
          <w:rFonts w:cs="Times New Roman"/>
          <w:noProof/>
        </w:rPr>
      </w:pPr>
      <w:r>
        <w:rPr>
          <w:noProof/>
        </w:rPr>
        <w:t>Vaatimus, jonka mukaan lainajärjestelyn lopulliset edunsaajat eivät saa saada tukea muista unionin välineistä samojen kustannusten kattamiseksi.</w:t>
      </w:r>
    </w:p>
    <w:p w14:paraId="2D795EFF" w14:textId="77777777" w:rsidR="0065073E" w:rsidRDefault="0065073E">
      <w:pPr>
        <w:pStyle w:val="ListParagraph"/>
        <w:rPr>
          <w:rFonts w:ascii="Times New Roman" w:hAnsi="Times New Roman" w:cs="Times New Roman"/>
          <w:noProof/>
          <w:sz w:val="24"/>
        </w:rPr>
      </w:pPr>
    </w:p>
    <w:p w14:paraId="0645499A" w14:textId="77777777" w:rsidR="0065073E" w:rsidRDefault="000A0998">
      <w:pPr>
        <w:pStyle w:val="P68B1DB1-ListParagraph6"/>
        <w:numPr>
          <w:ilvl w:val="0"/>
          <w:numId w:val="711"/>
        </w:numPr>
        <w:jc w:val="both"/>
        <w:rPr>
          <w:rFonts w:cs="Times New Roman"/>
          <w:noProof/>
        </w:rPr>
      </w:pPr>
      <w:r>
        <w:rPr>
          <w:noProof/>
        </w:rPr>
        <w:t>Järjestelmän kattama määrä ja vaatimus, jonka mukaan järjestelmästä mahdollisesti saatavat käyttämättömät tulot on investoitava uudelleen edellä lueteltuihin toimintoihin, myös vuoden 2026 jälkeen.</w:t>
      </w:r>
    </w:p>
    <w:p w14:paraId="3BD41338" w14:textId="77777777" w:rsidR="0065073E" w:rsidRDefault="0065073E">
      <w:pPr>
        <w:pStyle w:val="ListParagraph"/>
        <w:spacing w:before="120" w:after="120" w:line="240" w:lineRule="auto"/>
        <w:jc w:val="both"/>
        <w:rPr>
          <w:rFonts w:ascii="Times New Roman" w:hAnsi="Times New Roman" w:cs="Times New Roman"/>
          <w:noProof/>
          <w:sz w:val="24"/>
        </w:rPr>
      </w:pPr>
    </w:p>
    <w:p w14:paraId="51F223E9" w14:textId="36BEE354" w:rsidR="0065073E" w:rsidRDefault="000A0998">
      <w:pPr>
        <w:pStyle w:val="P68B1DB1-ListParagraph6"/>
        <w:numPr>
          <w:ilvl w:val="0"/>
          <w:numId w:val="711"/>
        </w:numPr>
        <w:spacing w:before="120" w:after="120" w:line="240" w:lineRule="auto"/>
        <w:jc w:val="both"/>
        <w:rPr>
          <w:rFonts w:cs="Times New Roman"/>
          <w:noProof/>
        </w:rPr>
      </w:pPr>
      <w:r>
        <w:rPr>
          <w:noProof/>
        </w:rPr>
        <w:t>Pääomasijoitusten, myös riskipääoman, osalta sijoituspolitiikan keskeisiin vaatimuksiin kuuluvat seuraavat:</w:t>
      </w:r>
    </w:p>
    <w:p w14:paraId="51586FF2" w14:textId="77777777" w:rsidR="0065073E" w:rsidRDefault="0065073E">
      <w:pPr>
        <w:pStyle w:val="ListParagraph"/>
        <w:spacing w:before="120" w:after="120" w:line="240" w:lineRule="auto"/>
        <w:jc w:val="both"/>
        <w:rPr>
          <w:rFonts w:ascii="Times New Roman" w:hAnsi="Times New Roman" w:cs="Times New Roman"/>
          <w:noProof/>
          <w:sz w:val="24"/>
        </w:rPr>
      </w:pPr>
    </w:p>
    <w:p w14:paraId="48CB69A2" w14:textId="77777777" w:rsidR="0065073E" w:rsidRDefault="000A0998">
      <w:pPr>
        <w:pStyle w:val="P68B1DB1-ListParagraph6"/>
        <w:numPr>
          <w:ilvl w:val="0"/>
          <w:numId w:val="712"/>
        </w:numPr>
        <w:spacing w:before="120" w:after="120" w:line="240" w:lineRule="auto"/>
        <w:jc w:val="both"/>
        <w:rPr>
          <w:rFonts w:cs="Times New Roman"/>
          <w:noProof/>
        </w:rPr>
      </w:pPr>
      <w:r>
        <w:rPr>
          <w:noProof/>
        </w:rPr>
        <w:t>Rahoitustuotteita koskevien budjettikohtien ja tukikelpoisten lopullisten tuensaajien kuvaus</w:t>
      </w:r>
    </w:p>
    <w:p w14:paraId="3EA05A12" w14:textId="77777777" w:rsidR="0065073E" w:rsidRDefault="000A0998">
      <w:pPr>
        <w:pStyle w:val="P68B1DB1-ListParagraph6"/>
        <w:numPr>
          <w:ilvl w:val="0"/>
          <w:numId w:val="712"/>
        </w:numPr>
        <w:spacing w:before="120" w:after="120" w:line="240" w:lineRule="auto"/>
        <w:jc w:val="both"/>
        <w:rPr>
          <w:rFonts w:cs="Times New Roman"/>
          <w:noProof/>
        </w:rPr>
      </w:pPr>
      <w:r>
        <w:rPr>
          <w:noProof/>
        </w:rPr>
        <w:t>Vaatimus, jonka mukaan kaikkien tuettujen investointien on oltava taloudellisesti kannattavia.</w:t>
      </w:r>
    </w:p>
    <w:p w14:paraId="73FE741B" w14:textId="77777777" w:rsidR="0065073E" w:rsidRDefault="0065073E">
      <w:pPr>
        <w:pStyle w:val="ListParagraph"/>
        <w:rPr>
          <w:rFonts w:ascii="Times New Roman" w:hAnsi="Times New Roman" w:cs="Times New Roman"/>
          <w:noProof/>
          <w:sz w:val="24"/>
        </w:rPr>
      </w:pPr>
    </w:p>
    <w:p w14:paraId="64C4FEC0" w14:textId="5527B1B6" w:rsidR="0065073E" w:rsidRDefault="000A0998">
      <w:pPr>
        <w:pStyle w:val="P68B1DB1-ListParagraph6"/>
        <w:numPr>
          <w:ilvl w:val="0"/>
          <w:numId w:val="714"/>
        </w:numPr>
        <w:spacing w:before="120" w:after="120" w:line="240" w:lineRule="auto"/>
        <w:jc w:val="both"/>
        <w:rPr>
          <w:rFonts w:cs="Times New Roman"/>
          <w:noProof/>
        </w:rPr>
      </w:pPr>
      <w:r>
        <w:rPr>
          <w:noProof/>
        </w:rPr>
        <w:t>Pääomasijoitusten, myös riskipääoman, osalta seuraavat seuranta-, tilintarkastus- ja valvontavaatimukset:</w:t>
      </w:r>
    </w:p>
    <w:p w14:paraId="383E55D2" w14:textId="7F81A7AC" w:rsidR="0065073E" w:rsidRDefault="000A0998">
      <w:pPr>
        <w:pStyle w:val="P68B1DB1-ListParagraph6"/>
        <w:numPr>
          <w:ilvl w:val="0"/>
          <w:numId w:val="706"/>
        </w:numPr>
        <w:rPr>
          <w:rFonts w:cs="Times New Roman"/>
          <w:noProof/>
        </w:rPr>
      </w:pPr>
      <w:r>
        <w:rPr>
          <w:noProof/>
        </w:rPr>
        <w:t>Kuvaus IDAE:n seurantajärjestelmästä, jolla raportoidaan käyttöön otetuista investoinneista.</w:t>
      </w:r>
    </w:p>
    <w:p w14:paraId="4A6F23D8" w14:textId="2C0A6447" w:rsidR="0065073E" w:rsidRDefault="000A0998">
      <w:pPr>
        <w:pStyle w:val="P68B1DB1-ListParagraph6"/>
        <w:numPr>
          <w:ilvl w:val="0"/>
          <w:numId w:val="706"/>
        </w:numPr>
        <w:spacing w:before="120" w:after="120" w:line="240" w:lineRule="auto"/>
        <w:jc w:val="both"/>
        <w:rPr>
          <w:rFonts w:cs="Times New Roman"/>
          <w:noProof/>
        </w:rPr>
      </w:pPr>
      <w:r>
        <w:rPr>
          <w:noProof/>
        </w:rPr>
        <w:t xml:space="preserve">Kuvaus IDAE:n menettelyistä, joilla varmistetaan petosten, lahjonnan ja eturistiriitojen ehkäiseminen, havaitseminen ja korjaaminen. </w:t>
      </w:r>
    </w:p>
    <w:p w14:paraId="24BEE50B" w14:textId="77777777" w:rsidR="0065073E" w:rsidRDefault="000A0998">
      <w:pPr>
        <w:pStyle w:val="P68B1DB1-ListParagraph6"/>
        <w:numPr>
          <w:ilvl w:val="0"/>
          <w:numId w:val="706"/>
        </w:numPr>
        <w:spacing w:before="120" w:after="120" w:line="240" w:lineRule="auto"/>
        <w:jc w:val="both"/>
        <w:rPr>
          <w:rFonts w:cs="Times New Roman"/>
          <w:noProof/>
        </w:rPr>
      </w:pPr>
      <w:r>
        <w:rPr>
          <w:noProof/>
        </w:rPr>
        <w:t>Velvollisuus tarkistaa jokaisen toimen tukikelpoisuus ohjelman perustamista koskevassa säädöksessä vahvistettujen vaatimusten mukaisesti ennen kuin sitoudutaan rahoittamaan toimea.</w:t>
      </w:r>
    </w:p>
    <w:p w14:paraId="4A65AD17" w14:textId="5E094F3F" w:rsidR="0065073E" w:rsidRDefault="000A0998">
      <w:pPr>
        <w:pStyle w:val="P68B1DB1-ListParagraph6"/>
        <w:numPr>
          <w:ilvl w:val="0"/>
          <w:numId w:val="706"/>
        </w:numPr>
        <w:spacing w:before="120" w:after="120" w:line="240" w:lineRule="auto"/>
        <w:jc w:val="both"/>
        <w:rPr>
          <w:rFonts w:cs="Times New Roman"/>
          <w:noProof/>
        </w:rPr>
      </w:pPr>
      <w:r>
        <w:rPr>
          <w:noProof/>
        </w:rPr>
        <w:t xml:space="preserve">Velvoite suorittaa riskiperusteisia jälkitarkastuksia IDAE:n tarkastussuunnitelman mukaisesti. Näillä tarkastuksilla on varmistettava, että valvontajärjestelmien tehokkuus, mukaan lukien petosten, korruption ja eturistiriitojen havaitseminen;  II) ”ei merkittävää haittaa” -periaatteen, valtiontukisääntöjen sekä ilmastotavoitteita ja digitaalisia tavoitteita koskevien vaatimusten noudattaminen; ja iii) noudatetaan vaatimusta, jonka mukaan IDAE:n on tarkistettava, että lopullinen edunsaaja esittää vastuullisen ilmoituksen sen tarkistamiseksi, katetaanko samat kustannukset jostakin muusta unionin välineestä. Tarkastuksissa on myös todennettava toimien laillisuus ja se, että järjestelmän perustamista koskevan yhden tai useamman sovellettavan oikeudellisen välineen ehtoja noudatetaan. </w:t>
      </w:r>
    </w:p>
    <w:p w14:paraId="46DD05F4" w14:textId="77777777" w:rsidR="0065073E" w:rsidRDefault="000A0998">
      <w:pPr>
        <w:pStyle w:val="P68B1DB1-Normal4"/>
        <w:spacing w:before="120" w:after="120" w:line="240" w:lineRule="auto"/>
        <w:jc w:val="both"/>
        <w:rPr>
          <w:rFonts w:cs="Times New Roman"/>
          <w:noProof/>
        </w:rPr>
      </w:pPr>
      <w:r>
        <w:rPr>
          <w:noProof/>
        </w:rPr>
        <w:t>Investointi on toteutettava viimeistään 30 päivänä kesäkuuta 2026.</w:t>
      </w:r>
    </w:p>
    <w:p w14:paraId="283A2AFF" w14:textId="77777777" w:rsidR="0065073E" w:rsidRDefault="000A0998">
      <w:pPr>
        <w:pStyle w:val="P68B1DB1-Text119"/>
        <w:ind w:left="0"/>
        <w:rPr>
          <w:rFonts w:cs="Times New Roman"/>
          <w:noProof/>
        </w:rPr>
      </w:pPr>
      <w:r>
        <w:rPr>
          <w:noProof/>
        </w:rPr>
        <w:t>Investointi 4 (C31.I4) – Investoinnit sähköverkkoinfrastruktuurin tukemiseen</w:t>
      </w:r>
    </w:p>
    <w:p w14:paraId="5A904BCE" w14:textId="77777777" w:rsidR="0065073E" w:rsidRDefault="000A0998">
      <w:pPr>
        <w:pStyle w:val="P68B1DB1-Normal4"/>
        <w:spacing w:before="120" w:after="120" w:line="240" w:lineRule="auto"/>
        <w:jc w:val="both"/>
        <w:rPr>
          <w:rFonts w:cs="Times New Roman"/>
          <w:noProof/>
        </w:rPr>
      </w:pPr>
      <w:r>
        <w:rPr>
          <w:noProof/>
        </w:rPr>
        <w:t>Investoinnin tavoitteena on tukea Espanjan sähkönsiirtoverkon kehittämistä. Investointi koostuu Espanjan verkon kehittämissuunnitelman 2021–2026, jäljempänä ’suunnitelma’, mukaisten tukikelpoisten hankkeiden saattamisesta päätökseen. Ennen tuen myöntämistä Espanja vahvistaa tukikelpoisuusperusteet, jotka Espanjan verkon kehittämissuunnitelmasta 2021–2026 valittavien hankkeiden on täytettävä seuraavien perusteella:</w:t>
      </w:r>
    </w:p>
    <w:p w14:paraId="6CB90F80" w14:textId="77777777" w:rsidR="0065073E" w:rsidRDefault="000A0998">
      <w:pPr>
        <w:pStyle w:val="P68B1DB1-ListParagraph6"/>
        <w:numPr>
          <w:ilvl w:val="0"/>
          <w:numId w:val="639"/>
        </w:numPr>
        <w:spacing w:before="120" w:after="120" w:line="240" w:lineRule="auto"/>
        <w:jc w:val="both"/>
        <w:rPr>
          <w:rFonts w:cs="Times New Roman"/>
          <w:noProof/>
        </w:rPr>
      </w:pPr>
      <w:r>
        <w:rPr>
          <w:noProof/>
        </w:rPr>
        <w:t>Hankkeet, jotka täyttävät REPowerEU-tavoitteet, ja erityisesti hankkeet, joilla edistetään uusiutuvien energialähteiden integrointia, teollisuuden hiilestä irtautumista, päästötöntä liikennettä ja sisäisiin ruuhkiin puuttumista; ja</w:t>
      </w:r>
    </w:p>
    <w:p w14:paraId="12949066" w14:textId="45CA2F3C" w:rsidR="0065073E" w:rsidRDefault="000A0998">
      <w:pPr>
        <w:pStyle w:val="P68B1DB1-ListParagraph6"/>
        <w:numPr>
          <w:ilvl w:val="0"/>
          <w:numId w:val="639"/>
        </w:numPr>
        <w:spacing w:before="120" w:after="120" w:line="240" w:lineRule="auto"/>
        <w:jc w:val="both"/>
        <w:rPr>
          <w:rFonts w:cs="Times New Roman"/>
          <w:noProof/>
        </w:rPr>
      </w:pPr>
      <w:r>
        <w:rPr>
          <w:noProof/>
        </w:rPr>
        <w:t>hankkeet, jotka on saatettava päätökseen viimeistään 31 päivänä elokuuta 2026.</w:t>
      </w:r>
    </w:p>
    <w:p w14:paraId="687445EF" w14:textId="77777777" w:rsidR="0065073E" w:rsidRDefault="000A0998">
      <w:pPr>
        <w:pStyle w:val="P68B1DB1-Normal4"/>
        <w:spacing w:before="120" w:after="120" w:line="240" w:lineRule="auto"/>
        <w:jc w:val="both"/>
        <w:rPr>
          <w:rFonts w:cs="Times New Roman"/>
          <w:noProof/>
        </w:rPr>
      </w:pPr>
      <w:r>
        <w:rPr>
          <w:noProof/>
        </w:rPr>
        <w:t>Investointi on toteutettava viimeistään 31 päivänä elokuuta 2026.</w:t>
      </w:r>
    </w:p>
    <w:p w14:paraId="75F18260" w14:textId="77777777" w:rsidR="0065073E" w:rsidRDefault="000A0998">
      <w:pPr>
        <w:pStyle w:val="P68B1DB1-Text119"/>
        <w:ind w:left="0"/>
        <w:rPr>
          <w:rFonts w:cs="Times New Roman"/>
          <w:noProof/>
        </w:rPr>
      </w:pPr>
      <w:r>
        <w:rPr>
          <w:noProof/>
        </w:rPr>
        <w:t>Investointi 5 (C31.I5) – Investoinnit teollisuuden hiilestä irtautumisen tukemiseen (avustukset)</w:t>
      </w:r>
    </w:p>
    <w:p w14:paraId="6A2DA582" w14:textId="12F902EA" w:rsidR="0065073E" w:rsidRDefault="000A0998">
      <w:pPr>
        <w:pStyle w:val="Text1"/>
        <w:ind w:left="0"/>
        <w:rPr>
          <w:rStyle w:val="IntenseEmphasis"/>
          <w:rFonts w:ascii="Times New Roman" w:hAnsi="Times New Roman" w:cs="Times New Roman"/>
          <w:i w:val="0"/>
          <w:noProof/>
          <w:color w:val="auto"/>
          <w:sz w:val="22"/>
        </w:rPr>
      </w:pPr>
      <w:r>
        <w:rPr>
          <w:rStyle w:val="IntenseEmphasis"/>
          <w:rFonts w:ascii="Times New Roman" w:hAnsi="Times New Roman"/>
          <w:i w:val="0"/>
          <w:noProof/>
          <w:color w:val="auto"/>
        </w:rPr>
        <w:t xml:space="preserve">Tämän toimenpiteen, joka on osa teollisuuden hiilestä irtautumista koskevaa strategista hanketta, tavoitteena on tukea teollisuuden prosessien hiilestä irtautumista. Toimenpide koostuu valmistusteollisuuden hiilestä irtautumiseen tähtäävien hankkeiden toteuttamisesta, esimerkiksi kasvihuonekaasupäästöjen vähentämiseen tähtäävistä hankkeista, sekä uusien erittäin tehokkaiden ja hiilettömien valmistuslaitosten kehittämisestä. </w:t>
      </w:r>
    </w:p>
    <w:p w14:paraId="30E2F416" w14:textId="0F718873" w:rsidR="0065073E" w:rsidRDefault="000A0998">
      <w:pPr>
        <w:pStyle w:val="Text1"/>
        <w:ind w:left="0"/>
        <w:rPr>
          <w:rFonts w:ascii="Times New Roman" w:hAnsi="Times New Roman" w:cs="Times New Roman"/>
          <w:noProof/>
        </w:rPr>
      </w:pPr>
      <w:r>
        <w:rPr>
          <w:rFonts w:ascii="Times New Roman" w:hAnsi="Times New Roman"/>
          <w:noProof/>
        </w:rPr>
        <w:t>Päätökseen, jolla hyväksytään teollisuuden hiilestä irtautumista koskeva PERTE-järjestelmä, on sisällyttävä valintaperusteet, joilla varmistetaan ”ei merkittävää haittaa” -periaatteen noudattaminen (2021/C58/01). Sen varmistamiseksi, että toimenpide noudattaa teknistä ohjetta ”ei merkittävää haittaa” (2021/C58/01), tulevien hankepyyntöjen tehtävänmääritykseen sisältyviin tukikelpoisuusperusteisiin ei lueta seuraavia toimintoja: 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230"/>
      </w:r>
      <w:r>
        <w:rPr>
          <w:rFonts w:ascii="Times New Roman" w:hAnsi="Times New Roman"/>
          <w:noProof/>
        </w:rPr>
        <w:t>; II) fossiilisiin polttoaineisiin liittyvät toimet, mukaan lukien tuotantoketjun loppupään käyttö päästökauppajärjestelmän ulkopuolella</w:t>
      </w:r>
      <w:r>
        <w:rPr>
          <w:rStyle w:val="FootnoteReference"/>
          <w:rFonts w:ascii="Times New Roman" w:hAnsi="Times New Roman" w:cs="Times New Roman"/>
          <w:noProof/>
        </w:rPr>
        <w:footnoteReference w:id="231"/>
      </w:r>
      <w:r>
        <w:rPr>
          <w:rFonts w:ascii="Times New Roman" w:hAnsi="Times New Roman"/>
          <w:noProof/>
        </w:rPr>
        <w:t xml:space="preserve">. Valintaperusteissa on lisäksi edellytettävä, että ainoastaan toimet, jotka ovat asiaa koskevan EU:n ja kansallisen ympäristölainsäädännön mukaisia, voidaan valita. </w:t>
      </w:r>
    </w:p>
    <w:p w14:paraId="0DBABB13" w14:textId="77777777" w:rsidR="0065073E" w:rsidRDefault="000A0998">
      <w:pPr>
        <w:pStyle w:val="P68B1DB1-Text118"/>
        <w:ind w:left="0"/>
        <w:rPr>
          <w:rFonts w:cs="Times New Roman"/>
          <w:noProof/>
        </w:rPr>
      </w:pPr>
      <w:r>
        <w:rPr>
          <w:noProof/>
        </w:rPr>
        <w:t xml:space="preserve">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w:t>
      </w:r>
    </w:p>
    <w:p w14:paraId="4FA77B87" w14:textId="0F528DE1" w:rsidR="0065073E" w:rsidRDefault="000A0998">
      <w:pPr>
        <w:pStyle w:val="Text1"/>
        <w:ind w:left="0"/>
        <w:rPr>
          <w:rStyle w:val="IntenseEmphasis"/>
          <w:rFonts w:ascii="Times New Roman" w:hAnsi="Times New Roman" w:cs="Times New Roman"/>
          <w:i w:val="0"/>
          <w:noProof/>
          <w:color w:val="auto"/>
        </w:rPr>
      </w:pPr>
      <w:r w:rsidRPr="00000782">
        <w:rPr>
          <w:rFonts w:ascii="Times New Roman" w:hAnsi="Times New Roman" w:cs="Times New Roman"/>
          <w:noProof/>
        </w:rPr>
        <w:t>Valintaperusteilla on varmistettava, että vähintään 236000000 eurolla, joka on 40 prosenttia toimenpiteen arvioiduista kustannuksista, edistetään ilmastonmuutostavoitteiden saavuttamista elpymis- ja palautumistukivälinettä koskevan asetuksen liitteen VI mukaisesti</w:t>
      </w:r>
      <w:r>
        <w:rPr>
          <w:noProof/>
        </w:rPr>
        <w:t></w:t>
      </w:r>
      <w:r>
        <w:rPr>
          <w:rStyle w:val="FootnoteReference"/>
          <w:rFonts w:ascii="Times New Roman" w:hAnsi="Times New Roman" w:cs="Times New Roman"/>
          <w:noProof/>
        </w:rPr>
        <w:footnoteReference w:id="232"/>
      </w:r>
    </w:p>
    <w:p w14:paraId="673AC9A6" w14:textId="77777777" w:rsidR="0065073E" w:rsidRDefault="000A0998">
      <w:pPr>
        <w:pStyle w:val="Text1"/>
        <w:ind w:left="0"/>
        <w:rPr>
          <w:rFonts w:ascii="Times New Roman" w:hAnsi="Times New Roman" w:cs="Times New Roman"/>
          <w:noProof/>
        </w:rPr>
      </w:pPr>
      <w:r>
        <w:rPr>
          <w:rStyle w:val="IntenseEmphasis"/>
          <w:rFonts w:ascii="Times New Roman" w:hAnsi="Times New Roman"/>
          <w:i w:val="0"/>
          <w:noProof/>
          <w:color w:val="auto"/>
        </w:rPr>
        <w:t>Toimenpiteen täytäntöönpano on saatettava päätökseen</w:t>
      </w:r>
      <w:r>
        <w:rPr>
          <w:rFonts w:ascii="Times New Roman" w:hAnsi="Times New Roman"/>
          <w:i/>
          <w:noProof/>
        </w:rPr>
        <w:t xml:space="preserve"> </w:t>
      </w:r>
      <w:r>
        <w:rPr>
          <w:rStyle w:val="IntenseEmphasis"/>
          <w:rFonts w:ascii="Times New Roman" w:hAnsi="Times New Roman"/>
          <w:i w:val="0"/>
          <w:noProof/>
          <w:color w:val="auto"/>
        </w:rPr>
        <w:t>31 päivään elokuuta 2026 mennessä</w:t>
      </w:r>
      <w:r>
        <w:rPr>
          <w:rFonts w:ascii="Times New Roman" w:hAnsi="Times New Roman"/>
          <w:noProof/>
        </w:rPr>
        <w:t xml:space="preserve">. </w:t>
      </w:r>
    </w:p>
    <w:p w14:paraId="5556DCD0" w14:textId="77777777" w:rsidR="0065073E" w:rsidRDefault="0065073E">
      <w:pPr>
        <w:spacing w:after="0" w:line="240" w:lineRule="auto"/>
        <w:jc w:val="both"/>
        <w:rPr>
          <w:rFonts w:ascii="Times New Roman" w:hAnsi="Times New Roman" w:cs="Times New Roman"/>
          <w:noProof/>
        </w:rPr>
      </w:pPr>
    </w:p>
    <w:p w14:paraId="00620CE8" w14:textId="5E52E87D" w:rsidR="0065073E" w:rsidRDefault="000A0998">
      <w:pPr>
        <w:pStyle w:val="P68B1DB1-Normal5"/>
        <w:rPr>
          <w:rFonts w:cs="Times New Roman"/>
          <w:noProof/>
        </w:rPr>
      </w:pPr>
      <w:r>
        <w:rPr>
          <w:noProof/>
        </w:rPr>
        <w:t>Investointi 6 (C31.I6) – Tukijärjestelmä hiilestä irtautumista koskeville hankkeille (avustukset)</w:t>
      </w:r>
    </w:p>
    <w:p w14:paraId="5BCED0EA" w14:textId="71CA3698" w:rsidR="0065073E" w:rsidRDefault="000A0998">
      <w:pPr>
        <w:pStyle w:val="P68B1DB1-paragraph24"/>
        <w:spacing w:before="120" w:after="120"/>
        <w:jc w:val="both"/>
        <w:textAlignment w:val="baseline"/>
        <w:rPr>
          <w:rFonts w:cs="Times New Roman"/>
          <w:noProof/>
        </w:rPr>
      </w:pPr>
      <w:r>
        <w:rPr>
          <w:noProof/>
        </w:rPr>
        <w:t>Tämä toimenpide koostuu julkisesta investoinnista julkiseen tukijärjestelmään yksityisten investointien kannustamiseksi. Järjestelmällä edistetään teollisuusprosessien hiilestä irtautumista ja uusien erittäin tehokkaiden ja hiilettömien tuotantolaitosten kehittämistä ministerineuvoston hyväksymän strategisen DECARB-hankkeen (PERTE) puitteissa. Elpymis- ja palautumistukivälineen investointien perusteella tukiohjelmalla pyritään alun perin tarjoamaan rahoitusta vähintään 430000000 euroa.</w:t>
      </w:r>
    </w:p>
    <w:p w14:paraId="28317DC5" w14:textId="4E40DB6A" w:rsidR="0065073E" w:rsidRDefault="000A0998">
      <w:pPr>
        <w:pStyle w:val="P68B1DB1-paragraph24"/>
        <w:spacing w:before="120" w:after="120"/>
        <w:jc w:val="both"/>
        <w:textAlignment w:val="baseline"/>
        <w:rPr>
          <w:rFonts w:cs="Times New Roman"/>
          <w:noProof/>
        </w:rPr>
      </w:pPr>
      <w:r>
        <w:rPr>
          <w:noProof/>
        </w:rPr>
        <w:t xml:space="preserve">SEPIDES hallinnoi järjestelmää toteutuskumppanina. SEPIDES-järjestelmä muutetaan asiaa koskevalla säädöksellä julkiseksi yritykseksi tämän investoinnin toteuttamiseksi. </w:t>
      </w:r>
    </w:p>
    <w:p w14:paraId="0DB2C377" w14:textId="421903AA" w:rsidR="0065073E" w:rsidRDefault="000A0998">
      <w:pPr>
        <w:pStyle w:val="P68B1DB1-paragraph24"/>
        <w:spacing w:before="120" w:after="120"/>
        <w:jc w:val="both"/>
        <w:textAlignment w:val="baseline"/>
        <w:rPr>
          <w:rFonts w:cs="Times New Roman"/>
          <w:noProof/>
        </w:rPr>
      </w:pPr>
      <w:r>
        <w:rPr>
          <w:noProof/>
        </w:rPr>
        <w:t xml:space="preserve">Jotta investointi voidaan toteuttaa järjestelmässä, hallituksen on hyväksyttävä yksi tai useampi oikeudellinen väline, jolla tukijärjestelmä perustetaan ja joihin on sisällyttävä seuraavat osatekijät:  </w:t>
      </w:r>
    </w:p>
    <w:p w14:paraId="1E0157FE" w14:textId="648F143E" w:rsidR="0065073E" w:rsidRDefault="000A0998">
      <w:pPr>
        <w:pStyle w:val="P68B1DB1-paragraph24"/>
        <w:numPr>
          <w:ilvl w:val="0"/>
          <w:numId w:val="778"/>
        </w:numPr>
        <w:spacing w:before="120" w:after="120"/>
        <w:jc w:val="both"/>
        <w:textAlignment w:val="baseline"/>
        <w:rPr>
          <w:rFonts w:cs="Times New Roman"/>
          <w:noProof/>
        </w:rPr>
      </w:pPr>
      <w:r>
        <w:rPr>
          <w:noProof/>
        </w:rPr>
        <w:t xml:space="preserve">Järjestelmän päätöksentekoprosessin kuvaus: Hakemukset arvioidaan arviointikomiteassa tai muussa vastaavassa hallintoelimessä ja hyväksytään Espanjan hallituksesta riippumattomien jäsenten äänten enemmistöllä, mikä tarkoittaa joko SEPIDESin palveluksessa olevaa henkilöstöä ja/tai muita riippumattomia asiantuntijoita. Ohjelman lopullinen investointipäätös rajoittuu arviointikomitean tai vastaavan hallintoelimen ehdottaman investointipäätöksen hyväksymiseen (ilman muutoksia) tai veto-oikeuden käyttämiseen.  </w:t>
      </w:r>
    </w:p>
    <w:p w14:paraId="349961BF" w14:textId="759D5F46" w:rsidR="0065073E" w:rsidRDefault="000A0998">
      <w:pPr>
        <w:pStyle w:val="P68B1DB1-paragraph24"/>
        <w:numPr>
          <w:ilvl w:val="0"/>
          <w:numId w:val="778"/>
        </w:numPr>
        <w:spacing w:before="120" w:after="120"/>
        <w:jc w:val="both"/>
        <w:textAlignment w:val="baseline"/>
        <w:rPr>
          <w:rFonts w:cs="Times New Roman"/>
          <w:noProof/>
        </w:rPr>
      </w:pPr>
      <w:r>
        <w:rPr>
          <w:noProof/>
        </w:rPr>
        <w:t>Tukikelpoisten alojen vihreään ja digitaaliseen muutokseen liittyvien toimien luettelo, jonka määrä on vähintään 430000000 euroa. Toimenpiteellä tuetaan innovatiivisia hankkeita, joihin liittyy merkittävää teollista muutosta alan energiatehokkuuden, kestävyyden ja digitalisaation kannalta, sekä uusien erittäin tehokkaiden ja hiilettömien valmistuslaitosten kehittämistä.</w:t>
      </w:r>
    </w:p>
    <w:p w14:paraId="09743D41" w14:textId="71209F0A" w:rsidR="0065073E" w:rsidRDefault="000A0998">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Vaatimus noudattaa ”ei merkittävää haittaa” -periaatetta elpymis- ja palautumistukivälineen puitteissa (2021/C58/01) esitetyn ”ei merkittävää haittaa” -periaatteen mukaisesti. Oikeudellisessa välineessä (säädöksissä) suljetaan pois erityisesti seuraavat toimet: I) EU:n päästökauppajärjestelmän mukaiset toimet, joilla saavutetaan ennustetut kasvihuonekaasupäästöt, jotka eivät alita asiaankuuluvia vertailuarvoja</w:t>
      </w:r>
      <w:r>
        <w:rPr>
          <w:rStyle w:val="FootnoteReference"/>
          <w:rFonts w:ascii="Times New Roman" w:hAnsi="Times New Roman" w:cs="Times New Roman"/>
          <w:noProof/>
        </w:rPr>
        <w:footnoteReference w:id="233"/>
      </w:r>
      <w:r>
        <w:rPr>
          <w:rFonts w:ascii="Times New Roman" w:hAnsi="Times New Roman"/>
          <w:noProof/>
        </w:rPr>
        <w:t>; II) fossiilisiin polttoaineisiin liittyvät toimet, mukaan lukien tuotantoketjun loppupään käyttö päästökauppajärjestelmän ulkopuolella</w:t>
      </w:r>
      <w:r>
        <w:rPr>
          <w:rStyle w:val="FootnoteReference"/>
          <w:rFonts w:ascii="Times New Roman" w:hAnsi="Times New Roman" w:cs="Times New Roman"/>
          <w:noProof/>
        </w:rPr>
        <w:footnoteReference w:id="234"/>
      </w:r>
      <w:r>
        <w:rPr>
          <w:rFonts w:ascii="Times New Roman" w:hAnsi="Times New Roman"/>
          <w:noProof/>
        </w:rPr>
        <w:t xml:space="preserve">. Lisäksi oikeudellisissa välineissä on edellytettävä, että tukijärjestelmien lopulliset edunsaajat noudattavat asiaankuuluvaa EU:n ja kansallista ympäristölainsäädäntöä. 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Lisäksi oikeudellisissa välineissä on edellytettävä, että tukijärjestelmien lopulliset edunsaajat noudattavat asiaankuuluvaa EU:n ja kansallista ympäristölainsäädäntöä.  </w:t>
      </w:r>
    </w:p>
    <w:p w14:paraId="4B5E9D89" w14:textId="4F304DB4" w:rsidR="0065073E" w:rsidRDefault="000A0998">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Ilmastoinvestointeja koskevat vaatimukset tukijärjestelmässä: vähintään 172000000 eurolla elpymis- ja palautumistukivälineestä järjestelmään tehtävällä investoinnilla on edistettävä ilmastonmuutosta koskevia tavoitteita elpymis- ja palautumistukivälinettä koskevan asetuksen liitteen VI mukaisesti.</w:t>
      </w:r>
      <w:r>
        <w:rPr>
          <w:rStyle w:val="FootnoteReference"/>
          <w:rFonts w:ascii="Times New Roman" w:hAnsi="Times New Roman" w:cs="Times New Roman"/>
          <w:noProof/>
        </w:rPr>
        <w:footnoteReference w:id="235"/>
      </w:r>
      <w:r>
        <w:rPr>
          <w:rFonts w:ascii="Times New Roman" w:hAnsi="Times New Roman"/>
          <w:noProof/>
        </w:rPr>
        <w:t xml:space="preserve"> </w:t>
      </w:r>
    </w:p>
    <w:p w14:paraId="07CE7015" w14:textId="77777777" w:rsidR="0065073E" w:rsidRDefault="000A0998">
      <w:pPr>
        <w:pStyle w:val="P68B1DB1-paragraph24"/>
        <w:numPr>
          <w:ilvl w:val="0"/>
          <w:numId w:val="778"/>
        </w:numPr>
        <w:spacing w:before="120" w:after="120"/>
        <w:jc w:val="both"/>
        <w:textAlignment w:val="baseline"/>
        <w:rPr>
          <w:rFonts w:cs="Times New Roman"/>
          <w:noProof/>
        </w:rPr>
      </w:pPr>
      <w:r>
        <w:rPr>
          <w:noProof/>
        </w:rPr>
        <w:t>Vaatimus, jonka mukaan tukijärjestelmän lopulliset edunsaajat eivät saa saada tukea muista unionin välineistä samojen kustannusten kattamiseksi.</w:t>
      </w:r>
    </w:p>
    <w:p w14:paraId="64F04B98" w14:textId="37DD96F3" w:rsidR="0065073E" w:rsidRDefault="000A0998">
      <w:pPr>
        <w:pStyle w:val="P68B1DB1-paragraph24"/>
        <w:numPr>
          <w:ilvl w:val="0"/>
          <w:numId w:val="778"/>
        </w:numPr>
        <w:spacing w:before="120" w:after="120"/>
        <w:jc w:val="both"/>
        <w:textAlignment w:val="baseline"/>
        <w:rPr>
          <w:rFonts w:cs="Times New Roman"/>
          <w:noProof/>
        </w:rPr>
      </w:pPr>
      <w:r>
        <w:rPr>
          <w:noProof/>
        </w:rPr>
        <w:t xml:space="preserve">Järjestelmän kattama määrä ja vaatimus, jonka mukaan tukijärjestelmästä mahdollisesti saatavat käyttämättömät tulot on investoitava uudelleen edellä lueteltuihin toimintoihin, myös vuoden 2026 jälkeen. </w:t>
      </w:r>
    </w:p>
    <w:p w14:paraId="7190FCC1" w14:textId="77777777" w:rsidR="0065073E" w:rsidRDefault="000A0998">
      <w:pPr>
        <w:pStyle w:val="P68B1DB1-paragraph24"/>
        <w:spacing w:before="120" w:beforeAutospacing="0" w:after="120" w:afterAutospacing="0"/>
        <w:jc w:val="both"/>
        <w:textAlignment w:val="baseline"/>
        <w:rPr>
          <w:rFonts w:cs="Times New Roman"/>
          <w:noProof/>
        </w:rPr>
      </w:pPr>
      <w:r>
        <w:rPr>
          <w:noProof/>
        </w:rPr>
        <w:t>Investoinnin toteutus on saatettava päätökseen 31 päivään elokuuta 2026 mennessä.</w:t>
      </w:r>
    </w:p>
    <w:p w14:paraId="236B8678" w14:textId="77777777" w:rsidR="0065073E" w:rsidRDefault="000A0998">
      <w:pPr>
        <w:pStyle w:val="Text1"/>
        <w:spacing w:before="0" w:after="160" w:line="259" w:lineRule="auto"/>
        <w:rPr>
          <w:rFonts w:ascii="Times New Roman" w:hAnsi="Times New Roman" w:cs="Times New Roman"/>
          <w:b/>
          <w:noProof/>
        </w:rPr>
      </w:pPr>
      <w:r>
        <w:rPr>
          <w:rFonts w:ascii="Times New Roman" w:hAnsi="Times New Roman"/>
          <w:b/>
          <w:noProof/>
          <w:u w:val="single"/>
        </w:rPr>
        <w:t xml:space="preserve">AE.2. </w:t>
      </w:r>
      <w:r>
        <w:rPr>
          <w:noProof/>
        </w:rPr>
        <w:t></w:t>
      </w:r>
      <w:r>
        <w:rPr>
          <w:rFonts w:ascii="Times New Roman" w:hAnsi="Times New Roman"/>
          <w:b/>
          <w:noProof/>
          <w:u w:val="single"/>
        </w:rPr>
        <w:t>Seurantaa ja täytäntöönpanoa koskevat välitavoitteet, tavoitteet, indikaattorit ja aikataulu – rahoitustuki, jota ei makseta takaisin</w:t>
      </w:r>
      <w:r>
        <w:rPr>
          <w:rFonts w:ascii="Times New Roman" w:hAnsi="Times New Roman"/>
          <w:b/>
          <w:noProof/>
        </w:rPr>
        <w:t xml:space="preserve"> </w:t>
      </w:r>
    </w:p>
    <w:p w14:paraId="6F1268C1" w14:textId="3DE96705" w:rsidR="0065073E" w:rsidRDefault="000A0998">
      <w:pPr>
        <w:pStyle w:val="P68B1DB1-Normal17"/>
        <w:spacing w:after="160" w:line="259" w:lineRule="auto"/>
        <w:jc w:val="both"/>
        <w:rPr>
          <w:rFonts w:cs="Times New Roman"/>
          <w:noProof/>
        </w:rPr>
      </w:pPr>
      <w:r>
        <w:rPr>
          <w:noProof/>
        </w:rPr>
        <w:t xml:space="preserve">Ks. taulukko jäljempänä. Kaikkien indikaattoreiden perustason päivämäärä on 1. helmikuuta 2022, ellei toimen kuvauksessa toisin mainita. Taulukossa esitetyt määrät eivät sisällä arvonlisäveroa.  </w:t>
      </w:r>
    </w:p>
    <w:p w14:paraId="3049B90A" w14:textId="77777777" w:rsidR="0065073E" w:rsidRDefault="0065073E">
      <w:pPr>
        <w:pStyle w:val="Text1"/>
        <w:ind w:left="490"/>
        <w:rPr>
          <w:rFonts w:ascii="Times New Roman" w:hAnsi="Times New Roman" w:cs="Times New Roman"/>
          <w:noProof/>
        </w:rPr>
      </w:pPr>
    </w:p>
    <w:p w14:paraId="174C711A" w14:textId="77777777" w:rsidR="0065073E" w:rsidRDefault="0065073E">
      <w:pPr>
        <w:spacing w:before="120" w:after="120" w:line="240" w:lineRule="auto"/>
        <w:jc w:val="both"/>
        <w:rPr>
          <w:rFonts w:ascii="Times New Roman" w:hAnsi="Times New Roman" w:cs="Times New Roman"/>
          <w:noProof/>
          <w:sz w:val="24"/>
          <w:highlight w:val="yellow"/>
        </w:rPr>
      </w:pPr>
    </w:p>
    <w:p w14:paraId="6A9BBC53" w14:textId="77777777" w:rsidR="0065073E" w:rsidRDefault="0065073E">
      <w:pPr>
        <w:pStyle w:val="Text1"/>
        <w:ind w:left="0"/>
        <w:rPr>
          <w:rFonts w:ascii="Times New Roman" w:eastAsia="Times New Roman" w:hAnsi="Times New Roman" w:cs="Times New Roman"/>
          <w:noProof/>
          <w:u w:val="single"/>
        </w:rPr>
        <w:sectPr w:rsidR="0065073E" w:rsidSect="00B511EF">
          <w:headerReference w:type="even" r:id="rId643"/>
          <w:headerReference w:type="default" r:id="rId644"/>
          <w:footerReference w:type="even" r:id="rId645"/>
          <w:footerReference w:type="default" r:id="rId646"/>
          <w:headerReference w:type="first" r:id="rId647"/>
          <w:footerReference w:type="first" r:id="rId648"/>
          <w:pgSz w:w="11907" w:h="16839"/>
          <w:pgMar w:top="1134" w:right="1134" w:bottom="1134" w:left="1134" w:header="567" w:footer="567" w:gutter="0"/>
          <w:cols w:space="720"/>
          <w:docGrid w:linePitch="360"/>
        </w:sectPr>
      </w:pPr>
    </w:p>
    <w:tbl>
      <w:tblPr>
        <w:tblW w:w="1545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89"/>
        <w:gridCol w:w="777"/>
        <w:gridCol w:w="870"/>
        <w:gridCol w:w="2215"/>
        <w:gridCol w:w="1173"/>
        <w:gridCol w:w="581"/>
        <w:gridCol w:w="958"/>
        <w:gridCol w:w="538"/>
        <w:gridCol w:w="413"/>
        <w:gridCol w:w="486"/>
        <w:gridCol w:w="6620"/>
        <w:gridCol w:w="30"/>
      </w:tblGrid>
      <w:tr w:rsidR="0065073E" w14:paraId="267E4B0F" w14:textId="77777777">
        <w:trPr>
          <w:trHeight w:val="309"/>
          <w:tblHeader/>
        </w:trPr>
        <w:tc>
          <w:tcPr>
            <w:tcW w:w="815" w:type="dxa"/>
            <w:tcBorders>
              <w:bottom w:val="nil"/>
            </w:tcBorders>
            <w:shd w:val="clear" w:color="auto" w:fill="C6D9F1" w:themeFill="text2" w:themeFillTint="33"/>
            <w:noWrap/>
            <w:vAlign w:val="center"/>
          </w:tcPr>
          <w:p w14:paraId="739499BC" w14:textId="77777777" w:rsidR="0065073E" w:rsidRDefault="000A0998">
            <w:pPr>
              <w:pStyle w:val="P68B1DB1-Normal8"/>
              <w:spacing w:after="0"/>
              <w:jc w:val="center"/>
              <w:rPr>
                <w:rFonts w:cs="Times New Roman"/>
                <w:noProof/>
              </w:rPr>
            </w:pPr>
            <w:r>
              <w:rPr>
                <w:noProof/>
              </w:rPr>
              <w:t>Määrä</w:t>
            </w:r>
          </w:p>
        </w:tc>
        <w:tc>
          <w:tcPr>
            <w:tcW w:w="804" w:type="dxa"/>
            <w:tcBorders>
              <w:bottom w:val="nil"/>
            </w:tcBorders>
            <w:shd w:val="clear" w:color="auto" w:fill="C6D9F1" w:themeFill="text2" w:themeFillTint="33"/>
            <w:noWrap/>
            <w:vAlign w:val="center"/>
          </w:tcPr>
          <w:p w14:paraId="26DABC7B" w14:textId="77777777" w:rsidR="0065073E" w:rsidRDefault="000A0998">
            <w:pPr>
              <w:pStyle w:val="P68B1DB1-Normal8"/>
              <w:spacing w:after="0"/>
              <w:jc w:val="center"/>
              <w:rPr>
                <w:rFonts w:cs="Times New Roman"/>
                <w:noProof/>
              </w:rPr>
            </w:pPr>
            <w:r>
              <w:rPr>
                <w:noProof/>
              </w:rPr>
              <w:t>Toimenpide</w:t>
            </w:r>
          </w:p>
        </w:tc>
        <w:tc>
          <w:tcPr>
            <w:tcW w:w="900" w:type="dxa"/>
            <w:tcBorders>
              <w:bottom w:val="nil"/>
            </w:tcBorders>
            <w:shd w:val="clear" w:color="auto" w:fill="C6D9F1" w:themeFill="text2" w:themeFillTint="33"/>
            <w:noWrap/>
            <w:vAlign w:val="center"/>
          </w:tcPr>
          <w:p w14:paraId="307D85D7"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296" w:type="dxa"/>
            <w:tcBorders>
              <w:bottom w:val="nil"/>
            </w:tcBorders>
            <w:shd w:val="clear" w:color="auto" w:fill="C6D9F1" w:themeFill="text2" w:themeFillTint="33"/>
            <w:noWrap/>
            <w:vAlign w:val="center"/>
          </w:tcPr>
          <w:p w14:paraId="5A8443B3" w14:textId="77777777" w:rsidR="0065073E" w:rsidRDefault="000A0998">
            <w:pPr>
              <w:pStyle w:val="P68B1DB1-Normal8"/>
              <w:spacing w:after="0"/>
              <w:jc w:val="center"/>
              <w:rPr>
                <w:rFonts w:cs="Times New Roman"/>
                <w:noProof/>
              </w:rPr>
            </w:pPr>
            <w:r>
              <w:rPr>
                <w:noProof/>
              </w:rPr>
              <w:t>Nimi</w:t>
            </w:r>
          </w:p>
        </w:tc>
        <w:tc>
          <w:tcPr>
            <w:tcW w:w="1215" w:type="dxa"/>
            <w:tcBorders>
              <w:bottom w:val="nil"/>
            </w:tcBorders>
            <w:shd w:val="clear" w:color="auto" w:fill="C6D9F1" w:themeFill="text2" w:themeFillTint="33"/>
            <w:noWrap/>
            <w:vAlign w:val="center"/>
          </w:tcPr>
          <w:p w14:paraId="1F260584" w14:textId="77777777" w:rsidR="0065073E" w:rsidRDefault="000A0998">
            <w:pPr>
              <w:pStyle w:val="P68B1DB1-Normal8"/>
              <w:spacing w:after="0"/>
              <w:jc w:val="center"/>
              <w:rPr>
                <w:rFonts w:cs="Times New Roman"/>
                <w:noProof/>
              </w:rPr>
            </w:pPr>
            <w:r>
              <w:rPr>
                <w:noProof/>
              </w:rPr>
              <w:t>Välitavoitteiden laadullinen indikaattori</w:t>
            </w:r>
          </w:p>
        </w:tc>
        <w:tc>
          <w:tcPr>
            <w:tcW w:w="1592" w:type="dxa"/>
            <w:gridSpan w:val="3"/>
            <w:shd w:val="clear" w:color="auto" w:fill="C6D9F1" w:themeFill="text2" w:themeFillTint="33"/>
            <w:noWrap/>
            <w:vAlign w:val="center"/>
          </w:tcPr>
          <w:p w14:paraId="10AE6A7A" w14:textId="77777777" w:rsidR="0065073E" w:rsidRDefault="000A0998">
            <w:pPr>
              <w:pStyle w:val="P68B1DB1-Normal8"/>
              <w:spacing w:after="0"/>
              <w:jc w:val="center"/>
              <w:rPr>
                <w:rFonts w:cs="Times New Roman"/>
                <w:noProof/>
              </w:rPr>
            </w:pPr>
            <w:r>
              <w:rPr>
                <w:noProof/>
              </w:rPr>
              <w:t>Määrällinen indikaattori tavoitteelle</w:t>
            </w:r>
          </w:p>
        </w:tc>
        <w:tc>
          <w:tcPr>
            <w:tcW w:w="928" w:type="dxa"/>
            <w:gridSpan w:val="2"/>
            <w:shd w:val="clear" w:color="auto" w:fill="C6D9F1" w:themeFill="text2" w:themeFillTint="33"/>
            <w:noWrap/>
            <w:vAlign w:val="center"/>
          </w:tcPr>
          <w:p w14:paraId="0E3795C7" w14:textId="77777777" w:rsidR="0065073E" w:rsidRDefault="000A0998">
            <w:pPr>
              <w:pStyle w:val="P68B1DB1-Normal8"/>
              <w:spacing w:after="0"/>
              <w:jc w:val="center"/>
              <w:rPr>
                <w:rFonts w:cs="Times New Roman"/>
                <w:noProof/>
              </w:rPr>
            </w:pPr>
            <w:r>
              <w:rPr>
                <w:noProof/>
              </w:rPr>
              <w:t>Aika</w:t>
            </w:r>
          </w:p>
        </w:tc>
        <w:tc>
          <w:tcPr>
            <w:tcW w:w="6900" w:type="dxa"/>
            <w:gridSpan w:val="2"/>
            <w:tcBorders>
              <w:bottom w:val="nil"/>
            </w:tcBorders>
            <w:shd w:val="clear" w:color="auto" w:fill="C6D9F1" w:themeFill="text2" w:themeFillTint="33"/>
            <w:noWrap/>
            <w:vAlign w:val="center"/>
          </w:tcPr>
          <w:p w14:paraId="0579A367"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03DBCC2E" w14:textId="77777777">
        <w:trPr>
          <w:trHeight w:val="309"/>
          <w:tblHeader/>
        </w:trPr>
        <w:tc>
          <w:tcPr>
            <w:tcW w:w="815" w:type="dxa"/>
            <w:tcBorders>
              <w:top w:val="nil"/>
            </w:tcBorders>
            <w:shd w:val="clear" w:color="auto" w:fill="C6D9F1" w:themeFill="text2" w:themeFillTint="33"/>
            <w:noWrap/>
          </w:tcPr>
          <w:p w14:paraId="56125178" w14:textId="77777777" w:rsidR="0065073E" w:rsidRDefault="0065073E">
            <w:pPr>
              <w:spacing w:after="0"/>
              <w:jc w:val="center"/>
              <w:rPr>
                <w:rFonts w:ascii="Times New Roman" w:hAnsi="Times New Roman" w:cs="Times New Roman"/>
                <w:b/>
                <w:noProof/>
                <w:sz w:val="18"/>
              </w:rPr>
            </w:pPr>
          </w:p>
        </w:tc>
        <w:tc>
          <w:tcPr>
            <w:tcW w:w="804" w:type="dxa"/>
            <w:tcBorders>
              <w:top w:val="nil"/>
            </w:tcBorders>
            <w:shd w:val="clear" w:color="auto" w:fill="C6D9F1" w:themeFill="text2" w:themeFillTint="33"/>
            <w:noWrap/>
          </w:tcPr>
          <w:p w14:paraId="17CC4C53" w14:textId="77777777" w:rsidR="0065073E" w:rsidRDefault="0065073E">
            <w:pPr>
              <w:spacing w:after="0"/>
              <w:jc w:val="center"/>
              <w:rPr>
                <w:rFonts w:ascii="Times New Roman" w:hAnsi="Times New Roman" w:cs="Times New Roman"/>
                <w:b/>
                <w:noProof/>
                <w:sz w:val="18"/>
              </w:rPr>
            </w:pPr>
          </w:p>
        </w:tc>
        <w:tc>
          <w:tcPr>
            <w:tcW w:w="900" w:type="dxa"/>
            <w:tcBorders>
              <w:top w:val="nil"/>
            </w:tcBorders>
            <w:shd w:val="clear" w:color="auto" w:fill="C6D9F1" w:themeFill="text2" w:themeFillTint="33"/>
            <w:noWrap/>
          </w:tcPr>
          <w:p w14:paraId="1398DCEE" w14:textId="77777777" w:rsidR="0065073E" w:rsidRDefault="0065073E">
            <w:pPr>
              <w:spacing w:after="0"/>
              <w:jc w:val="center"/>
              <w:rPr>
                <w:rFonts w:ascii="Times New Roman" w:hAnsi="Times New Roman" w:cs="Times New Roman"/>
                <w:b/>
                <w:noProof/>
                <w:sz w:val="18"/>
              </w:rPr>
            </w:pPr>
          </w:p>
        </w:tc>
        <w:tc>
          <w:tcPr>
            <w:tcW w:w="2296" w:type="dxa"/>
            <w:tcBorders>
              <w:top w:val="nil"/>
            </w:tcBorders>
            <w:shd w:val="clear" w:color="auto" w:fill="C6D9F1" w:themeFill="text2" w:themeFillTint="33"/>
            <w:noWrap/>
          </w:tcPr>
          <w:p w14:paraId="6A604297" w14:textId="77777777" w:rsidR="0065073E" w:rsidRDefault="0065073E">
            <w:pPr>
              <w:spacing w:after="0"/>
              <w:rPr>
                <w:rFonts w:ascii="Times New Roman" w:hAnsi="Times New Roman" w:cs="Times New Roman"/>
                <w:b/>
                <w:noProof/>
                <w:sz w:val="18"/>
              </w:rPr>
            </w:pPr>
          </w:p>
        </w:tc>
        <w:tc>
          <w:tcPr>
            <w:tcW w:w="1215" w:type="dxa"/>
            <w:tcBorders>
              <w:top w:val="nil"/>
            </w:tcBorders>
            <w:shd w:val="clear" w:color="auto" w:fill="C6D9F1" w:themeFill="text2" w:themeFillTint="33"/>
            <w:noWrap/>
          </w:tcPr>
          <w:p w14:paraId="09E79A89" w14:textId="77777777" w:rsidR="0065073E" w:rsidRDefault="0065073E">
            <w:pPr>
              <w:spacing w:after="0"/>
              <w:jc w:val="center"/>
              <w:rPr>
                <w:rFonts w:ascii="Times New Roman" w:hAnsi="Times New Roman" w:cs="Times New Roman"/>
                <w:b/>
                <w:noProof/>
                <w:sz w:val="18"/>
              </w:rPr>
            </w:pPr>
          </w:p>
        </w:tc>
        <w:tc>
          <w:tcPr>
            <w:tcW w:w="600" w:type="dxa"/>
            <w:shd w:val="clear" w:color="auto" w:fill="C6D9F1" w:themeFill="text2" w:themeFillTint="33"/>
            <w:noWrap/>
          </w:tcPr>
          <w:p w14:paraId="15204107" w14:textId="77777777" w:rsidR="0065073E" w:rsidRDefault="000A0998">
            <w:pPr>
              <w:pStyle w:val="P68B1DB1-Normal8"/>
              <w:spacing w:after="0"/>
              <w:jc w:val="center"/>
              <w:rPr>
                <w:rFonts w:cs="Times New Roman"/>
                <w:noProof/>
              </w:rPr>
            </w:pPr>
            <w:r>
              <w:rPr>
                <w:noProof/>
              </w:rPr>
              <w:t>Yksikkö</w:t>
            </w:r>
          </w:p>
        </w:tc>
        <w:tc>
          <w:tcPr>
            <w:tcW w:w="992" w:type="dxa"/>
            <w:shd w:val="clear" w:color="auto" w:fill="C6D9F1" w:themeFill="text2" w:themeFillTint="33"/>
            <w:noWrap/>
          </w:tcPr>
          <w:p w14:paraId="116B796B" w14:textId="7FFA61BD" w:rsidR="0065073E" w:rsidRDefault="000A0998">
            <w:pPr>
              <w:pStyle w:val="P68B1DB1-Normal8"/>
              <w:spacing w:after="0"/>
              <w:jc w:val="center"/>
              <w:rPr>
                <w:rFonts w:cs="Times New Roman"/>
                <w:noProof/>
              </w:rPr>
            </w:pPr>
            <w:r>
              <w:rPr>
                <w:noProof/>
              </w:rPr>
              <w:t>Lähtötaso</w:t>
            </w:r>
          </w:p>
        </w:tc>
        <w:tc>
          <w:tcPr>
            <w:tcW w:w="556" w:type="dxa"/>
            <w:shd w:val="clear" w:color="auto" w:fill="C6D9F1" w:themeFill="text2" w:themeFillTint="33"/>
            <w:noWrap/>
          </w:tcPr>
          <w:p w14:paraId="631DC979" w14:textId="77777777" w:rsidR="0065073E" w:rsidRDefault="000A0998">
            <w:pPr>
              <w:pStyle w:val="P68B1DB1-Normal8"/>
              <w:spacing w:after="0"/>
              <w:jc w:val="center"/>
              <w:rPr>
                <w:rFonts w:cs="Times New Roman"/>
                <w:noProof/>
              </w:rPr>
            </w:pPr>
            <w:r>
              <w:rPr>
                <w:noProof/>
              </w:rPr>
              <w:t>Päämäärä</w:t>
            </w:r>
          </w:p>
        </w:tc>
        <w:tc>
          <w:tcPr>
            <w:tcW w:w="426" w:type="dxa"/>
            <w:shd w:val="clear" w:color="auto" w:fill="C6D9F1" w:themeFill="text2" w:themeFillTint="33"/>
            <w:noWrap/>
          </w:tcPr>
          <w:p w14:paraId="08C70B5D" w14:textId="77777777" w:rsidR="0065073E" w:rsidRDefault="000A0998">
            <w:pPr>
              <w:pStyle w:val="P68B1DB1-Normal8"/>
              <w:spacing w:after="0"/>
              <w:jc w:val="center"/>
              <w:rPr>
                <w:rFonts w:cs="Times New Roman"/>
                <w:noProof/>
              </w:rPr>
            </w:pPr>
            <w:r>
              <w:rPr>
                <w:noProof/>
              </w:rPr>
              <w:t>Q</w:t>
            </w:r>
          </w:p>
        </w:tc>
        <w:tc>
          <w:tcPr>
            <w:tcW w:w="502" w:type="dxa"/>
            <w:shd w:val="clear" w:color="auto" w:fill="C6D9F1" w:themeFill="text2" w:themeFillTint="33"/>
            <w:noWrap/>
          </w:tcPr>
          <w:p w14:paraId="570BB18C" w14:textId="77777777" w:rsidR="0065073E" w:rsidRDefault="000A0998">
            <w:pPr>
              <w:pStyle w:val="P68B1DB1-Normal8"/>
              <w:spacing w:after="0"/>
              <w:jc w:val="center"/>
              <w:rPr>
                <w:rFonts w:cs="Times New Roman"/>
                <w:noProof/>
              </w:rPr>
            </w:pPr>
            <w:r>
              <w:rPr>
                <w:noProof/>
              </w:rPr>
              <w:t>Vuosi</w:t>
            </w:r>
          </w:p>
        </w:tc>
        <w:tc>
          <w:tcPr>
            <w:tcW w:w="6900" w:type="dxa"/>
            <w:gridSpan w:val="2"/>
            <w:tcBorders>
              <w:top w:val="nil"/>
            </w:tcBorders>
            <w:shd w:val="clear" w:color="auto" w:fill="C6D9F1" w:themeFill="text2" w:themeFillTint="33"/>
            <w:noWrap/>
          </w:tcPr>
          <w:p w14:paraId="76A71BA0" w14:textId="77777777" w:rsidR="0065073E" w:rsidRDefault="0065073E">
            <w:pPr>
              <w:spacing w:after="0"/>
              <w:rPr>
                <w:rFonts w:ascii="Times New Roman" w:hAnsi="Times New Roman" w:cs="Times New Roman"/>
                <w:b/>
                <w:noProof/>
                <w:sz w:val="18"/>
              </w:rPr>
            </w:pPr>
          </w:p>
        </w:tc>
      </w:tr>
      <w:tr w:rsidR="0065073E" w14:paraId="184BB870" w14:textId="77777777">
        <w:trPr>
          <w:trHeight w:val="309"/>
        </w:trPr>
        <w:tc>
          <w:tcPr>
            <w:tcW w:w="815" w:type="dxa"/>
            <w:shd w:val="clear" w:color="auto" w:fill="C6EFCE"/>
            <w:noWrap/>
          </w:tcPr>
          <w:p w14:paraId="2234A85A" w14:textId="35A9F5D9" w:rsidR="0065073E" w:rsidRDefault="000A0998">
            <w:pPr>
              <w:pStyle w:val="P68B1DB1-Normal12"/>
              <w:spacing w:after="0"/>
              <w:jc w:val="center"/>
              <w:rPr>
                <w:rFonts w:eastAsia="Times New Roman" w:cs="Times New Roman"/>
                <w:noProof/>
              </w:rPr>
            </w:pPr>
            <w:r>
              <w:rPr>
                <w:noProof/>
              </w:rPr>
              <w:t>477</w:t>
            </w:r>
          </w:p>
        </w:tc>
        <w:tc>
          <w:tcPr>
            <w:tcW w:w="804" w:type="dxa"/>
            <w:shd w:val="clear" w:color="auto" w:fill="C6EFCE"/>
            <w:noWrap/>
          </w:tcPr>
          <w:p w14:paraId="592B3B8B" w14:textId="77777777" w:rsidR="0065073E" w:rsidRDefault="000A0998">
            <w:pPr>
              <w:pStyle w:val="P68B1DB1-Normal12"/>
              <w:spacing w:after="0"/>
              <w:jc w:val="center"/>
              <w:rPr>
                <w:rFonts w:eastAsia="Times New Roman" w:cs="Times New Roman"/>
                <w:noProof/>
              </w:rPr>
            </w:pPr>
            <w:r>
              <w:rPr>
                <w:noProof/>
              </w:rPr>
              <w:t>C31.R1</w:t>
            </w:r>
          </w:p>
        </w:tc>
        <w:tc>
          <w:tcPr>
            <w:tcW w:w="900" w:type="dxa"/>
            <w:shd w:val="clear" w:color="auto" w:fill="C6EFCE"/>
            <w:noWrap/>
          </w:tcPr>
          <w:p w14:paraId="6A981BD6"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6870C080" w14:textId="77777777" w:rsidR="0065073E" w:rsidRDefault="000A0998">
            <w:pPr>
              <w:pStyle w:val="P68B1DB1-Normal12"/>
              <w:spacing w:after="0"/>
              <w:rPr>
                <w:rFonts w:eastAsia="Times New Roman" w:cs="Times New Roman"/>
                <w:noProof/>
              </w:rPr>
            </w:pPr>
            <w:r>
              <w:rPr>
                <w:noProof/>
              </w:rPr>
              <w:t>Uudistus uusiutuvan energian tuotannon ja sähköverkkoinfrastruktuurin lupamenettelyjen parantamiseksi</w:t>
            </w:r>
          </w:p>
        </w:tc>
        <w:tc>
          <w:tcPr>
            <w:tcW w:w="1215" w:type="dxa"/>
            <w:shd w:val="clear" w:color="auto" w:fill="C6EFCE"/>
            <w:noWrap/>
          </w:tcPr>
          <w:p w14:paraId="4895CD95" w14:textId="29762458" w:rsidR="0065073E" w:rsidRDefault="000A0998">
            <w:pPr>
              <w:pStyle w:val="P68B1DB1-Normal12"/>
              <w:spacing w:after="0"/>
              <w:jc w:val="center"/>
              <w:rPr>
                <w:rFonts w:eastAsia="Times New Roman" w:cs="Times New Roman"/>
                <w:noProof/>
              </w:rPr>
            </w:pPr>
            <w:r>
              <w:rPr>
                <w:noProof/>
              </w:rPr>
              <w:t>Asiaa koskevien säädösten säännösten voimaantulo</w:t>
            </w:r>
          </w:p>
        </w:tc>
        <w:tc>
          <w:tcPr>
            <w:tcW w:w="600" w:type="dxa"/>
            <w:shd w:val="clear" w:color="auto" w:fill="C6EFCE"/>
            <w:noWrap/>
          </w:tcPr>
          <w:p w14:paraId="35FCBA3A"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3B810888"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60310B7E"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5492C28E" w14:textId="77777777" w:rsidR="0065073E" w:rsidRDefault="000A0998">
            <w:pPr>
              <w:pStyle w:val="P68B1DB1-Normal12"/>
              <w:spacing w:after="0"/>
              <w:jc w:val="center"/>
              <w:rPr>
                <w:rFonts w:eastAsia="Times New Roman" w:cs="Times New Roman"/>
                <w:noProof/>
              </w:rPr>
            </w:pPr>
            <w:r>
              <w:rPr>
                <w:noProof/>
              </w:rPr>
              <w:t>Q3</w:t>
            </w:r>
          </w:p>
        </w:tc>
        <w:tc>
          <w:tcPr>
            <w:tcW w:w="502" w:type="dxa"/>
            <w:shd w:val="clear" w:color="auto" w:fill="C6EFCE"/>
            <w:noWrap/>
          </w:tcPr>
          <w:p w14:paraId="1D3E9D00" w14:textId="77777777" w:rsidR="0065073E" w:rsidRDefault="000A0998">
            <w:pPr>
              <w:pStyle w:val="P68B1DB1-Normal12"/>
              <w:spacing w:after="0"/>
              <w:jc w:val="center"/>
              <w:rPr>
                <w:rFonts w:eastAsia="Times New Roman" w:cs="Times New Roman"/>
                <w:noProof/>
              </w:rPr>
            </w:pPr>
            <w:r>
              <w:rPr>
                <w:noProof/>
              </w:rPr>
              <w:t>2023</w:t>
            </w:r>
          </w:p>
        </w:tc>
        <w:tc>
          <w:tcPr>
            <w:tcW w:w="6900" w:type="dxa"/>
            <w:gridSpan w:val="2"/>
            <w:shd w:val="clear" w:color="auto" w:fill="C6EFCE"/>
            <w:noWrap/>
          </w:tcPr>
          <w:p w14:paraId="0619D38F" w14:textId="77777777" w:rsidR="0065073E" w:rsidRDefault="000A0998">
            <w:pPr>
              <w:pStyle w:val="P68B1DB1-Normal12"/>
              <w:spacing w:after="0"/>
              <w:rPr>
                <w:rFonts w:eastAsia="Times New Roman" w:cs="Times New Roman"/>
                <w:noProof/>
              </w:rPr>
            </w:pPr>
            <w:r>
              <w:rPr>
                <w:noProof/>
              </w:rPr>
              <w:t>Tämä välitavoite sisältää kaksi osatekijää.</w:t>
            </w:r>
          </w:p>
          <w:p w14:paraId="27D5BE29" w14:textId="5AD73102" w:rsidR="0065073E" w:rsidRDefault="000A0998">
            <w:pPr>
              <w:pStyle w:val="P68B1DB1-ListParagraph13"/>
              <w:numPr>
                <w:ilvl w:val="0"/>
                <w:numId w:val="641"/>
              </w:numPr>
              <w:spacing w:after="0"/>
              <w:rPr>
                <w:rFonts w:eastAsia="Times New Roman" w:cs="Times New Roman"/>
                <w:noProof/>
              </w:rPr>
            </w:pPr>
            <w:r>
              <w:rPr>
                <w:noProof/>
              </w:rPr>
              <w:t xml:space="preserve">Ensinnäkin kuninkaan asetukset 14/2022, 17/2022, 18/2022 ja 20/2022 tulevat voimaan. Näihin kuninkaan asetuksiin sisältyvillä energiatoimenpiteillä pyritään yksinkertaistamaan uusiutuvan energian hankkeiden ja sähköverkkoinfrastruktuurin lupamenettelyjä. </w:t>
            </w:r>
          </w:p>
          <w:p w14:paraId="4DED00FD" w14:textId="77777777" w:rsidR="0065073E" w:rsidRDefault="000A0998">
            <w:pPr>
              <w:pStyle w:val="P68B1DB1-ListParagraph13"/>
              <w:numPr>
                <w:ilvl w:val="0"/>
                <w:numId w:val="641"/>
              </w:numPr>
              <w:spacing w:after="0"/>
              <w:rPr>
                <w:rFonts w:eastAsia="Times New Roman" w:cs="Times New Roman"/>
                <w:noProof/>
              </w:rPr>
            </w:pPr>
            <w:r>
              <w:rPr>
                <w:noProof/>
              </w:rPr>
              <w:t>Toiseksi on tullut voimaan Orden TED/189/2023, jolla perustetaan keskushallintoon uusi hallinnollinen yksikkö, joka tukee uusiutuvan energian hankkeiden lupahakemusten käsittelyä.</w:t>
            </w:r>
          </w:p>
        </w:tc>
      </w:tr>
      <w:tr w:rsidR="0065073E" w14:paraId="2782EDCD" w14:textId="77777777">
        <w:trPr>
          <w:trHeight w:val="761"/>
        </w:trPr>
        <w:tc>
          <w:tcPr>
            <w:tcW w:w="815" w:type="dxa"/>
            <w:shd w:val="clear" w:color="auto" w:fill="C6EFCE"/>
            <w:noWrap/>
          </w:tcPr>
          <w:p w14:paraId="2BEF61F4" w14:textId="695613C8" w:rsidR="0065073E" w:rsidRDefault="000A0998">
            <w:pPr>
              <w:pStyle w:val="P68B1DB1-Normal12"/>
              <w:spacing w:after="0"/>
              <w:jc w:val="center"/>
              <w:rPr>
                <w:rFonts w:eastAsia="Times New Roman" w:cs="Times New Roman"/>
                <w:noProof/>
              </w:rPr>
            </w:pPr>
            <w:r>
              <w:rPr>
                <w:noProof/>
              </w:rPr>
              <w:t>478</w:t>
            </w:r>
          </w:p>
        </w:tc>
        <w:tc>
          <w:tcPr>
            <w:tcW w:w="804" w:type="dxa"/>
            <w:shd w:val="clear" w:color="auto" w:fill="C6EFCE"/>
            <w:noWrap/>
          </w:tcPr>
          <w:p w14:paraId="198D8923" w14:textId="77777777" w:rsidR="0065073E" w:rsidRDefault="000A0998">
            <w:pPr>
              <w:pStyle w:val="P68B1DB1-Normal12"/>
              <w:spacing w:after="0"/>
              <w:jc w:val="center"/>
              <w:rPr>
                <w:rFonts w:eastAsia="Times New Roman" w:cs="Times New Roman"/>
                <w:noProof/>
              </w:rPr>
            </w:pPr>
            <w:r>
              <w:rPr>
                <w:noProof/>
              </w:rPr>
              <w:t>C31.I1</w:t>
            </w:r>
          </w:p>
        </w:tc>
        <w:tc>
          <w:tcPr>
            <w:tcW w:w="900" w:type="dxa"/>
            <w:shd w:val="clear" w:color="auto" w:fill="C6EFCE"/>
            <w:noWrap/>
          </w:tcPr>
          <w:p w14:paraId="65D2BFBB"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611255BA" w14:textId="13D8B2C8" w:rsidR="0065073E" w:rsidRDefault="000A0998">
            <w:pPr>
              <w:pStyle w:val="P68B1DB1-Normal12"/>
              <w:spacing w:after="0"/>
              <w:rPr>
                <w:rFonts w:eastAsia="Times New Roman" w:cs="Times New Roman"/>
                <w:noProof/>
              </w:rPr>
            </w:pPr>
            <w:r>
              <w:rPr>
                <w:noProof/>
              </w:rPr>
              <w:t>Investoinnit, joilla edistetään energian varastointia tai itse tapahtuvaa kulutusta, joka perustuu uusiutuvan energian tuotantoon tai mittarin takaiseen varastointiin</w:t>
            </w:r>
          </w:p>
        </w:tc>
        <w:tc>
          <w:tcPr>
            <w:tcW w:w="1215" w:type="dxa"/>
            <w:shd w:val="clear" w:color="auto" w:fill="C6EFCE"/>
            <w:noWrap/>
          </w:tcPr>
          <w:p w14:paraId="176FB6E3" w14:textId="77777777" w:rsidR="0065073E" w:rsidRDefault="0065073E">
            <w:pPr>
              <w:spacing w:after="0"/>
              <w:rPr>
                <w:rFonts w:ascii="Times New Roman" w:eastAsia="Times New Roman" w:hAnsi="Times New Roman" w:cs="Times New Roman"/>
                <w:noProof/>
                <w:sz w:val="18"/>
              </w:rPr>
            </w:pPr>
          </w:p>
        </w:tc>
        <w:tc>
          <w:tcPr>
            <w:tcW w:w="600" w:type="dxa"/>
            <w:shd w:val="clear" w:color="auto" w:fill="C6EFCE"/>
            <w:noWrap/>
          </w:tcPr>
          <w:p w14:paraId="33C7CEAC" w14:textId="77777777" w:rsidR="0065073E" w:rsidRDefault="000A0998">
            <w:pPr>
              <w:pStyle w:val="P68B1DB1-Normal12"/>
              <w:spacing w:after="0"/>
              <w:jc w:val="center"/>
              <w:rPr>
                <w:rFonts w:eastAsia="Times New Roman" w:cs="Times New Roman"/>
                <w:noProof/>
              </w:rPr>
            </w:pPr>
            <w:r>
              <w:rPr>
                <w:noProof/>
              </w:rPr>
              <w:t>MW</w:t>
            </w:r>
          </w:p>
        </w:tc>
        <w:tc>
          <w:tcPr>
            <w:tcW w:w="992" w:type="dxa"/>
            <w:shd w:val="clear" w:color="auto" w:fill="C6EFCE"/>
            <w:noWrap/>
          </w:tcPr>
          <w:p w14:paraId="13507CC5" w14:textId="77777777" w:rsidR="0065073E" w:rsidRDefault="000A0998">
            <w:pPr>
              <w:pStyle w:val="P68B1DB1-Normal12"/>
              <w:spacing w:after="0"/>
              <w:jc w:val="right"/>
              <w:rPr>
                <w:rFonts w:eastAsia="Times New Roman" w:cs="Times New Roman"/>
                <w:noProof/>
              </w:rPr>
            </w:pPr>
            <w:r>
              <w:rPr>
                <w:noProof/>
              </w:rPr>
              <w:t>4400</w:t>
            </w:r>
          </w:p>
        </w:tc>
        <w:tc>
          <w:tcPr>
            <w:tcW w:w="556" w:type="dxa"/>
            <w:shd w:val="clear" w:color="auto" w:fill="C6EFCE"/>
            <w:noWrap/>
          </w:tcPr>
          <w:p w14:paraId="11CF54B5" w14:textId="77777777" w:rsidR="0065073E" w:rsidRDefault="000A0998">
            <w:pPr>
              <w:pStyle w:val="P68B1DB1-Normal12"/>
              <w:spacing w:after="0"/>
              <w:jc w:val="right"/>
              <w:rPr>
                <w:rFonts w:eastAsia="Times New Roman" w:cs="Times New Roman"/>
                <w:noProof/>
              </w:rPr>
            </w:pPr>
            <w:r>
              <w:rPr>
                <w:noProof/>
              </w:rPr>
              <w:t>5100</w:t>
            </w:r>
          </w:p>
        </w:tc>
        <w:tc>
          <w:tcPr>
            <w:tcW w:w="426" w:type="dxa"/>
            <w:shd w:val="clear" w:color="auto" w:fill="C6EFCE"/>
            <w:noWrap/>
          </w:tcPr>
          <w:p w14:paraId="59F14DA3" w14:textId="0B21E33C" w:rsidR="0065073E" w:rsidRDefault="000A0998">
            <w:pPr>
              <w:pStyle w:val="P68B1DB1-Normal12"/>
              <w:spacing w:after="0"/>
              <w:jc w:val="center"/>
              <w:rPr>
                <w:rFonts w:eastAsia="Times New Roman" w:cs="Times New Roman"/>
                <w:noProof/>
              </w:rPr>
            </w:pPr>
            <w:r>
              <w:rPr>
                <w:noProof/>
              </w:rPr>
              <w:t xml:space="preserve">Q3 </w:t>
            </w:r>
          </w:p>
        </w:tc>
        <w:tc>
          <w:tcPr>
            <w:tcW w:w="502" w:type="dxa"/>
            <w:shd w:val="clear" w:color="auto" w:fill="C6EFCE"/>
            <w:noWrap/>
          </w:tcPr>
          <w:p w14:paraId="193C54A9" w14:textId="77777777" w:rsidR="0065073E" w:rsidRDefault="000A0998">
            <w:pPr>
              <w:pStyle w:val="P68B1DB1-Normal12"/>
              <w:spacing w:after="0"/>
              <w:jc w:val="center"/>
              <w:rPr>
                <w:rFonts w:eastAsia="Times New Roman" w:cs="Times New Roman"/>
                <w:noProof/>
              </w:rPr>
            </w:pPr>
            <w:r>
              <w:rPr>
                <w:noProof/>
              </w:rPr>
              <w:t>2026</w:t>
            </w:r>
          </w:p>
        </w:tc>
        <w:tc>
          <w:tcPr>
            <w:tcW w:w="6900" w:type="dxa"/>
            <w:gridSpan w:val="2"/>
            <w:shd w:val="clear" w:color="auto" w:fill="C6EFCE"/>
            <w:noWrap/>
          </w:tcPr>
          <w:p w14:paraId="3A88A732" w14:textId="4C9B72A2" w:rsidR="0065073E" w:rsidRDefault="000A0998">
            <w:pPr>
              <w:pStyle w:val="P68B1DB1-Normal12"/>
              <w:spacing w:after="0"/>
              <w:rPr>
                <w:rFonts w:eastAsia="Times New Roman" w:cs="Times New Roman"/>
                <w:noProof/>
              </w:rPr>
            </w:pPr>
            <w:r>
              <w:rPr>
                <w:noProof/>
              </w:rPr>
              <w:t>700 MW asennettu kapasiteetti rakennuksiin tai tuotantoprosesseihin integroiduissa energian varastointi- tai oman kulutuksen sovelluksissa. Itse tuotetun energian kulutussovellusten on perustuttava uusiutuvan energian teknologioihin tai mittausmittarin takana oleviin varastointiratkaisuihin. (Perustaso: päivämäärä, vuoden 2026 toinen neljännes, tavoitteen 117 tavoite ja vuoden 2026 toinen neljännes; tavoitteen 126 tavoite)</w:t>
            </w:r>
          </w:p>
        </w:tc>
      </w:tr>
      <w:tr w:rsidR="0065073E" w14:paraId="46C02275" w14:textId="77777777">
        <w:trPr>
          <w:trHeight w:val="309"/>
        </w:trPr>
        <w:tc>
          <w:tcPr>
            <w:tcW w:w="815" w:type="dxa"/>
            <w:shd w:val="clear" w:color="auto" w:fill="C6EFCE"/>
            <w:noWrap/>
          </w:tcPr>
          <w:p w14:paraId="64E993A2" w14:textId="035C7708" w:rsidR="0065073E" w:rsidRDefault="000A0998">
            <w:pPr>
              <w:pStyle w:val="P68B1DB1-Normal12"/>
              <w:spacing w:after="0"/>
              <w:jc w:val="center"/>
              <w:rPr>
                <w:rFonts w:eastAsia="Times New Roman" w:cs="Times New Roman"/>
                <w:noProof/>
              </w:rPr>
            </w:pPr>
            <w:r>
              <w:rPr>
                <w:noProof/>
              </w:rPr>
              <w:t>479</w:t>
            </w:r>
          </w:p>
        </w:tc>
        <w:tc>
          <w:tcPr>
            <w:tcW w:w="804" w:type="dxa"/>
            <w:shd w:val="clear" w:color="auto" w:fill="C6EFCE"/>
            <w:noWrap/>
          </w:tcPr>
          <w:p w14:paraId="6FD19699" w14:textId="77777777" w:rsidR="0065073E" w:rsidRDefault="000A0998">
            <w:pPr>
              <w:pStyle w:val="P68B1DB1-Normal12"/>
              <w:spacing w:after="0"/>
              <w:jc w:val="center"/>
              <w:rPr>
                <w:rFonts w:eastAsia="Times New Roman" w:cs="Times New Roman"/>
                <w:noProof/>
              </w:rPr>
            </w:pPr>
            <w:r>
              <w:rPr>
                <w:noProof/>
              </w:rPr>
              <w:t>C31.I1</w:t>
            </w:r>
          </w:p>
        </w:tc>
        <w:tc>
          <w:tcPr>
            <w:tcW w:w="900" w:type="dxa"/>
            <w:shd w:val="clear" w:color="auto" w:fill="C6EFCE"/>
            <w:noWrap/>
          </w:tcPr>
          <w:p w14:paraId="568B693C"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3D51142A" w14:textId="77777777" w:rsidR="0065073E" w:rsidRDefault="000A0998">
            <w:pPr>
              <w:pStyle w:val="P68B1DB1-Normal12"/>
              <w:spacing w:after="0"/>
              <w:rPr>
                <w:rFonts w:eastAsia="Times New Roman" w:cs="Times New Roman"/>
                <w:noProof/>
              </w:rPr>
            </w:pPr>
            <w:r>
              <w:rPr>
                <w:noProof/>
              </w:rPr>
              <w:t>Energiayhteisöjen toteuttamien aloitteiden lukumäärä</w:t>
            </w:r>
          </w:p>
        </w:tc>
        <w:tc>
          <w:tcPr>
            <w:tcW w:w="1215" w:type="dxa"/>
            <w:shd w:val="clear" w:color="auto" w:fill="C6EFCE"/>
            <w:noWrap/>
          </w:tcPr>
          <w:p w14:paraId="6A7F6247" w14:textId="77777777" w:rsidR="0065073E" w:rsidRDefault="0065073E">
            <w:pPr>
              <w:spacing w:after="0"/>
              <w:jc w:val="center"/>
              <w:rPr>
                <w:rFonts w:ascii="Times New Roman" w:eastAsia="Times New Roman" w:hAnsi="Times New Roman" w:cs="Times New Roman"/>
                <w:noProof/>
                <w:sz w:val="18"/>
              </w:rPr>
            </w:pPr>
          </w:p>
        </w:tc>
        <w:tc>
          <w:tcPr>
            <w:tcW w:w="600" w:type="dxa"/>
            <w:shd w:val="clear" w:color="auto" w:fill="C6EFCE"/>
            <w:noWrap/>
          </w:tcPr>
          <w:p w14:paraId="33EA2186" w14:textId="77777777" w:rsidR="0065073E" w:rsidRDefault="000A0998">
            <w:pPr>
              <w:pStyle w:val="P68B1DB1-Normal12"/>
              <w:spacing w:after="0"/>
              <w:jc w:val="center"/>
              <w:rPr>
                <w:rFonts w:eastAsia="Times New Roman" w:cs="Times New Roman"/>
                <w:noProof/>
              </w:rPr>
            </w:pPr>
            <w:r>
              <w:rPr>
                <w:noProof/>
              </w:rPr>
              <w:t>Määrä</w:t>
            </w:r>
          </w:p>
        </w:tc>
        <w:tc>
          <w:tcPr>
            <w:tcW w:w="992" w:type="dxa"/>
            <w:shd w:val="clear" w:color="auto" w:fill="C6EFCE"/>
            <w:noWrap/>
          </w:tcPr>
          <w:p w14:paraId="3814E274" w14:textId="77777777" w:rsidR="0065073E" w:rsidRDefault="000A0998">
            <w:pPr>
              <w:pStyle w:val="P68B1DB1-Normal12"/>
              <w:spacing w:after="0"/>
              <w:jc w:val="right"/>
              <w:rPr>
                <w:rFonts w:eastAsia="Times New Roman" w:cs="Times New Roman"/>
                <w:noProof/>
              </w:rPr>
            </w:pPr>
            <w:r>
              <w:rPr>
                <w:noProof/>
              </w:rPr>
              <w:t>37</w:t>
            </w:r>
          </w:p>
        </w:tc>
        <w:tc>
          <w:tcPr>
            <w:tcW w:w="556" w:type="dxa"/>
            <w:shd w:val="clear" w:color="auto" w:fill="C6EFCE"/>
            <w:noWrap/>
          </w:tcPr>
          <w:p w14:paraId="14404EA4" w14:textId="77777777" w:rsidR="0065073E" w:rsidRDefault="000A0998">
            <w:pPr>
              <w:pStyle w:val="P68B1DB1-Normal12"/>
              <w:spacing w:after="0"/>
              <w:jc w:val="right"/>
              <w:rPr>
                <w:rFonts w:eastAsia="Times New Roman" w:cs="Times New Roman"/>
                <w:noProof/>
              </w:rPr>
            </w:pPr>
            <w:r>
              <w:rPr>
                <w:noProof/>
              </w:rPr>
              <w:t>77</w:t>
            </w:r>
          </w:p>
        </w:tc>
        <w:tc>
          <w:tcPr>
            <w:tcW w:w="426" w:type="dxa"/>
            <w:shd w:val="clear" w:color="auto" w:fill="C6EFCE"/>
            <w:noWrap/>
          </w:tcPr>
          <w:p w14:paraId="02159C89" w14:textId="02897F01" w:rsidR="0065073E" w:rsidRDefault="000A0998">
            <w:pPr>
              <w:pStyle w:val="P68B1DB1-Normal12"/>
              <w:spacing w:after="0"/>
              <w:jc w:val="center"/>
              <w:rPr>
                <w:rFonts w:eastAsia="Times New Roman" w:cs="Times New Roman"/>
                <w:noProof/>
              </w:rPr>
            </w:pPr>
            <w:r>
              <w:rPr>
                <w:noProof/>
              </w:rPr>
              <w:t>Q3</w:t>
            </w:r>
          </w:p>
        </w:tc>
        <w:tc>
          <w:tcPr>
            <w:tcW w:w="502" w:type="dxa"/>
            <w:shd w:val="clear" w:color="auto" w:fill="C6EFCE"/>
            <w:noWrap/>
          </w:tcPr>
          <w:p w14:paraId="1222D4AB" w14:textId="77777777" w:rsidR="0065073E" w:rsidRDefault="000A0998">
            <w:pPr>
              <w:pStyle w:val="P68B1DB1-Normal12"/>
              <w:spacing w:after="0"/>
              <w:jc w:val="center"/>
              <w:rPr>
                <w:rFonts w:eastAsia="Times New Roman" w:cs="Times New Roman"/>
                <w:noProof/>
              </w:rPr>
            </w:pPr>
            <w:r>
              <w:rPr>
                <w:noProof/>
              </w:rPr>
              <w:t>2026</w:t>
            </w:r>
          </w:p>
        </w:tc>
        <w:tc>
          <w:tcPr>
            <w:tcW w:w="6900" w:type="dxa"/>
            <w:gridSpan w:val="2"/>
            <w:shd w:val="clear" w:color="auto" w:fill="C6EFCE"/>
            <w:noWrap/>
          </w:tcPr>
          <w:p w14:paraId="5D454DA2" w14:textId="77777777" w:rsidR="0065073E" w:rsidRDefault="000A0998">
            <w:pPr>
              <w:pStyle w:val="P68B1DB1-Normal12"/>
              <w:spacing w:after="0"/>
              <w:rPr>
                <w:rFonts w:eastAsia="Times New Roman" w:cs="Times New Roman"/>
                <w:noProof/>
              </w:rPr>
            </w:pPr>
            <w:r>
              <w:rPr>
                <w:noProof/>
              </w:rPr>
              <w:t>Saatetaan päätökseen 40 aloitetta, joita energiayhteisöt toteuttavat joko asentamalla uusiutuvaa energiaa tai energiatehokkuusratkaisuja tai toteuttamalla osallistavia ja yhteisöllisiä rakennusprosesseja. (Perustaso: päivämäärä, vuoden 2024 viimeinen neljännes, tavoitteen 111 tavoite)</w:t>
            </w:r>
          </w:p>
        </w:tc>
      </w:tr>
      <w:tr w:rsidR="0065073E" w14:paraId="6B615A15" w14:textId="77777777">
        <w:trPr>
          <w:trHeight w:val="309"/>
        </w:trPr>
        <w:tc>
          <w:tcPr>
            <w:tcW w:w="815" w:type="dxa"/>
            <w:shd w:val="clear" w:color="auto" w:fill="C6EFCE"/>
            <w:noWrap/>
          </w:tcPr>
          <w:p w14:paraId="0FC1D4A1" w14:textId="6B2F684D" w:rsidR="0065073E" w:rsidRDefault="000A0998">
            <w:pPr>
              <w:pStyle w:val="P68B1DB1-Normal12"/>
              <w:spacing w:after="0"/>
              <w:jc w:val="center"/>
              <w:rPr>
                <w:rFonts w:eastAsia="Times New Roman" w:cs="Times New Roman"/>
                <w:noProof/>
              </w:rPr>
            </w:pPr>
            <w:r>
              <w:rPr>
                <w:noProof/>
              </w:rPr>
              <w:t>483</w:t>
            </w:r>
          </w:p>
        </w:tc>
        <w:tc>
          <w:tcPr>
            <w:tcW w:w="804" w:type="dxa"/>
            <w:shd w:val="clear" w:color="auto" w:fill="C6EFCE"/>
            <w:noWrap/>
          </w:tcPr>
          <w:p w14:paraId="1A06E288" w14:textId="14C14C7C" w:rsidR="0065073E" w:rsidRDefault="000A0998">
            <w:pPr>
              <w:pStyle w:val="P68B1DB1-Normal12"/>
              <w:spacing w:after="0"/>
              <w:jc w:val="center"/>
              <w:rPr>
                <w:rFonts w:eastAsia="Times New Roman" w:cs="Times New Roman"/>
                <w:noProof/>
              </w:rPr>
            </w:pPr>
            <w:r>
              <w:rPr>
                <w:noProof/>
              </w:rPr>
              <w:t>C31.I2</w:t>
            </w:r>
          </w:p>
        </w:tc>
        <w:tc>
          <w:tcPr>
            <w:tcW w:w="900" w:type="dxa"/>
            <w:shd w:val="clear" w:color="auto" w:fill="C6EFCE"/>
            <w:noWrap/>
          </w:tcPr>
          <w:p w14:paraId="152D3E2C" w14:textId="569FE3EC"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03B6CB65" w14:textId="4EF7BB63" w:rsidR="0065073E" w:rsidRDefault="000A0998">
            <w:pPr>
              <w:pStyle w:val="P68B1DB1-Normal12"/>
              <w:spacing w:after="0"/>
              <w:rPr>
                <w:rFonts w:eastAsia="Times New Roman" w:cs="Times New Roman"/>
                <w:noProof/>
              </w:rPr>
            </w:pPr>
            <w:r>
              <w:rPr>
                <w:noProof/>
              </w:rPr>
              <w:t>Uusiutuvan vedyn tukijärjestelmä: Ministeriö on saanut investoinnin päätökseen</w:t>
            </w:r>
          </w:p>
        </w:tc>
        <w:tc>
          <w:tcPr>
            <w:tcW w:w="1215" w:type="dxa"/>
            <w:shd w:val="clear" w:color="auto" w:fill="C6EFCE"/>
            <w:noWrap/>
          </w:tcPr>
          <w:p w14:paraId="16A59804" w14:textId="10DC98F6" w:rsidR="0065073E" w:rsidRDefault="000A0998">
            <w:pPr>
              <w:pStyle w:val="P68B1DB1-Normal12"/>
              <w:spacing w:after="0"/>
              <w:jc w:val="center"/>
              <w:rPr>
                <w:rFonts w:eastAsia="Times New Roman" w:cs="Times New Roman"/>
                <w:noProof/>
              </w:rPr>
            </w:pPr>
            <w:r>
              <w:rPr>
                <w:noProof/>
              </w:rPr>
              <w:t>Siirtotodistus</w:t>
            </w:r>
          </w:p>
        </w:tc>
        <w:tc>
          <w:tcPr>
            <w:tcW w:w="600" w:type="dxa"/>
            <w:shd w:val="clear" w:color="auto" w:fill="C6EFCE"/>
            <w:noWrap/>
          </w:tcPr>
          <w:p w14:paraId="69C59F60"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5D80227B"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17B7A526"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7B475BD2" w14:textId="0253E3D5" w:rsidR="0065073E" w:rsidRDefault="000A0998">
            <w:pPr>
              <w:pStyle w:val="P68B1DB1-Normal12"/>
              <w:spacing w:after="0"/>
              <w:jc w:val="center"/>
              <w:rPr>
                <w:rFonts w:eastAsia="Times New Roman" w:cs="Times New Roman"/>
                <w:noProof/>
              </w:rPr>
            </w:pPr>
            <w:r>
              <w:rPr>
                <w:noProof/>
              </w:rPr>
              <w:t>TOINEN VUOSINELJÄNNES</w:t>
            </w:r>
          </w:p>
        </w:tc>
        <w:tc>
          <w:tcPr>
            <w:tcW w:w="502" w:type="dxa"/>
            <w:shd w:val="clear" w:color="auto" w:fill="C6EFCE"/>
            <w:noWrap/>
          </w:tcPr>
          <w:p w14:paraId="7B9A9041" w14:textId="675816C0" w:rsidR="0065073E" w:rsidRDefault="000A0998">
            <w:pPr>
              <w:pStyle w:val="P68B1DB1-Normal12"/>
              <w:spacing w:after="0"/>
              <w:jc w:val="center"/>
              <w:rPr>
                <w:rFonts w:eastAsia="Times New Roman" w:cs="Times New Roman"/>
                <w:noProof/>
              </w:rPr>
            </w:pPr>
            <w:r>
              <w:rPr>
                <w:noProof/>
              </w:rPr>
              <w:t>2024</w:t>
            </w:r>
          </w:p>
        </w:tc>
        <w:tc>
          <w:tcPr>
            <w:tcW w:w="6900" w:type="dxa"/>
            <w:gridSpan w:val="2"/>
            <w:shd w:val="clear" w:color="auto" w:fill="C6EFCE"/>
            <w:noWrap/>
          </w:tcPr>
          <w:p w14:paraId="739D0F50" w14:textId="396DC2AE" w:rsidR="0065073E" w:rsidRDefault="000A0998">
            <w:pPr>
              <w:pStyle w:val="P68B1DB1-Normal12"/>
              <w:spacing w:after="0"/>
              <w:rPr>
                <w:rFonts w:eastAsia="Times New Roman" w:cs="Times New Roman"/>
                <w:noProof/>
              </w:rPr>
            </w:pPr>
            <w:r>
              <w:rPr>
                <w:noProof/>
              </w:rPr>
              <w:t>Espanjan on siirrettävä vähintään 1600 miljoonaa euroa IDAE:lle tukijärjestelmää varten.</w:t>
            </w:r>
          </w:p>
        </w:tc>
      </w:tr>
      <w:tr w:rsidR="0065073E" w14:paraId="67B00CEE" w14:textId="77777777">
        <w:trPr>
          <w:trHeight w:val="309"/>
        </w:trPr>
        <w:tc>
          <w:tcPr>
            <w:tcW w:w="815" w:type="dxa"/>
            <w:shd w:val="clear" w:color="auto" w:fill="C6EFCE"/>
            <w:noWrap/>
          </w:tcPr>
          <w:p w14:paraId="53F6BDD7" w14:textId="085049AD" w:rsidR="0065073E" w:rsidRDefault="000A0998">
            <w:pPr>
              <w:pStyle w:val="P68B1DB1-Normal12"/>
              <w:spacing w:after="0"/>
              <w:jc w:val="center"/>
              <w:rPr>
                <w:rFonts w:eastAsia="Times New Roman" w:cs="Times New Roman"/>
                <w:noProof/>
              </w:rPr>
            </w:pPr>
            <w:r>
              <w:rPr>
                <w:noProof/>
              </w:rPr>
              <w:t>480</w:t>
            </w:r>
          </w:p>
        </w:tc>
        <w:tc>
          <w:tcPr>
            <w:tcW w:w="804" w:type="dxa"/>
            <w:shd w:val="clear" w:color="auto" w:fill="C6EFCE"/>
            <w:noWrap/>
          </w:tcPr>
          <w:p w14:paraId="3BDDCB0E" w14:textId="77777777" w:rsidR="0065073E" w:rsidRDefault="000A0998">
            <w:pPr>
              <w:pStyle w:val="P68B1DB1-Normal12"/>
              <w:spacing w:after="0"/>
              <w:jc w:val="center"/>
              <w:rPr>
                <w:rFonts w:eastAsia="Times New Roman" w:cs="Times New Roman"/>
                <w:noProof/>
              </w:rPr>
            </w:pPr>
            <w:r>
              <w:rPr>
                <w:noProof/>
              </w:rPr>
              <w:t>C31.I2</w:t>
            </w:r>
          </w:p>
        </w:tc>
        <w:tc>
          <w:tcPr>
            <w:tcW w:w="900" w:type="dxa"/>
            <w:shd w:val="clear" w:color="auto" w:fill="C6EFCE"/>
            <w:noWrap/>
          </w:tcPr>
          <w:p w14:paraId="46C3ABC8"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5BA1ED5F" w14:textId="41482004" w:rsidR="0065073E" w:rsidRDefault="000A0998">
            <w:pPr>
              <w:pStyle w:val="P68B1DB1-Normal12"/>
              <w:spacing w:after="0"/>
              <w:rPr>
                <w:rFonts w:eastAsia="Times New Roman" w:cs="Times New Roman"/>
                <w:noProof/>
              </w:rPr>
            </w:pPr>
            <w:r>
              <w:rPr>
                <w:noProof/>
              </w:rPr>
              <w:t>Uusiutuvan vedyn tukijärjestelmä: Järjestelmän perustaminen</w:t>
            </w:r>
          </w:p>
        </w:tc>
        <w:tc>
          <w:tcPr>
            <w:tcW w:w="1215" w:type="dxa"/>
            <w:shd w:val="clear" w:color="auto" w:fill="C6EFCE"/>
            <w:noWrap/>
          </w:tcPr>
          <w:p w14:paraId="6E1C4DEB" w14:textId="07010FC6" w:rsidR="0065073E" w:rsidRDefault="000A0998">
            <w:pPr>
              <w:pStyle w:val="P68B1DB1-Normal12"/>
              <w:spacing w:after="0"/>
              <w:jc w:val="center"/>
              <w:rPr>
                <w:rFonts w:eastAsia="Times New Roman" w:cs="Times New Roman"/>
                <w:noProof/>
              </w:rPr>
            </w:pPr>
            <w:r>
              <w:rPr>
                <w:noProof/>
              </w:rPr>
              <w:t>Asiaa koskevan oikeudellisen välineen (asiaankuuluvien säädösten) voimaantulo</w:t>
            </w:r>
          </w:p>
        </w:tc>
        <w:tc>
          <w:tcPr>
            <w:tcW w:w="600" w:type="dxa"/>
            <w:shd w:val="clear" w:color="auto" w:fill="C6EFCE"/>
            <w:noWrap/>
          </w:tcPr>
          <w:p w14:paraId="4EE62C9A"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6F49F013"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028C0AD5"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51883FA8" w14:textId="77777777" w:rsidR="0065073E" w:rsidRDefault="000A0998">
            <w:pPr>
              <w:pStyle w:val="P68B1DB1-Normal12"/>
              <w:spacing w:after="0"/>
              <w:jc w:val="center"/>
              <w:rPr>
                <w:rFonts w:eastAsia="Times New Roman" w:cs="Times New Roman"/>
                <w:noProof/>
                <w:highlight w:val="yellow"/>
              </w:rPr>
            </w:pPr>
            <w:r>
              <w:rPr>
                <w:noProof/>
              </w:rPr>
              <w:t>Q4</w:t>
            </w:r>
          </w:p>
        </w:tc>
        <w:tc>
          <w:tcPr>
            <w:tcW w:w="502" w:type="dxa"/>
            <w:shd w:val="clear" w:color="auto" w:fill="C6EFCE"/>
            <w:noWrap/>
          </w:tcPr>
          <w:p w14:paraId="72FEE54D" w14:textId="467CD09A" w:rsidR="0065073E" w:rsidRDefault="000A0998">
            <w:pPr>
              <w:pStyle w:val="P68B1DB1-Normal12"/>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37AFA094" w14:textId="4EC6DBFF" w:rsidR="0065073E" w:rsidRDefault="000A0998">
            <w:pPr>
              <w:pStyle w:val="P68B1DB1-Normal12"/>
              <w:spacing w:after="0"/>
              <w:rPr>
                <w:rFonts w:eastAsia="Times New Roman" w:cs="Times New Roman"/>
                <w:noProof/>
              </w:rPr>
            </w:pPr>
            <w:r>
              <w:rPr>
                <w:noProof/>
              </w:rPr>
              <w:t>Tulevat voimaan tukijärjestelmän perustamista koskevan säädöksen tai säädösten osalta toimenpiteen kuvauksessa täsmennettyjen vaatimusten mukaisesti.</w:t>
            </w:r>
          </w:p>
        </w:tc>
      </w:tr>
      <w:tr w:rsidR="0065073E" w14:paraId="3AFE826F" w14:textId="77777777">
        <w:trPr>
          <w:trHeight w:val="309"/>
        </w:trPr>
        <w:tc>
          <w:tcPr>
            <w:tcW w:w="815" w:type="dxa"/>
            <w:shd w:val="clear" w:color="auto" w:fill="C6EFCE"/>
            <w:noWrap/>
          </w:tcPr>
          <w:p w14:paraId="67ECE505" w14:textId="75CF15BF" w:rsidR="0065073E" w:rsidRDefault="000A0998">
            <w:pPr>
              <w:pStyle w:val="P68B1DB1-Normal12"/>
              <w:spacing w:after="0"/>
              <w:jc w:val="center"/>
              <w:rPr>
                <w:rFonts w:eastAsia="Times New Roman" w:cs="Times New Roman"/>
                <w:noProof/>
              </w:rPr>
            </w:pPr>
            <w:r>
              <w:rPr>
                <w:noProof/>
              </w:rPr>
              <w:t>481</w:t>
            </w:r>
          </w:p>
        </w:tc>
        <w:tc>
          <w:tcPr>
            <w:tcW w:w="804" w:type="dxa"/>
            <w:shd w:val="clear" w:color="auto" w:fill="C6EFCE"/>
            <w:noWrap/>
          </w:tcPr>
          <w:p w14:paraId="061AD380" w14:textId="77777777" w:rsidR="0065073E" w:rsidRDefault="000A0998">
            <w:pPr>
              <w:pStyle w:val="P68B1DB1-Normal12"/>
              <w:spacing w:after="0"/>
              <w:jc w:val="center"/>
              <w:rPr>
                <w:rFonts w:eastAsia="Times New Roman" w:cs="Times New Roman"/>
                <w:noProof/>
              </w:rPr>
            </w:pPr>
            <w:r>
              <w:rPr>
                <w:noProof/>
              </w:rPr>
              <w:t>C31.I2</w:t>
            </w:r>
          </w:p>
        </w:tc>
        <w:tc>
          <w:tcPr>
            <w:tcW w:w="900" w:type="dxa"/>
            <w:shd w:val="clear" w:color="auto" w:fill="C6EFCE"/>
            <w:noWrap/>
          </w:tcPr>
          <w:p w14:paraId="4E309171"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384881E1" w14:textId="3753B807" w:rsidR="0065073E" w:rsidRDefault="000A0998">
            <w:pPr>
              <w:pStyle w:val="P68B1DB1-Normal12"/>
              <w:spacing w:after="0"/>
              <w:rPr>
                <w:rFonts w:eastAsia="Times New Roman" w:cs="Times New Roman"/>
                <w:noProof/>
              </w:rPr>
            </w:pPr>
            <w:r>
              <w:rPr>
                <w:noProof/>
              </w:rPr>
              <w:t>Uusiutuvan vedyn tukijärjestelmä: Lopullisten edunsaajien kanssa allekirjoitetut oikeudelliset sopimukset tai lopulliset myöntämispäätökset julkaistu (I)</w:t>
            </w:r>
          </w:p>
        </w:tc>
        <w:tc>
          <w:tcPr>
            <w:tcW w:w="1215" w:type="dxa"/>
            <w:shd w:val="clear" w:color="auto" w:fill="C6EFCE"/>
            <w:noWrap/>
          </w:tcPr>
          <w:p w14:paraId="50AB68CF" w14:textId="27095E3B" w:rsidR="0065073E" w:rsidRDefault="000A0998">
            <w:pPr>
              <w:pStyle w:val="P68B1DB1-Normal12"/>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5AE09F65" w14:textId="2D70B4BB"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764FC97E" w14:textId="77777777" w:rsidR="0065073E" w:rsidRDefault="000A0998">
            <w:pPr>
              <w:pStyle w:val="P68B1DB1-Normal12"/>
              <w:spacing w:after="0"/>
              <w:jc w:val="right"/>
              <w:rPr>
                <w:rFonts w:eastAsia="Times New Roman" w:cs="Times New Roman"/>
                <w:noProof/>
              </w:rPr>
            </w:pPr>
            <w:r>
              <w:rPr>
                <w:noProof/>
              </w:rPr>
              <w:t>0</w:t>
            </w:r>
          </w:p>
        </w:tc>
        <w:tc>
          <w:tcPr>
            <w:tcW w:w="556" w:type="dxa"/>
            <w:shd w:val="clear" w:color="auto" w:fill="C6EFCE"/>
            <w:noWrap/>
          </w:tcPr>
          <w:p w14:paraId="6DF1E4E0" w14:textId="57D245B8" w:rsidR="0065073E" w:rsidRDefault="000A0998">
            <w:pPr>
              <w:pStyle w:val="P68B1DB1-Normal12"/>
              <w:spacing w:after="0"/>
              <w:jc w:val="right"/>
              <w:rPr>
                <w:rFonts w:eastAsia="Times New Roman" w:cs="Times New Roman"/>
                <w:noProof/>
              </w:rPr>
            </w:pPr>
            <w:r>
              <w:rPr>
                <w:noProof/>
              </w:rPr>
              <w:t>50 %</w:t>
            </w:r>
          </w:p>
        </w:tc>
        <w:tc>
          <w:tcPr>
            <w:tcW w:w="426" w:type="dxa"/>
            <w:shd w:val="clear" w:color="auto" w:fill="C6EFCE"/>
            <w:noWrap/>
          </w:tcPr>
          <w:p w14:paraId="73E65A2F" w14:textId="17590ACA" w:rsidR="0065073E" w:rsidRDefault="000A0998">
            <w:pPr>
              <w:pStyle w:val="P68B1DB1-Normal12"/>
              <w:spacing w:after="0"/>
              <w:jc w:val="center"/>
              <w:rPr>
                <w:rFonts w:eastAsia="Times New Roman" w:cs="Times New Roman"/>
                <w:noProof/>
                <w:highlight w:val="yellow"/>
              </w:rPr>
            </w:pPr>
            <w:r>
              <w:rPr>
                <w:noProof/>
              </w:rPr>
              <w:t>TOINEN VUOSINELJÄNNES</w:t>
            </w:r>
          </w:p>
        </w:tc>
        <w:tc>
          <w:tcPr>
            <w:tcW w:w="502" w:type="dxa"/>
            <w:shd w:val="clear" w:color="auto" w:fill="C6EFCE"/>
            <w:noWrap/>
          </w:tcPr>
          <w:p w14:paraId="671EC42B" w14:textId="4DFFA38D" w:rsidR="0065073E" w:rsidRDefault="000A0998">
            <w:pPr>
              <w:pStyle w:val="P68B1DB1-Normal12"/>
              <w:spacing w:after="0"/>
              <w:jc w:val="center"/>
              <w:rPr>
                <w:rFonts w:eastAsia="Times New Roman" w:cs="Times New Roman"/>
                <w:noProof/>
                <w:highlight w:val="yellow"/>
              </w:rPr>
            </w:pPr>
            <w:r>
              <w:rPr>
                <w:noProof/>
              </w:rPr>
              <w:t>2025</w:t>
            </w:r>
          </w:p>
        </w:tc>
        <w:tc>
          <w:tcPr>
            <w:tcW w:w="6900" w:type="dxa"/>
            <w:gridSpan w:val="2"/>
            <w:shd w:val="clear" w:color="auto" w:fill="C6EFCE"/>
            <w:noWrap/>
          </w:tcPr>
          <w:p w14:paraId="225892A5" w14:textId="4E9E3743" w:rsidR="0065073E" w:rsidRDefault="000A0998">
            <w:pPr>
              <w:pStyle w:val="P68B1DB1-Normal12"/>
              <w:spacing w:after="0"/>
              <w:rPr>
                <w:rFonts w:eastAsia="Times New Roman" w:cs="Times New Roman"/>
                <w:noProof/>
              </w:rPr>
            </w:pPr>
            <w:r>
              <w:rPr>
                <w:noProof/>
              </w:rPr>
              <w:t>IDAE on julkaissut lopulliset myöntämispäätökset tai lopullisten edunsaajien kanssa tehdyt rahoitussopimukset, jotka koskevat vähintään 50:tä prosenttia elpymis- ja palautumistukivälineen investoinneista tukijärjestelmään (välilliset kustannukset mukaan luettuina).</w:t>
            </w:r>
          </w:p>
        </w:tc>
      </w:tr>
      <w:tr w:rsidR="0065073E" w14:paraId="263EEC4D" w14:textId="77777777">
        <w:trPr>
          <w:gridAfter w:val="1"/>
          <w:wAfter w:w="31" w:type="dxa"/>
          <w:trHeight w:val="309"/>
        </w:trPr>
        <w:tc>
          <w:tcPr>
            <w:tcW w:w="815" w:type="dxa"/>
            <w:shd w:val="clear" w:color="auto" w:fill="C6EFCE"/>
            <w:noWrap/>
          </w:tcPr>
          <w:p w14:paraId="50DEA288" w14:textId="7A5F7288" w:rsidR="0065073E" w:rsidRDefault="000A0998">
            <w:pPr>
              <w:pStyle w:val="P68B1DB1-Normal12"/>
              <w:spacing w:after="0"/>
              <w:jc w:val="center"/>
              <w:rPr>
                <w:rFonts w:eastAsia="Times New Roman" w:cs="Times New Roman"/>
                <w:noProof/>
              </w:rPr>
            </w:pPr>
            <w:r>
              <w:rPr>
                <w:noProof/>
              </w:rPr>
              <w:t>482</w:t>
            </w:r>
          </w:p>
        </w:tc>
        <w:tc>
          <w:tcPr>
            <w:tcW w:w="804" w:type="dxa"/>
            <w:shd w:val="clear" w:color="auto" w:fill="C6EFCE"/>
            <w:noWrap/>
          </w:tcPr>
          <w:p w14:paraId="080E1CD1" w14:textId="77777777" w:rsidR="0065073E" w:rsidRDefault="000A0998">
            <w:pPr>
              <w:pStyle w:val="P68B1DB1-Normal12"/>
              <w:spacing w:after="0"/>
              <w:jc w:val="center"/>
              <w:rPr>
                <w:rFonts w:eastAsia="Times New Roman" w:cs="Times New Roman"/>
                <w:noProof/>
              </w:rPr>
            </w:pPr>
            <w:r>
              <w:rPr>
                <w:noProof/>
              </w:rPr>
              <w:t>C31.I2</w:t>
            </w:r>
          </w:p>
        </w:tc>
        <w:tc>
          <w:tcPr>
            <w:tcW w:w="900" w:type="dxa"/>
            <w:shd w:val="clear" w:color="auto" w:fill="C6EFCE"/>
            <w:noWrap/>
          </w:tcPr>
          <w:p w14:paraId="20743680"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255B854C" w14:textId="21C7C80D" w:rsidR="0065073E" w:rsidRDefault="000A0998">
            <w:pPr>
              <w:pStyle w:val="P68B1DB1-Normal12"/>
              <w:spacing w:after="0"/>
              <w:rPr>
                <w:rFonts w:eastAsia="Times New Roman" w:cs="Times New Roman"/>
                <w:noProof/>
              </w:rPr>
            </w:pPr>
            <w:r>
              <w:rPr>
                <w:noProof/>
              </w:rPr>
              <w:t>Uusiutuvan vedyn tukijärjestelmä: Lopullisten edunsaajien kanssa allekirjoitetut oikeudelliset sopimukset tai lopulliset myöntämispäätökset julkaistu (II)</w:t>
            </w:r>
          </w:p>
        </w:tc>
        <w:tc>
          <w:tcPr>
            <w:tcW w:w="1215" w:type="dxa"/>
            <w:shd w:val="clear" w:color="auto" w:fill="C6EFCE"/>
            <w:noWrap/>
          </w:tcPr>
          <w:p w14:paraId="4315824F" w14:textId="6EEA4E13" w:rsidR="0065073E" w:rsidRDefault="000A0998">
            <w:pPr>
              <w:pStyle w:val="P68B1DB1-Normal12"/>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2B34F867" w14:textId="2DC2291D"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2A2A49E2" w14:textId="0CAFFAE8" w:rsidR="0065073E" w:rsidRDefault="000A0998">
            <w:pPr>
              <w:pStyle w:val="P68B1DB1-Normal12"/>
              <w:spacing w:after="0"/>
              <w:jc w:val="right"/>
              <w:rPr>
                <w:rFonts w:eastAsia="Times New Roman" w:cs="Times New Roman"/>
                <w:noProof/>
              </w:rPr>
            </w:pPr>
            <w:r>
              <w:rPr>
                <w:noProof/>
              </w:rPr>
              <w:t>50 %</w:t>
            </w:r>
          </w:p>
        </w:tc>
        <w:tc>
          <w:tcPr>
            <w:tcW w:w="556" w:type="dxa"/>
            <w:shd w:val="clear" w:color="auto" w:fill="C6EFCE"/>
            <w:noWrap/>
          </w:tcPr>
          <w:p w14:paraId="33611B00" w14:textId="563940B1" w:rsidR="0065073E" w:rsidRDefault="000A0998">
            <w:pPr>
              <w:pStyle w:val="P68B1DB1-Normal12"/>
              <w:spacing w:after="0"/>
              <w:jc w:val="right"/>
              <w:rPr>
                <w:rFonts w:eastAsia="Times New Roman" w:cs="Times New Roman"/>
                <w:noProof/>
              </w:rPr>
            </w:pPr>
            <w:r>
              <w:rPr>
                <w:noProof/>
              </w:rPr>
              <w:t>100 %</w:t>
            </w:r>
          </w:p>
        </w:tc>
        <w:tc>
          <w:tcPr>
            <w:tcW w:w="426" w:type="dxa"/>
            <w:shd w:val="clear" w:color="auto" w:fill="C6EFCE"/>
            <w:noWrap/>
          </w:tcPr>
          <w:p w14:paraId="2F5595CF" w14:textId="6FDA0E25" w:rsidR="0065073E" w:rsidRDefault="000A0998">
            <w:pPr>
              <w:pStyle w:val="P68B1DB1-Normal12"/>
              <w:spacing w:after="0"/>
              <w:jc w:val="center"/>
              <w:rPr>
                <w:rFonts w:eastAsia="Times New Roman" w:cs="Times New Roman"/>
                <w:noProof/>
                <w:highlight w:val="yellow"/>
              </w:rPr>
            </w:pPr>
            <w:r>
              <w:rPr>
                <w:noProof/>
              </w:rPr>
              <w:t>Q3</w:t>
            </w:r>
          </w:p>
        </w:tc>
        <w:tc>
          <w:tcPr>
            <w:tcW w:w="502" w:type="dxa"/>
            <w:shd w:val="clear" w:color="auto" w:fill="C6EFCE"/>
            <w:noWrap/>
          </w:tcPr>
          <w:p w14:paraId="0160F2A1" w14:textId="3900C86F" w:rsidR="0065073E" w:rsidRDefault="000A0998">
            <w:pPr>
              <w:pStyle w:val="P68B1DB1-Normal12"/>
              <w:spacing w:after="0"/>
              <w:jc w:val="center"/>
              <w:rPr>
                <w:rFonts w:eastAsia="Times New Roman" w:cs="Times New Roman"/>
                <w:noProof/>
                <w:highlight w:val="yellow"/>
              </w:rPr>
            </w:pPr>
            <w:r>
              <w:rPr>
                <w:noProof/>
              </w:rPr>
              <w:t>2026</w:t>
            </w:r>
          </w:p>
        </w:tc>
        <w:tc>
          <w:tcPr>
            <w:tcW w:w="6869" w:type="dxa"/>
            <w:shd w:val="clear" w:color="auto" w:fill="C6EFCE"/>
            <w:noWrap/>
          </w:tcPr>
          <w:p w14:paraId="7F48C873" w14:textId="07D4E2E2" w:rsidR="0065073E" w:rsidRDefault="000A0998">
            <w:pPr>
              <w:pStyle w:val="P68B1DB1-Normal12"/>
              <w:spacing w:after="0"/>
              <w:rPr>
                <w:rFonts w:eastAsia="Times New Roman" w:cs="Times New Roman"/>
                <w:noProof/>
              </w:rPr>
            </w:pPr>
            <w:r>
              <w:rPr>
                <w:noProof/>
              </w:rPr>
              <w:t>IDAE on julkaissut lopulliset myöntämispäätökset tai lopullisten edunsaajien kanssa tehdyt rahoitussopimukset, jotka koskevat 100:aa prosenttia elpymis- ja palautumistukivälineen investoinneista tukijärjestelmään (välilliset kustannukset mukaan luettuina).</w:t>
            </w:r>
          </w:p>
        </w:tc>
      </w:tr>
      <w:tr w:rsidR="0065073E" w14:paraId="668FE02C" w14:textId="77777777">
        <w:trPr>
          <w:trHeight w:val="309"/>
        </w:trPr>
        <w:tc>
          <w:tcPr>
            <w:tcW w:w="815" w:type="dxa"/>
            <w:shd w:val="clear" w:color="auto" w:fill="C6EFCE"/>
            <w:noWrap/>
          </w:tcPr>
          <w:p w14:paraId="062E20ED" w14:textId="73DA41CE" w:rsidR="0065073E" w:rsidRDefault="000A0998">
            <w:pPr>
              <w:pStyle w:val="P68B1DB1-Normal12"/>
              <w:spacing w:after="0"/>
              <w:jc w:val="center"/>
              <w:rPr>
                <w:rFonts w:eastAsia="Times New Roman" w:cs="Times New Roman"/>
                <w:noProof/>
              </w:rPr>
            </w:pPr>
            <w:r>
              <w:rPr>
                <w:noProof/>
              </w:rPr>
              <w:t>487</w:t>
            </w:r>
          </w:p>
        </w:tc>
        <w:tc>
          <w:tcPr>
            <w:tcW w:w="804" w:type="dxa"/>
            <w:shd w:val="clear" w:color="auto" w:fill="C6EFCE"/>
            <w:noWrap/>
          </w:tcPr>
          <w:p w14:paraId="32B1D913" w14:textId="171B767F" w:rsidR="0065073E" w:rsidRDefault="000A0998">
            <w:pPr>
              <w:pStyle w:val="P68B1DB1-Normal12"/>
              <w:spacing w:after="0"/>
              <w:jc w:val="center"/>
              <w:rPr>
                <w:rFonts w:eastAsia="Times New Roman" w:cs="Times New Roman"/>
                <w:noProof/>
              </w:rPr>
            </w:pPr>
            <w:r>
              <w:rPr>
                <w:noProof/>
              </w:rPr>
              <w:t>C31.I3</w:t>
            </w:r>
          </w:p>
        </w:tc>
        <w:tc>
          <w:tcPr>
            <w:tcW w:w="900" w:type="dxa"/>
            <w:shd w:val="clear" w:color="auto" w:fill="C6EFCE"/>
            <w:noWrap/>
          </w:tcPr>
          <w:p w14:paraId="6BE1717C" w14:textId="139DA6F4"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42CB9C1B" w14:textId="221A96B0" w:rsidR="0065073E" w:rsidRDefault="000A0998">
            <w:pPr>
              <w:pStyle w:val="P68B1DB1-Normal12"/>
              <w:spacing w:after="0"/>
              <w:rPr>
                <w:rFonts w:eastAsia="Times New Roman" w:cs="Times New Roman"/>
                <w:noProof/>
              </w:rPr>
            </w:pPr>
            <w:r>
              <w:rPr>
                <w:noProof/>
              </w:rPr>
              <w:t>Arvoketjun tukijärjestelmä: Ministeriö on saanut investoinnin päätökseen</w:t>
            </w:r>
          </w:p>
        </w:tc>
        <w:tc>
          <w:tcPr>
            <w:tcW w:w="1215" w:type="dxa"/>
            <w:shd w:val="clear" w:color="auto" w:fill="C6EFCE"/>
            <w:noWrap/>
          </w:tcPr>
          <w:p w14:paraId="18308D9B" w14:textId="7113B2AE" w:rsidR="0065073E" w:rsidRDefault="000A0998">
            <w:pPr>
              <w:pStyle w:val="P68B1DB1-Normal12"/>
              <w:spacing w:after="0"/>
              <w:jc w:val="center"/>
              <w:rPr>
                <w:rFonts w:eastAsia="Times New Roman" w:cs="Times New Roman"/>
                <w:noProof/>
              </w:rPr>
            </w:pPr>
            <w:r>
              <w:rPr>
                <w:noProof/>
              </w:rPr>
              <w:t>Siirtotodistus</w:t>
            </w:r>
          </w:p>
        </w:tc>
        <w:tc>
          <w:tcPr>
            <w:tcW w:w="600" w:type="dxa"/>
            <w:shd w:val="clear" w:color="auto" w:fill="C6EFCE"/>
            <w:noWrap/>
          </w:tcPr>
          <w:p w14:paraId="19B525F6"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557E201D"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62A2D8E4"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1C67934C" w14:textId="1BBAA7C3" w:rsidR="0065073E" w:rsidRDefault="000A0998">
            <w:pPr>
              <w:pStyle w:val="P68B1DB1-Normal12"/>
              <w:spacing w:after="0"/>
              <w:jc w:val="center"/>
              <w:rPr>
                <w:rFonts w:eastAsia="Times New Roman" w:cs="Times New Roman"/>
                <w:noProof/>
              </w:rPr>
            </w:pPr>
            <w:r>
              <w:rPr>
                <w:noProof/>
              </w:rPr>
              <w:t>TOINEN VUOSINELJÄNNES</w:t>
            </w:r>
          </w:p>
        </w:tc>
        <w:tc>
          <w:tcPr>
            <w:tcW w:w="502" w:type="dxa"/>
            <w:shd w:val="clear" w:color="auto" w:fill="C6EFCE"/>
            <w:noWrap/>
          </w:tcPr>
          <w:p w14:paraId="4C8A96BC" w14:textId="62C2A2B4" w:rsidR="0065073E" w:rsidRDefault="000A0998">
            <w:pPr>
              <w:pStyle w:val="P68B1DB1-Normal12"/>
              <w:spacing w:after="0"/>
              <w:jc w:val="center"/>
              <w:rPr>
                <w:rFonts w:eastAsia="Times New Roman" w:cs="Times New Roman"/>
                <w:noProof/>
              </w:rPr>
            </w:pPr>
            <w:r>
              <w:rPr>
                <w:noProof/>
              </w:rPr>
              <w:t>2024</w:t>
            </w:r>
          </w:p>
        </w:tc>
        <w:tc>
          <w:tcPr>
            <w:tcW w:w="6900" w:type="dxa"/>
            <w:gridSpan w:val="2"/>
            <w:shd w:val="clear" w:color="auto" w:fill="C6EFCE"/>
            <w:noWrap/>
          </w:tcPr>
          <w:p w14:paraId="7BC5991D" w14:textId="5FE8BC70" w:rsidR="0065073E" w:rsidRDefault="000A0998">
            <w:pPr>
              <w:pStyle w:val="P68B1DB1-Normal12"/>
              <w:spacing w:after="0"/>
              <w:rPr>
                <w:rFonts w:eastAsia="Times New Roman" w:cs="Times New Roman"/>
                <w:noProof/>
              </w:rPr>
            </w:pPr>
            <w:r>
              <w:rPr>
                <w:noProof/>
              </w:rPr>
              <w:t xml:space="preserve">Espanjan on siirrettävä 1000 miljoonaa euroa IDAE:lle tukijärjestelmää varten. </w:t>
            </w:r>
          </w:p>
        </w:tc>
      </w:tr>
      <w:tr w:rsidR="0065073E" w14:paraId="4997CE3A" w14:textId="77777777">
        <w:trPr>
          <w:trHeight w:val="309"/>
        </w:trPr>
        <w:tc>
          <w:tcPr>
            <w:tcW w:w="815" w:type="dxa"/>
            <w:shd w:val="clear" w:color="auto" w:fill="C6EFCE"/>
            <w:noWrap/>
          </w:tcPr>
          <w:p w14:paraId="2C9D9912" w14:textId="07AC69DB" w:rsidR="0065073E" w:rsidRDefault="000A0998">
            <w:pPr>
              <w:pStyle w:val="P68B1DB1-Normal12"/>
              <w:spacing w:after="0"/>
              <w:jc w:val="center"/>
              <w:rPr>
                <w:rFonts w:eastAsia="Times New Roman" w:cs="Times New Roman"/>
                <w:noProof/>
              </w:rPr>
            </w:pPr>
            <w:r>
              <w:rPr>
                <w:noProof/>
              </w:rPr>
              <w:t>484</w:t>
            </w:r>
          </w:p>
        </w:tc>
        <w:tc>
          <w:tcPr>
            <w:tcW w:w="804" w:type="dxa"/>
            <w:shd w:val="clear" w:color="auto" w:fill="C6EFCE"/>
            <w:noWrap/>
          </w:tcPr>
          <w:p w14:paraId="35061C95" w14:textId="77777777" w:rsidR="0065073E" w:rsidRDefault="000A0998">
            <w:pPr>
              <w:pStyle w:val="P68B1DB1-Normal12"/>
              <w:spacing w:after="0"/>
              <w:jc w:val="center"/>
              <w:rPr>
                <w:rFonts w:eastAsia="Times New Roman" w:cs="Times New Roman"/>
                <w:noProof/>
              </w:rPr>
            </w:pPr>
            <w:r>
              <w:rPr>
                <w:noProof/>
              </w:rPr>
              <w:t>C31.I3</w:t>
            </w:r>
          </w:p>
        </w:tc>
        <w:tc>
          <w:tcPr>
            <w:tcW w:w="900" w:type="dxa"/>
            <w:shd w:val="clear" w:color="auto" w:fill="C6EFCE"/>
            <w:noWrap/>
          </w:tcPr>
          <w:p w14:paraId="46836030"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390DE608" w14:textId="48058EC9" w:rsidR="0065073E" w:rsidRDefault="000A0998">
            <w:pPr>
              <w:pStyle w:val="P68B1DB1-Normal12"/>
              <w:spacing w:after="0"/>
              <w:rPr>
                <w:rFonts w:eastAsia="Times New Roman" w:cs="Times New Roman"/>
                <w:noProof/>
              </w:rPr>
            </w:pPr>
            <w:r>
              <w:rPr>
                <w:noProof/>
              </w:rPr>
              <w:t>Arvoketjun tukijärjestelmä: Järjestelmän perustaminen</w:t>
            </w:r>
          </w:p>
        </w:tc>
        <w:tc>
          <w:tcPr>
            <w:tcW w:w="1215" w:type="dxa"/>
            <w:shd w:val="clear" w:color="auto" w:fill="C6EFCE"/>
            <w:noWrap/>
          </w:tcPr>
          <w:p w14:paraId="653E9D84" w14:textId="75B7BDF7" w:rsidR="0065073E" w:rsidRDefault="000A0998">
            <w:pPr>
              <w:pStyle w:val="P68B1DB1-Normal12"/>
              <w:spacing w:after="0"/>
              <w:jc w:val="center"/>
              <w:rPr>
                <w:rFonts w:eastAsia="Times New Roman" w:cs="Times New Roman"/>
                <w:noProof/>
              </w:rPr>
            </w:pPr>
            <w:r>
              <w:rPr>
                <w:noProof/>
              </w:rPr>
              <w:t>Ministeriön päätöksen voimaantulo</w:t>
            </w:r>
          </w:p>
        </w:tc>
        <w:tc>
          <w:tcPr>
            <w:tcW w:w="600" w:type="dxa"/>
            <w:shd w:val="clear" w:color="auto" w:fill="C6EFCE"/>
            <w:noWrap/>
          </w:tcPr>
          <w:p w14:paraId="2E2DBE46"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2BE95DCB"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32C010D6"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0D529E4A" w14:textId="77777777" w:rsidR="0065073E" w:rsidRDefault="000A0998">
            <w:pPr>
              <w:pStyle w:val="P68B1DB1-Normal12"/>
              <w:spacing w:after="0"/>
              <w:jc w:val="center"/>
              <w:rPr>
                <w:rFonts w:eastAsia="Times New Roman" w:cs="Times New Roman"/>
                <w:noProof/>
                <w:highlight w:val="yellow"/>
              </w:rPr>
            </w:pPr>
            <w:r>
              <w:rPr>
                <w:noProof/>
              </w:rPr>
              <w:t>Q4</w:t>
            </w:r>
          </w:p>
        </w:tc>
        <w:tc>
          <w:tcPr>
            <w:tcW w:w="502" w:type="dxa"/>
            <w:shd w:val="clear" w:color="auto" w:fill="C6EFCE"/>
            <w:noWrap/>
          </w:tcPr>
          <w:p w14:paraId="358F275E" w14:textId="63EF6B72" w:rsidR="0065073E" w:rsidRDefault="000A0998">
            <w:pPr>
              <w:pStyle w:val="P68B1DB1-Normal12"/>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4FE61A9D" w14:textId="42D4101E" w:rsidR="0065073E" w:rsidRDefault="000A0998">
            <w:pPr>
              <w:pStyle w:val="P68B1DB1-Normal12"/>
              <w:spacing w:after="0"/>
              <w:rPr>
                <w:rFonts w:eastAsia="Times New Roman" w:cs="Times New Roman"/>
                <w:noProof/>
              </w:rPr>
            </w:pPr>
            <w:r>
              <w:rPr>
                <w:noProof/>
              </w:rPr>
              <w:t>Tukijärjestelmän perustamista koskevan yhden tai useamman säädöksen voimaantulo toimenpiteen kuvauksessa täsmennettyjen vaatimusten mukaisesti.</w:t>
            </w:r>
          </w:p>
        </w:tc>
      </w:tr>
      <w:tr w:rsidR="0065073E" w14:paraId="20ABF11D" w14:textId="77777777">
        <w:trPr>
          <w:trHeight w:val="309"/>
        </w:trPr>
        <w:tc>
          <w:tcPr>
            <w:tcW w:w="815" w:type="dxa"/>
            <w:shd w:val="clear" w:color="auto" w:fill="C6EFCE"/>
            <w:noWrap/>
          </w:tcPr>
          <w:p w14:paraId="5FCF7510" w14:textId="19C6135E" w:rsidR="0065073E" w:rsidRDefault="000A0998">
            <w:pPr>
              <w:pStyle w:val="P68B1DB1-Normal12"/>
              <w:spacing w:after="0"/>
              <w:jc w:val="center"/>
              <w:rPr>
                <w:rFonts w:eastAsia="Times New Roman" w:cs="Times New Roman"/>
                <w:noProof/>
              </w:rPr>
            </w:pPr>
            <w:r>
              <w:rPr>
                <w:noProof/>
              </w:rPr>
              <w:t>485</w:t>
            </w:r>
          </w:p>
        </w:tc>
        <w:tc>
          <w:tcPr>
            <w:tcW w:w="804" w:type="dxa"/>
            <w:shd w:val="clear" w:color="auto" w:fill="C6EFCE"/>
            <w:noWrap/>
          </w:tcPr>
          <w:p w14:paraId="34CAD987" w14:textId="77777777" w:rsidR="0065073E" w:rsidRDefault="000A0998">
            <w:pPr>
              <w:pStyle w:val="P68B1DB1-Normal12"/>
              <w:spacing w:after="0"/>
              <w:jc w:val="center"/>
              <w:rPr>
                <w:rFonts w:eastAsia="Times New Roman" w:cs="Times New Roman"/>
                <w:noProof/>
              </w:rPr>
            </w:pPr>
            <w:r>
              <w:rPr>
                <w:noProof/>
              </w:rPr>
              <w:t>C31.I3</w:t>
            </w:r>
          </w:p>
        </w:tc>
        <w:tc>
          <w:tcPr>
            <w:tcW w:w="900" w:type="dxa"/>
            <w:shd w:val="clear" w:color="auto" w:fill="C6EFCE"/>
            <w:noWrap/>
          </w:tcPr>
          <w:p w14:paraId="6507ED67"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7C2B6EB1" w14:textId="1B5D97E8" w:rsidR="0065073E" w:rsidRDefault="000A0998">
            <w:pPr>
              <w:pStyle w:val="P68B1DB1-Normal12"/>
              <w:spacing w:after="0"/>
              <w:rPr>
                <w:rFonts w:eastAsia="Times New Roman" w:cs="Times New Roman"/>
                <w:noProof/>
              </w:rPr>
            </w:pPr>
            <w:r>
              <w:rPr>
                <w:noProof/>
              </w:rPr>
              <w:t>Arvoketjun tukijärjestelmä: Lopullisten edunsaajien kanssa allekirjoitetut oikeudelliset sopimukset tai lopulliset myöntämispäätökset julkaistu (I)</w:t>
            </w:r>
          </w:p>
        </w:tc>
        <w:tc>
          <w:tcPr>
            <w:tcW w:w="1215" w:type="dxa"/>
            <w:shd w:val="clear" w:color="auto" w:fill="C6EFCE"/>
            <w:noWrap/>
          </w:tcPr>
          <w:p w14:paraId="29427A2F" w14:textId="191137EA" w:rsidR="0065073E" w:rsidRDefault="000A0998">
            <w:pPr>
              <w:pStyle w:val="P68B1DB1-Normal12"/>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7656168B" w14:textId="449AC494"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5FABB88C" w14:textId="77777777" w:rsidR="0065073E" w:rsidRDefault="000A0998">
            <w:pPr>
              <w:pStyle w:val="P68B1DB1-Normal12"/>
              <w:spacing w:after="0"/>
              <w:jc w:val="right"/>
              <w:rPr>
                <w:rFonts w:eastAsia="Times New Roman" w:cs="Times New Roman"/>
                <w:noProof/>
              </w:rPr>
            </w:pPr>
            <w:r>
              <w:rPr>
                <w:noProof/>
              </w:rPr>
              <w:t>0</w:t>
            </w:r>
          </w:p>
        </w:tc>
        <w:tc>
          <w:tcPr>
            <w:tcW w:w="556" w:type="dxa"/>
            <w:shd w:val="clear" w:color="auto" w:fill="C6EFCE"/>
            <w:noWrap/>
          </w:tcPr>
          <w:p w14:paraId="59D3BBFC" w14:textId="007440EE" w:rsidR="0065073E" w:rsidRDefault="000A0998">
            <w:pPr>
              <w:pStyle w:val="P68B1DB1-Normal12"/>
              <w:spacing w:after="0"/>
              <w:jc w:val="right"/>
              <w:rPr>
                <w:rFonts w:eastAsia="Times New Roman" w:cs="Times New Roman"/>
                <w:noProof/>
              </w:rPr>
            </w:pPr>
            <w:r>
              <w:rPr>
                <w:noProof/>
              </w:rPr>
              <w:t>50 %</w:t>
            </w:r>
          </w:p>
        </w:tc>
        <w:tc>
          <w:tcPr>
            <w:tcW w:w="426" w:type="dxa"/>
            <w:shd w:val="clear" w:color="auto" w:fill="C6EFCE"/>
            <w:noWrap/>
          </w:tcPr>
          <w:p w14:paraId="2ADF8651" w14:textId="77777777" w:rsidR="0065073E" w:rsidRDefault="000A0998">
            <w:pPr>
              <w:pStyle w:val="P68B1DB1-Normal12"/>
              <w:spacing w:after="0"/>
              <w:jc w:val="center"/>
              <w:rPr>
                <w:rFonts w:eastAsia="Times New Roman" w:cs="Times New Roman"/>
                <w:noProof/>
              </w:rPr>
            </w:pPr>
            <w:r>
              <w:rPr>
                <w:noProof/>
              </w:rPr>
              <w:t>TOINEN VUOSINELJÄNNES</w:t>
            </w:r>
          </w:p>
        </w:tc>
        <w:tc>
          <w:tcPr>
            <w:tcW w:w="502" w:type="dxa"/>
            <w:shd w:val="clear" w:color="auto" w:fill="C6EFCE"/>
            <w:noWrap/>
          </w:tcPr>
          <w:p w14:paraId="5C30AE1C" w14:textId="77777777" w:rsidR="0065073E" w:rsidRDefault="000A0998">
            <w:pPr>
              <w:pStyle w:val="P68B1DB1-Normal12"/>
              <w:spacing w:after="0"/>
              <w:jc w:val="center"/>
              <w:rPr>
                <w:rFonts w:eastAsia="Times New Roman" w:cs="Times New Roman"/>
                <w:noProof/>
              </w:rPr>
            </w:pPr>
            <w:r>
              <w:rPr>
                <w:noProof/>
              </w:rPr>
              <w:t>2025</w:t>
            </w:r>
          </w:p>
        </w:tc>
        <w:tc>
          <w:tcPr>
            <w:tcW w:w="6900" w:type="dxa"/>
            <w:gridSpan w:val="2"/>
            <w:shd w:val="clear" w:color="auto" w:fill="C6EFCE"/>
            <w:noWrap/>
          </w:tcPr>
          <w:p w14:paraId="52945C76" w14:textId="00269C6A" w:rsidR="0065073E" w:rsidRDefault="000A0998">
            <w:pPr>
              <w:pStyle w:val="P68B1DB1-Normal12"/>
              <w:spacing w:after="0"/>
              <w:rPr>
                <w:rFonts w:eastAsia="Times New Roman" w:cs="Times New Roman"/>
                <w:noProof/>
              </w:rPr>
            </w:pPr>
            <w:r>
              <w:rPr>
                <w:noProof/>
              </w:rPr>
              <w:t>IDAE on julkaissut lopulliset myöntämispäätökset tai lopullisten edunsaajien kanssa tehdyt rahoitussopimukset, jotka koskevat vähintään 50:tä prosenttia elpymis- ja palautumistukivälineen investoinneista tukijärjestelmään (välilliset kustannukset mukaan luettuina).</w:t>
            </w:r>
          </w:p>
        </w:tc>
      </w:tr>
      <w:tr w:rsidR="0065073E" w14:paraId="3AB9A45D" w14:textId="77777777">
        <w:trPr>
          <w:trHeight w:val="309"/>
        </w:trPr>
        <w:tc>
          <w:tcPr>
            <w:tcW w:w="815" w:type="dxa"/>
            <w:shd w:val="clear" w:color="auto" w:fill="C6EFCE"/>
            <w:noWrap/>
          </w:tcPr>
          <w:p w14:paraId="7F4D9BA1" w14:textId="0F164B79" w:rsidR="0065073E" w:rsidRDefault="000A0998">
            <w:pPr>
              <w:pStyle w:val="P68B1DB1-Normal12"/>
              <w:spacing w:after="0"/>
              <w:jc w:val="center"/>
              <w:rPr>
                <w:rFonts w:eastAsia="Times New Roman" w:cs="Times New Roman"/>
                <w:noProof/>
              </w:rPr>
            </w:pPr>
            <w:r>
              <w:rPr>
                <w:noProof/>
              </w:rPr>
              <w:t>486</w:t>
            </w:r>
          </w:p>
        </w:tc>
        <w:tc>
          <w:tcPr>
            <w:tcW w:w="804" w:type="dxa"/>
            <w:shd w:val="clear" w:color="auto" w:fill="C6EFCE"/>
            <w:noWrap/>
          </w:tcPr>
          <w:p w14:paraId="5F58753C" w14:textId="77777777" w:rsidR="0065073E" w:rsidRDefault="000A0998">
            <w:pPr>
              <w:pStyle w:val="P68B1DB1-Normal12"/>
              <w:spacing w:after="0"/>
              <w:jc w:val="center"/>
              <w:rPr>
                <w:rFonts w:eastAsia="Times New Roman" w:cs="Times New Roman"/>
                <w:noProof/>
              </w:rPr>
            </w:pPr>
            <w:r>
              <w:rPr>
                <w:noProof/>
              </w:rPr>
              <w:t>C31.I3</w:t>
            </w:r>
          </w:p>
        </w:tc>
        <w:tc>
          <w:tcPr>
            <w:tcW w:w="900" w:type="dxa"/>
            <w:shd w:val="clear" w:color="auto" w:fill="C6EFCE"/>
            <w:noWrap/>
          </w:tcPr>
          <w:p w14:paraId="5F96617A" w14:textId="77777777" w:rsidR="0065073E" w:rsidRDefault="000A0998">
            <w:pPr>
              <w:pStyle w:val="P68B1DB1-Normal12"/>
              <w:spacing w:after="0"/>
              <w:jc w:val="center"/>
              <w:rPr>
                <w:rFonts w:eastAsia="Times New Roman" w:cs="Times New Roman"/>
                <w:noProof/>
              </w:rPr>
            </w:pPr>
            <w:r>
              <w:rPr>
                <w:noProof/>
              </w:rPr>
              <w:t>T</w:t>
            </w:r>
          </w:p>
        </w:tc>
        <w:tc>
          <w:tcPr>
            <w:tcW w:w="2296" w:type="dxa"/>
            <w:shd w:val="clear" w:color="auto" w:fill="C6EFCE"/>
            <w:noWrap/>
          </w:tcPr>
          <w:p w14:paraId="272667A1" w14:textId="7099706D" w:rsidR="0065073E" w:rsidRDefault="000A0998">
            <w:pPr>
              <w:pStyle w:val="P68B1DB1-Normal12"/>
              <w:spacing w:after="0"/>
              <w:rPr>
                <w:rFonts w:eastAsia="Times New Roman" w:cs="Times New Roman"/>
                <w:noProof/>
              </w:rPr>
            </w:pPr>
            <w:r>
              <w:rPr>
                <w:noProof/>
              </w:rPr>
              <w:t>Arvoketjun tukijärjestelmä: Lopullisten edunsaajien kanssa allekirjoitetut oikeudelliset sopimukset tai lopulliset myöntämispäätökset julkaistu (II)</w:t>
            </w:r>
          </w:p>
        </w:tc>
        <w:tc>
          <w:tcPr>
            <w:tcW w:w="1215" w:type="dxa"/>
            <w:shd w:val="clear" w:color="auto" w:fill="C6EFCE"/>
            <w:noWrap/>
          </w:tcPr>
          <w:p w14:paraId="07624AF5" w14:textId="71BF0842" w:rsidR="0065073E" w:rsidRDefault="000A0998">
            <w:pPr>
              <w:pStyle w:val="P68B1DB1-Normal12"/>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60E246B5" w14:textId="48ACB16E"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63BF8650" w14:textId="241FA0B4" w:rsidR="0065073E" w:rsidRDefault="000A0998">
            <w:pPr>
              <w:pStyle w:val="P68B1DB1-Normal12"/>
              <w:spacing w:after="0"/>
              <w:jc w:val="right"/>
              <w:rPr>
                <w:rFonts w:eastAsia="Times New Roman" w:cs="Times New Roman"/>
                <w:noProof/>
              </w:rPr>
            </w:pPr>
            <w:r>
              <w:rPr>
                <w:noProof/>
              </w:rPr>
              <w:t>50 %</w:t>
            </w:r>
          </w:p>
        </w:tc>
        <w:tc>
          <w:tcPr>
            <w:tcW w:w="556" w:type="dxa"/>
            <w:shd w:val="clear" w:color="auto" w:fill="C6EFCE"/>
            <w:noWrap/>
          </w:tcPr>
          <w:p w14:paraId="45908EDE" w14:textId="6C64E7C3" w:rsidR="0065073E" w:rsidRDefault="000A0998">
            <w:pPr>
              <w:pStyle w:val="P68B1DB1-Normal12"/>
              <w:spacing w:after="0"/>
              <w:jc w:val="right"/>
              <w:rPr>
                <w:rFonts w:eastAsia="Times New Roman" w:cs="Times New Roman"/>
                <w:noProof/>
              </w:rPr>
            </w:pPr>
            <w:r>
              <w:rPr>
                <w:noProof/>
              </w:rPr>
              <w:t>100 %</w:t>
            </w:r>
          </w:p>
        </w:tc>
        <w:tc>
          <w:tcPr>
            <w:tcW w:w="426" w:type="dxa"/>
            <w:shd w:val="clear" w:color="auto" w:fill="C6EFCE"/>
            <w:noWrap/>
          </w:tcPr>
          <w:p w14:paraId="55C5B263" w14:textId="497AFAEF" w:rsidR="0065073E" w:rsidRDefault="000A0998">
            <w:pPr>
              <w:pStyle w:val="P68B1DB1-Normal12"/>
              <w:spacing w:after="0"/>
              <w:jc w:val="center"/>
              <w:rPr>
                <w:rFonts w:eastAsia="Times New Roman" w:cs="Times New Roman"/>
                <w:noProof/>
                <w:highlight w:val="yellow"/>
              </w:rPr>
            </w:pPr>
            <w:r>
              <w:rPr>
                <w:noProof/>
              </w:rPr>
              <w:t>Q3</w:t>
            </w:r>
          </w:p>
        </w:tc>
        <w:tc>
          <w:tcPr>
            <w:tcW w:w="502" w:type="dxa"/>
            <w:shd w:val="clear" w:color="auto" w:fill="C6EFCE"/>
            <w:noWrap/>
          </w:tcPr>
          <w:p w14:paraId="1C5974B5" w14:textId="4B6307CC" w:rsidR="0065073E" w:rsidRDefault="000A0998">
            <w:pPr>
              <w:pStyle w:val="P68B1DB1-Normal12"/>
              <w:spacing w:after="0"/>
              <w:jc w:val="center"/>
              <w:rPr>
                <w:rFonts w:eastAsia="Times New Roman" w:cs="Times New Roman"/>
                <w:noProof/>
                <w:highlight w:val="yellow"/>
              </w:rPr>
            </w:pPr>
            <w:r>
              <w:rPr>
                <w:noProof/>
              </w:rPr>
              <w:t>2026</w:t>
            </w:r>
          </w:p>
        </w:tc>
        <w:tc>
          <w:tcPr>
            <w:tcW w:w="6900" w:type="dxa"/>
            <w:gridSpan w:val="2"/>
            <w:shd w:val="clear" w:color="auto" w:fill="C6EFCE"/>
            <w:noWrap/>
          </w:tcPr>
          <w:p w14:paraId="2EDEF715" w14:textId="0DF98E0D" w:rsidR="0065073E" w:rsidRDefault="000A0998">
            <w:pPr>
              <w:pStyle w:val="P68B1DB1-Normal12"/>
              <w:spacing w:after="0"/>
              <w:rPr>
                <w:rFonts w:eastAsia="Times New Roman" w:cs="Times New Roman"/>
                <w:noProof/>
              </w:rPr>
            </w:pPr>
            <w:r>
              <w:rPr>
                <w:noProof/>
              </w:rPr>
              <w:t>IDAE on julkaissut lopulliset myöntämispäätökset tai lopullisten edunsaajien kanssa tehdyt rahoitussopimukset, jotka koskevat vähintään 100:aa prosenttia elpymis- ja palautumistukivälineen investoinneista tukijärjestelmään (välilliset kustannukset mukaan luettuina). IDAE:n on varmistettava, että vähintään 90 prosentilla tästä rahoituksesta edistetään ilmastotavoitteita elpymis- ja palautumistukivälinettä koskevan asetuksen liitteessä VI esitettyä menetelmää käyttäen.</w:t>
            </w:r>
          </w:p>
        </w:tc>
      </w:tr>
      <w:tr w:rsidR="0065073E" w14:paraId="17361FC2" w14:textId="77777777">
        <w:trPr>
          <w:trHeight w:val="309"/>
        </w:trPr>
        <w:tc>
          <w:tcPr>
            <w:tcW w:w="815" w:type="dxa"/>
            <w:shd w:val="clear" w:color="auto" w:fill="C6EFCE"/>
            <w:noWrap/>
          </w:tcPr>
          <w:p w14:paraId="7120F279" w14:textId="48B38B84" w:rsidR="0065073E" w:rsidRDefault="000A0998">
            <w:pPr>
              <w:pStyle w:val="P68B1DB1-Normal12"/>
              <w:spacing w:after="0"/>
              <w:jc w:val="center"/>
              <w:rPr>
                <w:rFonts w:eastAsia="Times New Roman" w:cs="Times New Roman"/>
                <w:noProof/>
              </w:rPr>
            </w:pPr>
            <w:r>
              <w:rPr>
                <w:noProof/>
              </w:rPr>
              <w:t>488</w:t>
            </w:r>
          </w:p>
        </w:tc>
        <w:tc>
          <w:tcPr>
            <w:tcW w:w="804" w:type="dxa"/>
            <w:shd w:val="clear" w:color="auto" w:fill="C6EFCE"/>
            <w:noWrap/>
          </w:tcPr>
          <w:p w14:paraId="180307E4" w14:textId="77777777" w:rsidR="0065073E" w:rsidRDefault="000A0998">
            <w:pPr>
              <w:pStyle w:val="P68B1DB1-Normal12"/>
              <w:spacing w:after="0"/>
              <w:jc w:val="center"/>
              <w:rPr>
                <w:rFonts w:eastAsia="Times New Roman" w:cs="Times New Roman"/>
                <w:noProof/>
              </w:rPr>
            </w:pPr>
            <w:r>
              <w:rPr>
                <w:noProof/>
              </w:rPr>
              <w:t>C31.I4</w:t>
            </w:r>
          </w:p>
        </w:tc>
        <w:tc>
          <w:tcPr>
            <w:tcW w:w="900" w:type="dxa"/>
            <w:shd w:val="clear" w:color="auto" w:fill="C6EFCE"/>
            <w:noWrap/>
          </w:tcPr>
          <w:p w14:paraId="47527A16"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42228A0A" w14:textId="77777777" w:rsidR="0065073E" w:rsidRDefault="000A0998">
            <w:pPr>
              <w:pStyle w:val="P68B1DB1-Normal12"/>
              <w:spacing w:after="0"/>
              <w:rPr>
                <w:rFonts w:eastAsia="Times New Roman" w:cs="Times New Roman"/>
                <w:noProof/>
              </w:rPr>
            </w:pPr>
            <w:r>
              <w:rPr>
                <w:noProof/>
              </w:rPr>
              <w:t>Sähkönsiirtohankkeiden valintaperusteiden julkaiseminen</w:t>
            </w:r>
          </w:p>
        </w:tc>
        <w:tc>
          <w:tcPr>
            <w:tcW w:w="1215" w:type="dxa"/>
            <w:shd w:val="clear" w:color="auto" w:fill="C6EFCE"/>
            <w:noWrap/>
          </w:tcPr>
          <w:p w14:paraId="421678A0" w14:textId="77777777" w:rsidR="0065073E" w:rsidRDefault="000A0998">
            <w:pPr>
              <w:pStyle w:val="P68B1DB1-Normal12"/>
              <w:spacing w:after="0"/>
              <w:jc w:val="center"/>
              <w:rPr>
                <w:rFonts w:eastAsia="Times New Roman" w:cs="Times New Roman"/>
                <w:noProof/>
              </w:rPr>
            </w:pPr>
            <w:r>
              <w:rPr>
                <w:noProof/>
              </w:rPr>
              <w:t>Asiaa koskevan säädöksen voimaantulo</w:t>
            </w:r>
          </w:p>
        </w:tc>
        <w:tc>
          <w:tcPr>
            <w:tcW w:w="600" w:type="dxa"/>
            <w:shd w:val="clear" w:color="auto" w:fill="C6EFCE"/>
            <w:noWrap/>
          </w:tcPr>
          <w:p w14:paraId="731E678A"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70771C08"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247B4556"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281FB369" w14:textId="77777777" w:rsidR="0065073E" w:rsidRDefault="000A0998">
            <w:pPr>
              <w:pStyle w:val="P68B1DB1-Normal12"/>
              <w:spacing w:after="0"/>
              <w:jc w:val="center"/>
              <w:rPr>
                <w:rFonts w:eastAsia="Times New Roman" w:cs="Times New Roman"/>
                <w:noProof/>
              </w:rPr>
            </w:pPr>
            <w:r>
              <w:rPr>
                <w:noProof/>
              </w:rPr>
              <w:t>ENSIMMÄINEN VUOSINELJÄNNES</w:t>
            </w:r>
          </w:p>
        </w:tc>
        <w:tc>
          <w:tcPr>
            <w:tcW w:w="502" w:type="dxa"/>
            <w:shd w:val="clear" w:color="auto" w:fill="C6EFCE"/>
            <w:noWrap/>
          </w:tcPr>
          <w:p w14:paraId="63327B57" w14:textId="77777777" w:rsidR="0065073E" w:rsidRDefault="000A0998">
            <w:pPr>
              <w:pStyle w:val="P68B1DB1-Normal12"/>
              <w:spacing w:after="0"/>
              <w:jc w:val="center"/>
              <w:rPr>
                <w:rFonts w:eastAsia="Times New Roman" w:cs="Times New Roman"/>
                <w:noProof/>
              </w:rPr>
            </w:pPr>
            <w:r>
              <w:rPr>
                <w:noProof/>
              </w:rPr>
              <w:t>2024</w:t>
            </w:r>
          </w:p>
        </w:tc>
        <w:tc>
          <w:tcPr>
            <w:tcW w:w="6900" w:type="dxa"/>
            <w:gridSpan w:val="2"/>
            <w:shd w:val="clear" w:color="auto" w:fill="C6EFCE"/>
            <w:noWrap/>
          </w:tcPr>
          <w:p w14:paraId="22B29B4A" w14:textId="39CB396D" w:rsidR="0065073E" w:rsidRDefault="000A0998">
            <w:pPr>
              <w:pStyle w:val="P68B1DB1-Normal12"/>
              <w:spacing w:after="0"/>
              <w:rPr>
                <w:rFonts w:eastAsia="Times New Roman" w:cs="Times New Roman"/>
                <w:noProof/>
              </w:rPr>
            </w:pPr>
            <w:r>
              <w:rPr>
                <w:noProof/>
              </w:rPr>
              <w:t>Tulee voimaan kuninkaan asetus, jossa vahvistetaan kelpoisuusperusteet, jotka Espanjan verkon kehittämissuunnitelmasta 2021–2026 valittavien sähkönsiirtohankkeiden on täytettävä seuraavien perusteella:</w:t>
            </w:r>
          </w:p>
          <w:p w14:paraId="38FC21D4" w14:textId="77777777" w:rsidR="0065073E" w:rsidRDefault="000A0998">
            <w:pPr>
              <w:pStyle w:val="P68B1DB1-ListParagraph13"/>
              <w:numPr>
                <w:ilvl w:val="0"/>
                <w:numId w:val="684"/>
              </w:numPr>
              <w:spacing w:after="0"/>
              <w:rPr>
                <w:rFonts w:eastAsia="Times New Roman" w:cs="Times New Roman"/>
                <w:noProof/>
              </w:rPr>
            </w:pPr>
            <w:r>
              <w:rPr>
                <w:noProof/>
              </w:rPr>
              <w:t>Hankkeet, jotka täyttävät REPowerEU-tavoitteet, ja erityisesti hankkeet, joilla edistetään uusiutuvien energialähteiden integrointia, teollisuuden hiilestä irtautumista, päästötöntä liikennettä tai sisäisiin ruuhkiin puuttumista; ja</w:t>
            </w:r>
          </w:p>
          <w:p w14:paraId="3BAA817B" w14:textId="56BD3C48" w:rsidR="0065073E" w:rsidRDefault="000A0998">
            <w:pPr>
              <w:pStyle w:val="P68B1DB1-ListParagraph13"/>
              <w:numPr>
                <w:ilvl w:val="0"/>
                <w:numId w:val="684"/>
              </w:numPr>
              <w:spacing w:after="0"/>
              <w:rPr>
                <w:rFonts w:eastAsia="Times New Roman" w:cs="Times New Roman"/>
                <w:noProof/>
              </w:rPr>
            </w:pPr>
            <w:r>
              <w:rPr>
                <w:noProof/>
              </w:rPr>
              <w:t>hankkeet, jotka on saatettava päätökseen vuoden 2026 toiseen neljännekseen mennessä.</w:t>
            </w:r>
          </w:p>
        </w:tc>
      </w:tr>
      <w:tr w:rsidR="0065073E" w14:paraId="7A14FA0D" w14:textId="77777777">
        <w:trPr>
          <w:trHeight w:val="309"/>
        </w:trPr>
        <w:tc>
          <w:tcPr>
            <w:tcW w:w="815" w:type="dxa"/>
            <w:shd w:val="clear" w:color="auto" w:fill="C6EFCE"/>
            <w:noWrap/>
          </w:tcPr>
          <w:p w14:paraId="126D0150" w14:textId="6F2C747B" w:rsidR="0065073E" w:rsidRDefault="000A0998">
            <w:pPr>
              <w:pStyle w:val="P68B1DB1-Normal12"/>
              <w:spacing w:after="0"/>
              <w:jc w:val="center"/>
              <w:rPr>
                <w:rFonts w:eastAsia="Times New Roman" w:cs="Times New Roman"/>
                <w:noProof/>
              </w:rPr>
            </w:pPr>
            <w:r>
              <w:rPr>
                <w:noProof/>
              </w:rPr>
              <w:t>489</w:t>
            </w:r>
          </w:p>
        </w:tc>
        <w:tc>
          <w:tcPr>
            <w:tcW w:w="804" w:type="dxa"/>
            <w:shd w:val="clear" w:color="auto" w:fill="C6EFCE"/>
            <w:noWrap/>
          </w:tcPr>
          <w:p w14:paraId="7AD81780" w14:textId="77777777" w:rsidR="0065073E" w:rsidRDefault="000A0998">
            <w:pPr>
              <w:pStyle w:val="P68B1DB1-Normal12"/>
              <w:spacing w:after="0"/>
              <w:jc w:val="center"/>
              <w:rPr>
                <w:rFonts w:eastAsia="Times New Roman" w:cs="Times New Roman"/>
                <w:noProof/>
              </w:rPr>
            </w:pPr>
            <w:r>
              <w:rPr>
                <w:noProof/>
              </w:rPr>
              <w:t>C31.I4</w:t>
            </w:r>
          </w:p>
        </w:tc>
        <w:tc>
          <w:tcPr>
            <w:tcW w:w="900" w:type="dxa"/>
            <w:shd w:val="clear" w:color="auto" w:fill="C6EFCE"/>
            <w:noWrap/>
          </w:tcPr>
          <w:p w14:paraId="4F0A879B"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620113C2" w14:textId="77777777" w:rsidR="0065073E" w:rsidRDefault="000A0998">
            <w:pPr>
              <w:pStyle w:val="P68B1DB1-Normal12"/>
              <w:spacing w:after="0"/>
              <w:rPr>
                <w:rFonts w:eastAsia="Times New Roman" w:cs="Times New Roman"/>
                <w:noProof/>
              </w:rPr>
            </w:pPr>
            <w:r>
              <w:rPr>
                <w:noProof/>
              </w:rPr>
              <w:t>Tuettujen sähkönsiirtohankkeiden luettelon hyväksyminen</w:t>
            </w:r>
          </w:p>
        </w:tc>
        <w:tc>
          <w:tcPr>
            <w:tcW w:w="1215" w:type="dxa"/>
            <w:shd w:val="clear" w:color="auto" w:fill="C6EFCE"/>
            <w:noWrap/>
          </w:tcPr>
          <w:p w14:paraId="5E5FDA22" w14:textId="77777777" w:rsidR="0065073E" w:rsidRDefault="000A0998">
            <w:pPr>
              <w:pStyle w:val="P68B1DB1-Normal12"/>
              <w:spacing w:after="0"/>
              <w:jc w:val="center"/>
              <w:rPr>
                <w:rFonts w:eastAsia="Times New Roman" w:cs="Times New Roman"/>
                <w:noProof/>
              </w:rPr>
            </w:pPr>
            <w:r>
              <w:rPr>
                <w:noProof/>
              </w:rPr>
              <w:t>Hankeluettelon julkaiseminen</w:t>
            </w:r>
          </w:p>
        </w:tc>
        <w:tc>
          <w:tcPr>
            <w:tcW w:w="600" w:type="dxa"/>
            <w:shd w:val="clear" w:color="auto" w:fill="C6EFCE"/>
            <w:noWrap/>
          </w:tcPr>
          <w:p w14:paraId="1E403055"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1F8AE886"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2F0726A3"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4061F968" w14:textId="77777777" w:rsidR="0065073E" w:rsidRDefault="000A0998">
            <w:pPr>
              <w:pStyle w:val="P68B1DB1-Normal12"/>
              <w:spacing w:after="0"/>
              <w:jc w:val="center"/>
              <w:rPr>
                <w:rFonts w:eastAsia="Times New Roman" w:cs="Times New Roman"/>
                <w:noProof/>
              </w:rPr>
            </w:pPr>
            <w:r>
              <w:rPr>
                <w:noProof/>
              </w:rPr>
              <w:t>Q4</w:t>
            </w:r>
          </w:p>
        </w:tc>
        <w:tc>
          <w:tcPr>
            <w:tcW w:w="502" w:type="dxa"/>
            <w:shd w:val="clear" w:color="auto" w:fill="C6EFCE"/>
            <w:noWrap/>
          </w:tcPr>
          <w:p w14:paraId="09A9DB7C" w14:textId="77777777" w:rsidR="0065073E" w:rsidRDefault="000A0998">
            <w:pPr>
              <w:pStyle w:val="P68B1DB1-Normal12"/>
              <w:spacing w:after="0"/>
              <w:jc w:val="center"/>
              <w:rPr>
                <w:rFonts w:eastAsia="Times New Roman" w:cs="Times New Roman"/>
                <w:noProof/>
              </w:rPr>
            </w:pPr>
            <w:r>
              <w:rPr>
                <w:noProof/>
              </w:rPr>
              <w:t>2024</w:t>
            </w:r>
          </w:p>
        </w:tc>
        <w:tc>
          <w:tcPr>
            <w:tcW w:w="6900" w:type="dxa"/>
            <w:gridSpan w:val="2"/>
            <w:shd w:val="clear" w:color="auto" w:fill="C6EFCE"/>
            <w:noWrap/>
          </w:tcPr>
          <w:p w14:paraId="5455C936" w14:textId="090F3F03" w:rsidR="0065073E" w:rsidRDefault="000A0998">
            <w:pPr>
              <w:pStyle w:val="P68B1DB1-Normal12"/>
              <w:spacing w:after="0"/>
              <w:rPr>
                <w:rFonts w:eastAsia="Times New Roman" w:cs="Times New Roman"/>
                <w:noProof/>
              </w:rPr>
            </w:pPr>
            <w:r>
              <w:rPr>
                <w:noProof/>
              </w:rPr>
              <w:t>Asianomainen ministeriö hyväksyy luettelon tuetuista sähkönsiirtohankkeista, joiden arvo on 931 miljoonaa euroa ja jotka täyttävät välitavoitteen 448 mukaiset valintaperusteet.</w:t>
            </w:r>
          </w:p>
        </w:tc>
      </w:tr>
      <w:tr w:rsidR="0065073E" w14:paraId="54FD447B" w14:textId="77777777">
        <w:trPr>
          <w:trHeight w:val="600"/>
        </w:trPr>
        <w:tc>
          <w:tcPr>
            <w:tcW w:w="815" w:type="dxa"/>
            <w:shd w:val="clear" w:color="auto" w:fill="C6EFCE"/>
            <w:noWrap/>
          </w:tcPr>
          <w:p w14:paraId="11C9B1F9" w14:textId="664C8CE7" w:rsidR="0065073E" w:rsidRDefault="000A0998">
            <w:pPr>
              <w:pStyle w:val="P68B1DB1-Normal12"/>
              <w:spacing w:after="0"/>
              <w:jc w:val="center"/>
              <w:rPr>
                <w:rFonts w:eastAsia="Times New Roman" w:cs="Times New Roman"/>
                <w:noProof/>
              </w:rPr>
            </w:pPr>
            <w:r>
              <w:rPr>
                <w:noProof/>
              </w:rPr>
              <w:t>490</w:t>
            </w:r>
          </w:p>
        </w:tc>
        <w:tc>
          <w:tcPr>
            <w:tcW w:w="804" w:type="dxa"/>
            <w:tcBorders>
              <w:bottom w:val="single" w:sz="4" w:space="0" w:color="auto"/>
            </w:tcBorders>
            <w:shd w:val="clear" w:color="auto" w:fill="C6EFCE"/>
            <w:noWrap/>
          </w:tcPr>
          <w:p w14:paraId="01BD4AA5" w14:textId="77777777" w:rsidR="0065073E" w:rsidRDefault="000A0998">
            <w:pPr>
              <w:pStyle w:val="P68B1DB1-Normal12"/>
              <w:spacing w:after="0"/>
              <w:jc w:val="center"/>
              <w:rPr>
                <w:rFonts w:eastAsia="Times New Roman" w:cs="Times New Roman"/>
                <w:noProof/>
              </w:rPr>
            </w:pPr>
            <w:r>
              <w:rPr>
                <w:noProof/>
              </w:rPr>
              <w:t>C31.I4</w:t>
            </w:r>
          </w:p>
        </w:tc>
        <w:tc>
          <w:tcPr>
            <w:tcW w:w="900" w:type="dxa"/>
            <w:tcBorders>
              <w:bottom w:val="single" w:sz="4" w:space="0" w:color="auto"/>
            </w:tcBorders>
            <w:shd w:val="clear" w:color="auto" w:fill="C6EFCE"/>
            <w:noWrap/>
          </w:tcPr>
          <w:p w14:paraId="55E53D5C" w14:textId="77777777" w:rsidR="0065073E" w:rsidRDefault="000A0998">
            <w:pPr>
              <w:pStyle w:val="P68B1DB1-Normal12"/>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566FCCB6" w14:textId="4466E6FC" w:rsidR="0065073E" w:rsidRDefault="000A0998">
            <w:pPr>
              <w:pStyle w:val="P68B1DB1-Normal12"/>
              <w:spacing w:after="0"/>
              <w:rPr>
                <w:rFonts w:eastAsia="Times New Roman" w:cs="Times New Roman"/>
                <w:noProof/>
              </w:rPr>
            </w:pPr>
            <w:r>
              <w:rPr>
                <w:noProof/>
              </w:rPr>
              <w:t>Tuettujen sähkönsiirtohankkeiden loppuun saattaminen</w:t>
            </w:r>
          </w:p>
        </w:tc>
        <w:tc>
          <w:tcPr>
            <w:tcW w:w="1215" w:type="dxa"/>
            <w:tcBorders>
              <w:bottom w:val="single" w:sz="4" w:space="0" w:color="auto"/>
            </w:tcBorders>
            <w:shd w:val="clear" w:color="auto" w:fill="C6EFCE"/>
            <w:noWrap/>
          </w:tcPr>
          <w:p w14:paraId="1A0D4E3E" w14:textId="77777777" w:rsidR="0065073E" w:rsidRDefault="000A0998">
            <w:pPr>
              <w:pStyle w:val="P68B1DB1-Normal12"/>
              <w:spacing w:after="0"/>
              <w:jc w:val="center"/>
              <w:rPr>
                <w:rFonts w:eastAsia="Times New Roman" w:cs="Times New Roman"/>
                <w:noProof/>
              </w:rPr>
            </w:pPr>
            <w:r>
              <w:rPr>
                <w:noProof/>
              </w:rPr>
              <w:t>Todistus valmistumisesta</w:t>
            </w:r>
          </w:p>
        </w:tc>
        <w:tc>
          <w:tcPr>
            <w:tcW w:w="600" w:type="dxa"/>
            <w:tcBorders>
              <w:bottom w:val="single" w:sz="4" w:space="0" w:color="auto"/>
            </w:tcBorders>
            <w:shd w:val="clear" w:color="auto" w:fill="C6EFCE"/>
            <w:noWrap/>
          </w:tcPr>
          <w:p w14:paraId="0B7F5820" w14:textId="77777777" w:rsidR="0065073E" w:rsidRDefault="0065073E">
            <w:pPr>
              <w:spacing w:after="0"/>
              <w:jc w:val="center"/>
              <w:rPr>
                <w:rFonts w:ascii="Times New Roman" w:eastAsia="Times New Roman" w:hAnsi="Times New Roman" w:cs="Times New Roman"/>
                <w:noProof/>
                <w:sz w:val="18"/>
              </w:rPr>
            </w:pPr>
          </w:p>
        </w:tc>
        <w:tc>
          <w:tcPr>
            <w:tcW w:w="992" w:type="dxa"/>
            <w:tcBorders>
              <w:bottom w:val="single" w:sz="4" w:space="0" w:color="auto"/>
            </w:tcBorders>
            <w:shd w:val="clear" w:color="auto" w:fill="C6EFCE"/>
            <w:noWrap/>
          </w:tcPr>
          <w:p w14:paraId="2F646E8F" w14:textId="77777777" w:rsidR="0065073E" w:rsidRDefault="0065073E">
            <w:pPr>
              <w:spacing w:after="0"/>
              <w:jc w:val="right"/>
              <w:rPr>
                <w:rFonts w:ascii="Times New Roman" w:eastAsia="Times New Roman" w:hAnsi="Times New Roman" w:cs="Times New Roman"/>
                <w:noProof/>
                <w:sz w:val="18"/>
              </w:rPr>
            </w:pPr>
          </w:p>
        </w:tc>
        <w:tc>
          <w:tcPr>
            <w:tcW w:w="556" w:type="dxa"/>
            <w:tcBorders>
              <w:bottom w:val="single" w:sz="4" w:space="0" w:color="auto"/>
            </w:tcBorders>
            <w:shd w:val="clear" w:color="auto" w:fill="C6EFCE"/>
            <w:noWrap/>
          </w:tcPr>
          <w:p w14:paraId="3AF240DC" w14:textId="77777777" w:rsidR="0065073E" w:rsidRDefault="0065073E">
            <w:pPr>
              <w:spacing w:after="0"/>
              <w:jc w:val="right"/>
              <w:rPr>
                <w:rFonts w:ascii="Times New Roman" w:eastAsia="Times New Roman" w:hAnsi="Times New Roman" w:cs="Times New Roman"/>
                <w:noProof/>
                <w:sz w:val="18"/>
              </w:rPr>
            </w:pPr>
          </w:p>
        </w:tc>
        <w:tc>
          <w:tcPr>
            <w:tcW w:w="426" w:type="dxa"/>
            <w:tcBorders>
              <w:bottom w:val="single" w:sz="4" w:space="0" w:color="auto"/>
            </w:tcBorders>
            <w:shd w:val="clear" w:color="auto" w:fill="C6EFCE"/>
            <w:noWrap/>
          </w:tcPr>
          <w:p w14:paraId="7AAF1AC0" w14:textId="3AB829F7" w:rsidR="0065073E" w:rsidRDefault="000A0998">
            <w:pPr>
              <w:pStyle w:val="P68B1DB1-Normal12"/>
              <w:spacing w:after="0"/>
              <w:jc w:val="center"/>
              <w:rPr>
                <w:rFonts w:eastAsia="Times New Roman" w:cs="Times New Roman"/>
                <w:noProof/>
              </w:rPr>
            </w:pPr>
            <w:r>
              <w:rPr>
                <w:noProof/>
              </w:rPr>
              <w:t>Q3</w:t>
            </w:r>
          </w:p>
        </w:tc>
        <w:tc>
          <w:tcPr>
            <w:tcW w:w="502" w:type="dxa"/>
            <w:tcBorders>
              <w:bottom w:val="single" w:sz="4" w:space="0" w:color="auto"/>
            </w:tcBorders>
            <w:shd w:val="clear" w:color="auto" w:fill="C6EFCE"/>
            <w:noWrap/>
          </w:tcPr>
          <w:p w14:paraId="2AA227FF" w14:textId="77777777" w:rsidR="0065073E" w:rsidRDefault="000A0998">
            <w:pPr>
              <w:pStyle w:val="P68B1DB1-Normal12"/>
              <w:spacing w:after="0"/>
              <w:jc w:val="center"/>
              <w:rPr>
                <w:rFonts w:eastAsia="Times New Roman" w:cs="Times New Roman"/>
                <w:noProof/>
              </w:rPr>
            </w:pPr>
            <w:r>
              <w:rPr>
                <w:noProof/>
              </w:rPr>
              <w:t>2026</w:t>
            </w:r>
          </w:p>
        </w:tc>
        <w:tc>
          <w:tcPr>
            <w:tcW w:w="6900" w:type="dxa"/>
            <w:gridSpan w:val="2"/>
            <w:tcBorders>
              <w:bottom w:val="single" w:sz="4" w:space="0" w:color="auto"/>
            </w:tcBorders>
            <w:shd w:val="clear" w:color="auto" w:fill="C6EFCE"/>
            <w:noWrap/>
          </w:tcPr>
          <w:p w14:paraId="29E51903" w14:textId="3E0D2734" w:rsidR="0065073E" w:rsidRDefault="000A0998">
            <w:pPr>
              <w:pStyle w:val="P68B1DB1-Normal12"/>
              <w:spacing w:after="0"/>
              <w:rPr>
                <w:rFonts w:eastAsia="Times New Roman" w:cs="Times New Roman"/>
                <w:noProof/>
              </w:rPr>
            </w:pPr>
            <w:r>
              <w:rPr>
                <w:noProof/>
              </w:rPr>
              <w:t>Hyväksyttyyn luetteloon sisältyvien tuettujen sähkönsiirtohankkeiden loppuun saattaminen välitavoitteen 489 perusteella.</w:t>
            </w:r>
          </w:p>
        </w:tc>
      </w:tr>
      <w:tr w:rsidR="0065073E" w14:paraId="2BC4AB72" w14:textId="77777777">
        <w:trPr>
          <w:trHeight w:val="309"/>
        </w:trPr>
        <w:tc>
          <w:tcPr>
            <w:tcW w:w="815" w:type="dxa"/>
            <w:shd w:val="clear" w:color="auto" w:fill="C6EFCE"/>
            <w:noWrap/>
          </w:tcPr>
          <w:p w14:paraId="13390BF6" w14:textId="65B90AC1" w:rsidR="0065073E" w:rsidRDefault="000A0998">
            <w:pPr>
              <w:pStyle w:val="P68B1DB1-Normal12"/>
              <w:spacing w:after="0"/>
              <w:jc w:val="center"/>
              <w:rPr>
                <w:rFonts w:eastAsia="Times New Roman" w:cs="Times New Roman"/>
                <w:noProof/>
              </w:rPr>
            </w:pPr>
            <w:r>
              <w:rPr>
                <w:noProof/>
              </w:rPr>
              <w:t>491</w:t>
            </w:r>
          </w:p>
        </w:tc>
        <w:tc>
          <w:tcPr>
            <w:tcW w:w="804" w:type="dxa"/>
            <w:shd w:val="clear" w:color="auto" w:fill="C6EFCE"/>
            <w:noWrap/>
          </w:tcPr>
          <w:p w14:paraId="0E8C97B7" w14:textId="77777777" w:rsidR="0065073E" w:rsidRDefault="000A0998">
            <w:pPr>
              <w:pStyle w:val="P68B1DB1-Normal12"/>
              <w:spacing w:after="0"/>
              <w:jc w:val="center"/>
              <w:rPr>
                <w:rFonts w:eastAsia="Times New Roman" w:cs="Times New Roman"/>
                <w:noProof/>
              </w:rPr>
            </w:pPr>
            <w:r>
              <w:rPr>
                <w:noProof/>
              </w:rPr>
              <w:t xml:space="preserve">C31.I5 </w:t>
            </w:r>
          </w:p>
        </w:tc>
        <w:tc>
          <w:tcPr>
            <w:tcW w:w="900" w:type="dxa"/>
            <w:shd w:val="clear" w:color="auto" w:fill="C6EFCE"/>
            <w:noWrap/>
          </w:tcPr>
          <w:p w14:paraId="42A4F590" w14:textId="77777777" w:rsidR="0065073E" w:rsidRDefault="000A0998">
            <w:pPr>
              <w:pStyle w:val="P68B1DB1-Normal12"/>
              <w:spacing w:after="0"/>
              <w:jc w:val="center"/>
              <w:rPr>
                <w:rFonts w:eastAsia="Times New Roman" w:cs="Times New Roman"/>
                <w:noProof/>
              </w:rPr>
            </w:pPr>
            <w:r>
              <w:rPr>
                <w:noProof/>
              </w:rPr>
              <w:t>M</w:t>
            </w:r>
          </w:p>
        </w:tc>
        <w:tc>
          <w:tcPr>
            <w:tcW w:w="2296" w:type="dxa"/>
            <w:shd w:val="clear" w:color="auto" w:fill="C6EFCE"/>
            <w:noWrap/>
          </w:tcPr>
          <w:p w14:paraId="4D6D63FD" w14:textId="2B483BE5" w:rsidR="0065073E" w:rsidRDefault="000A0998">
            <w:pPr>
              <w:pStyle w:val="P68B1DB1-Normal12"/>
              <w:spacing w:after="0"/>
              <w:rPr>
                <w:rFonts w:eastAsia="Times New Roman" w:cs="Times New Roman"/>
                <w:noProof/>
              </w:rPr>
            </w:pPr>
            <w:r>
              <w:rPr>
                <w:noProof/>
              </w:rPr>
              <w:t>Teollisuuden hiilestä irtautumiseen tarkoitetun tuen myöntämistä koskevien ehdotuspyyntöjen ja sääntöjen julkaiseminen</w:t>
            </w:r>
          </w:p>
        </w:tc>
        <w:tc>
          <w:tcPr>
            <w:tcW w:w="1215" w:type="dxa"/>
            <w:shd w:val="clear" w:color="auto" w:fill="C6EFCE"/>
            <w:noWrap/>
          </w:tcPr>
          <w:p w14:paraId="78A1B01B" w14:textId="77777777" w:rsidR="0065073E" w:rsidRDefault="000A0998">
            <w:pPr>
              <w:pStyle w:val="P68B1DB1-Normal12"/>
              <w:spacing w:after="0"/>
              <w:jc w:val="center"/>
              <w:rPr>
                <w:rFonts w:eastAsia="Times New Roman" w:cs="Times New Roman"/>
                <w:noProof/>
              </w:rPr>
            </w:pPr>
            <w:r>
              <w:rPr>
                <w:noProof/>
              </w:rPr>
              <w:t>Julkaiseminen</w:t>
            </w:r>
          </w:p>
        </w:tc>
        <w:tc>
          <w:tcPr>
            <w:tcW w:w="600" w:type="dxa"/>
            <w:shd w:val="clear" w:color="auto" w:fill="C6EFCE"/>
            <w:noWrap/>
          </w:tcPr>
          <w:p w14:paraId="6DEDFBC9" w14:textId="77777777" w:rsidR="0065073E" w:rsidRDefault="0065073E">
            <w:pPr>
              <w:spacing w:after="0"/>
              <w:jc w:val="center"/>
              <w:rPr>
                <w:rFonts w:ascii="Times New Roman" w:eastAsia="Times New Roman" w:hAnsi="Times New Roman" w:cs="Times New Roman"/>
                <w:noProof/>
                <w:sz w:val="18"/>
              </w:rPr>
            </w:pPr>
          </w:p>
        </w:tc>
        <w:tc>
          <w:tcPr>
            <w:tcW w:w="992" w:type="dxa"/>
            <w:shd w:val="clear" w:color="auto" w:fill="C6EFCE"/>
            <w:noWrap/>
          </w:tcPr>
          <w:p w14:paraId="5DE13126" w14:textId="77777777" w:rsidR="0065073E" w:rsidRDefault="0065073E">
            <w:pPr>
              <w:spacing w:after="0"/>
              <w:jc w:val="right"/>
              <w:rPr>
                <w:rFonts w:ascii="Times New Roman" w:eastAsia="Times New Roman" w:hAnsi="Times New Roman" w:cs="Times New Roman"/>
                <w:noProof/>
                <w:sz w:val="18"/>
              </w:rPr>
            </w:pPr>
          </w:p>
        </w:tc>
        <w:tc>
          <w:tcPr>
            <w:tcW w:w="556" w:type="dxa"/>
            <w:shd w:val="clear" w:color="auto" w:fill="C6EFCE"/>
            <w:noWrap/>
          </w:tcPr>
          <w:p w14:paraId="232764A2" w14:textId="77777777" w:rsidR="0065073E" w:rsidRDefault="0065073E">
            <w:pPr>
              <w:spacing w:after="0"/>
              <w:jc w:val="right"/>
              <w:rPr>
                <w:rFonts w:ascii="Times New Roman" w:eastAsia="Times New Roman" w:hAnsi="Times New Roman" w:cs="Times New Roman"/>
                <w:noProof/>
                <w:sz w:val="18"/>
              </w:rPr>
            </w:pPr>
          </w:p>
        </w:tc>
        <w:tc>
          <w:tcPr>
            <w:tcW w:w="426" w:type="dxa"/>
            <w:shd w:val="clear" w:color="auto" w:fill="C6EFCE"/>
            <w:noWrap/>
          </w:tcPr>
          <w:p w14:paraId="394C6EEC" w14:textId="77777777" w:rsidR="0065073E" w:rsidRDefault="000A0998">
            <w:pPr>
              <w:pStyle w:val="P68B1DB1-Normal12"/>
              <w:spacing w:after="0"/>
              <w:jc w:val="center"/>
              <w:rPr>
                <w:rFonts w:eastAsia="Times New Roman" w:cs="Times New Roman"/>
                <w:noProof/>
              </w:rPr>
            </w:pPr>
            <w:r>
              <w:rPr>
                <w:noProof/>
              </w:rPr>
              <w:t>TOINEN VUOSINELJÄNNES</w:t>
            </w:r>
          </w:p>
        </w:tc>
        <w:tc>
          <w:tcPr>
            <w:tcW w:w="502" w:type="dxa"/>
            <w:shd w:val="clear" w:color="auto" w:fill="C6EFCE"/>
            <w:noWrap/>
          </w:tcPr>
          <w:p w14:paraId="444825EE" w14:textId="77777777" w:rsidR="0065073E" w:rsidRDefault="000A0998">
            <w:pPr>
              <w:pStyle w:val="P68B1DB1-Normal12"/>
              <w:spacing w:after="0"/>
              <w:jc w:val="center"/>
              <w:rPr>
                <w:rFonts w:eastAsia="Times New Roman" w:cs="Times New Roman"/>
                <w:noProof/>
              </w:rPr>
            </w:pPr>
            <w:r>
              <w:rPr>
                <w:noProof/>
              </w:rPr>
              <w:t>2024</w:t>
            </w:r>
          </w:p>
        </w:tc>
        <w:tc>
          <w:tcPr>
            <w:tcW w:w="6900" w:type="dxa"/>
            <w:gridSpan w:val="2"/>
            <w:shd w:val="clear" w:color="auto" w:fill="C6EFCE"/>
            <w:noWrap/>
          </w:tcPr>
          <w:p w14:paraId="1EE3FF45" w14:textId="235D679B" w:rsidR="0065073E" w:rsidRDefault="000A0998">
            <w:pPr>
              <w:pStyle w:val="P68B1DB1-Normal12"/>
              <w:spacing w:after="0"/>
              <w:rPr>
                <w:rFonts w:eastAsia="Times New Roman" w:cs="Times New Roman"/>
                <w:noProof/>
              </w:rPr>
            </w:pPr>
            <w:r>
              <w:rPr>
                <w:noProof/>
              </w:rPr>
              <w:t>Ehdotuspyyntöjen hyväksyminen ja säännöt, jotka koskevat avustusten muodossa annettavaa tukea valmistusteollisuuden hiilestä irtautumista edistäville hankkeille sekä uusien erittäin tehokkaiden ja hiilettömien tuotantolaitosten kehittämiselle. Ehdotuspyynnöissä ja avustuksina myönnettävää tukea koskevissa säännöissä on varmistettava, että toimenpide on ”ei merkittävää haittaa” -periaatetta koskevien teknisten ohjeiden (2021/C58/01) mukainen käyttämällä poissulkemisluetteloa ja vaatimusta noudattaa asiaankuuluvaa EU:n ja kansallista ympäristölainsäädäntöä.</w:t>
            </w:r>
          </w:p>
        </w:tc>
      </w:tr>
      <w:tr w:rsidR="0065073E" w14:paraId="4128DA45" w14:textId="77777777">
        <w:trPr>
          <w:trHeight w:val="309"/>
        </w:trPr>
        <w:tc>
          <w:tcPr>
            <w:tcW w:w="815" w:type="dxa"/>
            <w:tcBorders>
              <w:bottom w:val="single" w:sz="4" w:space="0" w:color="4F81BD" w:themeColor="accent1"/>
            </w:tcBorders>
            <w:shd w:val="clear" w:color="auto" w:fill="C6EFCE"/>
            <w:noWrap/>
          </w:tcPr>
          <w:p w14:paraId="32F202CA" w14:textId="142D1754" w:rsidR="0065073E" w:rsidRDefault="000A0998">
            <w:pPr>
              <w:pStyle w:val="P68B1DB1-Normal12"/>
              <w:spacing w:after="0"/>
              <w:jc w:val="center"/>
              <w:rPr>
                <w:rFonts w:eastAsia="Times New Roman" w:cs="Times New Roman"/>
                <w:noProof/>
              </w:rPr>
            </w:pPr>
            <w:r>
              <w:rPr>
                <w:noProof/>
              </w:rPr>
              <w:t>492</w:t>
            </w:r>
          </w:p>
        </w:tc>
        <w:tc>
          <w:tcPr>
            <w:tcW w:w="804" w:type="dxa"/>
            <w:tcBorders>
              <w:bottom w:val="single" w:sz="4" w:space="0" w:color="auto"/>
            </w:tcBorders>
            <w:shd w:val="clear" w:color="auto" w:fill="C6EFCE"/>
            <w:noWrap/>
          </w:tcPr>
          <w:p w14:paraId="0961D913" w14:textId="77777777" w:rsidR="0065073E" w:rsidRDefault="000A0998">
            <w:pPr>
              <w:pStyle w:val="P68B1DB1-Normal12"/>
              <w:spacing w:after="0"/>
              <w:jc w:val="center"/>
              <w:rPr>
                <w:rFonts w:eastAsia="Times New Roman" w:cs="Times New Roman"/>
                <w:noProof/>
              </w:rPr>
            </w:pPr>
            <w:r>
              <w:rPr>
                <w:noProof/>
              </w:rPr>
              <w:t>C31.I5</w:t>
            </w:r>
          </w:p>
        </w:tc>
        <w:tc>
          <w:tcPr>
            <w:tcW w:w="900" w:type="dxa"/>
            <w:tcBorders>
              <w:bottom w:val="single" w:sz="4" w:space="0" w:color="auto"/>
            </w:tcBorders>
            <w:shd w:val="clear" w:color="auto" w:fill="C6EFCE"/>
            <w:noWrap/>
          </w:tcPr>
          <w:p w14:paraId="09D171A4" w14:textId="77777777" w:rsidR="0065073E" w:rsidRDefault="000A0998">
            <w:pPr>
              <w:pStyle w:val="P68B1DB1-Normal12"/>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43015BD9" w14:textId="5C160BFE" w:rsidR="0065073E" w:rsidRDefault="000A0998">
            <w:pPr>
              <w:pStyle w:val="P68B1DB1-Normal12"/>
              <w:spacing w:after="0"/>
              <w:rPr>
                <w:rFonts w:eastAsia="Times New Roman" w:cs="Times New Roman"/>
                <w:noProof/>
              </w:rPr>
            </w:pPr>
            <w:r>
              <w:rPr>
                <w:noProof/>
              </w:rPr>
              <w:t xml:space="preserve">Hiilestä irtautumista koskeville hankkeille myönnettävien palkintojen julkaiseminen </w:t>
            </w:r>
          </w:p>
        </w:tc>
        <w:tc>
          <w:tcPr>
            <w:tcW w:w="1215" w:type="dxa"/>
            <w:tcBorders>
              <w:bottom w:val="single" w:sz="4" w:space="0" w:color="auto"/>
            </w:tcBorders>
            <w:shd w:val="clear" w:color="auto" w:fill="C6EFCE"/>
            <w:noWrap/>
          </w:tcPr>
          <w:p w14:paraId="262D614F" w14:textId="77777777" w:rsidR="0065073E" w:rsidRDefault="000A0998">
            <w:pPr>
              <w:pStyle w:val="P68B1DB1-Normal12"/>
              <w:spacing w:after="0"/>
              <w:jc w:val="center"/>
              <w:rPr>
                <w:rFonts w:eastAsia="Times New Roman" w:cs="Times New Roman"/>
                <w:noProof/>
              </w:rPr>
            </w:pPr>
            <w:r>
              <w:rPr>
                <w:noProof/>
              </w:rPr>
              <w:t>Myöntämispäätösten julkaiseminen</w:t>
            </w:r>
          </w:p>
        </w:tc>
        <w:tc>
          <w:tcPr>
            <w:tcW w:w="600" w:type="dxa"/>
            <w:tcBorders>
              <w:bottom w:val="single" w:sz="4" w:space="0" w:color="auto"/>
            </w:tcBorders>
            <w:shd w:val="clear" w:color="auto" w:fill="C6EFCE"/>
            <w:noWrap/>
          </w:tcPr>
          <w:p w14:paraId="00EBF89E" w14:textId="77777777" w:rsidR="0065073E" w:rsidRDefault="000A0998">
            <w:pPr>
              <w:pStyle w:val="P68B1DB1-Normal12"/>
              <w:spacing w:after="0"/>
              <w:jc w:val="center"/>
              <w:rPr>
                <w:rFonts w:eastAsia="Times New Roman" w:cs="Times New Roman"/>
                <w:noProof/>
              </w:rPr>
            </w:pPr>
            <w:r>
              <w:rPr>
                <w:noProof/>
              </w:rPr>
              <w:t>Miljoonaa</w:t>
            </w:r>
          </w:p>
          <w:p w14:paraId="35FAE67F" w14:textId="5157125C" w:rsidR="0065073E" w:rsidRDefault="000A0998">
            <w:pPr>
              <w:pStyle w:val="P68B1DB1-Normal12"/>
              <w:spacing w:after="0"/>
              <w:jc w:val="center"/>
              <w:rPr>
                <w:rFonts w:eastAsia="Times New Roman" w:cs="Times New Roman"/>
                <w:noProof/>
              </w:rPr>
            </w:pPr>
            <w:r>
              <w:rPr>
                <w:noProof/>
              </w:rPr>
              <w:t>EUR</w:t>
            </w:r>
          </w:p>
        </w:tc>
        <w:tc>
          <w:tcPr>
            <w:tcW w:w="992" w:type="dxa"/>
            <w:tcBorders>
              <w:bottom w:val="single" w:sz="4" w:space="0" w:color="auto"/>
            </w:tcBorders>
            <w:shd w:val="clear" w:color="auto" w:fill="C6EFCE"/>
            <w:noWrap/>
          </w:tcPr>
          <w:p w14:paraId="756964F5" w14:textId="365F2A8E" w:rsidR="0065073E" w:rsidRDefault="000A0998">
            <w:pPr>
              <w:pStyle w:val="P68B1DB1-Normal12"/>
              <w:spacing w:after="0"/>
              <w:jc w:val="right"/>
              <w:rPr>
                <w:rFonts w:eastAsia="Times New Roman" w:cs="Times New Roman"/>
                <w:noProof/>
              </w:rPr>
            </w:pPr>
            <w:r>
              <w:rPr>
                <w:noProof/>
              </w:rPr>
              <w:t>0</w:t>
            </w:r>
          </w:p>
        </w:tc>
        <w:tc>
          <w:tcPr>
            <w:tcW w:w="556" w:type="dxa"/>
            <w:tcBorders>
              <w:bottom w:val="single" w:sz="4" w:space="0" w:color="auto"/>
            </w:tcBorders>
            <w:shd w:val="clear" w:color="auto" w:fill="C6EFCE"/>
            <w:noWrap/>
          </w:tcPr>
          <w:p w14:paraId="67530E80" w14:textId="059A78AF" w:rsidR="0065073E" w:rsidRDefault="000A0998">
            <w:pPr>
              <w:pStyle w:val="P68B1DB1-Normal12"/>
              <w:spacing w:after="0"/>
              <w:jc w:val="right"/>
              <w:rPr>
                <w:rFonts w:eastAsia="Times New Roman" w:cs="Times New Roman"/>
                <w:noProof/>
              </w:rPr>
            </w:pPr>
            <w:r>
              <w:rPr>
                <w:noProof/>
              </w:rPr>
              <w:t>531</w:t>
            </w:r>
          </w:p>
        </w:tc>
        <w:tc>
          <w:tcPr>
            <w:tcW w:w="426" w:type="dxa"/>
            <w:tcBorders>
              <w:bottom w:val="single" w:sz="4" w:space="0" w:color="auto"/>
            </w:tcBorders>
            <w:shd w:val="clear" w:color="auto" w:fill="C6EFCE"/>
            <w:noWrap/>
          </w:tcPr>
          <w:p w14:paraId="78603C4F" w14:textId="77777777" w:rsidR="0065073E" w:rsidRDefault="000A0998">
            <w:pPr>
              <w:pStyle w:val="P68B1DB1-Normal12"/>
              <w:spacing w:after="0"/>
              <w:jc w:val="center"/>
              <w:rPr>
                <w:rFonts w:eastAsia="Times New Roman" w:cs="Times New Roman"/>
                <w:noProof/>
              </w:rPr>
            </w:pPr>
            <w:r>
              <w:rPr>
                <w:noProof/>
              </w:rPr>
              <w:t>Q4</w:t>
            </w:r>
          </w:p>
        </w:tc>
        <w:tc>
          <w:tcPr>
            <w:tcW w:w="502" w:type="dxa"/>
            <w:tcBorders>
              <w:bottom w:val="single" w:sz="4" w:space="0" w:color="auto"/>
            </w:tcBorders>
            <w:shd w:val="clear" w:color="auto" w:fill="C6EFCE"/>
            <w:noWrap/>
          </w:tcPr>
          <w:p w14:paraId="1EF68D8D" w14:textId="77777777" w:rsidR="0065073E" w:rsidRDefault="000A0998">
            <w:pPr>
              <w:pStyle w:val="P68B1DB1-Normal12"/>
              <w:spacing w:after="0"/>
              <w:jc w:val="center"/>
              <w:rPr>
                <w:rFonts w:eastAsia="Times New Roman" w:cs="Times New Roman"/>
                <w:noProof/>
              </w:rPr>
            </w:pPr>
            <w:r>
              <w:rPr>
                <w:noProof/>
              </w:rPr>
              <w:t>2024</w:t>
            </w:r>
          </w:p>
        </w:tc>
        <w:tc>
          <w:tcPr>
            <w:tcW w:w="6900" w:type="dxa"/>
            <w:gridSpan w:val="2"/>
            <w:tcBorders>
              <w:bottom w:val="single" w:sz="4" w:space="0" w:color="auto"/>
            </w:tcBorders>
            <w:shd w:val="clear" w:color="auto" w:fill="C6EFCE"/>
            <w:noWrap/>
          </w:tcPr>
          <w:p w14:paraId="693F6C41" w14:textId="7AC573FC" w:rsidR="0065073E" w:rsidRDefault="000A0998">
            <w:pPr>
              <w:spacing w:after="0"/>
              <w:rPr>
                <w:rFonts w:ascii="Times New Roman" w:eastAsia="Times New Roman" w:hAnsi="Times New Roman" w:cs="Times New Roman"/>
                <w:noProof/>
                <w:sz w:val="18"/>
              </w:rPr>
            </w:pPr>
            <w:r>
              <w:rPr>
                <w:rFonts w:ascii="Times New Roman" w:hAnsi="Times New Roman"/>
                <w:noProof/>
                <w:sz w:val="18"/>
              </w:rPr>
              <w:t>Lopullisille tuensaajille on myönnetty vähintään 531000000 euroa (vähintään 40 prosenttia kaikista varoista, joilla edistetään ilmastotavoitteita elpymis- ja palautumistukivälinettä koskevan asetuksen liitteessä VI esitettyä menetelmää käyttäen).</w:t>
            </w:r>
            <w:r>
              <w:rPr>
                <w:noProof/>
              </w:rPr>
              <w:t xml:space="preserve"> </w:t>
            </w:r>
          </w:p>
        </w:tc>
      </w:tr>
      <w:tr w:rsidR="0065073E" w14:paraId="75E9CC47" w14:textId="77777777">
        <w:trPr>
          <w:trHeight w:val="309"/>
        </w:trPr>
        <w:tc>
          <w:tcPr>
            <w:tcW w:w="815"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65073E" w:rsidRDefault="000A0998">
            <w:pPr>
              <w:pStyle w:val="P68B1DB1-Normal12"/>
              <w:spacing w:after="0"/>
              <w:jc w:val="center"/>
              <w:rPr>
                <w:rFonts w:eastAsia="Times New Roman" w:cs="Times New Roman"/>
                <w:noProof/>
              </w:rPr>
            </w:pPr>
            <w:r>
              <w:rPr>
                <w:noProof/>
              </w:rPr>
              <w:t>493</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65073E" w:rsidRDefault="000A0998">
            <w:pPr>
              <w:pStyle w:val="P68B1DB1-Normal12"/>
              <w:spacing w:after="0"/>
              <w:jc w:val="center"/>
              <w:rPr>
                <w:rFonts w:eastAsia="Times New Roman" w:cs="Times New Roman"/>
                <w:noProof/>
              </w:rPr>
            </w:pPr>
            <w:r>
              <w:rPr>
                <w:noProof/>
              </w:rPr>
              <w:t>C31.I5</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65073E" w:rsidRDefault="000A0998">
            <w:pPr>
              <w:pStyle w:val="P68B1DB1-Normal12"/>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65073E" w:rsidRDefault="000A0998">
            <w:pPr>
              <w:pStyle w:val="P68B1DB1-Normal12"/>
              <w:spacing w:after="0"/>
              <w:rPr>
                <w:rFonts w:eastAsia="Times New Roman" w:cs="Times New Roman"/>
                <w:noProof/>
              </w:rPr>
            </w:pPr>
            <w:r>
              <w:rPr>
                <w:noProof/>
              </w:rPr>
              <w:t>Hiilestä irtautumista koskevien hankkeiden loppuun saattaminen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65073E" w:rsidRDefault="000A0998">
            <w:pPr>
              <w:pStyle w:val="P68B1DB1-Normal12"/>
              <w:spacing w:after="0"/>
              <w:jc w:val="center"/>
              <w:rPr>
                <w:rFonts w:eastAsia="Times New Roman" w:cs="Times New Roman"/>
                <w:noProof/>
              </w:rPr>
            </w:pPr>
            <w:r>
              <w:rPr>
                <w:noProof/>
              </w:rPr>
              <w:t>Todistus valmistumisesta</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65073E" w:rsidRDefault="0065073E">
            <w:pPr>
              <w:spacing w:after="0"/>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65073E" w:rsidRDefault="0065073E">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65073E" w:rsidRDefault="0065073E">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65073E" w:rsidRDefault="000A0998">
            <w:pPr>
              <w:pStyle w:val="P68B1DB1-Normal12"/>
              <w:spacing w:after="0"/>
              <w:jc w:val="center"/>
              <w:rPr>
                <w:rFonts w:eastAsia="Times New Roman" w:cs="Times New Roman"/>
                <w:noProof/>
              </w:rPr>
            </w:pPr>
            <w:r>
              <w:rPr>
                <w:noProof/>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65073E" w:rsidRDefault="000A0998">
            <w:pPr>
              <w:pStyle w:val="P68B1DB1-Normal12"/>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65073E" w:rsidRDefault="000A0998">
            <w:pPr>
              <w:pStyle w:val="P68B1DB1-Normal12"/>
              <w:spacing w:after="0"/>
              <w:rPr>
                <w:rFonts w:eastAsia="Times New Roman" w:cs="Times New Roman"/>
                <w:noProof/>
              </w:rPr>
            </w:pPr>
            <w:r>
              <w:rPr>
                <w:noProof/>
              </w:rPr>
              <w:t xml:space="preserve">Hankkeiden loppuun saattaminen siten, että kokonaisbudjetti on vähintään 531000000 euroa. </w:t>
            </w:r>
          </w:p>
        </w:tc>
      </w:tr>
      <w:tr w:rsidR="0065073E" w14:paraId="0F90CD58" w14:textId="77777777">
        <w:trPr>
          <w:trHeight w:val="309"/>
        </w:trPr>
        <w:tc>
          <w:tcPr>
            <w:tcW w:w="815"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65073E" w:rsidRDefault="000A0998">
            <w:pPr>
              <w:pStyle w:val="P68B1DB1-Normal12"/>
              <w:jc w:val="center"/>
              <w:rPr>
                <w:rFonts w:eastAsia="Times New Roman" w:cs="Times New Roman"/>
                <w:noProof/>
              </w:rPr>
            </w:pPr>
            <w:r>
              <w:rPr>
                <w:noProof/>
              </w:rPr>
              <w:t>494</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65073E" w:rsidRDefault="000A0998">
            <w:pPr>
              <w:pStyle w:val="P68B1DB1-Normal12"/>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65073E" w:rsidRDefault="000A0998">
            <w:pPr>
              <w:pStyle w:val="P68B1DB1-Normal12"/>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17E84857" w:rsidR="0065073E" w:rsidRDefault="000A0998">
            <w:pPr>
              <w:pStyle w:val="P68B1DB1-Normal12"/>
              <w:rPr>
                <w:rFonts w:eastAsia="Times New Roman" w:cs="Times New Roman"/>
                <w:noProof/>
              </w:rPr>
            </w:pPr>
            <w:r>
              <w:rPr>
                <w:noProof/>
              </w:rPr>
              <w:t>Teollisuuden hiilestä irtautumista koskeva tukijärjestelmä: SEPIDESin muuttaminen julkiseksi yritykseksi</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77777777" w:rsidR="0065073E" w:rsidRDefault="000A0998">
            <w:pPr>
              <w:pStyle w:val="P68B1DB1-Normal12"/>
              <w:jc w:val="center"/>
              <w:rPr>
                <w:rFonts w:eastAsia="Times New Roman" w:cs="Times New Roman"/>
                <w:noProof/>
              </w:rPr>
            </w:pPr>
            <w:r>
              <w:rPr>
                <w:noProof/>
              </w:rPr>
              <w:t>Säädöksen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65073E" w:rsidRDefault="0065073E">
            <w:pPr>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65073E" w:rsidRDefault="0065073E">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65073E" w:rsidRDefault="0065073E">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65073E" w:rsidRDefault="000A0998">
            <w:pPr>
              <w:pStyle w:val="P68B1DB1-Normal12"/>
              <w:jc w:val="center"/>
              <w:rPr>
                <w:rFonts w:eastAsia="Times New Roman" w:cs="Times New Roman"/>
                <w:noProof/>
              </w:rPr>
            </w:pPr>
            <w:r>
              <w:rPr>
                <w:noProof/>
              </w:rPr>
              <w:t>TOINEN VUOSINELJÄNNES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65073E" w:rsidRDefault="000A0998">
            <w:pPr>
              <w:pStyle w:val="P68B1DB1-Normal12"/>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1F8BBA94" w:rsidR="0065073E" w:rsidRDefault="000A0998">
            <w:pPr>
              <w:pStyle w:val="P68B1DB1-Normal12"/>
              <w:rPr>
                <w:rFonts w:eastAsia="Times New Roman" w:cs="Times New Roman"/>
                <w:noProof/>
              </w:rPr>
            </w:pPr>
            <w:r>
              <w:rPr>
                <w:noProof/>
              </w:rPr>
              <w:t>Sellaisen säädöksen voimaantulo, jolla SEPIDES muutetaan tukijärjestelmän täytäntöönpanoa koskevaksi julkiseksi yritykseksi</w:t>
            </w:r>
          </w:p>
        </w:tc>
      </w:tr>
      <w:tr w:rsidR="0065073E" w14:paraId="6663D00E" w14:textId="77777777">
        <w:trPr>
          <w:trHeight w:val="309"/>
        </w:trPr>
        <w:tc>
          <w:tcPr>
            <w:tcW w:w="815"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65073E" w:rsidRDefault="000A0998">
            <w:pPr>
              <w:jc w:val="center"/>
              <w:rPr>
                <w:rFonts w:ascii="Times New Roman" w:eastAsia="Times New Roman" w:hAnsi="Times New Roman" w:cs="Times New Roman"/>
                <w:noProof/>
                <w:sz w:val="18"/>
              </w:rPr>
            </w:pPr>
            <w:r>
              <w:rPr>
                <w:rStyle w:val="normaltextrun"/>
                <w:rFonts w:ascii="Times New Roman" w:hAnsi="Times New Roman"/>
                <w:noProof/>
                <w:sz w:val="18"/>
              </w:rPr>
              <w:t>497</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65073E" w:rsidRDefault="000A0998">
            <w:pPr>
              <w:pStyle w:val="P68B1DB1-Normal12"/>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65073E" w:rsidRDefault="000A0998">
            <w:pPr>
              <w:pStyle w:val="P68B1DB1-Normal12"/>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65073E" w:rsidRDefault="000A0998">
            <w:pPr>
              <w:pStyle w:val="P68B1DB1-Normal12"/>
              <w:rPr>
                <w:rFonts w:eastAsia="Times New Roman" w:cs="Times New Roman"/>
                <w:noProof/>
              </w:rPr>
            </w:pPr>
            <w:r>
              <w:rPr>
                <w:noProof/>
              </w:rPr>
              <w:t>Teollisuuden hiilestä irtautumista koskeva tukijärjestelmä: Ministeriö on saanut investoinnin päätökseen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59A466DF" w:rsidR="0065073E" w:rsidRDefault="000A0998">
            <w:pPr>
              <w:pStyle w:val="P68B1DB1-Normal12"/>
              <w:jc w:val="center"/>
              <w:rPr>
                <w:rFonts w:eastAsia="Times New Roman" w:cs="Times New Roman"/>
                <w:noProof/>
              </w:rPr>
            </w:pPr>
            <w:r>
              <w:rPr>
                <w:noProof/>
              </w:rPr>
              <w:t>Todistus maksun suorittamisesta SEPIDES-järjestelmään</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65073E" w:rsidRDefault="0065073E">
            <w:pPr>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65073E" w:rsidRDefault="0065073E">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65073E" w:rsidRDefault="0065073E">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65073E" w:rsidRDefault="000A0998">
            <w:pPr>
              <w:pStyle w:val="P68B1DB1-Normal12"/>
              <w:jc w:val="center"/>
              <w:rPr>
                <w:rFonts w:eastAsia="Times New Roman" w:cs="Times New Roman"/>
                <w:noProof/>
              </w:rPr>
            </w:pPr>
            <w:r>
              <w:rPr>
                <w:noProof/>
              </w:rPr>
              <w:t>TOINEN VUOSINELJÄNNES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65073E" w:rsidRDefault="000A0998">
            <w:pPr>
              <w:pStyle w:val="P68B1DB1-Normal12"/>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7A45E09E" w:rsidR="0065073E" w:rsidRDefault="000A0998">
            <w:pPr>
              <w:pStyle w:val="P68B1DB1-Normal12"/>
              <w:rPr>
                <w:rFonts w:eastAsia="Times New Roman" w:cs="Times New Roman"/>
                <w:noProof/>
              </w:rPr>
            </w:pPr>
            <w:r>
              <w:rPr>
                <w:noProof/>
              </w:rPr>
              <w:t>Espanjan on siirrettävä SEPIDES-järjestelmään 430000000 euroa ohjelmaa varten.</w:t>
            </w:r>
          </w:p>
        </w:tc>
      </w:tr>
      <w:tr w:rsidR="0065073E" w14:paraId="0B256555" w14:textId="77777777">
        <w:trPr>
          <w:trHeight w:val="309"/>
        </w:trPr>
        <w:tc>
          <w:tcPr>
            <w:tcW w:w="815"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495</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65073E" w:rsidRDefault="000A0998">
            <w:pPr>
              <w:pStyle w:val="P68B1DB1-Normal12"/>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65073E" w:rsidRDefault="000A0998">
            <w:pPr>
              <w:pStyle w:val="P68B1DB1-Normal12"/>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65073E" w:rsidRDefault="000A0998">
            <w:pPr>
              <w:pStyle w:val="P68B1DB1-Normal12"/>
              <w:spacing w:after="0"/>
              <w:rPr>
                <w:rFonts w:eastAsia="Times New Roman" w:cs="Times New Roman"/>
                <w:noProof/>
              </w:rPr>
            </w:pPr>
            <w:r>
              <w:rPr>
                <w:noProof/>
              </w:rPr>
              <w:t>Teollisuuden hiilestä irtautumista koskeva tukijärjestelmä: Järjestelmän perustaminen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6DB56B12" w:rsidR="0065073E" w:rsidRDefault="000A0998">
            <w:pPr>
              <w:pStyle w:val="P68B1DB1-Normal12"/>
              <w:spacing w:after="0"/>
              <w:jc w:val="center"/>
              <w:rPr>
                <w:rFonts w:eastAsia="Times New Roman" w:cs="Times New Roman"/>
                <w:noProof/>
              </w:rPr>
            </w:pPr>
            <w:r>
              <w:rPr>
                <w:noProof/>
              </w:rPr>
              <w:t>Asiaa koskevan oikeudellisen välineen (asiaankuuluvien säädösten)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65073E" w:rsidRDefault="0065073E">
            <w:pPr>
              <w:spacing w:after="0"/>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65073E" w:rsidRDefault="0065073E">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65073E" w:rsidRDefault="0065073E">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65073E" w:rsidRDefault="000A0998">
            <w:pPr>
              <w:pStyle w:val="P68B1DB1-Normal12"/>
              <w:spacing w:after="0"/>
              <w:jc w:val="center"/>
              <w:rPr>
                <w:rFonts w:eastAsia="Times New Roman" w:cs="Times New Roman"/>
                <w:noProof/>
              </w:rPr>
            </w:pPr>
            <w:r>
              <w:rPr>
                <w:noProof/>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65073E" w:rsidRDefault="000A0998">
            <w:pPr>
              <w:pStyle w:val="P68B1DB1-Normal12"/>
              <w:spacing w:after="0"/>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65073E" w:rsidRDefault="000A0998">
            <w:pPr>
              <w:pStyle w:val="P68B1DB1-Normal12"/>
              <w:spacing w:after="0"/>
              <w:rPr>
                <w:rStyle w:val="normaltextrun"/>
                <w:rFonts w:cs="Times New Roman"/>
                <w:noProof/>
              </w:rPr>
            </w:pPr>
            <w:r>
              <w:rPr>
                <w:noProof/>
              </w:rPr>
              <w:t>Tukijärjestelmän perustamista koskevan yhden tai useamman säädöksen voimaantulo toimenpiteen kuvauksessa täsmennettyjen vaatimusten mukaisesti.</w:t>
            </w:r>
          </w:p>
        </w:tc>
      </w:tr>
      <w:tr w:rsidR="0065073E" w14:paraId="53F0675F" w14:textId="77777777">
        <w:trPr>
          <w:trHeight w:val="309"/>
        </w:trPr>
        <w:tc>
          <w:tcPr>
            <w:tcW w:w="815"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496</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65073E" w:rsidRDefault="000A0998">
            <w:pPr>
              <w:pStyle w:val="P68B1DB1-Normal12"/>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65073E" w:rsidRDefault="000A0998">
            <w:pPr>
              <w:pStyle w:val="P68B1DB1-Normal12"/>
              <w:spacing w:after="0"/>
              <w:jc w:val="center"/>
              <w:rPr>
                <w:rFonts w:eastAsia="Times New Roman" w:cs="Times New Roman"/>
                <w:noProof/>
              </w:rPr>
            </w:pPr>
            <w:r>
              <w:rPr>
                <w:noProof/>
              </w:rPr>
              <w:t>T</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65073E" w:rsidRDefault="000A0998">
            <w:pPr>
              <w:pStyle w:val="P68B1DB1-Normal12"/>
              <w:spacing w:after="0"/>
              <w:rPr>
                <w:rFonts w:eastAsia="Times New Roman" w:cs="Times New Roman"/>
                <w:noProof/>
              </w:rPr>
            </w:pPr>
            <w:r>
              <w:rPr>
                <w:noProof/>
              </w:rPr>
              <w:t>Teollisuuden hiilestä irtautumista koskeva tukijärjestelmä: Lopullisten edunsaajien kanssa allekirjoitetut oikeudelliset sopimukset tai lopulliset myöntämispäätökset julkaistu</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142B1ECA"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65073E" w:rsidRDefault="0065073E">
            <w:pPr>
              <w:spacing w:after="0"/>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65073E" w:rsidRDefault="000A0998">
            <w:pPr>
              <w:pStyle w:val="P68B1DB1-Normal12"/>
              <w:spacing w:after="0"/>
              <w:jc w:val="right"/>
              <w:rPr>
                <w:rStyle w:val="eop"/>
                <w:rFonts w:cs="Times New Roman"/>
                <w:noProof/>
              </w:rPr>
            </w:pPr>
            <w:r>
              <w:rPr>
                <w:noProof/>
              </w:rPr>
              <w:t>0</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65073E" w:rsidRDefault="000A0998">
            <w:pPr>
              <w:pStyle w:val="P68B1DB1-Normal12"/>
              <w:spacing w:after="0"/>
              <w:jc w:val="right"/>
              <w:rPr>
                <w:rStyle w:val="eop"/>
                <w:rFonts w:cs="Times New Roman"/>
                <w:noProof/>
              </w:rPr>
            </w:pPr>
            <w:r>
              <w:rPr>
                <w:noProof/>
              </w:rPr>
              <w:t>100 %</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65073E" w:rsidRDefault="000A0998">
            <w:pPr>
              <w:pStyle w:val="P68B1DB1-Normal12"/>
              <w:spacing w:after="0"/>
              <w:jc w:val="center"/>
              <w:rPr>
                <w:rFonts w:eastAsia="Times New Roman" w:cs="Times New Roman"/>
                <w:noProof/>
              </w:rPr>
            </w:pPr>
            <w:r>
              <w:rPr>
                <w:noProof/>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65073E" w:rsidRDefault="000A0998">
            <w:pPr>
              <w:pStyle w:val="P68B1DB1-Normal12"/>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69A6703D" w:rsidR="0065073E" w:rsidRDefault="000A0998">
            <w:pPr>
              <w:pStyle w:val="P68B1DB1-Normal12"/>
              <w:spacing w:after="0"/>
              <w:rPr>
                <w:rFonts w:eastAsia="Times New Roman" w:cs="Times New Roman"/>
                <w:noProof/>
              </w:rPr>
            </w:pPr>
            <w:r>
              <w:rPr>
                <w:noProof/>
              </w:rPr>
              <w:t xml:space="preserve">SEPIDES on julkaissut lopulliset myöntämispäätökset tai tehnyt lopullisten edunsaajien kanssa oikeudellisia rahoitussopimuksia määrästä, joka on tarpeen, jotta 100 prosenttia elpymis- ja palautumistukivälineen investoinneista (mukaan lukien välilliset kustannukset) voidaan käyttää järjestelmään. SEPIDES-ohjelmassa on varmistettava, että vähintään 40 prosentilla tästä rahoituksesta edistetään ilmastotavoitteita elpymis- ja palautumistukivälinettä koskevan asetuksen liitteessä VI esitettyä menetelmää käyttäen.  </w:t>
            </w:r>
          </w:p>
        </w:tc>
      </w:tr>
    </w:tbl>
    <w:p w14:paraId="0C2BD2FC" w14:textId="77777777" w:rsidR="0065073E" w:rsidRDefault="0065073E">
      <w:pPr>
        <w:rPr>
          <w:rFonts w:ascii="Times New Roman" w:hAnsi="Times New Roman" w:cs="Times New Roman"/>
          <w:noProof/>
          <w:highlight w:val="yellow"/>
        </w:rPr>
        <w:sectPr w:rsidR="0065073E" w:rsidSect="00B511EF">
          <w:headerReference w:type="even" r:id="rId649"/>
          <w:headerReference w:type="default" r:id="rId650"/>
          <w:footerReference w:type="even" r:id="rId651"/>
          <w:footerReference w:type="default" r:id="rId652"/>
          <w:headerReference w:type="first" r:id="rId653"/>
          <w:footerReference w:type="first" r:id="rId654"/>
          <w:pgSz w:w="16839" w:h="11907" w:orient="landscape"/>
          <w:pgMar w:top="1134" w:right="1134" w:bottom="1134" w:left="1134" w:header="567" w:footer="567" w:gutter="0"/>
          <w:cols w:space="720"/>
          <w:docGrid w:linePitch="360"/>
        </w:sectPr>
      </w:pPr>
    </w:p>
    <w:p w14:paraId="1B2ECE51" w14:textId="43168ACD" w:rsidR="0065073E" w:rsidRDefault="000A0998">
      <w:pPr>
        <w:ind w:firstLine="720"/>
        <w:rPr>
          <w:b/>
          <w:noProof/>
          <w:u w:val="single"/>
        </w:rPr>
      </w:pPr>
      <w:r>
        <w:rPr>
          <w:rFonts w:ascii="Times New Roman" w:hAnsi="Times New Roman"/>
          <w:b/>
          <w:noProof/>
          <w:sz w:val="24"/>
          <w:u w:val="single"/>
        </w:rPr>
        <w:t>AE.3</w:t>
      </w:r>
      <w:r>
        <w:rPr>
          <w:noProof/>
        </w:rPr>
        <w:t xml:space="preserve"> </w:t>
      </w:r>
      <w:r>
        <w:rPr>
          <w:rFonts w:ascii="Times New Roman" w:hAnsi="Times New Roman"/>
          <w:b/>
          <w:noProof/>
          <w:sz w:val="24"/>
          <w:u w:val="single"/>
        </w:rPr>
        <w:t>Lainatukeen liittyvien uudistusten ja investointien kuvaus</w:t>
      </w:r>
    </w:p>
    <w:p w14:paraId="12871D72" w14:textId="44C9D5EE" w:rsidR="0065073E" w:rsidRDefault="000A0998">
      <w:pPr>
        <w:pStyle w:val="P68B1DB1-Text119"/>
        <w:ind w:left="0"/>
        <w:rPr>
          <w:rFonts w:eastAsia="Times New Roman" w:cs="Times New Roman"/>
          <w:noProof/>
        </w:rPr>
      </w:pPr>
      <w:r>
        <w:rPr>
          <w:noProof/>
        </w:rPr>
        <w:t>Investointi 7 (C31.I7) – Investoinnit teollisuuden hiilestä irtautumisen tukemiseen (lainat)</w:t>
      </w:r>
    </w:p>
    <w:p w14:paraId="5351656B" w14:textId="08525698" w:rsidR="0065073E" w:rsidRDefault="000A0998">
      <w:pPr>
        <w:pStyle w:val="P68B1DB1-Normal4"/>
        <w:spacing w:before="120" w:after="120" w:line="240" w:lineRule="auto"/>
        <w:jc w:val="both"/>
        <w:rPr>
          <w:rFonts w:cs="Times New Roman"/>
          <w:noProof/>
        </w:rPr>
      </w:pPr>
      <w:r>
        <w:rPr>
          <w:noProof/>
        </w:rPr>
        <w:t xml:space="preserve">Toimenpiteen, joka on osa teollisuuden hiilestä irtautumista koskevaa strategista hanketta, tavoitteena on myöntää tukea lainojen muodossa hankkeille, joiden tavoitteena on valmistusteollisuuden hiilestä irtautuminen. Investointitoimenpiteessä on oltava vähintään yksi seuraavista kolmesta toimintalinjasta: </w:t>
      </w:r>
    </w:p>
    <w:p w14:paraId="2900FDC7" w14:textId="0681C78E" w:rsidR="0065073E" w:rsidRDefault="000A0998">
      <w:pPr>
        <w:pStyle w:val="P68B1DB1-ListParagraph6"/>
        <w:numPr>
          <w:ilvl w:val="0"/>
          <w:numId w:val="635"/>
        </w:numPr>
        <w:spacing w:before="120" w:after="120" w:line="240" w:lineRule="auto"/>
        <w:jc w:val="both"/>
        <w:rPr>
          <w:rFonts w:cs="Times New Roman"/>
          <w:noProof/>
        </w:rPr>
      </w:pPr>
      <w:r>
        <w:rPr>
          <w:noProof/>
        </w:rPr>
        <w:t>lainojen muodossa myönnettävä tuki hankkeille, joilla toteutetaan valmistusteollisuuden hiilestä irtautumista, esimerkiksi kasvihuonekaasupäästöjä vähentäville hankkeille;</w:t>
      </w:r>
    </w:p>
    <w:p w14:paraId="3F0388F1" w14:textId="59D0BDB7" w:rsidR="0065073E" w:rsidRDefault="000A0998">
      <w:pPr>
        <w:pStyle w:val="P68B1DB1-ListParagraph23"/>
        <w:numPr>
          <w:ilvl w:val="0"/>
          <w:numId w:val="635"/>
        </w:numPr>
        <w:spacing w:before="120" w:after="120" w:line="240" w:lineRule="auto"/>
        <w:jc w:val="both"/>
        <w:rPr>
          <w:rFonts w:cs="Times New Roman"/>
          <w:noProof/>
          <w:sz w:val="24"/>
        </w:rPr>
      </w:pPr>
      <w:r>
        <w:rPr>
          <w:noProof/>
          <w:sz w:val="24"/>
        </w:rPr>
        <w:t>saatetaan päätökseen pilottihanke, jolla kannustetaan yrityksiä tekemään investointeja, joihin liittyy suuria kustannuksia, teollisuuden hiilestä irtautumista koskeviin suuriin investointihankkeisiin ja huomattaviin kasvihuonekaasupäästöjen vähennyksiin</w:t>
      </w:r>
      <w:r>
        <w:rPr>
          <w:noProof/>
        </w:rPr>
        <w:t xml:space="preserve"> </w:t>
      </w:r>
      <w:r>
        <w:rPr>
          <w:noProof/>
          <w:sz w:val="24"/>
        </w:rPr>
        <w:t>maksamalla kiinteä hiilen hinta tiettynä ajanjaksona (eroja koskeva hiilisopimus); ja</w:t>
      </w:r>
    </w:p>
    <w:p w14:paraId="064740CB" w14:textId="7A1D824F" w:rsidR="0065073E" w:rsidRDefault="000A0998">
      <w:pPr>
        <w:pStyle w:val="P68B1DB1-ListParagraph6"/>
        <w:numPr>
          <w:ilvl w:val="0"/>
          <w:numId w:val="635"/>
        </w:numPr>
        <w:spacing w:before="120" w:line="240" w:lineRule="auto"/>
        <w:jc w:val="both"/>
        <w:rPr>
          <w:rFonts w:cs="Times New Roman"/>
          <w:noProof/>
        </w:rPr>
      </w:pPr>
      <w:r>
        <w:rPr>
          <w:noProof/>
        </w:rPr>
        <w:t>lainojen muodossa myönnettävä tuki uusien erittäin tehokkaiden ja hiilettömien tuotantolaitosten kehittämiseen.</w:t>
      </w:r>
    </w:p>
    <w:p w14:paraId="7DA59DDC" w14:textId="7885F78E" w:rsidR="0065073E" w:rsidRDefault="000A0998">
      <w:pPr>
        <w:pStyle w:val="Text1"/>
        <w:spacing w:after="160"/>
        <w:ind w:left="0"/>
        <w:rPr>
          <w:rFonts w:ascii="Times New Roman" w:hAnsi="Times New Roman" w:cs="Times New Roman"/>
          <w:noProof/>
        </w:rPr>
      </w:pPr>
      <w:r>
        <w:rPr>
          <w:rFonts w:ascii="Times New Roman" w:hAnsi="Times New Roman"/>
          <w:noProof/>
        </w:rPr>
        <w:t>Ministerineuvoston päätökseen, jolla hyväksytään teollisuuden hiilestä irtautumista koskeva PERTE-järjestelmä, on sisällytettävä yksityiskohtaiset valintaperusteet, joilla varmistetaan ”ei merkittävää haittaa” -periaatteen noudattaminen (2021/C58/01). Sen varmistamiseksi, että toimenpide noudattaa teknistä ohjetta ”ei merkittävää haittaa” (2021/C58/01), tulevien hankepyyntöjen tehtävänmääritykseen sisältyviin tukikelpoisuusperusteisiin ei lueta seuraavia toimintoja: I) EU:n päästökauppajärjestelmän mukaiset toimet, joilla saavutetaan ennustetut</w:t>
      </w:r>
      <w:r>
        <w:rPr>
          <w:rFonts w:ascii="Times New Roman" w:hAnsi="Times New Roman"/>
          <w:noProof/>
          <w:vertAlign w:val="subscript"/>
        </w:rPr>
        <w:t>hiilidioksidiekvivalenttipäästöt</w:t>
      </w:r>
      <w:r>
        <w:rPr>
          <w:rFonts w:ascii="Times New Roman" w:hAnsi="Times New Roman"/>
          <w:noProof/>
        </w:rPr>
        <w:t>, jotka eivät ole merkittävästi alhaisempia kuin asiaankuuluvat maksutta jaettavien päästöoikeuksien vertailuarvot</w:t>
      </w:r>
      <w:r>
        <w:rPr>
          <w:rStyle w:val="FootnoteReference"/>
          <w:rFonts w:ascii="Times New Roman" w:hAnsi="Times New Roman" w:cs="Times New Roman"/>
          <w:noProof/>
        </w:rPr>
        <w:footnoteReference w:id="236"/>
      </w:r>
      <w:r>
        <w:rPr>
          <w:rFonts w:ascii="Times New Roman" w:hAnsi="Times New Roman"/>
          <w:noProof/>
        </w:rPr>
        <w:t>; ja ii) toimet, jotka liittyvät fossiilisiin polttoaineisiin, myös loppupään käyttöön, päästökauppajärjestelmän ulkopuolella</w:t>
      </w:r>
      <w:r>
        <w:rPr>
          <w:rStyle w:val="FootnoteReference"/>
          <w:rFonts w:ascii="Times New Roman" w:hAnsi="Times New Roman" w:cs="Times New Roman"/>
          <w:noProof/>
        </w:rPr>
        <w:footnoteReference w:id="237"/>
      </w:r>
      <w:r>
        <w:rPr>
          <w:rFonts w:ascii="Times New Roman" w:hAnsi="Times New Roman"/>
          <w:noProof/>
        </w:rPr>
        <w:t xml:space="preserve">. Tehtävänkuvauksessa edellytetään lisäksi, että voidaan valita ainoastaan toimintoja, jotka ovat asiaa koskevan EU:n ja kansallisen ympäristölainsäädännön mukaisia. </w:t>
      </w:r>
    </w:p>
    <w:p w14:paraId="55A5FFD9" w14:textId="77777777" w:rsidR="0065073E" w:rsidRDefault="000A0998">
      <w:pPr>
        <w:pStyle w:val="P68B1DB1-Text118"/>
        <w:ind w:left="0"/>
        <w:rPr>
          <w:rFonts w:cs="Times New Roman"/>
          <w:noProof/>
        </w:rPr>
      </w:pPr>
      <w:r>
        <w:rPr>
          <w:noProof/>
        </w:rPr>
        <w:t xml:space="preserve">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w:t>
      </w:r>
    </w:p>
    <w:p w14:paraId="5C551CA5" w14:textId="30521C25" w:rsidR="0065073E" w:rsidRDefault="00DE7145">
      <w:pPr>
        <w:pStyle w:val="Text1"/>
        <w:ind w:left="0"/>
        <w:rPr>
          <w:rFonts w:ascii="Times New Roman" w:hAnsi="Times New Roman" w:cs="Times New Roman"/>
          <w:noProof/>
        </w:rPr>
      </w:pPr>
      <w:r w:rsidRPr="00946B34">
        <w:rPr>
          <w:rFonts w:ascii="Times New Roman" w:hAnsi="Times New Roman" w:cs="Times New Roman"/>
          <w:noProof/>
          <w:szCs w:val="24"/>
          <w:lang w:val="fi-FI"/>
        </w:rPr>
        <w:t>Valintaperusteilla on varmistettava, että vähintään 260000000 eurolla, joka on 40 prosenttia toimenpiteen arvioiduista kustannuksista, edistetään ilmastonmuutostavoitteiden saavuttamista elpymis- ja palautumistukivälinettä koskevan asetuksen liitteen VI mukaisesti.</w:t>
      </w:r>
      <w:r w:rsidR="000A0998">
        <w:rPr>
          <w:rStyle w:val="FootnoteReference"/>
          <w:rFonts w:ascii="Times New Roman" w:hAnsi="Times New Roman" w:cs="Times New Roman"/>
          <w:noProof/>
        </w:rPr>
        <w:footnoteReference w:id="238"/>
      </w:r>
    </w:p>
    <w:p w14:paraId="4838C699" w14:textId="5043D238" w:rsidR="0065073E" w:rsidRDefault="000A0998">
      <w:pPr>
        <w:pStyle w:val="P68B1DB1-Normal4"/>
        <w:rPr>
          <w:rFonts w:cs="Times New Roman"/>
          <w:noProof/>
        </w:rPr>
      </w:pPr>
      <w:r>
        <w:rPr>
          <w:noProof/>
        </w:rPr>
        <w:t xml:space="preserve">Rahoitustoimiin liittyvät takaisin saadut varat on investoitava uudelleen uusiin toimiin samalla politiikanalalla, paitsi jos niitä käytetään elpymis- ja palautumistukivälineen lainan takaisinmaksuun.  </w:t>
      </w:r>
    </w:p>
    <w:p w14:paraId="28CAC13E" w14:textId="77777777" w:rsidR="0065073E" w:rsidRDefault="000A0998">
      <w:pPr>
        <w:pStyle w:val="P68B1DB1-Normal4"/>
        <w:rPr>
          <w:rFonts w:cs="Times New Roman"/>
          <w:noProof/>
        </w:rPr>
      </w:pPr>
      <w:r>
        <w:rPr>
          <w:noProof/>
        </w:rPr>
        <w:t xml:space="preserve">Investoinnin toteutus on saatettava päätökseen 31 päivään elokuuta 2026 mennessä. </w:t>
      </w:r>
    </w:p>
    <w:p w14:paraId="3315BCF6" w14:textId="7DB44A5B" w:rsidR="0065073E" w:rsidRDefault="000A0998">
      <w:pPr>
        <w:pStyle w:val="P68B1DB1-Normal5"/>
        <w:rPr>
          <w:rFonts w:cs="Times New Roman"/>
          <w:noProof/>
        </w:rPr>
      </w:pPr>
      <w:r>
        <w:rPr>
          <w:noProof/>
        </w:rPr>
        <w:t>Investointi 8 (C31.I8) – Tukijärjestelmä hiilestä irtautumista koskeville hankkeille (lainat)</w:t>
      </w:r>
    </w:p>
    <w:p w14:paraId="65D0A169" w14:textId="0F94D258"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Tämä toimenpide koostuu investoinnista tukijärjestelmään, jolla kannustetaan yksityisiä investointeja teollisuuden hiilestä irtautumiseen lainojen avulla. </w:t>
      </w:r>
    </w:p>
    <w:p w14:paraId="7B5EE69F" w14:textId="5B562C3F"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Järjestelmällä edistetään teollisuusprosessien hiilestä irtautumista ja uusien erittäin tehokkaiden ja hiilettömien valmistuslaitosten kehittämistä myöntämällä lainoja yksityiselle sektorille ministerineuvoston hyväksymän teollisuuden hiilestä irtautumista koskevan strategisen hankkeen puitteissa. Elpymis- ja palautumistukivälineen investointien perusteella tukiohjelman tavoitteena on alun perin tarjota vähintään 1050000000 euroa rahoitusta lainoina.</w:t>
      </w:r>
    </w:p>
    <w:p w14:paraId="02C26E08" w14:textId="0B59478B"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SEPIDES hallinnoi järjestelmää toteutuskumppanina. Asiaa koskevalla säädöksellä SEPIDES muutetaan julkiseksi yritykseksi tämän investoinnin toteuttamiseksi (tämä on Espanjan elpymis- ja palautumissuunnitelman osan 31 investoinnin 6 välitavoite).</w:t>
      </w:r>
    </w:p>
    <w:p w14:paraId="7803E91E" w14:textId="77777777"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Ohjelmaan tehtävän investoinnin toteuttamiseksi hallituksen on hyväksyttävä yksi tai useampi oikeudellinen väline, jolla lainajärjestelmä perustetaan ja joihin on sisällyttävä seuraavat osatekijät:  </w:t>
      </w:r>
    </w:p>
    <w:p w14:paraId="4913174A" w14:textId="7FD1AAA6"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päätöksentekoprosessin kuvaus:</w:t>
      </w:r>
      <w:r>
        <w:rPr>
          <w:rFonts w:ascii="Times New Roman" w:hAnsi="Times New Roman"/>
          <w:noProof/>
        </w:rPr>
        <w:t xml:space="preserve"> Investointikomitea tai muu vastaava hallintoelin</w:t>
      </w:r>
      <w:r>
        <w:rPr>
          <w:rFonts w:ascii="Times New Roman" w:hAnsi="Times New Roman"/>
          <w:noProof/>
          <w:sz w:val="24"/>
        </w:rPr>
        <w:t>arvioi hakemukset ja valitsee tuensaajat, jotka otetaan huomioon lopullisissa myöntämispäätöksissä tai investointipäätöksissä, ja ne hyväksytään Espanjan hallituksesta riippumattomien jäsenten äänten enemmistöllä, mikä tarkoittaa, että heidän on oltava joko SEPIDESin palveluksessa olevaa henkilöstöä ja/tai muita riippumattomia asiantuntijoita. Ohjelman lopullinen investointipäätös rajoittuu investointikomitean tai vastaavan hallintoelimen ehdottaman sijoituspäätöksen hyväksymiseen (ilman muutoksia) tai veto-oikeuden käyttämiseen.</w:t>
      </w:r>
    </w:p>
    <w:p w14:paraId="7C71584E" w14:textId="69B2C721"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Tukikelpoisten alojen vihreään ja digitaaliseen muutokseen liittyvien toimien luettelo, jonka määrä on vähintään 1050000000 euroa. Toimenpiteellä tuetaan innovatiivisia hankkeita, joihin liittyy merkittävää teollista muutosta alan energiatehokkuuden, kestävyyden ja digitalisaation kannalta.</w:t>
      </w:r>
    </w:p>
    <w:p w14:paraId="29ED13E9" w14:textId="31B89C66"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Fonts w:ascii="Times New Roman" w:hAnsi="Times New Roman"/>
          <w:noProof/>
          <w:sz w:val="24"/>
        </w:rPr>
        <w:t>”Ei merkittävää haittaa” -periaatteen noudattamista</w:t>
      </w:r>
      <w:r>
        <w:rPr>
          <w:rStyle w:val="normaltextrun"/>
          <w:rFonts w:ascii="Times New Roman" w:hAnsi="Times New Roman"/>
          <w:noProof/>
          <w:sz w:val="24"/>
        </w:rPr>
        <w:t>koskevat vaatimukset elpymis- ja palautumistukivälineen puitteissa (2021/C58/01) esitetyn ”ei merkittävää haittaa” -periaatteen noudattamiseksi. Oikeudellisessa välineessä (säädöksissä) suljetaan pois erityisesti seuraavat toimet: I) EU:n päästökauppajärjestelmän mukaiset toimet, joilla saavutetaan ennustetut</w:t>
      </w:r>
      <w:r>
        <w:rPr>
          <w:rFonts w:ascii="Times New Roman" w:hAnsi="Times New Roman"/>
          <w:noProof/>
          <w:sz w:val="24"/>
          <w:vertAlign w:val="subscript"/>
        </w:rPr>
        <w:t>hiilidioksidiekvivalenttipäästöt</w:t>
      </w:r>
      <w:r>
        <w:rPr>
          <w:rFonts w:ascii="Times New Roman" w:hAnsi="Times New Roman"/>
          <w:noProof/>
          <w:sz w:val="24"/>
        </w:rPr>
        <w:t>, jotka eivät ole merkittävästi alhaisempia kuin asiaankuuluvat maksutta jaettavien päästöoikeuksien vertailuarvot</w:t>
      </w:r>
      <w:r>
        <w:rPr>
          <w:rStyle w:val="FootnoteReference"/>
          <w:rFonts w:ascii="Times New Roman" w:hAnsi="Times New Roman" w:cs="Times New Roman"/>
          <w:noProof/>
          <w:sz w:val="24"/>
        </w:rPr>
        <w:footnoteReference w:id="239"/>
      </w:r>
      <w:r>
        <w:rPr>
          <w:rFonts w:ascii="Times New Roman" w:hAnsi="Times New Roman"/>
          <w:noProof/>
          <w:sz w:val="24"/>
        </w:rPr>
        <w:t>; ja ii) toimet, jotka liittyvät fossiilisiin polttoaineisiin, myös loppupään käyttöön, päästökauppajärjestelmän ulkopuolella</w:t>
      </w:r>
      <w:r>
        <w:rPr>
          <w:rStyle w:val="FootnoteReference"/>
          <w:rFonts w:ascii="Times New Roman" w:hAnsi="Times New Roman" w:cs="Times New Roman"/>
          <w:noProof/>
          <w:sz w:val="24"/>
        </w:rPr>
        <w:footnoteReference w:id="240"/>
      </w:r>
      <w:r>
        <w:rPr>
          <w:rStyle w:val="normaltextrun"/>
          <w:rFonts w:ascii="Times New Roman" w:hAnsi="Times New Roman"/>
          <w:noProof/>
          <w:sz w:val="24"/>
        </w:rPr>
        <w:t>. Lisäksi oikeudellisissa välineissä on edellytettävä, että lainajärjestelmien lopulliset edunsaajat noudattavat asiaankuuluvaa EU:n ja kansallista ympäristölainsäädäntöä. Seuraavien tähän investointiin kuuluvien T &amp; K &amp; I-toimien katsotaan olevan ”ei merkittävää haittaa” -periaatetta koskevien teknisten ohjeiden (2021/C58/01) mukaisia: Tämän investoinnin mukaiset T &amp; K &amp; I-toimet, joilla pyritään lisäämään merkittävästi yritysten ympäristökestävyyttä (kuten hiilestä irtautuminen, saastumisen vähentäminen ja kiertotalous), jos tämän investoinnin T &amp; K &amp; I-toimissa keskitytään ensisijaisesti sellaisten vaihtoehtojen kehittämiseen tai mukauttamiseen, joilla on mahdollisimman vähän ympäristövaikutuksia alalla. Lisäksi oikeudellisissa välineissä on edellytettävä, että lainajärjestelmien lopulliset edunsaajat noudattavat asiaankuuluvaa EU:n ja kansallista ympäristölainsäädäntöä.</w:t>
      </w:r>
    </w:p>
    <w:p w14:paraId="0721A006" w14:textId="0A8E2B96"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Ilmastoinvestointeja koskevat vaatimukset: vähintään 420000000 eurolla elpymis- ja palautumistukivälineestä järjestelmään tehtävällä investoinnilla on edistettävä ilmastonmuutosta koskevia tavoitteita elpymis- ja palautumistukivälinettä koskevan asetuksen liitteen VI mukaisesti.</w:t>
      </w:r>
      <w:r>
        <w:rPr>
          <w:rStyle w:val="FootnoteReference"/>
          <w:rFonts w:ascii="Times New Roman" w:hAnsi="Times New Roman" w:cs="Times New Roman"/>
          <w:noProof/>
          <w:sz w:val="24"/>
        </w:rPr>
        <w:footnoteReference w:id="241"/>
      </w:r>
    </w:p>
    <w:p w14:paraId="3004B982" w14:textId="77777777"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Vaatimus, jonka mukaan lainajärjestelmän lopulliset edunsaajat eivät saa saada tukea muista unionin välineistä samojen kustannusten kattamiseksi.</w:t>
      </w:r>
    </w:p>
    <w:p w14:paraId="404D73F6" w14:textId="77777777" w:rsidR="0065073E" w:rsidRDefault="000A0998">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kattama määrä ja vaatimus, jonka mukaan lainajärjestelmästä mahdollisesti saatavat käyttämättömät tulot on investoitava uudelleen edellä lueteltuihin toimintoihin, myös vuoden 2026 jälkeen.</w:t>
      </w:r>
    </w:p>
    <w:p w14:paraId="6DCCFD46" w14:textId="77777777" w:rsidR="0065073E" w:rsidRDefault="000A0998">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Investoinnin toteutus on saatettava päätökseen 31 päivään elokuuta 2026 mennessä.</w:t>
      </w:r>
    </w:p>
    <w:p w14:paraId="0F91CCEB" w14:textId="3D4C4E77" w:rsidR="0065073E" w:rsidRDefault="000A0998">
      <w:pPr>
        <w:spacing w:before="120" w:after="120" w:line="240" w:lineRule="auto"/>
        <w:ind w:left="720" w:hanging="720"/>
        <w:jc w:val="both"/>
        <w:rPr>
          <w:rFonts w:ascii="Times New Roman" w:eastAsia="Times New Roman" w:hAnsi="Times New Roman" w:cs="Times New Roman"/>
          <w:b/>
          <w:noProof/>
          <w:sz w:val="24"/>
          <w:u w:val="single"/>
        </w:rPr>
      </w:pPr>
      <w:r>
        <w:rPr>
          <w:noProof/>
        </w:rPr>
        <w:tab/>
      </w:r>
      <w:r>
        <w:rPr>
          <w:rFonts w:ascii="Times New Roman" w:hAnsi="Times New Roman"/>
          <w:b/>
          <w:noProof/>
          <w:sz w:val="24"/>
          <w:u w:val="single"/>
        </w:rPr>
        <w:t>AE.4</w:t>
      </w:r>
      <w:r>
        <w:rPr>
          <w:noProof/>
        </w:rPr>
        <w:t xml:space="preserve"> </w:t>
      </w:r>
      <w:r>
        <w:rPr>
          <w:rFonts w:ascii="Times New Roman" w:hAnsi="Times New Roman"/>
          <w:b/>
          <w:noProof/>
          <w:sz w:val="24"/>
          <w:u w:val="single"/>
        </w:rPr>
        <w:t>Lainatuen seurannan ja täytäntöönpanon välitavoitteet, tavoitteet, indikaattorit ja aikataulu</w:t>
      </w:r>
    </w:p>
    <w:p w14:paraId="1D563C71" w14:textId="4CF0538D" w:rsidR="0065073E" w:rsidRDefault="000A0998">
      <w:pPr>
        <w:pStyle w:val="P68B1DB1-Normal17"/>
        <w:spacing w:before="120" w:after="120" w:line="240" w:lineRule="auto"/>
        <w:jc w:val="both"/>
        <w:rPr>
          <w:rFonts w:eastAsia="Times New Roman" w:cs="Times New Roman"/>
          <w:noProof/>
          <w:u w:val="single"/>
        </w:rPr>
        <w:sectPr w:rsidR="0065073E" w:rsidSect="00B511EF">
          <w:headerReference w:type="even" r:id="rId655"/>
          <w:headerReference w:type="default" r:id="rId656"/>
          <w:footerReference w:type="even" r:id="rId657"/>
          <w:footerReference w:type="default" r:id="rId658"/>
          <w:headerReference w:type="first" r:id="rId659"/>
          <w:footerReference w:type="first" r:id="rId660"/>
          <w:pgSz w:w="11907" w:h="16839"/>
          <w:pgMar w:top="1134" w:right="1134" w:bottom="1134" w:left="1134" w:header="567" w:footer="567" w:gutter="0"/>
          <w:cols w:space="720"/>
          <w:docGrid w:linePitch="360"/>
        </w:sectPr>
      </w:pPr>
      <w:r>
        <w:rPr>
          <w:noProof/>
        </w:rPr>
        <w:t xml:space="preserve">Ks. taulukko jäljempänä. Kaikkien indikaattoreiden perustason päivämäärä on 1. helmikuuta 2022, ellei toimen kuvauksessa toisin mainita. Taulukossa esitetyt määrät eivät sisällä arvonlisäveroa.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00"/>
        <w:gridCol w:w="821"/>
        <w:gridCol w:w="2427"/>
        <w:gridCol w:w="989"/>
        <w:gridCol w:w="653"/>
        <w:gridCol w:w="957"/>
        <w:gridCol w:w="548"/>
        <w:gridCol w:w="412"/>
        <w:gridCol w:w="548"/>
        <w:gridCol w:w="6446"/>
      </w:tblGrid>
      <w:tr w:rsidR="0065073E" w14:paraId="4EAD7CF6" w14:textId="77777777">
        <w:trPr>
          <w:trHeight w:val="309"/>
          <w:tblHeader/>
        </w:trPr>
        <w:tc>
          <w:tcPr>
            <w:tcW w:w="851" w:type="dxa"/>
            <w:tcBorders>
              <w:bottom w:val="nil"/>
            </w:tcBorders>
            <w:shd w:val="clear" w:color="auto" w:fill="C6D9F1" w:themeFill="text2" w:themeFillTint="33"/>
            <w:noWrap/>
            <w:vAlign w:val="center"/>
          </w:tcPr>
          <w:p w14:paraId="42C73024" w14:textId="26117F03" w:rsidR="0065073E" w:rsidRDefault="000A0998">
            <w:pPr>
              <w:pStyle w:val="P68B1DB1-Normal8"/>
              <w:spacing w:after="0"/>
              <w:jc w:val="center"/>
              <w:rPr>
                <w:rFonts w:cs="Times New Roman"/>
                <w:noProof/>
              </w:rPr>
            </w:pPr>
            <w:r>
              <w:rPr>
                <w:noProof/>
              </w:rPr>
              <w:t>Määrä</w:t>
            </w:r>
          </w:p>
        </w:tc>
        <w:tc>
          <w:tcPr>
            <w:tcW w:w="800" w:type="dxa"/>
            <w:tcBorders>
              <w:bottom w:val="nil"/>
            </w:tcBorders>
            <w:shd w:val="clear" w:color="auto" w:fill="C6D9F1" w:themeFill="text2" w:themeFillTint="33"/>
            <w:noWrap/>
            <w:vAlign w:val="center"/>
          </w:tcPr>
          <w:p w14:paraId="6E8EA519" w14:textId="77777777" w:rsidR="0065073E" w:rsidRDefault="000A0998">
            <w:pPr>
              <w:pStyle w:val="P68B1DB1-Normal8"/>
              <w:spacing w:after="0"/>
              <w:jc w:val="center"/>
              <w:rPr>
                <w:rFonts w:cs="Times New Roman"/>
                <w:noProof/>
              </w:rPr>
            </w:pPr>
            <w:r>
              <w:rPr>
                <w:noProof/>
              </w:rPr>
              <w:t>Toimenpide</w:t>
            </w:r>
          </w:p>
        </w:tc>
        <w:tc>
          <w:tcPr>
            <w:tcW w:w="821" w:type="dxa"/>
            <w:tcBorders>
              <w:bottom w:val="nil"/>
            </w:tcBorders>
            <w:shd w:val="clear" w:color="auto" w:fill="C6D9F1" w:themeFill="text2" w:themeFillTint="33"/>
            <w:noWrap/>
            <w:vAlign w:val="center"/>
          </w:tcPr>
          <w:p w14:paraId="7160AFFB" w14:textId="77777777" w:rsidR="0065073E" w:rsidRDefault="000A0998">
            <w:pPr>
              <w:spacing w:after="0"/>
              <w:jc w:val="center"/>
              <w:rPr>
                <w:rFonts w:ascii="Times New Roman" w:hAnsi="Times New Roman" w:cs="Times New Roman"/>
                <w:b/>
                <w:noProof/>
                <w:sz w:val="18"/>
              </w:rPr>
            </w:pPr>
            <w:r>
              <w:rPr>
                <w:rFonts w:ascii="Times New Roman" w:hAnsi="Times New Roman"/>
                <w:b/>
                <w:noProof/>
                <w:sz w:val="18"/>
              </w:rPr>
              <w:t>Välitavoite</w:t>
            </w:r>
            <w:r>
              <w:rPr>
                <w:noProof/>
              </w:rPr>
              <w:t xml:space="preserve"> </w:t>
            </w:r>
            <w:r>
              <w:rPr>
                <w:noProof/>
              </w:rPr>
              <w:br/>
            </w:r>
            <w:r>
              <w:rPr>
                <w:rFonts w:ascii="Times New Roman" w:hAnsi="Times New Roman"/>
                <w:b/>
                <w:noProof/>
                <w:sz w:val="18"/>
              </w:rPr>
              <w:t xml:space="preserve"> /Tarkoitus</w:t>
            </w:r>
          </w:p>
        </w:tc>
        <w:tc>
          <w:tcPr>
            <w:tcW w:w="2427" w:type="dxa"/>
            <w:tcBorders>
              <w:bottom w:val="nil"/>
            </w:tcBorders>
            <w:shd w:val="clear" w:color="auto" w:fill="C6D9F1" w:themeFill="text2" w:themeFillTint="33"/>
            <w:noWrap/>
            <w:vAlign w:val="center"/>
          </w:tcPr>
          <w:p w14:paraId="254C32C9" w14:textId="77777777" w:rsidR="0065073E" w:rsidRDefault="000A0998">
            <w:pPr>
              <w:pStyle w:val="P68B1DB1-Normal8"/>
              <w:spacing w:after="0"/>
              <w:jc w:val="center"/>
              <w:rPr>
                <w:rFonts w:cs="Times New Roman"/>
                <w:noProof/>
              </w:rPr>
            </w:pPr>
            <w:r>
              <w:rPr>
                <w:noProof/>
              </w:rPr>
              <w:t>Nimi</w:t>
            </w:r>
          </w:p>
        </w:tc>
        <w:tc>
          <w:tcPr>
            <w:tcW w:w="989" w:type="dxa"/>
            <w:tcBorders>
              <w:bottom w:val="nil"/>
            </w:tcBorders>
            <w:shd w:val="clear" w:color="auto" w:fill="C6D9F1" w:themeFill="text2" w:themeFillTint="33"/>
            <w:noWrap/>
            <w:vAlign w:val="center"/>
          </w:tcPr>
          <w:p w14:paraId="77451392" w14:textId="77777777" w:rsidR="0065073E" w:rsidRDefault="000A0998">
            <w:pPr>
              <w:pStyle w:val="P68B1DB1-Normal8"/>
              <w:spacing w:after="0"/>
              <w:jc w:val="center"/>
              <w:rPr>
                <w:rFonts w:cs="Times New Roman"/>
                <w:noProof/>
              </w:rPr>
            </w:pPr>
            <w:r>
              <w:rPr>
                <w:noProof/>
              </w:rPr>
              <w:t>Välitavoitteiden laadullinen indikaattori</w:t>
            </w:r>
          </w:p>
        </w:tc>
        <w:tc>
          <w:tcPr>
            <w:tcW w:w="2158" w:type="dxa"/>
            <w:gridSpan w:val="3"/>
            <w:shd w:val="clear" w:color="auto" w:fill="C6D9F1" w:themeFill="text2" w:themeFillTint="33"/>
            <w:noWrap/>
            <w:vAlign w:val="center"/>
          </w:tcPr>
          <w:p w14:paraId="300CBDFA" w14:textId="77777777" w:rsidR="0065073E" w:rsidRDefault="000A0998">
            <w:pPr>
              <w:pStyle w:val="P68B1DB1-Normal8"/>
              <w:spacing w:after="0"/>
              <w:jc w:val="center"/>
              <w:rPr>
                <w:rFonts w:cs="Times New Roman"/>
                <w:noProof/>
              </w:rPr>
            </w:pPr>
            <w:r>
              <w:rPr>
                <w:noProof/>
              </w:rPr>
              <w:t>Määrällinen indikaattori tavoitteelle</w:t>
            </w:r>
          </w:p>
        </w:tc>
        <w:tc>
          <w:tcPr>
            <w:tcW w:w="960" w:type="dxa"/>
            <w:gridSpan w:val="2"/>
            <w:shd w:val="clear" w:color="auto" w:fill="C6D9F1" w:themeFill="text2" w:themeFillTint="33"/>
            <w:noWrap/>
            <w:vAlign w:val="center"/>
          </w:tcPr>
          <w:p w14:paraId="73E0F60F" w14:textId="77777777" w:rsidR="0065073E" w:rsidRDefault="000A0998">
            <w:pPr>
              <w:pStyle w:val="P68B1DB1-Normal8"/>
              <w:spacing w:after="0"/>
              <w:jc w:val="center"/>
              <w:rPr>
                <w:rFonts w:cs="Times New Roman"/>
                <w:noProof/>
              </w:rPr>
            </w:pPr>
            <w:r>
              <w:rPr>
                <w:noProof/>
              </w:rPr>
              <w:t>Aika</w:t>
            </w:r>
          </w:p>
        </w:tc>
        <w:tc>
          <w:tcPr>
            <w:tcW w:w="6446" w:type="dxa"/>
            <w:tcBorders>
              <w:bottom w:val="nil"/>
            </w:tcBorders>
            <w:shd w:val="clear" w:color="auto" w:fill="C6D9F1" w:themeFill="text2" w:themeFillTint="33"/>
            <w:noWrap/>
            <w:vAlign w:val="center"/>
          </w:tcPr>
          <w:p w14:paraId="184CA047" w14:textId="77777777" w:rsidR="0065073E" w:rsidRDefault="000A0998">
            <w:pPr>
              <w:pStyle w:val="P68B1DB1-Normal8"/>
              <w:spacing w:after="0"/>
              <w:jc w:val="center"/>
              <w:rPr>
                <w:rFonts w:cs="Times New Roman"/>
                <w:noProof/>
              </w:rPr>
            </w:pPr>
            <w:r>
              <w:rPr>
                <w:noProof/>
              </w:rPr>
              <w:t>Kunkin välitavoitteen ja tavoitteen kuvaus</w:t>
            </w:r>
          </w:p>
        </w:tc>
      </w:tr>
      <w:tr w:rsidR="0065073E" w14:paraId="0CD0749F" w14:textId="77777777">
        <w:trPr>
          <w:trHeight w:val="309"/>
          <w:tblHeader/>
        </w:trPr>
        <w:tc>
          <w:tcPr>
            <w:tcW w:w="851" w:type="dxa"/>
            <w:tcBorders>
              <w:top w:val="nil"/>
            </w:tcBorders>
            <w:shd w:val="clear" w:color="auto" w:fill="C6D9F1" w:themeFill="text2" w:themeFillTint="33"/>
            <w:noWrap/>
          </w:tcPr>
          <w:p w14:paraId="709FD9E8" w14:textId="77777777" w:rsidR="0065073E" w:rsidRDefault="0065073E">
            <w:pPr>
              <w:spacing w:after="0"/>
              <w:jc w:val="center"/>
              <w:rPr>
                <w:rFonts w:ascii="Times New Roman" w:hAnsi="Times New Roman" w:cs="Times New Roman"/>
                <w:b/>
                <w:noProof/>
                <w:sz w:val="18"/>
              </w:rPr>
            </w:pPr>
          </w:p>
        </w:tc>
        <w:tc>
          <w:tcPr>
            <w:tcW w:w="800" w:type="dxa"/>
            <w:tcBorders>
              <w:top w:val="nil"/>
            </w:tcBorders>
            <w:shd w:val="clear" w:color="auto" w:fill="C6D9F1" w:themeFill="text2" w:themeFillTint="33"/>
            <w:noWrap/>
          </w:tcPr>
          <w:p w14:paraId="3F7792BE" w14:textId="77777777" w:rsidR="0065073E" w:rsidRDefault="0065073E">
            <w:pPr>
              <w:spacing w:after="0"/>
              <w:jc w:val="center"/>
              <w:rPr>
                <w:rFonts w:ascii="Times New Roman" w:hAnsi="Times New Roman" w:cs="Times New Roman"/>
                <w:b/>
                <w:noProof/>
                <w:sz w:val="18"/>
              </w:rPr>
            </w:pPr>
          </w:p>
        </w:tc>
        <w:tc>
          <w:tcPr>
            <w:tcW w:w="821" w:type="dxa"/>
            <w:tcBorders>
              <w:top w:val="nil"/>
            </w:tcBorders>
            <w:shd w:val="clear" w:color="auto" w:fill="C6D9F1" w:themeFill="text2" w:themeFillTint="33"/>
            <w:noWrap/>
          </w:tcPr>
          <w:p w14:paraId="6945476E" w14:textId="77777777" w:rsidR="0065073E" w:rsidRDefault="0065073E">
            <w:pPr>
              <w:spacing w:after="0"/>
              <w:jc w:val="center"/>
              <w:rPr>
                <w:rFonts w:ascii="Times New Roman" w:hAnsi="Times New Roman" w:cs="Times New Roman"/>
                <w:b/>
                <w:noProof/>
                <w:sz w:val="18"/>
              </w:rPr>
            </w:pPr>
          </w:p>
        </w:tc>
        <w:tc>
          <w:tcPr>
            <w:tcW w:w="2427" w:type="dxa"/>
            <w:tcBorders>
              <w:top w:val="nil"/>
            </w:tcBorders>
            <w:shd w:val="clear" w:color="auto" w:fill="C6D9F1" w:themeFill="text2" w:themeFillTint="33"/>
            <w:noWrap/>
          </w:tcPr>
          <w:p w14:paraId="21D240F2" w14:textId="77777777" w:rsidR="0065073E" w:rsidRDefault="0065073E">
            <w:pPr>
              <w:spacing w:after="0"/>
              <w:rPr>
                <w:rFonts w:ascii="Times New Roman" w:hAnsi="Times New Roman" w:cs="Times New Roman"/>
                <w:b/>
                <w:noProof/>
                <w:sz w:val="18"/>
              </w:rPr>
            </w:pPr>
          </w:p>
        </w:tc>
        <w:tc>
          <w:tcPr>
            <w:tcW w:w="989" w:type="dxa"/>
            <w:tcBorders>
              <w:top w:val="nil"/>
            </w:tcBorders>
            <w:shd w:val="clear" w:color="auto" w:fill="C6D9F1" w:themeFill="text2" w:themeFillTint="33"/>
            <w:noWrap/>
          </w:tcPr>
          <w:p w14:paraId="1A1252AB" w14:textId="77777777" w:rsidR="0065073E" w:rsidRDefault="0065073E">
            <w:pPr>
              <w:spacing w:after="0"/>
              <w:jc w:val="center"/>
              <w:rPr>
                <w:rFonts w:ascii="Times New Roman" w:hAnsi="Times New Roman" w:cs="Times New Roman"/>
                <w:b/>
                <w:noProof/>
                <w:sz w:val="18"/>
              </w:rPr>
            </w:pPr>
          </w:p>
        </w:tc>
        <w:tc>
          <w:tcPr>
            <w:tcW w:w="653" w:type="dxa"/>
            <w:shd w:val="clear" w:color="auto" w:fill="C6D9F1" w:themeFill="text2" w:themeFillTint="33"/>
            <w:noWrap/>
          </w:tcPr>
          <w:p w14:paraId="4BFA19ED" w14:textId="77777777" w:rsidR="0065073E" w:rsidRDefault="000A0998">
            <w:pPr>
              <w:pStyle w:val="P68B1DB1-Normal8"/>
              <w:spacing w:after="0"/>
              <w:jc w:val="center"/>
              <w:rPr>
                <w:rFonts w:cs="Times New Roman"/>
                <w:noProof/>
              </w:rPr>
            </w:pPr>
            <w:r>
              <w:rPr>
                <w:noProof/>
              </w:rPr>
              <w:t>Yksikkö</w:t>
            </w:r>
          </w:p>
        </w:tc>
        <w:tc>
          <w:tcPr>
            <w:tcW w:w="957" w:type="dxa"/>
            <w:shd w:val="clear" w:color="auto" w:fill="C6D9F1" w:themeFill="text2" w:themeFillTint="33"/>
            <w:noWrap/>
          </w:tcPr>
          <w:p w14:paraId="54C16E97" w14:textId="084261B2" w:rsidR="0065073E" w:rsidRDefault="000A0998">
            <w:pPr>
              <w:pStyle w:val="P68B1DB1-Normal8"/>
              <w:spacing w:after="0"/>
              <w:jc w:val="center"/>
              <w:rPr>
                <w:rFonts w:cs="Times New Roman"/>
                <w:noProof/>
              </w:rPr>
            </w:pPr>
            <w:r>
              <w:rPr>
                <w:noProof/>
              </w:rPr>
              <w:t>Lähtötaso</w:t>
            </w:r>
          </w:p>
        </w:tc>
        <w:tc>
          <w:tcPr>
            <w:tcW w:w="548" w:type="dxa"/>
            <w:shd w:val="clear" w:color="auto" w:fill="C6D9F1" w:themeFill="text2" w:themeFillTint="33"/>
            <w:noWrap/>
          </w:tcPr>
          <w:p w14:paraId="1BBC7A5D" w14:textId="77777777" w:rsidR="0065073E" w:rsidRDefault="000A0998">
            <w:pPr>
              <w:pStyle w:val="P68B1DB1-Normal8"/>
              <w:spacing w:after="0"/>
              <w:jc w:val="center"/>
              <w:rPr>
                <w:rFonts w:cs="Times New Roman"/>
                <w:noProof/>
              </w:rPr>
            </w:pPr>
            <w:r>
              <w:rPr>
                <w:noProof/>
              </w:rPr>
              <w:t>Päämäärä</w:t>
            </w:r>
          </w:p>
        </w:tc>
        <w:tc>
          <w:tcPr>
            <w:tcW w:w="412" w:type="dxa"/>
            <w:shd w:val="clear" w:color="auto" w:fill="C6D9F1" w:themeFill="text2" w:themeFillTint="33"/>
            <w:noWrap/>
          </w:tcPr>
          <w:p w14:paraId="28AEFDA8" w14:textId="77777777" w:rsidR="0065073E" w:rsidRDefault="000A0998">
            <w:pPr>
              <w:pStyle w:val="P68B1DB1-Normal8"/>
              <w:spacing w:after="0"/>
              <w:jc w:val="center"/>
              <w:rPr>
                <w:rFonts w:cs="Times New Roman"/>
                <w:noProof/>
              </w:rPr>
            </w:pPr>
            <w:r>
              <w:rPr>
                <w:noProof/>
              </w:rPr>
              <w:t>Q</w:t>
            </w:r>
          </w:p>
        </w:tc>
        <w:tc>
          <w:tcPr>
            <w:tcW w:w="548" w:type="dxa"/>
            <w:shd w:val="clear" w:color="auto" w:fill="C6D9F1" w:themeFill="text2" w:themeFillTint="33"/>
            <w:noWrap/>
          </w:tcPr>
          <w:p w14:paraId="5C45CE87" w14:textId="77777777" w:rsidR="0065073E" w:rsidRDefault="000A0998">
            <w:pPr>
              <w:pStyle w:val="P68B1DB1-Normal8"/>
              <w:spacing w:after="0"/>
              <w:jc w:val="center"/>
              <w:rPr>
                <w:rFonts w:cs="Times New Roman"/>
                <w:noProof/>
              </w:rPr>
            </w:pPr>
            <w:r>
              <w:rPr>
                <w:noProof/>
              </w:rPr>
              <w:t>Vuosi</w:t>
            </w:r>
          </w:p>
        </w:tc>
        <w:tc>
          <w:tcPr>
            <w:tcW w:w="6446" w:type="dxa"/>
            <w:tcBorders>
              <w:top w:val="nil"/>
            </w:tcBorders>
            <w:shd w:val="clear" w:color="auto" w:fill="C6D9F1" w:themeFill="text2" w:themeFillTint="33"/>
            <w:noWrap/>
          </w:tcPr>
          <w:p w14:paraId="7D10E93B" w14:textId="77777777" w:rsidR="0065073E" w:rsidRDefault="0065073E">
            <w:pPr>
              <w:spacing w:after="0"/>
              <w:rPr>
                <w:rFonts w:ascii="Times New Roman" w:hAnsi="Times New Roman" w:cs="Times New Roman"/>
                <w:b/>
                <w:noProof/>
                <w:sz w:val="18"/>
              </w:rPr>
            </w:pPr>
          </w:p>
        </w:tc>
      </w:tr>
      <w:tr w:rsidR="0065073E" w14:paraId="74F77746" w14:textId="77777777">
        <w:trPr>
          <w:trHeight w:val="309"/>
        </w:trPr>
        <w:tc>
          <w:tcPr>
            <w:tcW w:w="851" w:type="dxa"/>
            <w:shd w:val="clear" w:color="auto" w:fill="C6EFCE"/>
            <w:noWrap/>
          </w:tcPr>
          <w:p w14:paraId="3416B8BA" w14:textId="4BB83DDD" w:rsidR="0065073E" w:rsidRDefault="000A0998">
            <w:pPr>
              <w:pStyle w:val="P68B1DB1-Normal12"/>
              <w:spacing w:after="0"/>
              <w:jc w:val="center"/>
              <w:rPr>
                <w:rFonts w:eastAsia="Times New Roman" w:cs="Times New Roman"/>
                <w:noProof/>
              </w:rPr>
            </w:pPr>
            <w:r>
              <w:rPr>
                <w:noProof/>
              </w:rPr>
              <w:t>L83</w:t>
            </w:r>
          </w:p>
        </w:tc>
        <w:tc>
          <w:tcPr>
            <w:tcW w:w="800" w:type="dxa"/>
            <w:shd w:val="clear" w:color="auto" w:fill="C6EFCE"/>
            <w:noWrap/>
          </w:tcPr>
          <w:p w14:paraId="66B97D8D" w14:textId="77777777" w:rsidR="0065073E" w:rsidRDefault="000A0998">
            <w:pPr>
              <w:pStyle w:val="P68B1DB1-Normal12"/>
              <w:spacing w:after="0"/>
              <w:jc w:val="center"/>
              <w:rPr>
                <w:rFonts w:eastAsia="Times New Roman" w:cs="Times New Roman"/>
                <w:noProof/>
              </w:rPr>
            </w:pPr>
            <w:r>
              <w:rPr>
                <w:noProof/>
              </w:rPr>
              <w:t xml:space="preserve">C31.I7 </w:t>
            </w:r>
          </w:p>
        </w:tc>
        <w:tc>
          <w:tcPr>
            <w:tcW w:w="821" w:type="dxa"/>
            <w:shd w:val="clear" w:color="auto" w:fill="C6EFCE"/>
            <w:noWrap/>
          </w:tcPr>
          <w:p w14:paraId="75127D16" w14:textId="77777777" w:rsidR="0065073E" w:rsidRDefault="000A0998">
            <w:pPr>
              <w:pStyle w:val="P68B1DB1-Normal12"/>
              <w:spacing w:after="0"/>
              <w:jc w:val="center"/>
              <w:rPr>
                <w:rFonts w:eastAsia="Times New Roman" w:cs="Times New Roman"/>
                <w:noProof/>
              </w:rPr>
            </w:pPr>
            <w:r>
              <w:rPr>
                <w:noProof/>
              </w:rPr>
              <w:t>M</w:t>
            </w:r>
          </w:p>
        </w:tc>
        <w:tc>
          <w:tcPr>
            <w:tcW w:w="2427" w:type="dxa"/>
            <w:shd w:val="clear" w:color="auto" w:fill="C6EFCE"/>
            <w:noWrap/>
          </w:tcPr>
          <w:p w14:paraId="6155A04A" w14:textId="77777777" w:rsidR="0065073E" w:rsidRDefault="000A0998">
            <w:pPr>
              <w:pStyle w:val="P68B1DB1-Normal12"/>
              <w:spacing w:after="0"/>
              <w:rPr>
                <w:rFonts w:eastAsia="Times New Roman" w:cs="Times New Roman"/>
                <w:noProof/>
              </w:rPr>
            </w:pPr>
            <w:r>
              <w:rPr>
                <w:noProof/>
              </w:rPr>
              <w:t xml:space="preserve">Julkaistaan ehdotuspyynnöt ja säännöt, jotka koskevat tuen myöntämistä teollisuuden hiilestä irtautumiseen. </w:t>
            </w:r>
          </w:p>
        </w:tc>
        <w:tc>
          <w:tcPr>
            <w:tcW w:w="989" w:type="dxa"/>
            <w:shd w:val="clear" w:color="auto" w:fill="C6EFCE"/>
            <w:noWrap/>
          </w:tcPr>
          <w:p w14:paraId="2CF314EB" w14:textId="77777777" w:rsidR="0065073E" w:rsidRDefault="000A0998">
            <w:pPr>
              <w:pStyle w:val="P68B1DB1-Normal12"/>
              <w:spacing w:after="0"/>
              <w:jc w:val="center"/>
              <w:rPr>
                <w:rFonts w:eastAsia="Times New Roman" w:cs="Times New Roman"/>
                <w:noProof/>
              </w:rPr>
            </w:pPr>
            <w:r>
              <w:rPr>
                <w:noProof/>
              </w:rPr>
              <w:t>Julkaiseminen</w:t>
            </w:r>
          </w:p>
        </w:tc>
        <w:tc>
          <w:tcPr>
            <w:tcW w:w="653" w:type="dxa"/>
            <w:shd w:val="clear" w:color="auto" w:fill="C6EFCE"/>
            <w:noWrap/>
          </w:tcPr>
          <w:p w14:paraId="047653A4" w14:textId="77777777" w:rsidR="0065073E" w:rsidRDefault="0065073E">
            <w:pPr>
              <w:spacing w:after="0"/>
              <w:jc w:val="center"/>
              <w:rPr>
                <w:rFonts w:ascii="Times New Roman" w:eastAsia="Times New Roman" w:hAnsi="Times New Roman" w:cs="Times New Roman"/>
                <w:noProof/>
                <w:sz w:val="18"/>
              </w:rPr>
            </w:pPr>
          </w:p>
        </w:tc>
        <w:tc>
          <w:tcPr>
            <w:tcW w:w="957" w:type="dxa"/>
            <w:shd w:val="clear" w:color="auto" w:fill="C6EFCE"/>
            <w:noWrap/>
          </w:tcPr>
          <w:p w14:paraId="4A736D01" w14:textId="77777777" w:rsidR="0065073E" w:rsidRDefault="0065073E">
            <w:pPr>
              <w:spacing w:after="0"/>
              <w:jc w:val="right"/>
              <w:rPr>
                <w:rFonts w:ascii="Times New Roman" w:eastAsia="Times New Roman" w:hAnsi="Times New Roman" w:cs="Times New Roman"/>
                <w:noProof/>
                <w:sz w:val="18"/>
              </w:rPr>
            </w:pPr>
          </w:p>
        </w:tc>
        <w:tc>
          <w:tcPr>
            <w:tcW w:w="548" w:type="dxa"/>
            <w:shd w:val="clear" w:color="auto" w:fill="C6EFCE"/>
            <w:noWrap/>
          </w:tcPr>
          <w:p w14:paraId="4929A291" w14:textId="77777777" w:rsidR="0065073E" w:rsidRDefault="0065073E">
            <w:pPr>
              <w:spacing w:after="0"/>
              <w:jc w:val="right"/>
              <w:rPr>
                <w:rFonts w:ascii="Times New Roman" w:eastAsia="Times New Roman" w:hAnsi="Times New Roman" w:cs="Times New Roman"/>
                <w:noProof/>
                <w:sz w:val="18"/>
              </w:rPr>
            </w:pPr>
          </w:p>
        </w:tc>
        <w:tc>
          <w:tcPr>
            <w:tcW w:w="412" w:type="dxa"/>
            <w:shd w:val="clear" w:color="auto" w:fill="C6EFCE"/>
            <w:noWrap/>
          </w:tcPr>
          <w:p w14:paraId="5D4E8165" w14:textId="77777777" w:rsidR="0065073E" w:rsidRDefault="000A0998">
            <w:pPr>
              <w:pStyle w:val="P68B1DB1-Normal12"/>
              <w:spacing w:after="0"/>
              <w:jc w:val="center"/>
              <w:rPr>
                <w:rFonts w:eastAsia="Times New Roman" w:cs="Times New Roman"/>
                <w:noProof/>
              </w:rPr>
            </w:pPr>
            <w:r>
              <w:rPr>
                <w:noProof/>
              </w:rPr>
              <w:t>TOINEN VUOSINELJÄNNES</w:t>
            </w:r>
          </w:p>
        </w:tc>
        <w:tc>
          <w:tcPr>
            <w:tcW w:w="548" w:type="dxa"/>
            <w:shd w:val="clear" w:color="auto" w:fill="C6EFCE"/>
            <w:noWrap/>
          </w:tcPr>
          <w:p w14:paraId="27C6EF09" w14:textId="77777777" w:rsidR="0065073E" w:rsidRDefault="000A0998">
            <w:pPr>
              <w:pStyle w:val="P68B1DB1-Normal12"/>
              <w:spacing w:after="0"/>
              <w:jc w:val="center"/>
              <w:rPr>
                <w:rFonts w:eastAsia="Times New Roman" w:cs="Times New Roman"/>
                <w:noProof/>
              </w:rPr>
            </w:pPr>
            <w:r>
              <w:rPr>
                <w:noProof/>
              </w:rPr>
              <w:t>2024</w:t>
            </w:r>
          </w:p>
        </w:tc>
        <w:tc>
          <w:tcPr>
            <w:tcW w:w="6446" w:type="dxa"/>
            <w:shd w:val="clear" w:color="auto" w:fill="C6EFCE"/>
            <w:noWrap/>
          </w:tcPr>
          <w:p w14:paraId="15CD02F7" w14:textId="6F092510" w:rsidR="0065073E" w:rsidRDefault="000A0998">
            <w:pPr>
              <w:pStyle w:val="P68B1DB1-Normal12"/>
              <w:spacing w:after="0"/>
              <w:rPr>
                <w:rFonts w:eastAsia="Times New Roman" w:cs="Times New Roman"/>
                <w:noProof/>
              </w:rPr>
            </w:pPr>
            <w:r>
              <w:rPr>
                <w:noProof/>
              </w:rPr>
              <w:t>Hyväksytään ehdotuspyynnöt ja säännöt, jotka koskevat lainojen muodossa annettavaa tukea valmistusteollisuuden hiilestä irtautumista ja uusien erittäin tehokkaiden ja vähähiilisiin valmistuslaitoksiin tehtävien investointien kehittämistä koskeviin hankkeisiin. Ehdotuspyynnöillä ja hankkeiden lainojen muodossa annettavaa tukea koskevilla säännöillä on varmistettava, että toimenpide on ”ei merkittävää haittaa” -periaatteen mukainen teknisten ohjeiden (2021/C58/01) mukaisesti käyttämällä poissulkemisluetteloa ja vaatimusta noudattaa asiaankuuluvaa EU:n ja kansallista ympäristölainsäädäntöä.</w:t>
            </w:r>
          </w:p>
        </w:tc>
      </w:tr>
      <w:tr w:rsidR="0065073E" w14:paraId="449C83AF" w14:textId="77777777">
        <w:trPr>
          <w:trHeight w:val="309"/>
        </w:trPr>
        <w:tc>
          <w:tcPr>
            <w:tcW w:w="851" w:type="dxa"/>
            <w:shd w:val="clear" w:color="auto" w:fill="C6EFCE"/>
            <w:noWrap/>
          </w:tcPr>
          <w:p w14:paraId="54A7A573" w14:textId="35259F8E" w:rsidR="0065073E" w:rsidRDefault="000A0998">
            <w:pPr>
              <w:pStyle w:val="P68B1DB1-Normal12"/>
              <w:spacing w:after="0"/>
              <w:jc w:val="center"/>
              <w:rPr>
                <w:rFonts w:eastAsia="Times New Roman" w:cs="Times New Roman"/>
                <w:noProof/>
              </w:rPr>
            </w:pPr>
            <w:r>
              <w:rPr>
                <w:noProof/>
              </w:rPr>
              <w:t>L84</w:t>
            </w:r>
          </w:p>
        </w:tc>
        <w:tc>
          <w:tcPr>
            <w:tcW w:w="800" w:type="dxa"/>
            <w:shd w:val="clear" w:color="auto" w:fill="C6EFCE"/>
            <w:noWrap/>
          </w:tcPr>
          <w:p w14:paraId="3E8311B5" w14:textId="77777777" w:rsidR="0065073E" w:rsidRDefault="000A0998">
            <w:pPr>
              <w:pStyle w:val="P68B1DB1-Normal12"/>
              <w:spacing w:after="0"/>
              <w:jc w:val="center"/>
              <w:rPr>
                <w:rFonts w:eastAsia="Times New Roman" w:cs="Times New Roman"/>
                <w:noProof/>
              </w:rPr>
            </w:pPr>
            <w:r>
              <w:rPr>
                <w:noProof/>
              </w:rPr>
              <w:t>C31.I7</w:t>
            </w:r>
          </w:p>
        </w:tc>
        <w:tc>
          <w:tcPr>
            <w:tcW w:w="821" w:type="dxa"/>
            <w:shd w:val="clear" w:color="auto" w:fill="C6EFCE"/>
            <w:noWrap/>
          </w:tcPr>
          <w:p w14:paraId="454B19EE" w14:textId="5C13FFBB" w:rsidR="0065073E" w:rsidRDefault="000A0998">
            <w:pPr>
              <w:pStyle w:val="P68B1DB1-Normal12"/>
              <w:spacing w:after="0"/>
              <w:jc w:val="center"/>
              <w:rPr>
                <w:rFonts w:eastAsia="Times New Roman" w:cs="Times New Roman"/>
                <w:noProof/>
              </w:rPr>
            </w:pPr>
            <w:r>
              <w:rPr>
                <w:noProof/>
              </w:rPr>
              <w:t>T</w:t>
            </w:r>
          </w:p>
        </w:tc>
        <w:tc>
          <w:tcPr>
            <w:tcW w:w="2427" w:type="dxa"/>
            <w:shd w:val="clear" w:color="auto" w:fill="C6EFCE"/>
            <w:noWrap/>
          </w:tcPr>
          <w:p w14:paraId="6D2E9CBF" w14:textId="77777777" w:rsidR="0065073E" w:rsidRDefault="000A0998">
            <w:pPr>
              <w:pStyle w:val="P68B1DB1-Normal12"/>
              <w:spacing w:after="0"/>
              <w:rPr>
                <w:rFonts w:eastAsia="Times New Roman" w:cs="Times New Roman"/>
                <w:noProof/>
              </w:rPr>
            </w:pPr>
            <w:r>
              <w:rPr>
                <w:noProof/>
              </w:rPr>
              <w:t>Hiilestä irtautumista koskeville hankkeille myönnettävien palkintojen julkaiseminen</w:t>
            </w:r>
          </w:p>
        </w:tc>
        <w:tc>
          <w:tcPr>
            <w:tcW w:w="989" w:type="dxa"/>
            <w:shd w:val="clear" w:color="auto" w:fill="C6EFCE"/>
            <w:noWrap/>
          </w:tcPr>
          <w:p w14:paraId="30402AB2" w14:textId="77777777" w:rsidR="0065073E" w:rsidRDefault="0065073E">
            <w:pPr>
              <w:spacing w:after="0"/>
              <w:jc w:val="center"/>
              <w:rPr>
                <w:rFonts w:ascii="Times New Roman" w:eastAsia="Times New Roman" w:hAnsi="Times New Roman" w:cs="Times New Roman"/>
                <w:noProof/>
                <w:sz w:val="18"/>
              </w:rPr>
            </w:pPr>
          </w:p>
        </w:tc>
        <w:tc>
          <w:tcPr>
            <w:tcW w:w="653" w:type="dxa"/>
            <w:shd w:val="clear" w:color="auto" w:fill="C6EFCE"/>
            <w:noWrap/>
          </w:tcPr>
          <w:p w14:paraId="28B2CA4E" w14:textId="52D7AA0C" w:rsidR="0065073E" w:rsidRDefault="000A0998">
            <w:pPr>
              <w:pStyle w:val="P68B1DB1-Normal12"/>
              <w:spacing w:after="0"/>
              <w:jc w:val="center"/>
              <w:rPr>
                <w:rFonts w:eastAsia="Times New Roman" w:cs="Times New Roman"/>
                <w:noProof/>
              </w:rPr>
            </w:pPr>
            <w:r>
              <w:rPr>
                <w:noProof/>
              </w:rPr>
              <w:t>Miljoonaa euroa</w:t>
            </w:r>
          </w:p>
        </w:tc>
        <w:tc>
          <w:tcPr>
            <w:tcW w:w="957" w:type="dxa"/>
            <w:shd w:val="clear" w:color="auto" w:fill="C6EFCE"/>
            <w:noWrap/>
          </w:tcPr>
          <w:p w14:paraId="6E07CB6E" w14:textId="77777777" w:rsidR="0065073E" w:rsidRDefault="000A0998">
            <w:pPr>
              <w:pStyle w:val="P68B1DB1-Normal12"/>
              <w:spacing w:after="0"/>
              <w:jc w:val="right"/>
              <w:rPr>
                <w:rFonts w:eastAsia="Times New Roman" w:cs="Times New Roman"/>
                <w:noProof/>
              </w:rPr>
            </w:pPr>
            <w:r>
              <w:rPr>
                <w:noProof/>
              </w:rPr>
              <w:t>0</w:t>
            </w:r>
          </w:p>
        </w:tc>
        <w:tc>
          <w:tcPr>
            <w:tcW w:w="548" w:type="dxa"/>
            <w:shd w:val="clear" w:color="auto" w:fill="C6EFCE"/>
            <w:noWrap/>
          </w:tcPr>
          <w:p w14:paraId="3C142489" w14:textId="2A692C5B" w:rsidR="0065073E" w:rsidRDefault="000A0998">
            <w:pPr>
              <w:pStyle w:val="P68B1DB1-Normal12"/>
              <w:spacing w:after="0"/>
              <w:jc w:val="right"/>
              <w:rPr>
                <w:rFonts w:eastAsia="Times New Roman" w:cs="Times New Roman"/>
                <w:noProof/>
              </w:rPr>
            </w:pPr>
            <w:r>
              <w:rPr>
                <w:noProof/>
              </w:rPr>
              <w:t xml:space="preserve">585 </w:t>
            </w:r>
          </w:p>
        </w:tc>
        <w:tc>
          <w:tcPr>
            <w:tcW w:w="412" w:type="dxa"/>
            <w:shd w:val="clear" w:color="auto" w:fill="C6EFCE"/>
            <w:noWrap/>
          </w:tcPr>
          <w:p w14:paraId="6BCA730F" w14:textId="77777777" w:rsidR="0065073E" w:rsidRDefault="000A0998">
            <w:pPr>
              <w:pStyle w:val="P68B1DB1-Normal12"/>
              <w:spacing w:after="0"/>
              <w:jc w:val="center"/>
              <w:rPr>
                <w:rFonts w:eastAsia="Times New Roman" w:cs="Times New Roman"/>
                <w:noProof/>
              </w:rPr>
            </w:pPr>
            <w:r>
              <w:rPr>
                <w:noProof/>
              </w:rPr>
              <w:t>Q4</w:t>
            </w:r>
          </w:p>
        </w:tc>
        <w:tc>
          <w:tcPr>
            <w:tcW w:w="548" w:type="dxa"/>
            <w:shd w:val="clear" w:color="auto" w:fill="C6EFCE"/>
            <w:noWrap/>
          </w:tcPr>
          <w:p w14:paraId="50ACF7BD" w14:textId="77777777" w:rsidR="0065073E" w:rsidRDefault="000A0998">
            <w:pPr>
              <w:pStyle w:val="P68B1DB1-Normal12"/>
              <w:spacing w:after="0"/>
              <w:jc w:val="center"/>
              <w:rPr>
                <w:rFonts w:eastAsia="Times New Roman" w:cs="Times New Roman"/>
                <w:noProof/>
              </w:rPr>
            </w:pPr>
            <w:r>
              <w:rPr>
                <w:noProof/>
              </w:rPr>
              <w:t>2024</w:t>
            </w:r>
          </w:p>
        </w:tc>
        <w:tc>
          <w:tcPr>
            <w:tcW w:w="6446" w:type="dxa"/>
            <w:shd w:val="clear" w:color="auto" w:fill="C6EFCE"/>
            <w:noWrap/>
          </w:tcPr>
          <w:p w14:paraId="56137C83" w14:textId="2699947F" w:rsidR="0065073E" w:rsidRDefault="000A0998">
            <w:pPr>
              <w:pStyle w:val="P68B1DB1-Normal12"/>
              <w:spacing w:after="0"/>
              <w:rPr>
                <w:rFonts w:eastAsia="Times New Roman" w:cs="Times New Roman"/>
                <w:noProof/>
              </w:rPr>
            </w:pPr>
            <w:r>
              <w:rPr>
                <w:noProof/>
              </w:rPr>
              <w:t xml:space="preserve">Lopullisille tuensaajille on myönnetty vähintään 585000000 euroa (vähintään 40 prosenttia kaikista varoista, joilla edistetään ilmastotavoitteita elpymis- ja palautumistukivälinettä koskevan asetuksen liitteessä VI esitettyä menetelmää käyttäen). </w:t>
            </w:r>
          </w:p>
        </w:tc>
      </w:tr>
      <w:tr w:rsidR="0065073E" w14:paraId="446017A3" w14:textId="77777777">
        <w:trPr>
          <w:trHeight w:val="309"/>
        </w:trPr>
        <w:tc>
          <w:tcPr>
            <w:tcW w:w="851" w:type="dxa"/>
            <w:shd w:val="clear" w:color="auto" w:fill="C6EFCE"/>
            <w:noWrap/>
          </w:tcPr>
          <w:p w14:paraId="43749F19" w14:textId="2DF72407" w:rsidR="0065073E" w:rsidRDefault="000A0998">
            <w:pPr>
              <w:pStyle w:val="P68B1DB1-Normal12"/>
              <w:spacing w:after="0"/>
              <w:jc w:val="center"/>
              <w:rPr>
                <w:rFonts w:eastAsia="Times New Roman" w:cs="Times New Roman"/>
                <w:noProof/>
              </w:rPr>
            </w:pPr>
            <w:r>
              <w:rPr>
                <w:noProof/>
              </w:rPr>
              <w:t>L85</w:t>
            </w:r>
          </w:p>
        </w:tc>
        <w:tc>
          <w:tcPr>
            <w:tcW w:w="800" w:type="dxa"/>
            <w:shd w:val="clear" w:color="auto" w:fill="C6EFCE"/>
            <w:noWrap/>
          </w:tcPr>
          <w:p w14:paraId="6C0869B5" w14:textId="77777777" w:rsidR="0065073E" w:rsidRDefault="000A0998">
            <w:pPr>
              <w:pStyle w:val="P68B1DB1-Normal12"/>
              <w:spacing w:after="0"/>
              <w:jc w:val="center"/>
              <w:rPr>
                <w:rFonts w:eastAsia="Times New Roman" w:cs="Times New Roman"/>
                <w:noProof/>
              </w:rPr>
            </w:pPr>
            <w:r>
              <w:rPr>
                <w:noProof/>
              </w:rPr>
              <w:t>C31.I7</w:t>
            </w:r>
          </w:p>
        </w:tc>
        <w:tc>
          <w:tcPr>
            <w:tcW w:w="821" w:type="dxa"/>
            <w:shd w:val="clear" w:color="auto" w:fill="C6EFCE"/>
            <w:noWrap/>
          </w:tcPr>
          <w:p w14:paraId="19CC269D" w14:textId="77777777" w:rsidR="0065073E" w:rsidRDefault="000A0998">
            <w:pPr>
              <w:pStyle w:val="P68B1DB1-Normal12"/>
              <w:spacing w:after="0"/>
              <w:jc w:val="center"/>
              <w:rPr>
                <w:rFonts w:eastAsia="Times New Roman" w:cs="Times New Roman"/>
                <w:noProof/>
              </w:rPr>
            </w:pPr>
            <w:r>
              <w:rPr>
                <w:noProof/>
              </w:rPr>
              <w:t>M</w:t>
            </w:r>
          </w:p>
        </w:tc>
        <w:tc>
          <w:tcPr>
            <w:tcW w:w="2427" w:type="dxa"/>
            <w:shd w:val="clear" w:color="auto" w:fill="C6EFCE"/>
            <w:noWrap/>
          </w:tcPr>
          <w:p w14:paraId="47F21134" w14:textId="41530ECA" w:rsidR="0065073E" w:rsidRDefault="000A0998">
            <w:pPr>
              <w:pStyle w:val="P68B1DB1-Normal12"/>
              <w:spacing w:after="0"/>
              <w:rPr>
                <w:rStyle w:val="eop"/>
                <w:noProof/>
              </w:rPr>
            </w:pPr>
            <w:r>
              <w:rPr>
                <w:noProof/>
              </w:rPr>
              <w:t>Hiilestä irtautumista koskevien hankkeiden loppuun saattaminen</w:t>
            </w:r>
          </w:p>
        </w:tc>
        <w:tc>
          <w:tcPr>
            <w:tcW w:w="989" w:type="dxa"/>
            <w:shd w:val="clear" w:color="auto" w:fill="C6EFCE"/>
            <w:noWrap/>
          </w:tcPr>
          <w:p w14:paraId="2C8ACC43" w14:textId="7BB2F7C0" w:rsidR="0065073E" w:rsidRDefault="000A0998">
            <w:pPr>
              <w:pStyle w:val="P68B1DB1-Normal12"/>
              <w:spacing w:after="0"/>
              <w:jc w:val="center"/>
              <w:rPr>
                <w:rFonts w:eastAsia="Times New Roman" w:cs="Times New Roman"/>
                <w:noProof/>
              </w:rPr>
            </w:pPr>
            <w:r>
              <w:rPr>
                <w:noProof/>
              </w:rPr>
              <w:t>Todistus valmistumisesta</w:t>
            </w:r>
          </w:p>
        </w:tc>
        <w:tc>
          <w:tcPr>
            <w:tcW w:w="653" w:type="dxa"/>
            <w:shd w:val="clear" w:color="auto" w:fill="C6EFCE"/>
            <w:noWrap/>
          </w:tcPr>
          <w:p w14:paraId="63CAEE0B" w14:textId="77777777" w:rsidR="0065073E" w:rsidRDefault="0065073E">
            <w:pPr>
              <w:spacing w:after="0"/>
              <w:jc w:val="center"/>
              <w:rPr>
                <w:rFonts w:ascii="Times New Roman" w:eastAsia="Times New Roman" w:hAnsi="Times New Roman" w:cs="Times New Roman"/>
                <w:noProof/>
                <w:sz w:val="18"/>
              </w:rPr>
            </w:pPr>
          </w:p>
        </w:tc>
        <w:tc>
          <w:tcPr>
            <w:tcW w:w="957" w:type="dxa"/>
            <w:shd w:val="clear" w:color="auto" w:fill="C6EFCE"/>
            <w:noWrap/>
          </w:tcPr>
          <w:p w14:paraId="7B1B15AD" w14:textId="77777777" w:rsidR="0065073E" w:rsidRDefault="0065073E">
            <w:pPr>
              <w:spacing w:after="0"/>
              <w:jc w:val="right"/>
              <w:rPr>
                <w:rFonts w:ascii="Times New Roman" w:eastAsia="Times New Roman" w:hAnsi="Times New Roman" w:cs="Times New Roman"/>
                <w:noProof/>
                <w:sz w:val="18"/>
              </w:rPr>
            </w:pPr>
          </w:p>
        </w:tc>
        <w:tc>
          <w:tcPr>
            <w:tcW w:w="548" w:type="dxa"/>
            <w:shd w:val="clear" w:color="auto" w:fill="C6EFCE"/>
            <w:noWrap/>
          </w:tcPr>
          <w:p w14:paraId="591B8D73" w14:textId="77777777" w:rsidR="0065073E" w:rsidRDefault="0065073E">
            <w:pPr>
              <w:spacing w:after="0"/>
              <w:jc w:val="right"/>
              <w:rPr>
                <w:rFonts w:ascii="Times New Roman" w:eastAsia="Times New Roman" w:hAnsi="Times New Roman" w:cs="Times New Roman"/>
                <w:noProof/>
                <w:sz w:val="18"/>
              </w:rPr>
            </w:pPr>
          </w:p>
        </w:tc>
        <w:tc>
          <w:tcPr>
            <w:tcW w:w="412" w:type="dxa"/>
            <w:shd w:val="clear" w:color="auto" w:fill="C6EFCE"/>
            <w:noWrap/>
          </w:tcPr>
          <w:p w14:paraId="110E5B82" w14:textId="6CE2A5C0" w:rsidR="0065073E" w:rsidRDefault="000A0998">
            <w:pPr>
              <w:pStyle w:val="P68B1DB1-Normal12"/>
              <w:spacing w:after="0"/>
              <w:jc w:val="center"/>
              <w:rPr>
                <w:rFonts w:eastAsia="Times New Roman" w:cs="Times New Roman"/>
                <w:noProof/>
              </w:rPr>
            </w:pPr>
            <w:r>
              <w:rPr>
                <w:noProof/>
              </w:rPr>
              <w:t>Q3</w:t>
            </w:r>
          </w:p>
        </w:tc>
        <w:tc>
          <w:tcPr>
            <w:tcW w:w="548" w:type="dxa"/>
            <w:shd w:val="clear" w:color="auto" w:fill="C6EFCE"/>
            <w:noWrap/>
          </w:tcPr>
          <w:p w14:paraId="6ED93ED3" w14:textId="77777777" w:rsidR="0065073E" w:rsidRDefault="000A0998">
            <w:pPr>
              <w:pStyle w:val="P68B1DB1-Normal12"/>
              <w:spacing w:after="0"/>
              <w:jc w:val="center"/>
              <w:rPr>
                <w:rFonts w:eastAsia="Times New Roman" w:cs="Times New Roman"/>
                <w:noProof/>
              </w:rPr>
            </w:pPr>
            <w:r>
              <w:rPr>
                <w:noProof/>
              </w:rPr>
              <w:t>2026</w:t>
            </w:r>
          </w:p>
        </w:tc>
        <w:tc>
          <w:tcPr>
            <w:tcW w:w="6446" w:type="dxa"/>
            <w:shd w:val="clear" w:color="auto" w:fill="C6EFCE"/>
            <w:noWrap/>
          </w:tcPr>
          <w:p w14:paraId="1F4C1220" w14:textId="15053292" w:rsidR="0065073E" w:rsidRDefault="000A0998">
            <w:pPr>
              <w:pStyle w:val="P68B1DB1-Normal12"/>
              <w:spacing w:after="0"/>
              <w:rPr>
                <w:rFonts w:eastAsia="Times New Roman" w:cs="Times New Roman"/>
                <w:noProof/>
              </w:rPr>
            </w:pPr>
            <w:r>
              <w:rPr>
                <w:noProof/>
              </w:rPr>
              <w:t xml:space="preserve">Hankkeiden loppuun saattaminen siten, että kokonaisbudjetti on vähintään 585000000 euroa.  Jos on kyse hiilen hinnanerosopimusta koskevan pilottihankkeen rahoittamisesta, sille myönnetyn talousarvion katsotaan vastaavan pilottihankkeen kattamia hinnanerosopimuksia koskevaan hiilisopimukseen liittyvien takuiden suuruutta.   </w:t>
            </w:r>
          </w:p>
        </w:tc>
      </w:tr>
      <w:tr w:rsidR="0065073E" w14:paraId="52773FAC" w14:textId="7777777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65073E" w:rsidRDefault="000A0998">
            <w:pPr>
              <w:spacing w:after="0"/>
              <w:jc w:val="center"/>
              <w:rPr>
                <w:rStyle w:val="normaltextrun"/>
                <w:rFonts w:ascii="Times New Roman" w:hAnsi="Times New Roman" w:cs="Times New Roman"/>
                <w:noProof/>
                <w:sz w:val="18"/>
              </w:rPr>
            </w:pPr>
            <w:r>
              <w:rPr>
                <w:rStyle w:val="normaltextrun"/>
                <w:rFonts w:ascii="Times New Roman" w:hAnsi="Times New Roman"/>
                <w:noProof/>
                <w:sz w:val="18"/>
              </w:rPr>
              <w:t>L86</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65073E" w:rsidRDefault="000A0998">
            <w:pPr>
              <w:pStyle w:val="P68B1DB1-Normal12"/>
              <w:spacing w:after="0"/>
              <w:jc w:val="center"/>
              <w:rPr>
                <w:rFonts w:cs="Times New Roman"/>
                <w:noProof/>
              </w:rPr>
            </w:pPr>
            <w:r>
              <w:rPr>
                <w:noProof/>
              </w:rPr>
              <w:t>C31.I8</w:t>
            </w:r>
          </w:p>
        </w:tc>
        <w:tc>
          <w:tcPr>
            <w:tcW w:w="821"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65073E" w:rsidRDefault="000A0998">
            <w:pPr>
              <w:pStyle w:val="P68B1DB1-Normal12"/>
              <w:spacing w:after="0"/>
              <w:jc w:val="center"/>
              <w:rPr>
                <w:rFonts w:cs="Times New Roman"/>
                <w:noProof/>
              </w:rPr>
            </w:pPr>
            <w:r>
              <w:rPr>
                <w:noProof/>
              </w:rPr>
              <w:t>M</w:t>
            </w:r>
          </w:p>
        </w:tc>
        <w:tc>
          <w:tcPr>
            <w:tcW w:w="2427"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65073E" w:rsidRDefault="000A0998">
            <w:pPr>
              <w:spacing w:after="0"/>
              <w:rPr>
                <w:rFonts w:ascii="Times New Roman" w:hAnsi="Times New Roman" w:cs="Times New Roman"/>
                <w:noProof/>
                <w:sz w:val="18"/>
              </w:rPr>
            </w:pPr>
            <w:r>
              <w:rPr>
                <w:rStyle w:val="normaltextrun"/>
                <w:rFonts w:ascii="Times New Roman" w:hAnsi="Times New Roman"/>
                <w:noProof/>
                <w:sz w:val="18"/>
              </w:rPr>
              <w:t>Teollisuuden hiilestä irtautumista koskeva tukijärjestelmä (lainat): Ministeriö on saanut investoinnin päätökseen</w:t>
            </w: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0BA265A7" w:rsidR="0065073E" w:rsidRDefault="000A0998">
            <w:pPr>
              <w:pStyle w:val="P68B1DB1-Normal12"/>
              <w:spacing w:after="0"/>
              <w:jc w:val="center"/>
              <w:rPr>
                <w:rFonts w:cs="Times New Roman"/>
                <w:noProof/>
              </w:rPr>
            </w:pPr>
            <w:r>
              <w:rPr>
                <w:noProof/>
              </w:rPr>
              <w:t>Todistus maksun suorittamisesta SEPIDES-järjestelmään</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65073E" w:rsidRDefault="0065073E">
            <w:pPr>
              <w:spacing w:after="0"/>
              <w:jc w:val="center"/>
              <w:rPr>
                <w:rStyle w:val="eop"/>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65073E" w:rsidRDefault="0065073E">
            <w:pPr>
              <w:spacing w:after="0"/>
              <w:jc w:val="right"/>
              <w:rPr>
                <w:rStyle w:val="eop"/>
                <w:rFonts w:ascii="Times New Roman" w:hAnsi="Times New Roman" w:cs="Times New Roman"/>
                <w:noProof/>
                <w:sz w:val="18"/>
              </w:rPr>
            </w:pP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65073E" w:rsidRDefault="0065073E">
            <w:pPr>
              <w:spacing w:after="0"/>
              <w:jc w:val="right"/>
              <w:rPr>
                <w:rStyle w:val="eop"/>
                <w:rFonts w:ascii="Times New Roman" w:hAnsi="Times New Roman" w:cs="Times New Roman"/>
                <w:noProof/>
                <w:sz w:val="18"/>
              </w:rPr>
            </w:pP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65073E" w:rsidRDefault="000A0998">
            <w:pPr>
              <w:pStyle w:val="P68B1DB1-Normal12"/>
              <w:spacing w:after="0"/>
              <w:jc w:val="center"/>
              <w:rPr>
                <w:rFonts w:cs="Times New Roman"/>
                <w:noProof/>
              </w:rPr>
            </w:pPr>
            <w:r>
              <w:rPr>
                <w:noProof/>
              </w:rPr>
              <w:t>TOINEN VUOSINELJÄNNES</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65073E" w:rsidRDefault="000A0998">
            <w:pPr>
              <w:pStyle w:val="P68B1DB1-Normal12"/>
              <w:spacing w:after="0"/>
              <w:jc w:val="center"/>
              <w:rPr>
                <w:rFonts w:cs="Times New Roman"/>
                <w:noProof/>
              </w:rPr>
            </w:pPr>
            <w:r>
              <w:rPr>
                <w:noProof/>
              </w:rPr>
              <w:t>2024</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A7562D6" w:rsidR="0065073E" w:rsidRDefault="000A0998">
            <w:pPr>
              <w:pStyle w:val="P68B1DB1-Normal12"/>
              <w:spacing w:after="0"/>
              <w:rPr>
                <w:rFonts w:cs="Times New Roman"/>
                <w:noProof/>
              </w:rPr>
            </w:pPr>
            <w:r>
              <w:rPr>
                <w:noProof/>
              </w:rPr>
              <w:t>Espanjan on siirrettävä SEPIDES-järjestelmään 1050000000 euroa ohjelmaa varten.</w:t>
            </w:r>
          </w:p>
        </w:tc>
      </w:tr>
      <w:tr w:rsidR="0065073E" w14:paraId="64B7776B" w14:textId="7777777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L87</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65073E" w:rsidRDefault="000A0998">
            <w:pPr>
              <w:pStyle w:val="P68B1DB1-Normal12"/>
              <w:spacing w:after="0"/>
              <w:jc w:val="center"/>
              <w:rPr>
                <w:rFonts w:eastAsia="Times New Roman" w:cs="Times New Roman"/>
                <w:noProof/>
              </w:rPr>
            </w:pPr>
            <w:r>
              <w:rPr>
                <w:noProof/>
              </w:rPr>
              <w:t>C31.I8</w:t>
            </w:r>
          </w:p>
        </w:tc>
        <w:tc>
          <w:tcPr>
            <w:tcW w:w="821"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65073E" w:rsidRDefault="000A0998">
            <w:pPr>
              <w:pStyle w:val="P68B1DB1-Normal12"/>
              <w:spacing w:after="0"/>
              <w:jc w:val="center"/>
              <w:rPr>
                <w:rFonts w:eastAsia="Times New Roman" w:cs="Times New Roman"/>
                <w:noProof/>
              </w:rPr>
            </w:pPr>
            <w:r>
              <w:rPr>
                <w:noProof/>
              </w:rPr>
              <w:t>M</w:t>
            </w:r>
          </w:p>
        </w:tc>
        <w:tc>
          <w:tcPr>
            <w:tcW w:w="2427"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65073E" w:rsidRDefault="000A0998">
            <w:pPr>
              <w:pStyle w:val="P68B1DB1-Normal12"/>
              <w:spacing w:after="0"/>
              <w:rPr>
                <w:rStyle w:val="normaltextrun"/>
                <w:rFonts w:cs="Times New Roman"/>
                <w:noProof/>
              </w:rPr>
            </w:pPr>
            <w:r>
              <w:rPr>
                <w:noProof/>
              </w:rPr>
              <w:t>Lainajärjestelmän perustaminen</w:t>
            </w: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4E07B01F" w:rsidR="0065073E" w:rsidRDefault="000A0998">
            <w:pPr>
              <w:pStyle w:val="P68B1DB1-Normal12"/>
              <w:spacing w:after="0"/>
              <w:jc w:val="center"/>
              <w:rPr>
                <w:rFonts w:eastAsia="Times New Roman" w:cs="Times New Roman"/>
                <w:noProof/>
              </w:rPr>
            </w:pPr>
            <w:r>
              <w:rPr>
                <w:noProof/>
              </w:rPr>
              <w:t>Asiaa koskevan oikeudellisen välineen (asiaankuuluvien säädösten) voimaantulo</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65073E" w:rsidRDefault="0065073E">
            <w:pPr>
              <w:spacing w:after="0"/>
              <w:jc w:val="center"/>
              <w:rPr>
                <w:rStyle w:val="eop"/>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65073E" w:rsidRDefault="0065073E">
            <w:pPr>
              <w:spacing w:after="0"/>
              <w:jc w:val="right"/>
              <w:rPr>
                <w:rStyle w:val="eop"/>
                <w:rFonts w:ascii="Times New Roman" w:hAnsi="Times New Roman" w:cs="Times New Roman"/>
                <w:noProof/>
                <w:sz w:val="18"/>
              </w:rPr>
            </w:pP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65073E" w:rsidRDefault="0065073E">
            <w:pPr>
              <w:spacing w:after="0"/>
              <w:jc w:val="right"/>
              <w:rPr>
                <w:rStyle w:val="eop"/>
                <w:rFonts w:ascii="Times New Roman" w:hAnsi="Times New Roman" w:cs="Times New Roman"/>
                <w:noProof/>
                <w:sz w:val="18"/>
              </w:rPr>
            </w:pP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65073E" w:rsidRDefault="000A0998">
            <w:pPr>
              <w:pStyle w:val="P68B1DB1-Normal12"/>
              <w:spacing w:after="0"/>
              <w:jc w:val="center"/>
              <w:rPr>
                <w:rFonts w:eastAsia="Times New Roman" w:cs="Times New Roman"/>
                <w:noProof/>
              </w:rPr>
            </w:pPr>
            <w:r>
              <w:rPr>
                <w:noProof/>
              </w:rPr>
              <w:t>Q3</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65073E" w:rsidRDefault="000A0998">
            <w:pPr>
              <w:pStyle w:val="P68B1DB1-Normal12"/>
              <w:spacing w:after="0"/>
              <w:jc w:val="center"/>
              <w:rPr>
                <w:rFonts w:eastAsia="Times New Roman" w:cs="Times New Roman"/>
                <w:noProof/>
              </w:rPr>
            </w:pPr>
            <w:r>
              <w:rPr>
                <w:noProof/>
              </w:rPr>
              <w:t>2024</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65073E" w:rsidRDefault="000A0998">
            <w:pPr>
              <w:pStyle w:val="P68B1DB1-Normal12"/>
              <w:spacing w:after="0"/>
              <w:rPr>
                <w:rFonts w:eastAsia="Times New Roman" w:cs="Times New Roman"/>
                <w:noProof/>
              </w:rPr>
            </w:pPr>
            <w:r>
              <w:rPr>
                <w:noProof/>
              </w:rPr>
              <w:t>Lainajärjestelmän perustamista koskevan yhden tai useamman säädöksen voimaantulo toimenpiteen kuvauksessa täsmennettyjen vaatimusten mukaisesti.</w:t>
            </w:r>
          </w:p>
        </w:tc>
      </w:tr>
      <w:tr w:rsidR="0065073E" w14:paraId="043D661F" w14:textId="7777777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L88</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65073E" w:rsidRDefault="000A0998">
            <w:pPr>
              <w:pStyle w:val="P68B1DB1-Normal12"/>
              <w:spacing w:after="0"/>
              <w:jc w:val="center"/>
              <w:rPr>
                <w:rFonts w:eastAsia="Times New Roman" w:cs="Times New Roman"/>
                <w:noProof/>
              </w:rPr>
            </w:pPr>
            <w:r>
              <w:rPr>
                <w:noProof/>
              </w:rPr>
              <w:t>C31.I8</w:t>
            </w:r>
          </w:p>
        </w:tc>
        <w:tc>
          <w:tcPr>
            <w:tcW w:w="821"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65073E" w:rsidRDefault="000A0998">
            <w:pPr>
              <w:pStyle w:val="P68B1DB1-Normal12"/>
              <w:spacing w:after="0"/>
              <w:jc w:val="center"/>
              <w:rPr>
                <w:rFonts w:eastAsia="Times New Roman" w:cs="Times New Roman"/>
                <w:noProof/>
              </w:rPr>
            </w:pPr>
            <w:r>
              <w:rPr>
                <w:noProof/>
              </w:rPr>
              <w:t>T</w:t>
            </w:r>
          </w:p>
        </w:tc>
        <w:tc>
          <w:tcPr>
            <w:tcW w:w="2427"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65073E" w:rsidRDefault="000A0998">
            <w:pPr>
              <w:spacing w:after="0"/>
              <w:rPr>
                <w:rStyle w:val="eop"/>
                <w:rFonts w:ascii="Times New Roman" w:hAnsi="Times New Roman" w:cs="Times New Roman"/>
                <w:noProof/>
                <w:sz w:val="18"/>
              </w:rPr>
            </w:pPr>
            <w:r>
              <w:rPr>
                <w:rStyle w:val="normaltextrun"/>
                <w:rFonts w:ascii="Times New Roman" w:hAnsi="Times New Roman"/>
                <w:noProof/>
                <w:sz w:val="18"/>
              </w:rPr>
              <w:t>Teollisuuden hiilestä irtautumista koskeva tukijärjestelmä (lainat): Lopullisten edunsaajien kanssa allekirjoitetut oikeudelliset sopimukset tai lopulliset myöntämispäätökset julkaistu.</w:t>
            </w:r>
          </w:p>
          <w:p w14:paraId="0D988384" w14:textId="6F6031A4" w:rsidR="0065073E" w:rsidRDefault="0065073E">
            <w:pPr>
              <w:spacing w:after="0"/>
              <w:rPr>
                <w:rFonts w:ascii="Times New Roman" w:eastAsia="Times New Roman" w:hAnsi="Times New Roman" w:cs="Times New Roman"/>
                <w:noProof/>
                <w:sz w:val="18"/>
              </w:rPr>
            </w:pP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1D85D1F4" w:rsidR="0065073E" w:rsidRDefault="000A0998">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 xml:space="preserve">Julkaistujen oikeudellisten rahoitussopimusten tai lopullisten myöntämispäätösten voimaantulo </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65073E" w:rsidRDefault="0065073E">
            <w:pPr>
              <w:spacing w:after="0"/>
              <w:jc w:val="center"/>
              <w:rPr>
                <w:rStyle w:val="normaltextrun"/>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65073E" w:rsidRDefault="000A0998">
            <w:pPr>
              <w:pStyle w:val="P68B1DB1-Normal12"/>
              <w:spacing w:after="0"/>
              <w:jc w:val="right"/>
              <w:rPr>
                <w:rFonts w:eastAsia="Times New Roman" w:cs="Times New Roman"/>
                <w:noProof/>
              </w:rPr>
            </w:pPr>
            <w:r>
              <w:rPr>
                <w:noProof/>
              </w:rPr>
              <w:t>0</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65073E" w:rsidRDefault="000A0998">
            <w:pPr>
              <w:pStyle w:val="P68B1DB1-Normal12"/>
              <w:spacing w:after="0"/>
              <w:jc w:val="right"/>
              <w:rPr>
                <w:rStyle w:val="eop"/>
                <w:rFonts w:cs="Times New Roman"/>
                <w:noProof/>
              </w:rPr>
            </w:pPr>
            <w:r>
              <w:rPr>
                <w:noProof/>
              </w:rPr>
              <w:t xml:space="preserve">100 % </w:t>
            </w: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65073E" w:rsidRDefault="000A0998">
            <w:pPr>
              <w:pStyle w:val="P68B1DB1-Normal12"/>
              <w:spacing w:after="0"/>
              <w:jc w:val="center"/>
              <w:rPr>
                <w:rStyle w:val="eop"/>
                <w:rFonts w:cs="Times New Roman"/>
                <w:noProof/>
              </w:rPr>
            </w:pPr>
            <w:r>
              <w:rPr>
                <w:noProof/>
              </w:rPr>
              <w:t>Q3</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65073E" w:rsidRDefault="000A0998">
            <w:pPr>
              <w:pStyle w:val="P68B1DB1-Normal12"/>
              <w:spacing w:after="0"/>
              <w:jc w:val="center"/>
              <w:rPr>
                <w:rFonts w:eastAsia="Times New Roman" w:cs="Times New Roman"/>
                <w:noProof/>
              </w:rPr>
            </w:pPr>
            <w:r>
              <w:rPr>
                <w:noProof/>
              </w:rPr>
              <w:t>2026</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AA88CE" w:rsidR="0065073E" w:rsidRDefault="000A0998">
            <w:pPr>
              <w:pStyle w:val="P68B1DB1-Normal12"/>
              <w:spacing w:after="0"/>
              <w:rPr>
                <w:rFonts w:cs="Times New Roman"/>
                <w:noProof/>
              </w:rPr>
            </w:pPr>
            <w:r>
              <w:rPr>
                <w:noProof/>
              </w:rPr>
              <w:t xml:space="preserve">SEPIDES on julkaissut lopulliset myöntämispäätökset tai tehnyt lopullisten edunsaajien kanssa oikeudellisia rahoitussopimuksia määrästä, joka on tarpeen, jotta 100 prosenttia elpymis- ja palautumistukivälineen investoinneista (mukaan lukien välilliset kustannukset) voidaan käyttää järjestelmään. SEPIDES-ohjelmassa on varmistettava, että vähintään 40 prosentilla tästä rahoituksesta edistetään ilmastotavoitteita elpymis- ja palautumistukivälinettä koskevan asetuksen liitteessä VI esitettyä menetelmää käyttäen.  </w:t>
            </w:r>
          </w:p>
        </w:tc>
      </w:tr>
    </w:tbl>
    <w:p w14:paraId="1A8F52C7" w14:textId="77777777" w:rsidR="0065073E" w:rsidRDefault="0065073E">
      <w:pPr>
        <w:rPr>
          <w:rFonts w:ascii="Times New Roman" w:hAnsi="Times New Roman" w:cs="Times New Roman"/>
          <w:noProof/>
        </w:rPr>
      </w:pPr>
    </w:p>
    <w:p w14:paraId="5B1460E4" w14:textId="77777777" w:rsidR="0065073E" w:rsidRDefault="0065073E">
      <w:pPr>
        <w:pStyle w:val="Text1"/>
        <w:ind w:left="0"/>
        <w:rPr>
          <w:rFonts w:ascii="Times New Roman" w:hAnsi="Times New Roman" w:cs="Times New Roman"/>
          <w:noProof/>
        </w:rPr>
        <w:sectPr w:rsidR="0065073E" w:rsidSect="00B511EF">
          <w:headerReference w:type="even" r:id="rId661"/>
          <w:headerReference w:type="default" r:id="rId662"/>
          <w:footerReference w:type="even" r:id="rId663"/>
          <w:footerReference w:type="default" r:id="rId664"/>
          <w:headerReference w:type="first" r:id="rId665"/>
          <w:footerReference w:type="first" r:id="rId666"/>
          <w:pgSz w:w="16839" w:h="11907" w:orient="landscape"/>
          <w:pgMar w:top="1134" w:right="1134" w:bottom="1134" w:left="1134" w:header="567" w:footer="567" w:gutter="0"/>
          <w:cols w:space="720"/>
          <w:docGrid w:linePitch="360"/>
        </w:sectPr>
      </w:pPr>
    </w:p>
    <w:p w14:paraId="5B5F53E3" w14:textId="77777777" w:rsidR="0065073E" w:rsidRDefault="000A0998">
      <w:pPr>
        <w:pStyle w:val="P68B1DB1-Normal36"/>
        <w:numPr>
          <w:ilvl w:val="0"/>
          <w:numId w:val="50"/>
        </w:numPr>
        <w:spacing w:before="120" w:after="120" w:line="240" w:lineRule="auto"/>
        <w:jc w:val="both"/>
        <w:rPr>
          <w:rFonts w:eastAsia="Calibri" w:cs="Times New Roman"/>
          <w:noProof/>
        </w:rPr>
      </w:pPr>
      <w:r>
        <w:rPr>
          <w:noProof/>
        </w:rPr>
        <w:t>Elpymis- ja palautumissuunnitelman arvioidut kokonaiskustannukset</w:t>
      </w:r>
    </w:p>
    <w:p w14:paraId="732200E1" w14:textId="125C3D4F" w:rsidR="0065073E" w:rsidRDefault="000A0998">
      <w:pPr>
        <w:pStyle w:val="P68B1DB1-Normal4"/>
        <w:spacing w:before="120" w:after="120" w:line="240" w:lineRule="auto"/>
        <w:ind w:left="850"/>
        <w:jc w:val="both"/>
        <w:rPr>
          <w:rFonts w:eastAsia="Calibri" w:cs="Times New Roman"/>
          <w:noProof/>
        </w:rPr>
      </w:pPr>
      <w:r>
        <w:rPr>
          <w:noProof/>
        </w:rPr>
        <w:t>Espanjan elpymis- ja palautumissuunnitelman arvioidut kokonaiskustannukset ovat 163029653473 euroa.</w:t>
      </w:r>
    </w:p>
    <w:p w14:paraId="7A88BAA2" w14:textId="77777777" w:rsidR="0065073E" w:rsidRDefault="0065073E">
      <w:pPr>
        <w:spacing w:before="120" w:after="120" w:line="240" w:lineRule="auto"/>
        <w:jc w:val="both"/>
        <w:rPr>
          <w:rFonts w:ascii="Times New Roman" w:eastAsia="Calibri" w:hAnsi="Times New Roman" w:cs="Times New Roman"/>
          <w:noProof/>
          <w:sz w:val="24"/>
        </w:rPr>
      </w:pPr>
    </w:p>
    <w:p w14:paraId="6A6CE5A4" w14:textId="77777777" w:rsidR="0065073E" w:rsidRDefault="000A0998">
      <w:pPr>
        <w:pStyle w:val="P68B1DB1-Normal36"/>
        <w:spacing w:before="120" w:after="120" w:line="240" w:lineRule="auto"/>
        <w:jc w:val="both"/>
        <w:rPr>
          <w:rFonts w:eastAsia="Calibri" w:cs="Times New Roman"/>
          <w:noProof/>
        </w:rPr>
      </w:pPr>
      <w:r>
        <w:rPr>
          <w:noProof/>
        </w:rPr>
        <w:t xml:space="preserve">2 JAKSO: TALOUDELLINEN TUKI </w:t>
      </w:r>
    </w:p>
    <w:p w14:paraId="6EB2AA1A" w14:textId="77777777" w:rsidR="0065073E" w:rsidRDefault="000A0998">
      <w:pPr>
        <w:pStyle w:val="P68B1DB1-NumPar137"/>
        <w:numPr>
          <w:ilvl w:val="0"/>
          <w:numId w:val="191"/>
        </w:numPr>
        <w:rPr>
          <w:rFonts w:cs="Times New Roman"/>
          <w:noProof/>
        </w:rPr>
      </w:pPr>
      <w:r>
        <w:rPr>
          <w:noProof/>
        </w:rPr>
        <w:t xml:space="preserve">Rahoitusosuus </w:t>
      </w:r>
    </w:p>
    <w:p w14:paraId="5734AC5E" w14:textId="77777777" w:rsidR="0065073E" w:rsidRDefault="000A0998">
      <w:pPr>
        <w:pStyle w:val="P68B1DB1-Normal4"/>
        <w:spacing w:before="120" w:after="120" w:line="240" w:lineRule="auto"/>
        <w:ind w:left="850"/>
        <w:jc w:val="both"/>
        <w:rPr>
          <w:rFonts w:eastAsia="Calibri" w:cs="Times New Roman"/>
          <w:noProof/>
        </w:rPr>
      </w:pPr>
      <w:r>
        <w:rPr>
          <w:noProof/>
        </w:rPr>
        <w:t>Päätöksen 2 artiklan 2 kohdassa tarkoitetut erät muodostetaan seuraavasti:</w:t>
      </w:r>
    </w:p>
    <w:p w14:paraId="24258B11"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Ensimmäinen erä (tuki, jota ei makseta takaisin): </w:t>
      </w:r>
    </w:p>
    <w:tbl>
      <w:tblPr>
        <w:tblW w:w="9889" w:type="dxa"/>
        <w:tblInd w:w="-34" w:type="dxa"/>
        <w:tblLook w:val="04A0" w:firstRow="1" w:lastRow="0" w:firstColumn="1" w:lastColumn="0" w:noHBand="0" w:noVBand="1"/>
      </w:tblPr>
      <w:tblGrid>
        <w:gridCol w:w="1191"/>
        <w:gridCol w:w="1324"/>
        <w:gridCol w:w="1678"/>
        <w:gridCol w:w="5684"/>
        <w:gridCol w:w="12"/>
      </w:tblGrid>
      <w:tr w:rsidR="0065073E" w14:paraId="19034D7E" w14:textId="77777777">
        <w:trPr>
          <w:trHeight w:val="807"/>
          <w:tblHeader/>
        </w:trPr>
        <w:tc>
          <w:tcPr>
            <w:tcW w:w="1261"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0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608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6CAFC044" w14:textId="77777777">
        <w:trPr>
          <w:trHeight w:val="509"/>
        </w:trPr>
        <w:tc>
          <w:tcPr>
            <w:tcW w:w="1261"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65073E" w:rsidRDefault="0065073E">
            <w:pPr>
              <w:spacing w:after="0" w:line="240" w:lineRule="auto"/>
              <w:rPr>
                <w:rFonts w:ascii="Times New Roman" w:eastAsia="Times New Roman" w:hAnsi="Times New Roman" w:cs="Times New Roman"/>
                <w:b/>
                <w:noProof/>
                <w:sz w:val="20"/>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65073E" w:rsidRDefault="0065073E">
            <w:pPr>
              <w:spacing w:after="0" w:line="240" w:lineRule="auto"/>
              <w:rPr>
                <w:rFonts w:ascii="Times New Roman" w:eastAsia="Times New Roman" w:hAnsi="Times New Roman" w:cs="Times New Roman"/>
                <w:b/>
                <w:noProof/>
                <w:sz w:val="20"/>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65073E" w:rsidRDefault="0065073E">
            <w:pPr>
              <w:spacing w:after="0" w:line="240" w:lineRule="auto"/>
              <w:rPr>
                <w:rFonts w:ascii="Times New Roman" w:eastAsia="Times New Roman" w:hAnsi="Times New Roman" w:cs="Times New Roman"/>
                <w:b/>
                <w:noProof/>
                <w:sz w:val="20"/>
              </w:rPr>
            </w:pPr>
          </w:p>
        </w:tc>
        <w:tc>
          <w:tcPr>
            <w:tcW w:w="608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65073E" w:rsidRDefault="0065073E">
            <w:pPr>
              <w:spacing w:after="0" w:line="240" w:lineRule="auto"/>
              <w:rPr>
                <w:rFonts w:ascii="Times New Roman" w:eastAsia="Times New Roman" w:hAnsi="Times New Roman" w:cs="Times New Roman"/>
                <w:b/>
                <w:noProof/>
                <w:sz w:val="20"/>
              </w:rPr>
            </w:pPr>
          </w:p>
        </w:tc>
      </w:tr>
      <w:tr w:rsidR="0065073E" w14:paraId="225A0F73"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65073E" w:rsidRDefault="000A0998">
            <w:pPr>
              <w:pStyle w:val="P68B1DB1-Normal39"/>
              <w:spacing w:after="0" w:line="240" w:lineRule="auto"/>
              <w:jc w:val="center"/>
              <w:rPr>
                <w:rFonts w:eastAsia="Times New Roman" w:cs="Times New Roman"/>
                <w:noProof/>
              </w:rPr>
            </w:pPr>
            <w:r>
              <w:rPr>
                <w:noProof/>
              </w:rPr>
              <w:t>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65073E" w:rsidRDefault="000A0998">
            <w:pPr>
              <w:pStyle w:val="P68B1DB1-Normal39"/>
              <w:spacing w:after="0" w:line="240" w:lineRule="auto"/>
              <w:jc w:val="center"/>
              <w:rPr>
                <w:rFonts w:eastAsia="Times New Roman" w:cs="Times New Roman"/>
                <w:noProof/>
              </w:rPr>
            </w:pPr>
            <w:r>
              <w:rPr>
                <w:noProof/>
              </w:rPr>
              <w:t>C1.R1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65073E" w:rsidRDefault="000A0998">
            <w:pPr>
              <w:pStyle w:val="P68B1DB1-Normal39"/>
              <w:spacing w:after="0" w:line="240" w:lineRule="auto"/>
              <w:rPr>
                <w:rFonts w:eastAsia="Times New Roman" w:cs="Times New Roman"/>
                <w:noProof/>
              </w:rPr>
            </w:pPr>
            <w:r>
              <w:rPr>
                <w:noProof/>
              </w:rPr>
              <w:t>Määräys TMA/178/2020 ja kuninkaan asetus 23/2020</w:t>
            </w:r>
          </w:p>
        </w:tc>
      </w:tr>
      <w:tr w:rsidR="0065073E" w14:paraId="2480D24E"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65073E" w:rsidRDefault="000A0998">
            <w:pPr>
              <w:pStyle w:val="P68B1DB1-Normal39"/>
              <w:spacing w:after="0" w:line="240" w:lineRule="auto"/>
              <w:jc w:val="center"/>
              <w:rPr>
                <w:rFonts w:eastAsia="Times New Roman" w:cs="Times New Roman"/>
                <w:noProof/>
              </w:rPr>
            </w:pPr>
            <w:r>
              <w:rPr>
                <w:noProof/>
              </w:rPr>
              <w:t>21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65073E" w:rsidRDefault="000A0998">
            <w:pPr>
              <w:pStyle w:val="P68B1DB1-Normal39"/>
              <w:spacing w:after="0" w:line="240" w:lineRule="auto"/>
              <w:jc w:val="center"/>
              <w:rPr>
                <w:rFonts w:eastAsia="Times New Roman" w:cs="Times New Roman"/>
                <w:noProof/>
              </w:rPr>
            </w:pPr>
            <w:r>
              <w:rPr>
                <w:noProof/>
              </w:rPr>
              <w:t>C2.R1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65073E" w:rsidRDefault="000A0998">
            <w:pPr>
              <w:pStyle w:val="P68B1DB1-Normal39"/>
              <w:spacing w:after="0" w:line="240" w:lineRule="auto"/>
              <w:rPr>
                <w:rFonts w:eastAsia="Times New Roman" w:cs="Times New Roman"/>
                <w:noProof/>
              </w:rPr>
            </w:pPr>
            <w:r>
              <w:rPr>
                <w:noProof/>
              </w:rPr>
              <w:t xml:space="preserve">Espanjan kaupunkiagendan ja energia-alan kunnostamista Espanjassa koskevan pitkän aikavälin perusparannusstrategian voimaantulo </w:t>
            </w:r>
          </w:p>
        </w:tc>
      </w:tr>
      <w:tr w:rsidR="0065073E" w14:paraId="415FB51A"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65073E" w:rsidRDefault="000A0998">
            <w:pPr>
              <w:pStyle w:val="P68B1DB1-Normal39"/>
              <w:spacing w:after="0" w:line="240" w:lineRule="auto"/>
              <w:jc w:val="center"/>
              <w:rPr>
                <w:rFonts w:eastAsia="Times New Roman" w:cs="Times New Roman"/>
                <w:noProof/>
              </w:rPr>
            </w:pPr>
            <w:r>
              <w:rPr>
                <w:noProof/>
              </w:rPr>
              <w:t>39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65073E" w:rsidRDefault="000A0998">
            <w:pPr>
              <w:pStyle w:val="P68B1DB1-Normal39"/>
              <w:spacing w:after="0" w:line="240" w:lineRule="auto"/>
              <w:jc w:val="center"/>
              <w:rPr>
                <w:rFonts w:eastAsia="Times New Roman" w:cs="Times New Roman"/>
                <w:noProof/>
              </w:rPr>
            </w:pPr>
            <w:r>
              <w:rPr>
                <w:noProof/>
              </w:rPr>
              <w:t>C3.R1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65073E" w:rsidRDefault="000A0998">
            <w:pPr>
              <w:pStyle w:val="P68B1DB1-Normal39"/>
              <w:spacing w:after="0" w:line="240" w:lineRule="auto"/>
              <w:rPr>
                <w:rFonts w:eastAsia="Times New Roman" w:cs="Times New Roman"/>
                <w:noProof/>
              </w:rPr>
            </w:pPr>
            <w:r>
              <w:rPr>
                <w:noProof/>
              </w:rPr>
              <w:t>Maataloutta ja elintarvikkeita koskevista kiireellisistä toimenpiteistä annetun kuninkaallisen asetuksen 5/2020 ja elintarvikeketjun toimintaa parantavista toimenpiteistä annetun lain 12/2013 muuttamisesta annetun lain 8/2020 voimaantulo</w:t>
            </w:r>
          </w:p>
        </w:tc>
      </w:tr>
      <w:tr w:rsidR="0065073E" w14:paraId="256249B1"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65073E" w:rsidRDefault="000A0998">
            <w:pPr>
              <w:pStyle w:val="P68B1DB1-Normal39"/>
              <w:spacing w:after="0" w:line="240" w:lineRule="auto"/>
              <w:jc w:val="center"/>
              <w:rPr>
                <w:rFonts w:eastAsia="Times New Roman" w:cs="Times New Roman"/>
                <w:noProof/>
              </w:rPr>
            </w:pPr>
            <w:r>
              <w:rPr>
                <w:noProof/>
              </w:rPr>
              <w:t>63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65073E" w:rsidRDefault="000A0998">
            <w:pPr>
              <w:pStyle w:val="P68B1DB1-Normal39"/>
              <w:spacing w:after="0" w:line="240" w:lineRule="auto"/>
              <w:jc w:val="center"/>
              <w:rPr>
                <w:rFonts w:eastAsia="Times New Roman" w:cs="Times New Roman"/>
                <w:noProof/>
              </w:rPr>
            </w:pPr>
            <w:r>
              <w:rPr>
                <w:noProof/>
              </w:rPr>
              <w:t>C4.R2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65073E" w:rsidRDefault="000A0998">
            <w:pPr>
              <w:pStyle w:val="P68B1DB1-Normal39"/>
              <w:spacing w:after="0" w:line="240" w:lineRule="auto"/>
              <w:rPr>
                <w:rFonts w:eastAsia="Times New Roman" w:cs="Times New Roman"/>
                <w:noProof/>
              </w:rPr>
            </w:pPr>
            <w:r>
              <w:rPr>
                <w:noProof/>
              </w:rPr>
              <w:t>Vihreää infrastruktuuria, yhteyksiä ja ekologista ennallistamista koskevan kansallisen strategian hyväksyminen</w:t>
            </w:r>
          </w:p>
        </w:tc>
      </w:tr>
      <w:tr w:rsidR="0065073E" w14:paraId="01448C79"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65073E" w:rsidRDefault="000A0998">
            <w:pPr>
              <w:pStyle w:val="P68B1DB1-Normal39"/>
              <w:spacing w:after="0" w:line="240" w:lineRule="auto"/>
              <w:jc w:val="center"/>
              <w:rPr>
                <w:rFonts w:eastAsia="Times New Roman" w:cs="Times New Roman"/>
                <w:noProof/>
              </w:rPr>
            </w:pPr>
            <w:r>
              <w:rPr>
                <w:noProof/>
              </w:rPr>
              <w:t>82</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65073E" w:rsidRDefault="000A0998">
            <w:pPr>
              <w:pStyle w:val="P68B1DB1-Normal39"/>
              <w:spacing w:after="0" w:line="240" w:lineRule="auto"/>
              <w:jc w:val="center"/>
              <w:rPr>
                <w:rFonts w:eastAsia="Times New Roman" w:cs="Times New Roman"/>
                <w:noProof/>
              </w:rPr>
            </w:pPr>
            <w:r>
              <w:rPr>
                <w:noProof/>
              </w:rPr>
              <w:t>C6.R1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65073E" w:rsidRDefault="000A0998">
            <w:pPr>
              <w:pStyle w:val="P68B1DB1-Normal39"/>
              <w:spacing w:after="0" w:line="240" w:lineRule="auto"/>
              <w:rPr>
                <w:rFonts w:eastAsia="Times New Roman" w:cs="Times New Roman"/>
                <w:noProof/>
              </w:rPr>
            </w:pPr>
            <w:r>
              <w:rPr>
                <w:noProof/>
              </w:rPr>
              <w:t>Kestävää, turvallista ja verkotettua liikkuvuutta koskeva strategia (julkinen kuuleminen)</w:t>
            </w:r>
          </w:p>
        </w:tc>
      </w:tr>
      <w:tr w:rsidR="0065073E" w14:paraId="7297BF1D"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65073E" w:rsidRDefault="000A0998">
            <w:pPr>
              <w:pStyle w:val="P68B1DB1-Normal39"/>
              <w:spacing w:after="0" w:line="240" w:lineRule="auto"/>
              <w:jc w:val="center"/>
              <w:rPr>
                <w:rFonts w:eastAsia="Times New Roman" w:cs="Times New Roman"/>
                <w:noProof/>
              </w:rPr>
            </w:pPr>
            <w:r>
              <w:rPr>
                <w:noProof/>
              </w:rPr>
              <w:t>102</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65073E" w:rsidRDefault="000A0998">
            <w:pPr>
              <w:pStyle w:val="P68B1DB1-Normal39"/>
              <w:spacing w:after="0" w:line="240" w:lineRule="auto"/>
              <w:jc w:val="center"/>
              <w:rPr>
                <w:rFonts w:eastAsia="Times New Roman" w:cs="Times New Roman"/>
                <w:noProof/>
              </w:rPr>
            </w:pPr>
            <w:r>
              <w:rPr>
                <w:noProof/>
              </w:rPr>
              <w:t>C7.R1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65073E" w:rsidRDefault="000A0998">
            <w:pPr>
              <w:pStyle w:val="P68B1DB1-Normal39"/>
              <w:spacing w:after="0" w:line="240" w:lineRule="auto"/>
              <w:rPr>
                <w:rFonts w:eastAsia="Times New Roman" w:cs="Times New Roman"/>
                <w:noProof/>
              </w:rPr>
            </w:pPr>
            <w:r>
              <w:rPr>
                <w:noProof/>
              </w:rPr>
              <w:t>Kuninkaan asetuksen 23/2020 (energiatoimenpiteet) voimaantulo</w:t>
            </w:r>
          </w:p>
        </w:tc>
      </w:tr>
      <w:tr w:rsidR="0065073E" w14:paraId="37286307"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65073E" w:rsidRDefault="000A0998">
            <w:pPr>
              <w:pStyle w:val="P68B1DB1-Normal39"/>
              <w:spacing w:after="0" w:line="240" w:lineRule="auto"/>
              <w:jc w:val="center"/>
              <w:rPr>
                <w:rFonts w:eastAsia="Times New Roman" w:cs="Times New Roman"/>
                <w:noProof/>
              </w:rPr>
            </w:pPr>
            <w:r>
              <w:rPr>
                <w:noProof/>
              </w:rPr>
              <w:t>103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65073E" w:rsidRDefault="000A0998">
            <w:pPr>
              <w:pStyle w:val="P68B1DB1-Normal39"/>
              <w:spacing w:after="0" w:line="240" w:lineRule="auto"/>
              <w:jc w:val="center"/>
              <w:rPr>
                <w:rFonts w:eastAsia="Times New Roman" w:cs="Times New Roman"/>
                <w:noProof/>
              </w:rPr>
            </w:pPr>
            <w:r>
              <w:rPr>
                <w:noProof/>
              </w:rPr>
              <w:t>C7.R1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65073E" w:rsidRDefault="000A0998">
            <w:pPr>
              <w:pStyle w:val="P68B1DB1-Normal39"/>
              <w:spacing w:after="0" w:line="240" w:lineRule="auto"/>
              <w:rPr>
                <w:rFonts w:eastAsia="Times New Roman" w:cs="Times New Roman"/>
                <w:noProof/>
              </w:rPr>
            </w:pPr>
            <w:r>
              <w:rPr>
                <w:noProof/>
              </w:rPr>
              <w:t>Kuninkaan asetuksen 960/2020 (uusiutuvan energian taloudellinen järjestelmä) voimaantulo</w:t>
            </w:r>
          </w:p>
        </w:tc>
      </w:tr>
      <w:tr w:rsidR="0065073E" w14:paraId="7A01B14E"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65073E" w:rsidRDefault="000A0998">
            <w:pPr>
              <w:pStyle w:val="P68B1DB1-Normal39"/>
              <w:spacing w:after="0" w:line="240" w:lineRule="auto"/>
              <w:jc w:val="center"/>
              <w:rPr>
                <w:rFonts w:eastAsia="Times New Roman" w:cs="Times New Roman"/>
                <w:noProof/>
              </w:rPr>
            </w:pPr>
            <w:r>
              <w:rPr>
                <w:noProof/>
              </w:rPr>
              <w:t>104</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65073E" w:rsidRDefault="000A0998">
            <w:pPr>
              <w:pStyle w:val="P68B1DB1-Normal39"/>
              <w:spacing w:after="0" w:line="240" w:lineRule="auto"/>
              <w:jc w:val="center"/>
              <w:rPr>
                <w:rFonts w:eastAsia="Times New Roman" w:cs="Times New Roman"/>
                <w:noProof/>
              </w:rPr>
            </w:pPr>
            <w:r>
              <w:rPr>
                <w:noProof/>
              </w:rPr>
              <w:t>C7.R1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65073E" w:rsidRDefault="000A0998">
            <w:pPr>
              <w:pStyle w:val="P68B1DB1-Normal39"/>
              <w:spacing w:after="0" w:line="240" w:lineRule="auto"/>
              <w:rPr>
                <w:rFonts w:eastAsia="Times New Roman" w:cs="Times New Roman"/>
                <w:noProof/>
              </w:rPr>
            </w:pPr>
            <w:r>
              <w:rPr>
                <w:noProof/>
              </w:rPr>
              <w:t>Kuninkaan asetuksen 1183/2020 (uusiutuvien energialähteiden liittäminen sähköverkkoon) voimaantulo</w:t>
            </w:r>
          </w:p>
        </w:tc>
      </w:tr>
      <w:tr w:rsidR="0065073E" w14:paraId="51C4256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65073E" w:rsidRDefault="000A0998">
            <w:pPr>
              <w:pStyle w:val="P68B1DB1-Normal39"/>
              <w:spacing w:after="0" w:line="240" w:lineRule="auto"/>
              <w:jc w:val="center"/>
              <w:rPr>
                <w:rFonts w:eastAsia="Times New Roman" w:cs="Times New Roman"/>
                <w:noProof/>
              </w:rPr>
            </w:pPr>
            <w:r>
              <w:rPr>
                <w:noProof/>
              </w:rPr>
              <w:t>105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65073E" w:rsidRDefault="000A0998">
            <w:pPr>
              <w:pStyle w:val="P68B1DB1-Normal39"/>
              <w:spacing w:after="0" w:line="240" w:lineRule="auto"/>
              <w:jc w:val="center"/>
              <w:rPr>
                <w:rFonts w:eastAsia="Times New Roman" w:cs="Times New Roman"/>
                <w:noProof/>
              </w:rPr>
            </w:pPr>
            <w:r>
              <w:rPr>
                <w:noProof/>
              </w:rPr>
              <w:t>C7.R1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65073E" w:rsidRDefault="000A0998">
            <w:pPr>
              <w:pStyle w:val="P68B1DB1-Normal39"/>
              <w:spacing w:after="0" w:line="240" w:lineRule="auto"/>
              <w:rPr>
                <w:rFonts w:eastAsia="Times New Roman" w:cs="Times New Roman"/>
                <w:noProof/>
              </w:rPr>
            </w:pPr>
            <w:r>
              <w:rPr>
                <w:noProof/>
              </w:rPr>
              <w:t xml:space="preserve">Ilmastonmuutosta ja energiasiirtymää koskevan lain voimaantulo </w:t>
            </w:r>
          </w:p>
        </w:tc>
      </w:tr>
      <w:tr w:rsidR="0065073E" w14:paraId="0D65DCDF"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65073E" w:rsidRDefault="000A0998">
            <w:pPr>
              <w:pStyle w:val="P68B1DB1-Normal39"/>
              <w:spacing w:after="0" w:line="240" w:lineRule="auto"/>
              <w:jc w:val="center"/>
              <w:rPr>
                <w:rFonts w:eastAsia="Times New Roman" w:cs="Times New Roman"/>
                <w:noProof/>
              </w:rPr>
            </w:pPr>
            <w:r>
              <w:rPr>
                <w:noProof/>
              </w:rPr>
              <w:t>121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65073E" w:rsidRDefault="000A0998">
            <w:pPr>
              <w:pStyle w:val="P68B1DB1-Normal39"/>
              <w:spacing w:after="0" w:line="240" w:lineRule="auto"/>
              <w:jc w:val="center"/>
              <w:rPr>
                <w:rFonts w:eastAsia="Times New Roman" w:cs="Times New Roman"/>
                <w:noProof/>
              </w:rPr>
            </w:pPr>
            <w:r>
              <w:rPr>
                <w:noProof/>
              </w:rPr>
              <w:t>C8.R1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65073E" w:rsidRDefault="000A0998">
            <w:pPr>
              <w:pStyle w:val="P68B1DB1-Normal39"/>
              <w:spacing w:after="0" w:line="240" w:lineRule="auto"/>
              <w:rPr>
                <w:rFonts w:eastAsia="Times New Roman" w:cs="Times New Roman"/>
                <w:noProof/>
              </w:rPr>
            </w:pPr>
            <w:r>
              <w:rPr>
                <w:noProof/>
              </w:rPr>
              <w:t>Hiilestä irtautumista koskevan pitkän aikavälin strategian (ELP2050) hyväksyminen.</w:t>
            </w:r>
          </w:p>
        </w:tc>
      </w:tr>
      <w:tr w:rsidR="0065073E" w14:paraId="5F4A8EF4"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65073E" w:rsidRDefault="000A0998">
            <w:pPr>
              <w:pStyle w:val="P68B1DB1-Normal39"/>
              <w:spacing w:after="0" w:line="240" w:lineRule="auto"/>
              <w:jc w:val="center"/>
              <w:rPr>
                <w:rFonts w:eastAsia="Times New Roman" w:cs="Times New Roman"/>
                <w:noProof/>
              </w:rPr>
            </w:pPr>
            <w:r>
              <w:rPr>
                <w:noProof/>
              </w:rPr>
              <w:t>122</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65073E" w:rsidRDefault="000A0998">
            <w:pPr>
              <w:pStyle w:val="P68B1DB1-Normal39"/>
              <w:spacing w:after="0" w:line="240" w:lineRule="auto"/>
              <w:jc w:val="center"/>
              <w:rPr>
                <w:rFonts w:eastAsia="Times New Roman" w:cs="Times New Roman"/>
                <w:noProof/>
              </w:rPr>
            </w:pPr>
            <w:r>
              <w:rPr>
                <w:noProof/>
              </w:rPr>
              <w:t>C8.R2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65073E" w:rsidRDefault="000A0998">
            <w:pPr>
              <w:pStyle w:val="P68B1DB1-Normal39"/>
              <w:spacing w:after="0" w:line="240" w:lineRule="auto"/>
              <w:rPr>
                <w:rFonts w:eastAsia="Times New Roman" w:cs="Times New Roman"/>
                <w:noProof/>
              </w:rPr>
            </w:pPr>
            <w:r>
              <w:rPr>
                <w:noProof/>
              </w:rPr>
              <w:t>Suunnittelu-, lainsäädäntö- ja sääntelyuudistusten voimaantulo energian varastointiratkaisun kehittämisen edistämiseksi.</w:t>
            </w:r>
          </w:p>
        </w:tc>
      </w:tr>
      <w:tr w:rsidR="0065073E" w14:paraId="102F31C0"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65073E" w:rsidRDefault="000A0998">
            <w:pPr>
              <w:pStyle w:val="P68B1DB1-Normal39"/>
              <w:spacing w:after="0" w:line="240" w:lineRule="auto"/>
              <w:jc w:val="center"/>
              <w:rPr>
                <w:rFonts w:eastAsia="Times New Roman" w:cs="Times New Roman"/>
                <w:noProof/>
              </w:rPr>
            </w:pPr>
            <w:r>
              <w:rPr>
                <w:noProof/>
              </w:rPr>
              <w:t>129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65073E" w:rsidRDefault="000A0998">
            <w:pPr>
              <w:pStyle w:val="P68B1DB1-Normal39"/>
              <w:spacing w:after="0" w:line="240" w:lineRule="auto"/>
              <w:jc w:val="center"/>
              <w:rPr>
                <w:rFonts w:eastAsia="Times New Roman" w:cs="Times New Roman"/>
                <w:noProof/>
              </w:rPr>
            </w:pPr>
            <w:r>
              <w:rPr>
                <w:noProof/>
              </w:rPr>
              <w:t>C9.R1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65073E" w:rsidRDefault="000A0998">
            <w:pPr>
              <w:pStyle w:val="P68B1DB1-Normal39"/>
              <w:spacing w:after="0" w:line="240" w:lineRule="auto"/>
              <w:rPr>
                <w:rFonts w:eastAsia="Times New Roman" w:cs="Times New Roman"/>
                <w:noProof/>
              </w:rPr>
            </w:pPr>
            <w:r>
              <w:rPr>
                <w:noProof/>
              </w:rPr>
              <w:t xml:space="preserve">Vetyä koskeva etenemissuunnitelma </w:t>
            </w:r>
          </w:p>
        </w:tc>
      </w:tr>
      <w:tr w:rsidR="0065073E" w14:paraId="3AFE742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65073E" w:rsidRDefault="000A0998">
            <w:pPr>
              <w:pStyle w:val="P68B1DB1-Normal39"/>
              <w:spacing w:after="0" w:line="240" w:lineRule="auto"/>
              <w:jc w:val="center"/>
              <w:rPr>
                <w:rFonts w:eastAsia="Times New Roman" w:cs="Times New Roman"/>
                <w:noProof/>
              </w:rPr>
            </w:pPr>
            <w:r>
              <w:rPr>
                <w:noProof/>
              </w:rPr>
              <w:t>137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65073E" w:rsidRDefault="000A0998">
            <w:pPr>
              <w:pStyle w:val="P68B1DB1-Normal39"/>
              <w:spacing w:after="0" w:line="240" w:lineRule="auto"/>
              <w:jc w:val="center"/>
              <w:rPr>
                <w:rFonts w:eastAsia="Times New Roman" w:cs="Times New Roman"/>
                <w:noProof/>
              </w:rPr>
            </w:pPr>
            <w:r>
              <w:rPr>
                <w:noProof/>
              </w:rPr>
              <w:t>C10.R1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65073E" w:rsidRDefault="000A0998">
            <w:pPr>
              <w:pStyle w:val="P68B1DB1-Normal39"/>
              <w:spacing w:after="0" w:line="240" w:lineRule="auto"/>
              <w:rPr>
                <w:rFonts w:eastAsia="Times New Roman" w:cs="Times New Roman"/>
                <w:noProof/>
              </w:rPr>
            </w:pPr>
            <w:r>
              <w:rPr>
                <w:noProof/>
              </w:rPr>
              <w:t xml:space="preserve">Oikeudenmukaisen siirtymän rahaston instituutin perustaminen </w:t>
            </w:r>
          </w:p>
        </w:tc>
      </w:tr>
      <w:tr w:rsidR="0065073E" w14:paraId="1C1B59BE"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65073E" w:rsidRDefault="000A0998">
            <w:pPr>
              <w:pStyle w:val="P68B1DB1-Normal39"/>
              <w:spacing w:after="0" w:line="240" w:lineRule="auto"/>
              <w:jc w:val="center"/>
              <w:rPr>
                <w:rFonts w:eastAsia="Times New Roman" w:cs="Times New Roman"/>
                <w:noProof/>
              </w:rPr>
            </w:pPr>
            <w:r>
              <w:rPr>
                <w:noProof/>
              </w:rPr>
              <w:t>144</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65073E" w:rsidRDefault="000A0998">
            <w:pPr>
              <w:pStyle w:val="P68B1DB1-Normal39"/>
              <w:spacing w:after="0" w:line="240" w:lineRule="auto"/>
              <w:jc w:val="center"/>
              <w:rPr>
                <w:rFonts w:eastAsia="Times New Roman" w:cs="Times New Roman"/>
                <w:noProof/>
              </w:rPr>
            </w:pPr>
            <w:r>
              <w:rPr>
                <w:noProof/>
              </w:rPr>
              <w:t>C11.R1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65073E" w:rsidRDefault="000A0998">
            <w:pPr>
              <w:pStyle w:val="P68B1DB1-Normal39"/>
              <w:spacing w:after="0" w:line="240" w:lineRule="auto"/>
              <w:rPr>
                <w:rFonts w:eastAsia="Times New Roman" w:cs="Times New Roman"/>
                <w:noProof/>
              </w:rPr>
            </w:pPr>
            <w:r>
              <w:rPr>
                <w:noProof/>
              </w:rPr>
              <w:t>Julkishallinnon määräaikaisten työsuhteiden vähentämistä koskevan säädöksen voimaantulo</w:t>
            </w:r>
          </w:p>
        </w:tc>
      </w:tr>
      <w:tr w:rsidR="0065073E" w14:paraId="4B8826FB"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65073E" w:rsidRDefault="000A0998">
            <w:pPr>
              <w:pStyle w:val="P68B1DB1-Normal39"/>
              <w:spacing w:after="0" w:line="240" w:lineRule="auto"/>
              <w:jc w:val="center"/>
              <w:rPr>
                <w:rFonts w:eastAsia="Times New Roman" w:cs="Times New Roman"/>
                <w:noProof/>
              </w:rPr>
            </w:pPr>
            <w:r>
              <w:rPr>
                <w:noProof/>
              </w:rPr>
              <w:t>151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65073E" w:rsidRDefault="000A0998">
            <w:pPr>
              <w:pStyle w:val="P68B1DB1-Normal39"/>
              <w:spacing w:after="0" w:line="240" w:lineRule="auto"/>
              <w:jc w:val="center"/>
              <w:rPr>
                <w:rFonts w:eastAsia="Times New Roman" w:cs="Times New Roman"/>
                <w:noProof/>
              </w:rPr>
            </w:pPr>
            <w:r>
              <w:rPr>
                <w:noProof/>
              </w:rPr>
              <w:t>C11.R2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65073E" w:rsidRDefault="000A0998">
            <w:pPr>
              <w:pStyle w:val="P68B1DB1-Normal39"/>
              <w:spacing w:after="0" w:line="240" w:lineRule="auto"/>
              <w:rPr>
                <w:rFonts w:eastAsia="Times New Roman" w:cs="Times New Roman"/>
                <w:noProof/>
              </w:rPr>
            </w:pPr>
            <w:r>
              <w:rPr>
                <w:noProof/>
              </w:rPr>
              <w:t>Prosessuaalisista ja organisatorisista toimenpiteistä oikeuden alalla annetun lain 3/2020 voimaantulo</w:t>
            </w:r>
          </w:p>
        </w:tc>
      </w:tr>
      <w:tr w:rsidR="0065073E" w14:paraId="6ECFDD41"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65073E" w:rsidRDefault="000A0998">
            <w:pPr>
              <w:pStyle w:val="P68B1DB1-Normal39"/>
              <w:spacing w:after="0" w:line="240" w:lineRule="auto"/>
              <w:jc w:val="center"/>
              <w:rPr>
                <w:rFonts w:eastAsia="Times New Roman" w:cs="Times New Roman"/>
                <w:noProof/>
              </w:rPr>
            </w:pPr>
            <w:r>
              <w:rPr>
                <w:noProof/>
              </w:rPr>
              <w:t>153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65073E" w:rsidRDefault="000A0998">
            <w:pPr>
              <w:pStyle w:val="P68B1DB1-Normal39"/>
              <w:spacing w:after="0" w:line="240" w:lineRule="auto"/>
              <w:jc w:val="center"/>
              <w:rPr>
                <w:rFonts w:eastAsia="Times New Roman" w:cs="Times New Roman"/>
                <w:noProof/>
              </w:rPr>
            </w:pPr>
            <w:r>
              <w:rPr>
                <w:noProof/>
              </w:rPr>
              <w:t>C11.R3</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65073E" w:rsidRDefault="000A0998">
            <w:pPr>
              <w:pStyle w:val="P68B1DB1-Normal39"/>
              <w:spacing w:after="0" w:line="240" w:lineRule="auto"/>
              <w:rPr>
                <w:rFonts w:eastAsia="Times New Roman" w:cs="Times New Roman"/>
                <w:noProof/>
              </w:rPr>
            </w:pPr>
            <w:r>
              <w:rPr>
                <w:noProof/>
              </w:rPr>
              <w:t>Caja General de Depósitosin sääntelystä annetun kuninkaallisen asetuksen 937/2020 voimaantulo</w:t>
            </w:r>
          </w:p>
        </w:tc>
      </w:tr>
      <w:tr w:rsidR="0065073E" w14:paraId="14EC4688"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65073E" w:rsidRDefault="000A0998">
            <w:pPr>
              <w:pStyle w:val="P68B1DB1-Normal39"/>
              <w:spacing w:after="0" w:line="240" w:lineRule="auto"/>
              <w:jc w:val="center"/>
              <w:rPr>
                <w:rFonts w:eastAsia="Times New Roman" w:cs="Times New Roman"/>
                <w:noProof/>
              </w:rPr>
            </w:pPr>
            <w:r>
              <w:rPr>
                <w:noProof/>
              </w:rPr>
              <w:t>154</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65073E" w:rsidRDefault="000A0998">
            <w:pPr>
              <w:pStyle w:val="P68B1DB1-Normal39"/>
              <w:spacing w:after="0" w:line="240" w:lineRule="auto"/>
              <w:jc w:val="center"/>
              <w:rPr>
                <w:rFonts w:eastAsia="Times New Roman" w:cs="Times New Roman"/>
                <w:noProof/>
              </w:rPr>
            </w:pPr>
            <w:r>
              <w:rPr>
                <w:noProof/>
              </w:rPr>
              <w:t>C11.R3</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65073E" w:rsidRDefault="000A0998">
            <w:pPr>
              <w:pStyle w:val="P68B1DB1-Normal39"/>
              <w:spacing w:after="0" w:line="240" w:lineRule="auto"/>
              <w:rPr>
                <w:rFonts w:eastAsia="Times New Roman" w:cs="Times New Roman"/>
                <w:noProof/>
              </w:rPr>
            </w:pPr>
            <w:r>
              <w:rPr>
                <w:noProof/>
              </w:rPr>
              <w:t>Tilintarkastuksista 20. heinäkuuta annetun lain 22/2015 täytäntöönpanoasetuksen hyväksymisestä annetun kuninkaallisen asetuksen voimaantulo</w:t>
            </w:r>
          </w:p>
        </w:tc>
      </w:tr>
      <w:tr w:rsidR="0065073E" w14:paraId="09108666"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65073E" w:rsidRDefault="000A0998">
            <w:pPr>
              <w:pStyle w:val="P68B1DB1-Normal39"/>
              <w:spacing w:after="0" w:line="240" w:lineRule="auto"/>
              <w:jc w:val="center"/>
              <w:rPr>
                <w:rFonts w:eastAsia="Times New Roman" w:cs="Times New Roman"/>
                <w:noProof/>
              </w:rPr>
            </w:pPr>
            <w:r>
              <w:rPr>
                <w:noProof/>
              </w:rPr>
              <w:t>157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65073E" w:rsidRDefault="000A0998">
            <w:pPr>
              <w:pStyle w:val="P68B1DB1-Normal39"/>
              <w:spacing w:after="0" w:line="240" w:lineRule="auto"/>
              <w:jc w:val="center"/>
              <w:rPr>
                <w:rFonts w:eastAsia="Times New Roman" w:cs="Times New Roman"/>
                <w:noProof/>
              </w:rPr>
            </w:pPr>
            <w:r>
              <w:rPr>
                <w:noProof/>
              </w:rPr>
              <w:t>C11.R5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65073E" w:rsidRDefault="000A0998">
            <w:pPr>
              <w:pStyle w:val="P68B1DB1-Normal39"/>
              <w:spacing w:after="0" w:line="240" w:lineRule="auto"/>
              <w:rPr>
                <w:rFonts w:eastAsia="Times New Roman" w:cs="Times New Roman"/>
                <w:noProof/>
              </w:rPr>
            </w:pPr>
            <w:r>
              <w:rPr>
                <w:noProof/>
              </w:rPr>
              <w:t>Elpymis-, muutos- ja palautumissuunnitelman täytäntöönpanosta annetun kuninkaallisen asetuksen 36/2020 voimaantulo</w:t>
            </w:r>
          </w:p>
        </w:tc>
      </w:tr>
      <w:tr w:rsidR="0065073E" w14:paraId="11B8D24D"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65073E" w:rsidRDefault="000A0998">
            <w:pPr>
              <w:pStyle w:val="P68B1DB1-Normal39"/>
              <w:spacing w:after="0" w:line="240" w:lineRule="auto"/>
              <w:jc w:val="center"/>
              <w:rPr>
                <w:rFonts w:eastAsia="Times New Roman" w:cs="Times New Roman"/>
                <w:noProof/>
              </w:rPr>
            </w:pPr>
            <w:r>
              <w:rPr>
                <w:noProof/>
              </w:rPr>
              <w:t>158</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65073E" w:rsidRDefault="000A0998">
            <w:pPr>
              <w:pStyle w:val="P68B1DB1-Normal39"/>
              <w:spacing w:after="0" w:line="240" w:lineRule="auto"/>
              <w:jc w:val="center"/>
              <w:rPr>
                <w:rFonts w:eastAsia="Times New Roman" w:cs="Times New Roman"/>
                <w:noProof/>
              </w:rPr>
            </w:pPr>
            <w:r>
              <w:rPr>
                <w:noProof/>
              </w:rPr>
              <w:t>C11.R5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65073E" w:rsidRDefault="000A0998">
            <w:pPr>
              <w:pStyle w:val="P68B1DB1-Normal39"/>
              <w:spacing w:after="0" w:line="240" w:lineRule="auto"/>
              <w:rPr>
                <w:rFonts w:eastAsia="Times New Roman" w:cs="Times New Roman"/>
                <w:noProof/>
              </w:rPr>
            </w:pPr>
            <w:r>
              <w:rPr>
                <w:noProof/>
              </w:rPr>
              <w:t>Uusien elinten perustaminen keskushallintoon suunnitelman täytäntöönpanon, valvonnan ja tarkastuksen seurantaa varten.</w:t>
            </w:r>
          </w:p>
        </w:tc>
      </w:tr>
      <w:tr w:rsidR="0065073E" w14:paraId="3139CDE1" w14:textId="77777777">
        <w:trPr>
          <w:gridAfter w:val="1"/>
          <w:wAfter w:w="13" w:type="dxa"/>
          <w:trHeight w:val="302"/>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65073E" w:rsidRDefault="000A0998">
            <w:pPr>
              <w:pStyle w:val="P68B1DB1-Normal39"/>
              <w:spacing w:after="0" w:line="240" w:lineRule="auto"/>
              <w:jc w:val="center"/>
              <w:rPr>
                <w:rFonts w:eastAsia="Times New Roman" w:cs="Times New Roman"/>
                <w:noProof/>
              </w:rPr>
            </w:pPr>
            <w:r>
              <w:rPr>
                <w:noProof/>
              </w:rPr>
              <w:t>159</w:t>
            </w:r>
          </w:p>
        </w:tc>
        <w:tc>
          <w:tcPr>
            <w:tcW w:w="1403"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65073E" w:rsidRDefault="000A0998">
            <w:pPr>
              <w:pStyle w:val="P68B1DB1-Normal39"/>
              <w:spacing w:after="0" w:line="240" w:lineRule="auto"/>
              <w:jc w:val="center"/>
              <w:rPr>
                <w:rFonts w:eastAsia="Times New Roman" w:cs="Times New Roman"/>
                <w:noProof/>
              </w:rPr>
            </w:pPr>
            <w:r>
              <w:rPr>
                <w:noProof/>
              </w:rPr>
              <w:t>C11.R5</w:t>
            </w:r>
          </w:p>
        </w:tc>
        <w:tc>
          <w:tcPr>
            <w:tcW w:w="1136"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65073E" w:rsidRDefault="000A0998">
            <w:pPr>
              <w:pStyle w:val="P68B1DB1-Normal39"/>
              <w:spacing w:after="0" w:line="240" w:lineRule="auto"/>
              <w:jc w:val="center"/>
              <w:rPr>
                <w:rFonts w:eastAsia="Times New Roman" w:cs="Times New Roman"/>
                <w:noProof/>
              </w:rPr>
            </w:pPr>
            <w:r>
              <w:rPr>
                <w:noProof/>
              </w:rPr>
              <w:t>M</w:t>
            </w:r>
          </w:p>
        </w:tc>
        <w:tc>
          <w:tcPr>
            <w:tcW w:w="6076"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65073E" w:rsidRDefault="000A0998">
            <w:pPr>
              <w:pStyle w:val="P68B1DB1-Normal39"/>
              <w:spacing w:after="0" w:line="240" w:lineRule="auto"/>
              <w:rPr>
                <w:rFonts w:eastAsia="Times New Roman" w:cs="Times New Roman"/>
                <w:noProof/>
              </w:rPr>
            </w:pPr>
            <w:r>
              <w:rPr>
                <w:noProof/>
              </w:rPr>
              <w:t>Määräys, jossa määritellään elpymis- ja palautumissuunnitelman seurantaa ja menojen kirjanpidollista toteutusta varten jaettavia tietoja koskevat menettelyt ja muoto</w:t>
            </w:r>
          </w:p>
        </w:tc>
      </w:tr>
      <w:tr w:rsidR="0065073E" w14:paraId="4F59C612" w14:textId="77777777">
        <w:trPr>
          <w:gridAfter w:val="1"/>
          <w:wAfter w:w="13" w:type="dxa"/>
          <w:trHeight w:val="302"/>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65073E" w:rsidRDefault="000A0998">
            <w:pPr>
              <w:pStyle w:val="P68B1DB1-Normal39"/>
              <w:spacing w:after="0" w:line="240" w:lineRule="auto"/>
              <w:jc w:val="center"/>
              <w:rPr>
                <w:rFonts w:eastAsia="Times New Roman" w:cs="Times New Roman"/>
                <w:noProof/>
              </w:rPr>
            </w:pPr>
            <w:r>
              <w:rPr>
                <w:noProof/>
              </w:rPr>
              <w:t>173</w:t>
            </w:r>
          </w:p>
        </w:tc>
        <w:tc>
          <w:tcPr>
            <w:tcW w:w="1403"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65073E" w:rsidRDefault="000A0998">
            <w:pPr>
              <w:pStyle w:val="P68B1DB1-Normal39"/>
              <w:spacing w:after="0" w:line="240" w:lineRule="auto"/>
              <w:jc w:val="center"/>
              <w:rPr>
                <w:rFonts w:eastAsia="Times New Roman" w:cs="Times New Roman"/>
                <w:noProof/>
              </w:rPr>
            </w:pPr>
            <w:r>
              <w:rPr>
                <w:noProof/>
              </w:rPr>
              <w:t>C11.I5</w:t>
            </w:r>
          </w:p>
        </w:tc>
        <w:tc>
          <w:tcPr>
            <w:tcW w:w="1136"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65073E" w:rsidRDefault="000A0998">
            <w:pPr>
              <w:pStyle w:val="P68B1DB1-Normal39"/>
              <w:spacing w:after="0" w:line="240" w:lineRule="auto"/>
              <w:jc w:val="center"/>
              <w:rPr>
                <w:rFonts w:eastAsia="Times New Roman" w:cs="Times New Roman"/>
                <w:noProof/>
              </w:rPr>
            </w:pPr>
            <w:r>
              <w:rPr>
                <w:noProof/>
              </w:rPr>
              <w:t>M</w:t>
            </w:r>
          </w:p>
        </w:tc>
        <w:tc>
          <w:tcPr>
            <w:tcW w:w="6076"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65073E" w:rsidRDefault="000A0998">
            <w:pPr>
              <w:pStyle w:val="P68B1DB1-Normal39"/>
              <w:spacing w:after="0" w:line="240" w:lineRule="auto"/>
              <w:rPr>
                <w:rFonts w:eastAsia="Times New Roman" w:cs="Times New Roman"/>
                <w:noProof/>
              </w:rPr>
            </w:pPr>
            <w:r>
              <w:rPr>
                <w:noProof/>
              </w:rPr>
              <w:t>Elpymis- ja palautumistukivälineen integroitu tietojärjestelmä</w:t>
            </w:r>
          </w:p>
        </w:tc>
      </w:tr>
      <w:tr w:rsidR="0065073E" w14:paraId="00898677"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65073E" w:rsidRDefault="000A0998">
            <w:pPr>
              <w:pStyle w:val="P68B1DB1-Normal39"/>
              <w:spacing w:after="0" w:line="240" w:lineRule="auto"/>
              <w:jc w:val="center"/>
              <w:rPr>
                <w:rFonts w:eastAsia="Times New Roman" w:cs="Times New Roman"/>
                <w:noProof/>
              </w:rPr>
            </w:pPr>
            <w:r>
              <w:rPr>
                <w:noProof/>
              </w:rPr>
              <w:t>177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65073E" w:rsidRDefault="000A0998">
            <w:pPr>
              <w:pStyle w:val="P68B1DB1-Normal39"/>
              <w:spacing w:after="0" w:line="240" w:lineRule="auto"/>
              <w:jc w:val="center"/>
              <w:rPr>
                <w:rFonts w:eastAsia="Times New Roman" w:cs="Times New Roman"/>
                <w:noProof/>
              </w:rPr>
            </w:pPr>
            <w:r>
              <w:rPr>
                <w:noProof/>
              </w:rPr>
              <w:t>C12.R2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65073E" w:rsidRDefault="000A0998">
            <w:pPr>
              <w:pStyle w:val="P68B1DB1-Normal39"/>
              <w:spacing w:after="0" w:line="240" w:lineRule="auto"/>
              <w:rPr>
                <w:rFonts w:eastAsia="Times New Roman" w:cs="Times New Roman"/>
                <w:noProof/>
              </w:rPr>
            </w:pPr>
            <w:r>
              <w:rPr>
                <w:noProof/>
              </w:rPr>
              <w:t>Espanjan kiertotalousstrategia (EEEC)</w:t>
            </w:r>
          </w:p>
        </w:tc>
      </w:tr>
      <w:tr w:rsidR="0065073E" w14:paraId="47407B36"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65073E" w:rsidRDefault="000A0998">
            <w:pPr>
              <w:pStyle w:val="P68B1DB1-Normal39"/>
              <w:spacing w:after="0" w:line="240" w:lineRule="auto"/>
              <w:jc w:val="center"/>
              <w:rPr>
                <w:rFonts w:eastAsia="Times New Roman" w:cs="Times New Roman"/>
                <w:noProof/>
              </w:rPr>
            </w:pPr>
            <w:r>
              <w:rPr>
                <w:noProof/>
              </w:rPr>
              <w:t>181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65073E" w:rsidRDefault="000A0998">
            <w:pPr>
              <w:pStyle w:val="P68B1DB1-Normal39"/>
              <w:spacing w:after="0" w:line="240" w:lineRule="auto"/>
              <w:jc w:val="center"/>
              <w:rPr>
                <w:rFonts w:eastAsia="Times New Roman" w:cs="Times New Roman"/>
                <w:noProof/>
              </w:rPr>
            </w:pPr>
            <w:r>
              <w:rPr>
                <w:noProof/>
              </w:rPr>
              <w:t>C12.I2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65073E" w:rsidRDefault="000A0998">
            <w:pPr>
              <w:pStyle w:val="P68B1DB1-Normal39"/>
              <w:spacing w:after="0" w:line="240" w:lineRule="auto"/>
              <w:rPr>
                <w:rFonts w:eastAsia="Times New Roman" w:cs="Times New Roman"/>
                <w:noProof/>
              </w:rPr>
            </w:pPr>
            <w:r>
              <w:rPr>
                <w:noProof/>
              </w:rPr>
              <w:t>Suunnitelma edistää autoteollisuuden arvoketjua kohti kestävää ja yhteenliitettyä liikkuvuutta</w:t>
            </w:r>
          </w:p>
        </w:tc>
      </w:tr>
      <w:tr w:rsidR="0065073E" w14:paraId="7D88A5EB"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65073E" w:rsidRDefault="000A0998">
            <w:pPr>
              <w:pStyle w:val="P68B1DB1-Normal39"/>
              <w:spacing w:after="0" w:line="240" w:lineRule="auto"/>
              <w:jc w:val="center"/>
              <w:rPr>
                <w:rFonts w:eastAsia="Times New Roman" w:cs="Times New Roman"/>
                <w:noProof/>
              </w:rPr>
            </w:pPr>
            <w:r>
              <w:rPr>
                <w:noProof/>
              </w:rPr>
              <w:t>199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65073E" w:rsidRDefault="000A0998">
            <w:pPr>
              <w:pStyle w:val="P68B1DB1-Normal39"/>
              <w:spacing w:after="0" w:line="240" w:lineRule="auto"/>
              <w:jc w:val="center"/>
              <w:rPr>
                <w:rFonts w:eastAsia="Times New Roman" w:cs="Times New Roman"/>
                <w:noProof/>
              </w:rPr>
            </w:pPr>
            <w:r>
              <w:rPr>
                <w:noProof/>
              </w:rPr>
              <w:t>C13.I3</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65073E" w:rsidRDefault="000A0998">
            <w:pPr>
              <w:pStyle w:val="P68B1DB1-Normal39"/>
              <w:spacing w:after="0" w:line="240" w:lineRule="auto"/>
              <w:rPr>
                <w:rFonts w:eastAsia="Times New Roman" w:cs="Times New Roman"/>
                <w:noProof/>
              </w:rPr>
            </w:pPr>
            <w:r>
              <w:rPr>
                <w:noProof/>
              </w:rPr>
              <w:t>Pk-yritysten digitalisointisuunnitelma 2021–2025</w:t>
            </w:r>
          </w:p>
        </w:tc>
      </w:tr>
      <w:tr w:rsidR="0065073E" w14:paraId="15A33561"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65073E" w:rsidRDefault="000A0998">
            <w:pPr>
              <w:pStyle w:val="P68B1DB1-Normal39"/>
              <w:spacing w:after="0" w:line="240" w:lineRule="auto"/>
              <w:jc w:val="center"/>
              <w:rPr>
                <w:rFonts w:eastAsia="Times New Roman" w:cs="Times New Roman"/>
                <w:noProof/>
              </w:rPr>
            </w:pPr>
            <w:r>
              <w:rPr>
                <w:noProof/>
              </w:rPr>
              <w:t>214</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65073E" w:rsidRDefault="000A0998">
            <w:pPr>
              <w:pStyle w:val="P68B1DB1-Normal39"/>
              <w:spacing w:after="0" w:line="240" w:lineRule="auto"/>
              <w:jc w:val="center"/>
              <w:rPr>
                <w:rFonts w:eastAsia="Times New Roman" w:cs="Times New Roman"/>
                <w:noProof/>
              </w:rPr>
            </w:pPr>
            <w:r>
              <w:rPr>
                <w:noProof/>
              </w:rPr>
              <w:t>C14.R1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65073E" w:rsidRDefault="000A0998">
            <w:pPr>
              <w:pStyle w:val="P68B1DB1-Normal39"/>
              <w:spacing w:after="0" w:line="240" w:lineRule="auto"/>
              <w:rPr>
                <w:rFonts w:eastAsia="Times New Roman" w:cs="Times New Roman"/>
                <w:noProof/>
              </w:rPr>
            </w:pPr>
            <w:r>
              <w:rPr>
                <w:noProof/>
              </w:rPr>
              <w:t>Suunnitelma matkailualan edistämiseksi</w:t>
            </w:r>
          </w:p>
        </w:tc>
      </w:tr>
      <w:tr w:rsidR="0065073E" w14:paraId="41036978"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65073E" w:rsidRDefault="000A0998">
            <w:pPr>
              <w:pStyle w:val="P68B1DB1-Normal39"/>
              <w:spacing w:after="0" w:line="240" w:lineRule="auto"/>
              <w:jc w:val="center"/>
              <w:rPr>
                <w:rFonts w:eastAsia="Times New Roman" w:cs="Times New Roman"/>
                <w:noProof/>
              </w:rPr>
            </w:pPr>
            <w:r>
              <w:rPr>
                <w:noProof/>
              </w:rPr>
              <w:t>215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65073E" w:rsidRDefault="000A0998">
            <w:pPr>
              <w:pStyle w:val="P68B1DB1-Normal39"/>
              <w:spacing w:after="0" w:line="240" w:lineRule="auto"/>
              <w:jc w:val="center"/>
              <w:rPr>
                <w:rFonts w:eastAsia="Times New Roman" w:cs="Times New Roman"/>
                <w:noProof/>
              </w:rPr>
            </w:pPr>
            <w:r>
              <w:rPr>
                <w:noProof/>
              </w:rPr>
              <w:t>C14.R1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65073E" w:rsidRDefault="000A0998">
            <w:pPr>
              <w:pStyle w:val="P68B1DB1-Normal39"/>
              <w:spacing w:after="0" w:line="240" w:lineRule="auto"/>
              <w:rPr>
                <w:rFonts w:eastAsia="Times New Roman" w:cs="Times New Roman"/>
                <w:noProof/>
              </w:rPr>
            </w:pPr>
            <w:r>
              <w:rPr>
                <w:noProof/>
              </w:rPr>
              <w:t>Matkailua koskevia tietoja keräävän ”DATAESTUR”-verkkosivuston käynnistäminen</w:t>
            </w:r>
          </w:p>
        </w:tc>
      </w:tr>
      <w:tr w:rsidR="0065073E" w14:paraId="61B30B60"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65073E" w:rsidRDefault="000A0998">
            <w:pPr>
              <w:pStyle w:val="P68B1DB1-Normal39"/>
              <w:spacing w:after="0" w:line="240" w:lineRule="auto"/>
              <w:jc w:val="center"/>
              <w:rPr>
                <w:rFonts w:eastAsia="Times New Roman" w:cs="Times New Roman"/>
                <w:noProof/>
              </w:rPr>
            </w:pPr>
            <w:r>
              <w:rPr>
                <w:noProof/>
              </w:rPr>
              <w:t>230</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65073E" w:rsidRDefault="000A0998">
            <w:pPr>
              <w:pStyle w:val="P68B1DB1-Normal39"/>
              <w:spacing w:after="0" w:line="240" w:lineRule="auto"/>
              <w:jc w:val="center"/>
              <w:rPr>
                <w:rFonts w:eastAsia="Times New Roman" w:cs="Times New Roman"/>
                <w:noProof/>
              </w:rPr>
            </w:pPr>
            <w:r>
              <w:rPr>
                <w:noProof/>
              </w:rPr>
              <w:t>C15.R2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65073E" w:rsidRDefault="000A0998">
            <w:pPr>
              <w:pStyle w:val="P68B1DB1-Normal39"/>
              <w:spacing w:after="0" w:line="240" w:lineRule="auto"/>
              <w:rPr>
                <w:rFonts w:eastAsia="Times New Roman" w:cs="Times New Roman"/>
                <w:noProof/>
              </w:rPr>
            </w:pPr>
            <w:r>
              <w:rPr>
                <w:noProof/>
              </w:rPr>
              <w:t>Vuoden 2025 digitaalinen Espanjan suunnitelma ja strategia 5G-teknologian edistämiseksi</w:t>
            </w:r>
          </w:p>
        </w:tc>
      </w:tr>
      <w:tr w:rsidR="0065073E" w14:paraId="33B6CDC0"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65073E" w:rsidRDefault="000A0998">
            <w:pPr>
              <w:pStyle w:val="P68B1DB1-Normal39"/>
              <w:spacing w:after="0" w:line="240" w:lineRule="auto"/>
              <w:jc w:val="center"/>
              <w:rPr>
                <w:rFonts w:eastAsia="Times New Roman" w:cs="Times New Roman"/>
                <w:noProof/>
              </w:rPr>
            </w:pPr>
            <w:r>
              <w:rPr>
                <w:noProof/>
              </w:rPr>
              <w:t>231</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65073E" w:rsidRDefault="000A0998">
            <w:pPr>
              <w:pStyle w:val="P68B1DB1-Normal39"/>
              <w:spacing w:after="0" w:line="240" w:lineRule="auto"/>
              <w:jc w:val="center"/>
              <w:rPr>
                <w:rFonts w:eastAsia="Times New Roman" w:cs="Times New Roman"/>
                <w:noProof/>
              </w:rPr>
            </w:pPr>
            <w:r>
              <w:rPr>
                <w:noProof/>
              </w:rPr>
              <w:t>C15.R2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65073E" w:rsidRDefault="000A0998">
            <w:pPr>
              <w:pStyle w:val="P68B1DB1-Normal39"/>
              <w:spacing w:after="0" w:line="240" w:lineRule="auto"/>
              <w:rPr>
                <w:rFonts w:eastAsia="Times New Roman" w:cs="Times New Roman"/>
                <w:noProof/>
              </w:rPr>
            </w:pPr>
            <w:r>
              <w:rPr>
                <w:noProof/>
              </w:rPr>
              <w:t>Vapauttaa 700 MHz:n taajuusalue</w:t>
            </w:r>
          </w:p>
        </w:tc>
      </w:tr>
      <w:tr w:rsidR="0065073E" w14:paraId="2CE72776"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65073E" w:rsidRDefault="000A0998">
            <w:pPr>
              <w:pStyle w:val="P68B1DB1-Normal39"/>
              <w:spacing w:after="0" w:line="240" w:lineRule="auto"/>
              <w:jc w:val="center"/>
              <w:rPr>
                <w:rFonts w:eastAsia="Times New Roman" w:cs="Times New Roman"/>
                <w:noProof/>
              </w:rPr>
            </w:pPr>
            <w:r>
              <w:rPr>
                <w:noProof/>
              </w:rPr>
              <w:t>249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65073E" w:rsidRDefault="000A0998">
            <w:pPr>
              <w:pStyle w:val="P68B1DB1-Normal39"/>
              <w:spacing w:after="0" w:line="240" w:lineRule="auto"/>
              <w:jc w:val="center"/>
              <w:rPr>
                <w:rFonts w:eastAsia="Times New Roman" w:cs="Times New Roman"/>
                <w:noProof/>
              </w:rPr>
            </w:pPr>
            <w:r>
              <w:rPr>
                <w:noProof/>
              </w:rPr>
              <w:t>C16.R1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65073E" w:rsidRDefault="000A0998">
            <w:pPr>
              <w:pStyle w:val="P68B1DB1-Normal39"/>
              <w:spacing w:after="0" w:line="240" w:lineRule="auto"/>
              <w:rPr>
                <w:rFonts w:eastAsia="Times New Roman" w:cs="Times New Roman"/>
                <w:noProof/>
              </w:rPr>
            </w:pPr>
            <w:r>
              <w:rPr>
                <w:noProof/>
              </w:rPr>
              <w:t xml:space="preserve">Kansallinen tekoälystrategia </w:t>
            </w:r>
          </w:p>
        </w:tc>
      </w:tr>
      <w:tr w:rsidR="0065073E" w14:paraId="4362552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65073E" w:rsidRDefault="000A0998">
            <w:pPr>
              <w:pStyle w:val="P68B1DB1-Normal39"/>
              <w:spacing w:after="0" w:line="240" w:lineRule="auto"/>
              <w:jc w:val="center"/>
              <w:rPr>
                <w:rFonts w:eastAsia="Times New Roman" w:cs="Times New Roman"/>
                <w:noProof/>
              </w:rPr>
            </w:pPr>
            <w:r>
              <w:rPr>
                <w:noProof/>
              </w:rPr>
              <w:t>255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65073E" w:rsidRDefault="000A0998">
            <w:pPr>
              <w:pStyle w:val="P68B1DB1-Normal39"/>
              <w:spacing w:after="0" w:line="240" w:lineRule="auto"/>
              <w:jc w:val="center"/>
              <w:rPr>
                <w:rFonts w:eastAsia="Times New Roman" w:cs="Times New Roman"/>
                <w:noProof/>
              </w:rPr>
            </w:pPr>
            <w:r>
              <w:rPr>
                <w:noProof/>
              </w:rPr>
              <w:t>C17.R2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65073E" w:rsidRDefault="000A0998">
            <w:pPr>
              <w:pStyle w:val="P68B1DB1-Normal39"/>
              <w:spacing w:after="0" w:line="240" w:lineRule="auto"/>
              <w:rPr>
                <w:rFonts w:eastAsia="Times New Roman" w:cs="Times New Roman"/>
                <w:noProof/>
              </w:rPr>
            </w:pPr>
            <w:r>
              <w:rPr>
                <w:noProof/>
              </w:rPr>
              <w:t>Espanjan tiede-, teknologia- ja innovointistrategian 2021–2027 julkaiseminen</w:t>
            </w:r>
          </w:p>
        </w:tc>
      </w:tr>
      <w:tr w:rsidR="0065073E" w14:paraId="1B21B86D"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65073E" w:rsidRDefault="000A0998">
            <w:pPr>
              <w:pStyle w:val="P68B1DB1-Normal39"/>
              <w:spacing w:after="0" w:line="240" w:lineRule="auto"/>
              <w:jc w:val="center"/>
              <w:rPr>
                <w:rFonts w:eastAsia="Times New Roman" w:cs="Times New Roman"/>
                <w:noProof/>
              </w:rPr>
            </w:pPr>
            <w:r>
              <w:rPr>
                <w:noProof/>
              </w:rPr>
              <w:t>257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65073E" w:rsidRDefault="000A0998">
            <w:pPr>
              <w:pStyle w:val="P68B1DB1-Normal39"/>
              <w:spacing w:after="0" w:line="240" w:lineRule="auto"/>
              <w:jc w:val="center"/>
              <w:rPr>
                <w:rFonts w:eastAsia="Times New Roman" w:cs="Times New Roman"/>
                <w:noProof/>
              </w:rPr>
            </w:pPr>
            <w:r>
              <w:rPr>
                <w:noProof/>
              </w:rPr>
              <w:t>C17.R3</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65073E" w:rsidRDefault="000A0998">
            <w:pPr>
              <w:pStyle w:val="P68B1DB1-Normal39"/>
              <w:spacing w:after="0" w:line="240" w:lineRule="auto"/>
              <w:rPr>
                <w:rFonts w:eastAsia="Times New Roman" w:cs="Times New Roman"/>
                <w:noProof/>
              </w:rPr>
            </w:pPr>
            <w:r>
              <w:rPr>
                <w:noProof/>
              </w:rPr>
              <w:t xml:space="preserve">Julkisten tutkimusorganisaatioiden uudelleenjärjestelystä annetun kuninkaallisen asetuksen voimaantulo. </w:t>
            </w:r>
          </w:p>
        </w:tc>
      </w:tr>
      <w:tr w:rsidR="0065073E" w14:paraId="31BB636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65073E" w:rsidRDefault="000A0998">
            <w:pPr>
              <w:pStyle w:val="P68B1DB1-Normal39"/>
              <w:spacing w:after="0" w:line="240" w:lineRule="auto"/>
              <w:jc w:val="center"/>
              <w:rPr>
                <w:rFonts w:eastAsia="Times New Roman" w:cs="Times New Roman"/>
                <w:noProof/>
              </w:rPr>
            </w:pPr>
            <w:r>
              <w:rPr>
                <w:noProof/>
              </w:rPr>
              <w:t>285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65073E" w:rsidRDefault="000A0998">
            <w:pPr>
              <w:pStyle w:val="P68B1DB1-Normal39"/>
              <w:spacing w:after="0" w:line="240" w:lineRule="auto"/>
              <w:jc w:val="center"/>
              <w:rPr>
                <w:rFonts w:eastAsia="Times New Roman" w:cs="Times New Roman"/>
                <w:noProof/>
              </w:rPr>
            </w:pPr>
            <w:r>
              <w:rPr>
                <w:noProof/>
              </w:rPr>
              <w:t>C19.R1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65073E" w:rsidRDefault="000A0998">
            <w:pPr>
              <w:pStyle w:val="P68B1DB1-Normal39"/>
              <w:spacing w:after="0" w:line="240" w:lineRule="auto"/>
              <w:rPr>
                <w:rFonts w:eastAsia="Times New Roman" w:cs="Times New Roman"/>
                <w:noProof/>
              </w:rPr>
            </w:pPr>
            <w:r>
              <w:rPr>
                <w:noProof/>
              </w:rPr>
              <w:t>Kansallisen digitaalisia taitoja koskevan suunnitelman hyväksyminen ministerineuvostossa</w:t>
            </w:r>
          </w:p>
        </w:tc>
      </w:tr>
      <w:tr w:rsidR="0065073E" w14:paraId="65CB87EA"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65073E" w:rsidRDefault="000A0998">
            <w:pPr>
              <w:pStyle w:val="P68B1DB1-Normal39"/>
              <w:spacing w:after="0" w:line="240" w:lineRule="auto"/>
              <w:jc w:val="center"/>
              <w:rPr>
                <w:rFonts w:eastAsia="Times New Roman" w:cs="Times New Roman"/>
                <w:noProof/>
              </w:rPr>
            </w:pPr>
            <w:r>
              <w:rPr>
                <w:noProof/>
              </w:rPr>
              <w:t>295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65073E" w:rsidRDefault="000A0998">
            <w:pPr>
              <w:pStyle w:val="P68B1DB1-Normal39"/>
              <w:spacing w:after="0" w:line="240" w:lineRule="auto"/>
              <w:jc w:val="center"/>
              <w:rPr>
                <w:rFonts w:eastAsia="Times New Roman" w:cs="Times New Roman"/>
                <w:noProof/>
              </w:rPr>
            </w:pPr>
            <w:r>
              <w:rPr>
                <w:noProof/>
              </w:rPr>
              <w:t>C20.R1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65073E" w:rsidRDefault="000A0998">
            <w:pPr>
              <w:pStyle w:val="P68B1DB1-Normal39"/>
              <w:spacing w:after="0" w:line="240" w:lineRule="auto"/>
              <w:rPr>
                <w:rFonts w:eastAsia="Times New Roman" w:cs="Times New Roman"/>
                <w:noProof/>
              </w:rPr>
            </w:pPr>
            <w:r>
              <w:rPr>
                <w:noProof/>
              </w:rPr>
              <w:t>Ammatillisen koulutuksen nykyaikaistamissuunnitelma ja siihen liittyvät kuninkaan asetukset</w:t>
            </w:r>
          </w:p>
        </w:tc>
      </w:tr>
      <w:tr w:rsidR="0065073E" w14:paraId="0F90DF70"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65073E" w:rsidRDefault="000A0998">
            <w:pPr>
              <w:pStyle w:val="P68B1DB1-Normal39"/>
              <w:spacing w:after="0" w:line="240" w:lineRule="auto"/>
              <w:jc w:val="center"/>
              <w:rPr>
                <w:rFonts w:eastAsia="Times New Roman" w:cs="Times New Roman"/>
                <w:noProof/>
              </w:rPr>
            </w:pPr>
            <w:r>
              <w:rPr>
                <w:noProof/>
              </w:rPr>
              <w:t>303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65073E" w:rsidRDefault="000A0998">
            <w:pPr>
              <w:pStyle w:val="P68B1DB1-Normal39"/>
              <w:spacing w:after="0" w:line="240" w:lineRule="auto"/>
              <w:jc w:val="center"/>
              <w:rPr>
                <w:rFonts w:eastAsia="Times New Roman" w:cs="Times New Roman"/>
                <w:noProof/>
              </w:rPr>
            </w:pPr>
            <w:r>
              <w:rPr>
                <w:noProof/>
              </w:rPr>
              <w:t>C21.R1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65073E" w:rsidRDefault="000A0998">
            <w:pPr>
              <w:pStyle w:val="P68B1DB1-Normal39"/>
              <w:spacing w:after="0" w:line="240" w:lineRule="auto"/>
              <w:rPr>
                <w:rFonts w:eastAsia="Times New Roman" w:cs="Times New Roman"/>
                <w:noProof/>
              </w:rPr>
            </w:pPr>
            <w:r>
              <w:rPr>
                <w:noProof/>
              </w:rPr>
              <w:t xml:space="preserve">Koulutusta koskevan orgaanisen lain voimaantulo </w:t>
            </w:r>
          </w:p>
        </w:tc>
      </w:tr>
      <w:tr w:rsidR="0065073E" w14:paraId="41765BBB"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65073E" w:rsidRDefault="000A0998">
            <w:pPr>
              <w:pStyle w:val="P68B1DB1-Normal39"/>
              <w:spacing w:after="0" w:line="240" w:lineRule="auto"/>
              <w:jc w:val="center"/>
              <w:rPr>
                <w:rFonts w:eastAsia="Times New Roman" w:cs="Times New Roman"/>
                <w:noProof/>
              </w:rPr>
            </w:pPr>
            <w:r>
              <w:rPr>
                <w:noProof/>
              </w:rPr>
              <w:t>318</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65073E" w:rsidRDefault="000A0998">
            <w:pPr>
              <w:pStyle w:val="P68B1DB1-Normal39"/>
              <w:spacing w:after="0" w:line="240" w:lineRule="auto"/>
              <w:jc w:val="center"/>
              <w:rPr>
                <w:rFonts w:eastAsia="Times New Roman" w:cs="Times New Roman"/>
                <w:noProof/>
              </w:rPr>
            </w:pPr>
            <w:r>
              <w:rPr>
                <w:noProof/>
              </w:rPr>
              <w:t>C22.R5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65073E" w:rsidRDefault="000A0998">
            <w:pPr>
              <w:pStyle w:val="P68B1DB1-Normal39"/>
              <w:spacing w:after="0" w:line="240" w:lineRule="auto"/>
              <w:rPr>
                <w:rFonts w:eastAsia="Times New Roman" w:cs="Times New Roman"/>
                <w:noProof/>
              </w:rPr>
            </w:pPr>
            <w:r>
              <w:rPr>
                <w:noProof/>
              </w:rPr>
              <w:t>Elintärkeän vähimmäistulon hyväksymisestä 29. toukokuuta annetun kuninkaallisen asetuksen 20/2020 voimaantulo</w:t>
            </w:r>
          </w:p>
        </w:tc>
      </w:tr>
      <w:tr w:rsidR="0065073E" w14:paraId="1C570DE3"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65073E" w:rsidRDefault="000A0998">
            <w:pPr>
              <w:pStyle w:val="P68B1DB1-Normal39"/>
              <w:spacing w:after="0" w:line="240" w:lineRule="auto"/>
              <w:jc w:val="center"/>
              <w:rPr>
                <w:rFonts w:eastAsia="Times New Roman" w:cs="Times New Roman"/>
                <w:noProof/>
              </w:rPr>
            </w:pPr>
            <w:r>
              <w:rPr>
                <w:noProof/>
              </w:rPr>
              <w:t>329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65073E" w:rsidRDefault="000A0998">
            <w:pPr>
              <w:pStyle w:val="P68B1DB1-Normal39"/>
              <w:spacing w:after="0" w:line="240" w:lineRule="auto"/>
              <w:jc w:val="center"/>
              <w:rPr>
                <w:rFonts w:eastAsia="Times New Roman" w:cs="Times New Roman"/>
                <w:noProof/>
              </w:rPr>
            </w:pPr>
            <w:r>
              <w:rPr>
                <w:noProof/>
              </w:rPr>
              <w:t>C23.R1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65073E" w:rsidRDefault="000A0998">
            <w:pPr>
              <w:pStyle w:val="P68B1DB1-Normal39"/>
              <w:spacing w:after="0" w:line="240" w:lineRule="auto"/>
              <w:rPr>
                <w:rFonts w:eastAsia="Times New Roman" w:cs="Times New Roman"/>
                <w:noProof/>
              </w:rPr>
            </w:pPr>
            <w:r>
              <w:rPr>
                <w:noProof/>
              </w:rPr>
              <w:t>Kahden yksityisen sektorin ja julkishallinnon etätyötä säätelevän kuninkaallisen asetuksen voimaantulo</w:t>
            </w:r>
          </w:p>
        </w:tc>
      </w:tr>
      <w:tr w:rsidR="0065073E" w14:paraId="6C75E026"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65073E" w:rsidRDefault="000A0998">
            <w:pPr>
              <w:pStyle w:val="P68B1DB1-Normal39"/>
              <w:spacing w:after="0" w:line="240" w:lineRule="auto"/>
              <w:jc w:val="center"/>
              <w:rPr>
                <w:rFonts w:eastAsia="Times New Roman" w:cs="Times New Roman"/>
                <w:noProof/>
              </w:rPr>
            </w:pPr>
            <w:r>
              <w:rPr>
                <w:noProof/>
              </w:rPr>
              <w:t>330</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65073E" w:rsidRDefault="000A0998">
            <w:pPr>
              <w:pStyle w:val="P68B1DB1-Normal39"/>
              <w:spacing w:after="0" w:line="240" w:lineRule="auto"/>
              <w:jc w:val="center"/>
              <w:rPr>
                <w:rFonts w:eastAsia="Times New Roman" w:cs="Times New Roman"/>
                <w:noProof/>
              </w:rPr>
            </w:pPr>
            <w:r>
              <w:rPr>
                <w:noProof/>
              </w:rPr>
              <w:t>C23.R2</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65073E" w:rsidRDefault="000A0998">
            <w:pPr>
              <w:pStyle w:val="P68B1DB1-Normal39"/>
              <w:spacing w:after="0" w:line="240" w:lineRule="auto"/>
              <w:rPr>
                <w:rFonts w:eastAsia="Times New Roman" w:cs="Times New Roman"/>
                <w:noProof/>
              </w:rPr>
            </w:pPr>
            <w:r>
              <w:rPr>
                <w:noProof/>
              </w:rPr>
              <w:t>Naisten ja miesten samapalkkaisuutta sekä tasa-arvosuunnitelmia ja niiden rekisteröintiä koskevan kahden säädöksen voimaantulo</w:t>
            </w:r>
          </w:p>
        </w:tc>
      </w:tr>
      <w:tr w:rsidR="0065073E" w14:paraId="44371A8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65073E" w:rsidRDefault="000A0998">
            <w:pPr>
              <w:pStyle w:val="P68B1DB1-Normal39"/>
              <w:spacing w:after="0" w:line="240" w:lineRule="auto"/>
              <w:jc w:val="center"/>
              <w:rPr>
                <w:rFonts w:eastAsia="Times New Roman" w:cs="Times New Roman"/>
                <w:noProof/>
              </w:rPr>
            </w:pPr>
            <w:r>
              <w:rPr>
                <w:noProof/>
              </w:rPr>
              <w:t>333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65073E" w:rsidRDefault="000A0998">
            <w:pPr>
              <w:pStyle w:val="P68B1DB1-Normal39"/>
              <w:spacing w:after="0" w:line="240" w:lineRule="auto"/>
              <w:jc w:val="center"/>
              <w:rPr>
                <w:rFonts w:eastAsia="Times New Roman" w:cs="Times New Roman"/>
                <w:noProof/>
              </w:rPr>
            </w:pPr>
            <w:r>
              <w:rPr>
                <w:noProof/>
              </w:rPr>
              <w:t>C23.R5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65073E" w:rsidRDefault="000A0998">
            <w:pPr>
              <w:pStyle w:val="P68B1DB1-Normal39"/>
              <w:spacing w:after="0" w:line="240" w:lineRule="auto"/>
              <w:rPr>
                <w:rFonts w:eastAsia="Times New Roman" w:cs="Times New Roman"/>
                <w:noProof/>
              </w:rPr>
            </w:pPr>
            <w:r>
              <w:rPr>
                <w:noProof/>
              </w:rPr>
              <w:t xml:space="preserve">Nuorisotyöttömyyden torjuntaa koskevan toimintasuunnitelman voimaantulo </w:t>
            </w:r>
          </w:p>
        </w:tc>
      </w:tr>
      <w:tr w:rsidR="0065073E" w14:paraId="59388524"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65073E" w:rsidRDefault="000A0998">
            <w:pPr>
              <w:pStyle w:val="P68B1DB1-Normal39"/>
              <w:spacing w:after="0" w:line="240" w:lineRule="auto"/>
              <w:jc w:val="center"/>
              <w:rPr>
                <w:rFonts w:eastAsia="Times New Roman" w:cs="Times New Roman"/>
                <w:noProof/>
              </w:rPr>
            </w:pPr>
            <w:r>
              <w:rPr>
                <w:noProof/>
              </w:rPr>
              <w:t>363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65073E" w:rsidRDefault="000A0998">
            <w:pPr>
              <w:pStyle w:val="P68B1DB1-Normal39"/>
              <w:spacing w:after="0" w:line="240" w:lineRule="auto"/>
              <w:jc w:val="center"/>
              <w:rPr>
                <w:rFonts w:eastAsia="Times New Roman" w:cs="Times New Roman"/>
                <w:noProof/>
              </w:rPr>
            </w:pPr>
            <w:r>
              <w:rPr>
                <w:noProof/>
              </w:rPr>
              <w:t>C25.R1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65073E" w:rsidRDefault="000A0998">
            <w:pPr>
              <w:pStyle w:val="P68B1DB1-Normal39"/>
              <w:spacing w:after="0" w:line="240" w:lineRule="auto"/>
              <w:rPr>
                <w:rFonts w:eastAsia="Times New Roman" w:cs="Times New Roman"/>
                <w:noProof/>
              </w:rPr>
            </w:pPr>
            <w:r>
              <w:rPr>
                <w:noProof/>
              </w:rPr>
              <w:t>Suunnitelma ”Espanja, Euroopan audiovisuaalinen keskus”.</w:t>
            </w:r>
          </w:p>
        </w:tc>
      </w:tr>
      <w:tr w:rsidR="0065073E" w14:paraId="4FA78BE7"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65073E" w:rsidRDefault="000A0998">
            <w:pPr>
              <w:pStyle w:val="P68B1DB1-Normal39"/>
              <w:spacing w:after="0" w:line="240" w:lineRule="auto"/>
              <w:jc w:val="center"/>
              <w:rPr>
                <w:rFonts w:eastAsia="Times New Roman" w:cs="Times New Roman"/>
                <w:noProof/>
              </w:rPr>
            </w:pPr>
            <w:r>
              <w:rPr>
                <w:noProof/>
              </w:rPr>
              <w:t>385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65073E" w:rsidRDefault="000A0998">
            <w:pPr>
              <w:pStyle w:val="P68B1DB1-Normal39"/>
              <w:spacing w:after="0" w:line="240" w:lineRule="auto"/>
              <w:jc w:val="center"/>
              <w:rPr>
                <w:rFonts w:eastAsia="Times New Roman" w:cs="Times New Roman"/>
                <w:noProof/>
              </w:rPr>
            </w:pPr>
            <w:r>
              <w:rPr>
                <w:noProof/>
              </w:rPr>
              <w:t>C28.R1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65073E" w:rsidRDefault="000A0998">
            <w:pPr>
              <w:pStyle w:val="P68B1DB1-Normal39"/>
              <w:spacing w:after="0" w:line="240" w:lineRule="auto"/>
              <w:rPr>
                <w:rFonts w:eastAsia="Times New Roman" w:cs="Times New Roman"/>
                <w:noProof/>
              </w:rPr>
            </w:pPr>
            <w:r>
              <w:rPr>
                <w:noProof/>
              </w:rPr>
              <w:t>Vuosina 2020 ja 2021 hyväksytyt finanssipoliittiset toimenpiteet covid-19-pandemian vaikutusten lieventämiseksi.</w:t>
            </w:r>
          </w:p>
        </w:tc>
      </w:tr>
      <w:tr w:rsidR="0065073E" w14:paraId="2BF8B17A"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65073E" w:rsidRDefault="000A0998">
            <w:pPr>
              <w:pStyle w:val="P68B1DB1-Normal39"/>
              <w:spacing w:after="0" w:line="240" w:lineRule="auto"/>
              <w:jc w:val="center"/>
              <w:rPr>
                <w:rFonts w:eastAsia="Times New Roman" w:cs="Times New Roman"/>
                <w:noProof/>
              </w:rPr>
            </w:pPr>
            <w:r>
              <w:rPr>
                <w:noProof/>
              </w:rPr>
              <w:t>387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65073E" w:rsidRDefault="000A0998">
            <w:pPr>
              <w:pStyle w:val="P68B1DB1-Normal39"/>
              <w:spacing w:after="0" w:line="240" w:lineRule="auto"/>
              <w:jc w:val="center"/>
              <w:rPr>
                <w:rFonts w:eastAsia="Times New Roman" w:cs="Times New Roman"/>
                <w:noProof/>
              </w:rPr>
            </w:pPr>
            <w:r>
              <w:rPr>
                <w:noProof/>
              </w:rPr>
              <w:t>C28.R3</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65073E" w:rsidRDefault="000A0998">
            <w:pPr>
              <w:pStyle w:val="P68B1DB1-Normal39"/>
              <w:spacing w:after="0" w:line="240" w:lineRule="auto"/>
              <w:rPr>
                <w:rFonts w:eastAsia="Times New Roman" w:cs="Times New Roman"/>
                <w:noProof/>
              </w:rPr>
            </w:pPr>
            <w:r>
              <w:rPr>
                <w:noProof/>
              </w:rPr>
              <w:t>Valtiovarainministeri nimittää asiantuntijakomitean.</w:t>
            </w:r>
          </w:p>
        </w:tc>
      </w:tr>
      <w:tr w:rsidR="0065073E" w14:paraId="2DD40F4E"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65073E" w:rsidRDefault="000A0998">
            <w:pPr>
              <w:pStyle w:val="P68B1DB1-Normal39"/>
              <w:spacing w:after="0" w:line="240" w:lineRule="auto"/>
              <w:jc w:val="center"/>
              <w:rPr>
                <w:rFonts w:eastAsia="Times New Roman" w:cs="Times New Roman"/>
                <w:noProof/>
              </w:rPr>
            </w:pPr>
            <w:r>
              <w:rPr>
                <w:noProof/>
              </w:rPr>
              <w:t>392</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65073E" w:rsidRDefault="000A0998">
            <w:pPr>
              <w:pStyle w:val="P68B1DB1-Normal39"/>
              <w:spacing w:after="0" w:line="240" w:lineRule="auto"/>
              <w:jc w:val="center"/>
              <w:rPr>
                <w:rFonts w:eastAsia="Times New Roman" w:cs="Times New Roman"/>
                <w:noProof/>
              </w:rPr>
            </w:pPr>
            <w:r>
              <w:rPr>
                <w:noProof/>
              </w:rPr>
              <w:t>C28.R5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65073E" w:rsidRDefault="000A0998">
            <w:pPr>
              <w:pStyle w:val="P68B1DB1-Normal39"/>
              <w:spacing w:after="0" w:line="240" w:lineRule="auto"/>
              <w:rPr>
                <w:rFonts w:eastAsia="Times New Roman" w:cs="Times New Roman"/>
                <w:noProof/>
              </w:rPr>
            </w:pPr>
            <w:r>
              <w:rPr>
                <w:noProof/>
              </w:rPr>
              <w:t>Digitaalisten palvelujen vero</w:t>
            </w:r>
          </w:p>
        </w:tc>
      </w:tr>
      <w:tr w:rsidR="0065073E" w14:paraId="19A73E5B"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65073E" w:rsidRDefault="000A0998">
            <w:pPr>
              <w:pStyle w:val="P68B1DB1-Normal39"/>
              <w:spacing w:after="0" w:line="240" w:lineRule="auto"/>
              <w:jc w:val="center"/>
              <w:rPr>
                <w:rFonts w:eastAsia="Times New Roman" w:cs="Times New Roman"/>
                <w:noProof/>
              </w:rPr>
            </w:pPr>
            <w:r>
              <w:rPr>
                <w:noProof/>
              </w:rPr>
              <w:t>393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65073E" w:rsidRDefault="000A0998">
            <w:pPr>
              <w:pStyle w:val="P68B1DB1-Normal39"/>
              <w:spacing w:after="0" w:line="240" w:lineRule="auto"/>
              <w:jc w:val="center"/>
              <w:rPr>
                <w:rFonts w:eastAsia="Times New Roman" w:cs="Times New Roman"/>
                <w:noProof/>
              </w:rPr>
            </w:pPr>
            <w:r>
              <w:rPr>
                <w:noProof/>
              </w:rPr>
              <w:t>C28.R6</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65073E" w:rsidRDefault="000A0998">
            <w:pPr>
              <w:pStyle w:val="P68B1DB1-Normal39"/>
              <w:spacing w:after="0" w:line="240" w:lineRule="auto"/>
              <w:rPr>
                <w:rFonts w:eastAsia="Times New Roman" w:cs="Times New Roman"/>
                <w:noProof/>
              </w:rPr>
            </w:pPr>
            <w:r>
              <w:rPr>
                <w:noProof/>
              </w:rPr>
              <w:t>Finanssitransaktiovero</w:t>
            </w:r>
          </w:p>
        </w:tc>
      </w:tr>
      <w:tr w:rsidR="0065073E" w14:paraId="4FDBCE8D"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65073E" w:rsidRDefault="000A0998">
            <w:pPr>
              <w:pStyle w:val="P68B1DB1-Normal39"/>
              <w:spacing w:after="0" w:line="240" w:lineRule="auto"/>
              <w:jc w:val="center"/>
              <w:rPr>
                <w:rFonts w:eastAsia="Times New Roman" w:cs="Times New Roman"/>
                <w:noProof/>
              </w:rPr>
            </w:pPr>
            <w:r>
              <w:rPr>
                <w:noProof/>
              </w:rPr>
              <w:t>394</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65073E" w:rsidRDefault="000A0998">
            <w:pPr>
              <w:pStyle w:val="P68B1DB1-Normal39"/>
              <w:spacing w:after="0" w:line="240" w:lineRule="auto"/>
              <w:jc w:val="center"/>
              <w:rPr>
                <w:rFonts w:eastAsia="Times New Roman" w:cs="Times New Roman"/>
                <w:noProof/>
              </w:rPr>
            </w:pPr>
            <w:r>
              <w:rPr>
                <w:noProof/>
              </w:rPr>
              <w:t>C28.R7</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65073E" w:rsidRDefault="000A0998">
            <w:pPr>
              <w:pStyle w:val="P68B1DB1-Normal39"/>
              <w:spacing w:after="0" w:line="240" w:lineRule="auto"/>
              <w:rPr>
                <w:rFonts w:eastAsia="Times New Roman" w:cs="Times New Roman"/>
                <w:noProof/>
              </w:rPr>
            </w:pPr>
            <w:r>
              <w:rPr>
                <w:noProof/>
              </w:rPr>
              <w:t>Henkilökohtaisen tuloveron ja varallisuusveron muutokset vuonna 2021</w:t>
            </w:r>
          </w:p>
        </w:tc>
      </w:tr>
      <w:tr w:rsidR="0065073E" w14:paraId="7E5243A2"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65073E" w:rsidRDefault="000A0998">
            <w:pPr>
              <w:pStyle w:val="P68B1DB1-Normal39"/>
              <w:spacing w:after="0" w:line="240" w:lineRule="auto"/>
              <w:jc w:val="center"/>
              <w:rPr>
                <w:rFonts w:eastAsia="Times New Roman" w:cs="Times New Roman"/>
                <w:noProof/>
              </w:rPr>
            </w:pPr>
            <w:r>
              <w:rPr>
                <w:noProof/>
              </w:rPr>
              <w:t>395</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65073E" w:rsidRDefault="000A0998">
            <w:pPr>
              <w:pStyle w:val="P68B1DB1-Normal39"/>
              <w:spacing w:after="0" w:line="240" w:lineRule="auto"/>
              <w:jc w:val="center"/>
              <w:rPr>
                <w:rFonts w:eastAsia="Times New Roman" w:cs="Times New Roman"/>
                <w:noProof/>
              </w:rPr>
            </w:pPr>
            <w:r>
              <w:rPr>
                <w:noProof/>
              </w:rPr>
              <w:t>C28.R8</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65073E" w:rsidRDefault="000A0998">
            <w:pPr>
              <w:pStyle w:val="P68B1DB1-Normal39"/>
              <w:spacing w:after="0" w:line="240" w:lineRule="auto"/>
              <w:rPr>
                <w:rFonts w:eastAsia="Times New Roman" w:cs="Times New Roman"/>
                <w:noProof/>
              </w:rPr>
            </w:pPr>
            <w:r>
              <w:rPr>
                <w:noProof/>
              </w:rPr>
              <w:t>Muutokset yhteisöveroon vuonna 2021</w:t>
            </w:r>
          </w:p>
        </w:tc>
      </w:tr>
      <w:tr w:rsidR="0065073E" w14:paraId="77226243"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65073E" w:rsidRDefault="000A0998">
            <w:pPr>
              <w:pStyle w:val="P68B1DB1-Normal39"/>
              <w:spacing w:after="0" w:line="240" w:lineRule="auto"/>
              <w:jc w:val="center"/>
              <w:rPr>
                <w:rFonts w:eastAsia="Times New Roman" w:cs="Times New Roman"/>
                <w:noProof/>
              </w:rPr>
            </w:pPr>
            <w:r>
              <w:rPr>
                <w:noProof/>
              </w:rPr>
              <w:t>396</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65073E" w:rsidRDefault="000A0998">
            <w:pPr>
              <w:pStyle w:val="P68B1DB1-Normal39"/>
              <w:spacing w:after="0" w:line="240" w:lineRule="auto"/>
              <w:jc w:val="center"/>
              <w:rPr>
                <w:rFonts w:eastAsia="Times New Roman" w:cs="Times New Roman"/>
                <w:noProof/>
              </w:rPr>
            </w:pPr>
            <w:r>
              <w:rPr>
                <w:noProof/>
              </w:rPr>
              <w:t>C28.R9</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65073E" w:rsidRDefault="000A0998">
            <w:pPr>
              <w:pStyle w:val="P68B1DB1-Normal39"/>
              <w:spacing w:after="0" w:line="240" w:lineRule="auto"/>
              <w:rPr>
                <w:rFonts w:eastAsia="Times New Roman" w:cs="Times New Roman"/>
                <w:noProof/>
              </w:rPr>
            </w:pPr>
            <w:r>
              <w:rPr>
                <w:noProof/>
              </w:rPr>
              <w:t>Välillisten verojen muutokset vuonna 2021</w:t>
            </w:r>
          </w:p>
        </w:tc>
      </w:tr>
      <w:tr w:rsidR="0065073E" w14:paraId="47016335"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65073E" w:rsidRDefault="000A0998">
            <w:pPr>
              <w:pStyle w:val="P68B1DB1-Normal39"/>
              <w:spacing w:after="0" w:line="240" w:lineRule="auto"/>
              <w:jc w:val="center"/>
              <w:rPr>
                <w:rFonts w:eastAsia="Times New Roman" w:cs="Times New Roman"/>
                <w:noProof/>
              </w:rPr>
            </w:pPr>
            <w:r>
              <w:rPr>
                <w:noProof/>
              </w:rPr>
              <w:t>397</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65073E" w:rsidRDefault="000A0998">
            <w:pPr>
              <w:pStyle w:val="P68B1DB1-Normal39"/>
              <w:spacing w:after="0" w:line="240" w:lineRule="auto"/>
              <w:jc w:val="center"/>
              <w:rPr>
                <w:rFonts w:eastAsia="Times New Roman" w:cs="Times New Roman"/>
                <w:noProof/>
              </w:rPr>
            </w:pPr>
            <w:r>
              <w:rPr>
                <w:noProof/>
              </w:rPr>
              <w:t>C29.R1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65073E" w:rsidRDefault="000A0998">
            <w:pPr>
              <w:pStyle w:val="P68B1DB1-Normal39"/>
              <w:spacing w:after="0" w:line="240" w:lineRule="auto"/>
              <w:rPr>
                <w:rFonts w:eastAsia="Times New Roman" w:cs="Times New Roman"/>
                <w:noProof/>
              </w:rPr>
            </w:pPr>
            <w:r>
              <w:rPr>
                <w:noProof/>
              </w:rPr>
              <w:t>Pysyvän työryhmän perustaminen valtiovarainministeriöön seuraamaan aktiivisesti menojen uudelleentarkastelujen tulosten täytäntöönpanoa ja vuotuisen talousarviolain laatimismääräyksen hyväksymistä</w:t>
            </w:r>
          </w:p>
        </w:tc>
      </w:tr>
      <w:tr w:rsidR="0065073E" w14:paraId="0185B913"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65073E" w:rsidRDefault="000A0998">
            <w:pPr>
              <w:pStyle w:val="P68B1DB1-Normal39"/>
              <w:spacing w:after="0" w:line="240" w:lineRule="auto"/>
              <w:jc w:val="center"/>
              <w:rPr>
                <w:rFonts w:eastAsia="Times New Roman" w:cs="Times New Roman"/>
                <w:noProof/>
              </w:rPr>
            </w:pPr>
            <w:r>
              <w:rPr>
                <w:noProof/>
              </w:rPr>
              <w:t>398</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65073E" w:rsidRDefault="000A0998">
            <w:pPr>
              <w:pStyle w:val="P68B1DB1-Normal39"/>
              <w:spacing w:after="0" w:line="240" w:lineRule="auto"/>
              <w:jc w:val="center"/>
              <w:rPr>
                <w:rFonts w:eastAsia="Times New Roman" w:cs="Times New Roman"/>
                <w:noProof/>
              </w:rPr>
            </w:pPr>
            <w:r>
              <w:rPr>
                <w:noProof/>
              </w:rPr>
              <w:t>C29.R1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65073E" w:rsidRDefault="000A0998">
            <w:pPr>
              <w:pStyle w:val="P68B1DB1-Normal39"/>
              <w:spacing w:after="0" w:line="240" w:lineRule="auto"/>
              <w:rPr>
                <w:rFonts w:eastAsia="Times New Roman" w:cs="Times New Roman"/>
                <w:noProof/>
              </w:rPr>
            </w:pPr>
            <w:r>
              <w:rPr>
                <w:noProof/>
              </w:rPr>
              <w:t>Menojen uudelleenarvioinnin vaihe III</w:t>
            </w:r>
          </w:p>
        </w:tc>
      </w:tr>
      <w:tr w:rsidR="0065073E" w14:paraId="339E507F"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65073E" w:rsidRDefault="000A0998">
            <w:pPr>
              <w:pStyle w:val="P68B1DB1-Normal39"/>
              <w:spacing w:after="0" w:line="240" w:lineRule="auto"/>
              <w:jc w:val="center"/>
              <w:rPr>
                <w:rFonts w:eastAsia="Times New Roman" w:cs="Times New Roman"/>
                <w:noProof/>
              </w:rPr>
            </w:pPr>
            <w:r>
              <w:rPr>
                <w:noProof/>
              </w:rPr>
              <w:t>399</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65073E" w:rsidRDefault="000A0998">
            <w:pPr>
              <w:pStyle w:val="P68B1DB1-Normal39"/>
              <w:spacing w:after="0" w:line="240" w:lineRule="auto"/>
              <w:jc w:val="center"/>
              <w:rPr>
                <w:rFonts w:eastAsia="Times New Roman" w:cs="Times New Roman"/>
                <w:noProof/>
              </w:rPr>
            </w:pPr>
            <w:r>
              <w:rPr>
                <w:noProof/>
              </w:rPr>
              <w:t>C29.R1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65073E" w:rsidRDefault="000A0998">
            <w:pPr>
              <w:pStyle w:val="P68B1DB1-Normal39"/>
              <w:spacing w:after="0" w:line="240" w:lineRule="auto"/>
              <w:rPr>
                <w:rFonts w:eastAsia="Times New Roman" w:cs="Times New Roman"/>
                <w:noProof/>
              </w:rPr>
            </w:pPr>
            <w:r>
              <w:rPr>
                <w:noProof/>
              </w:rPr>
              <w:t>Perustetaan AIReF:ään pysyvä yksikkö, joka vastaa hallituksen valtuuttamista menojen uudelleentarkasteluista.</w:t>
            </w:r>
          </w:p>
        </w:tc>
      </w:tr>
      <w:tr w:rsidR="0065073E" w14:paraId="0C03F910"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65073E" w:rsidRDefault="000A0998">
            <w:pPr>
              <w:pStyle w:val="P68B1DB1-Normal39"/>
              <w:spacing w:after="0" w:line="240" w:lineRule="auto"/>
              <w:jc w:val="center"/>
              <w:rPr>
                <w:rFonts w:eastAsia="Times New Roman" w:cs="Times New Roman"/>
                <w:noProof/>
              </w:rPr>
            </w:pPr>
            <w:r>
              <w:rPr>
                <w:noProof/>
              </w:rPr>
              <w:t>406</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65073E" w:rsidRDefault="000A0998">
            <w:pPr>
              <w:pStyle w:val="P68B1DB1-Normal39"/>
              <w:spacing w:after="0" w:line="240" w:lineRule="auto"/>
              <w:jc w:val="center"/>
              <w:rPr>
                <w:rFonts w:eastAsia="Times New Roman" w:cs="Times New Roman"/>
                <w:noProof/>
              </w:rPr>
            </w:pPr>
            <w:r>
              <w:rPr>
                <w:noProof/>
              </w:rPr>
              <w:t>C30.R1</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65073E" w:rsidRDefault="000A0998">
            <w:pPr>
              <w:pStyle w:val="P68B1DB1-Normal39"/>
              <w:spacing w:after="0" w:line="240" w:lineRule="auto"/>
              <w:rPr>
                <w:rFonts w:eastAsia="Times New Roman" w:cs="Times New Roman"/>
                <w:noProof/>
              </w:rPr>
            </w:pPr>
            <w:r>
              <w:rPr>
                <w:noProof/>
              </w:rPr>
              <w:t>Sosiaaliturvan rahoituksen erottaminen toisistaan</w:t>
            </w:r>
          </w:p>
        </w:tc>
      </w:tr>
      <w:tr w:rsidR="0065073E" w14:paraId="53616CB8"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65073E" w:rsidRDefault="000A0998">
            <w:pPr>
              <w:pStyle w:val="P68B1DB1-Normal39"/>
              <w:spacing w:after="0" w:line="240" w:lineRule="auto"/>
              <w:jc w:val="center"/>
              <w:rPr>
                <w:rFonts w:eastAsia="Times New Roman" w:cs="Times New Roman"/>
                <w:noProof/>
              </w:rPr>
            </w:pPr>
            <w:r>
              <w:rPr>
                <w:noProof/>
              </w:rPr>
              <w:t>412</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65073E" w:rsidRDefault="000A0998">
            <w:pPr>
              <w:pStyle w:val="P68B1DB1-Normal39"/>
              <w:spacing w:after="0" w:line="240" w:lineRule="auto"/>
              <w:jc w:val="center"/>
              <w:rPr>
                <w:rFonts w:eastAsia="Times New Roman" w:cs="Times New Roman"/>
                <w:noProof/>
              </w:rPr>
            </w:pPr>
            <w:r>
              <w:rPr>
                <w:noProof/>
              </w:rPr>
              <w:t>C30.R4</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65073E" w:rsidRDefault="000A0998">
            <w:pPr>
              <w:pStyle w:val="P68B1DB1-Normal39"/>
              <w:spacing w:after="0" w:line="240" w:lineRule="auto"/>
              <w:rPr>
                <w:rFonts w:eastAsia="Times New Roman" w:cs="Times New Roman"/>
                <w:noProof/>
              </w:rPr>
            </w:pPr>
            <w:r>
              <w:rPr>
                <w:noProof/>
              </w:rPr>
              <w:t>Äitiyslisäyksen virtaviivaistaminen</w:t>
            </w:r>
          </w:p>
        </w:tc>
      </w:tr>
      <w:tr w:rsidR="0065073E" w14:paraId="7400C457"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65073E" w:rsidRDefault="000A0998">
            <w:pPr>
              <w:pStyle w:val="P68B1DB1-Normal39"/>
              <w:spacing w:after="0" w:line="240" w:lineRule="auto"/>
              <w:jc w:val="center"/>
              <w:rPr>
                <w:rFonts w:eastAsia="Times New Roman" w:cs="Times New Roman"/>
                <w:noProof/>
              </w:rPr>
            </w:pPr>
            <w:r>
              <w:rPr>
                <w:noProof/>
              </w:rPr>
              <w:t>413</w:t>
            </w: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65073E" w:rsidRDefault="000A0998">
            <w:pPr>
              <w:pStyle w:val="P68B1DB1-Normal39"/>
              <w:spacing w:after="0" w:line="240" w:lineRule="auto"/>
              <w:jc w:val="center"/>
              <w:rPr>
                <w:rFonts w:eastAsia="Times New Roman" w:cs="Times New Roman"/>
                <w:noProof/>
              </w:rPr>
            </w:pPr>
            <w:r>
              <w:rPr>
                <w:noProof/>
              </w:rPr>
              <w:t>C30.R5</w:t>
            </w: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65073E" w:rsidRDefault="000A0998">
            <w:pPr>
              <w:pStyle w:val="P68B1DB1-Normal39"/>
              <w:spacing w:after="0" w:line="240" w:lineRule="auto"/>
              <w:rPr>
                <w:rFonts w:eastAsia="Times New Roman" w:cs="Times New Roman"/>
                <w:noProof/>
              </w:rPr>
            </w:pPr>
            <w:r>
              <w:rPr>
                <w:noProof/>
              </w:rPr>
              <w:t>Nykyiseen lisäeläkejärjestelmään liittyvien verohelpotusten tarkistaminen</w:t>
            </w:r>
          </w:p>
        </w:tc>
      </w:tr>
      <w:tr w:rsidR="0065073E" w14:paraId="1FBF7217" w14:textId="77777777">
        <w:trPr>
          <w:trHeight w:val="268"/>
        </w:trPr>
        <w:tc>
          <w:tcPr>
            <w:tcW w:w="126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65073E" w:rsidRDefault="0065073E">
            <w:pPr>
              <w:spacing w:after="0" w:line="240" w:lineRule="auto"/>
              <w:jc w:val="center"/>
              <w:rPr>
                <w:rFonts w:ascii="Times New Roman" w:eastAsia="Times New Roman" w:hAnsi="Times New Roman" w:cs="Times New Roman"/>
                <w:noProof/>
                <w:sz w:val="20"/>
              </w:rPr>
            </w:pPr>
          </w:p>
        </w:tc>
        <w:tc>
          <w:tcPr>
            <w:tcW w:w="1403"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65073E" w:rsidRDefault="0065073E">
            <w:pPr>
              <w:spacing w:after="0" w:line="240" w:lineRule="auto"/>
              <w:rPr>
                <w:rFonts w:ascii="Times New Roman" w:eastAsia="Times New Roman" w:hAnsi="Times New Roman" w:cs="Times New Roman"/>
                <w:noProof/>
                <w:sz w:val="20"/>
              </w:rPr>
            </w:pPr>
          </w:p>
        </w:tc>
        <w:tc>
          <w:tcPr>
            <w:tcW w:w="1136"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65073E" w:rsidRDefault="000A0998">
            <w:pPr>
              <w:pStyle w:val="P68B1DB1-Normal38"/>
              <w:spacing w:after="0" w:line="240" w:lineRule="auto"/>
              <w:rPr>
                <w:rFonts w:eastAsia="Times New Roman" w:cs="Times New Roman"/>
                <w:noProof/>
              </w:rPr>
            </w:pPr>
            <w:r>
              <w:rPr>
                <w:noProof/>
              </w:rPr>
              <w:t>Maksuerän määrä</w:t>
            </w:r>
          </w:p>
        </w:tc>
        <w:tc>
          <w:tcPr>
            <w:tcW w:w="608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65073E" w:rsidRDefault="000A0998">
            <w:pPr>
              <w:pStyle w:val="P68B1DB1-Normal38"/>
              <w:spacing w:after="0" w:line="240" w:lineRule="auto"/>
              <w:rPr>
                <w:rFonts w:eastAsia="Times New Roman" w:cs="Times New Roman"/>
                <w:noProof/>
              </w:rPr>
            </w:pPr>
            <w:r>
              <w:rPr>
                <w:noProof/>
              </w:rPr>
              <w:t>YHTEENSÄ 11494252874 EUROA</w:t>
            </w:r>
          </w:p>
        </w:tc>
      </w:tr>
    </w:tbl>
    <w:p w14:paraId="0E88AC02" w14:textId="77777777" w:rsidR="0065073E" w:rsidRDefault="0065073E">
      <w:pPr>
        <w:spacing w:before="120" w:after="120" w:line="240" w:lineRule="auto"/>
        <w:jc w:val="both"/>
        <w:rPr>
          <w:rFonts w:ascii="Times New Roman" w:eastAsia="Calibri" w:hAnsi="Times New Roman" w:cs="Times New Roman"/>
          <w:noProof/>
          <w:sz w:val="24"/>
        </w:rPr>
      </w:pPr>
    </w:p>
    <w:p w14:paraId="1D237968"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67"/>
          <w:headerReference w:type="default" r:id="rId668"/>
          <w:footerReference w:type="even" r:id="rId669"/>
          <w:footerReference w:type="default" r:id="rId670"/>
          <w:headerReference w:type="first" r:id="rId671"/>
          <w:footerReference w:type="first" r:id="rId672"/>
          <w:pgSz w:w="11907" w:h="16839"/>
          <w:pgMar w:top="1134" w:right="1134" w:bottom="1134" w:left="1134" w:header="567" w:footer="567" w:gutter="0"/>
          <w:cols w:space="720"/>
          <w:docGrid w:linePitch="360"/>
        </w:sectPr>
      </w:pPr>
    </w:p>
    <w:p w14:paraId="2C3B7F6D"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Toinen erä (tuki, jota ei makseta takaisin): </w:t>
      </w:r>
    </w:p>
    <w:tbl>
      <w:tblPr>
        <w:tblW w:w="9889" w:type="dxa"/>
        <w:tblInd w:w="-34" w:type="dxa"/>
        <w:tblLook w:val="04A0" w:firstRow="1" w:lastRow="0" w:firstColumn="1" w:lastColumn="0" w:noHBand="0" w:noVBand="1"/>
      </w:tblPr>
      <w:tblGrid>
        <w:gridCol w:w="1193"/>
        <w:gridCol w:w="1326"/>
        <w:gridCol w:w="1679"/>
        <w:gridCol w:w="5691"/>
      </w:tblGrid>
      <w:tr w:rsidR="0065073E" w14:paraId="49E29A45" w14:textId="77777777">
        <w:trPr>
          <w:trHeight w:val="906"/>
          <w:tblHeader/>
        </w:trPr>
        <w:tc>
          <w:tcPr>
            <w:tcW w:w="126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6082"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48B02ED2" w14:textId="77777777">
        <w:trPr>
          <w:trHeight w:val="509"/>
        </w:trPr>
        <w:tc>
          <w:tcPr>
            <w:tcW w:w="1263"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65073E" w:rsidRDefault="0065073E">
            <w:pPr>
              <w:spacing w:after="0" w:line="240" w:lineRule="auto"/>
              <w:rPr>
                <w:rFonts w:ascii="Times New Roman" w:eastAsia="Times New Roman" w:hAnsi="Times New Roman" w:cs="Times New Roman"/>
                <w:b/>
                <w:noProof/>
                <w:sz w:val="20"/>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65073E" w:rsidRDefault="0065073E">
            <w:pPr>
              <w:spacing w:after="0" w:line="240" w:lineRule="auto"/>
              <w:rPr>
                <w:rFonts w:ascii="Times New Roman" w:eastAsia="Times New Roman" w:hAnsi="Times New Roman" w:cs="Times New Roman"/>
                <w:b/>
                <w:noProof/>
                <w:sz w:val="20"/>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65073E" w:rsidRDefault="0065073E">
            <w:pPr>
              <w:spacing w:after="0" w:line="240" w:lineRule="auto"/>
              <w:rPr>
                <w:rFonts w:ascii="Times New Roman" w:eastAsia="Times New Roman" w:hAnsi="Times New Roman" w:cs="Times New Roman"/>
                <w:b/>
                <w:noProof/>
                <w:sz w:val="20"/>
              </w:rPr>
            </w:pPr>
          </w:p>
        </w:tc>
        <w:tc>
          <w:tcPr>
            <w:tcW w:w="6082" w:type="dxa"/>
            <w:vMerge/>
            <w:tcBorders>
              <w:top w:val="single" w:sz="4" w:space="0" w:color="auto"/>
              <w:left w:val="nil"/>
              <w:bottom w:val="single" w:sz="4" w:space="0" w:color="000000"/>
              <w:right w:val="single" w:sz="4" w:space="0" w:color="auto"/>
            </w:tcBorders>
            <w:vAlign w:val="center"/>
            <w:hideMark/>
          </w:tcPr>
          <w:p w14:paraId="5B0778BF" w14:textId="77777777" w:rsidR="0065073E" w:rsidRDefault="0065073E">
            <w:pPr>
              <w:spacing w:after="0" w:line="240" w:lineRule="auto"/>
              <w:rPr>
                <w:rFonts w:ascii="Times New Roman" w:eastAsia="Times New Roman" w:hAnsi="Times New Roman" w:cs="Times New Roman"/>
                <w:b/>
                <w:noProof/>
                <w:sz w:val="20"/>
              </w:rPr>
            </w:pPr>
          </w:p>
        </w:tc>
      </w:tr>
      <w:tr w:rsidR="0065073E" w14:paraId="1A37BBBF"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65073E" w:rsidRDefault="000A0998">
            <w:pPr>
              <w:pStyle w:val="P68B1DB1-Normal39"/>
              <w:spacing w:after="0" w:line="240" w:lineRule="auto"/>
              <w:jc w:val="center"/>
              <w:rPr>
                <w:rFonts w:eastAsia="Times New Roman" w:cs="Times New Roman"/>
                <w:noProof/>
              </w:rPr>
            </w:pPr>
            <w:r>
              <w:rPr>
                <w:noProof/>
              </w:rPr>
              <w:t>24</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65073E" w:rsidRDefault="000A0998">
            <w:pPr>
              <w:pStyle w:val="P68B1DB1-Normal39"/>
              <w:spacing w:after="0" w:line="240" w:lineRule="auto"/>
              <w:jc w:val="center"/>
              <w:rPr>
                <w:rFonts w:eastAsia="Times New Roman" w:cs="Times New Roman"/>
                <w:noProof/>
              </w:rPr>
            </w:pPr>
            <w:r>
              <w:rPr>
                <w:noProof/>
              </w:rPr>
              <w:t>C2.R5</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65073E" w:rsidRDefault="000A0998">
            <w:pPr>
              <w:pStyle w:val="P68B1DB1-Normal39"/>
              <w:spacing w:after="0" w:line="240" w:lineRule="auto"/>
              <w:rPr>
                <w:rFonts w:eastAsia="Times New Roman" w:cs="Times New Roman"/>
                <w:noProof/>
              </w:rPr>
            </w:pPr>
            <w:r>
              <w:rPr>
                <w:noProof/>
              </w:rPr>
              <w:t xml:space="preserve">Kuninkaallisen perusparannusviraston (’keskitetyt asiointipisteet’) voimaantulo </w:t>
            </w:r>
          </w:p>
        </w:tc>
      </w:tr>
      <w:tr w:rsidR="0065073E" w14:paraId="79DEBF0C"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65073E" w:rsidRDefault="000A0998">
            <w:pPr>
              <w:pStyle w:val="P68B1DB1-Normal39"/>
              <w:spacing w:after="0" w:line="240" w:lineRule="auto"/>
              <w:jc w:val="center"/>
              <w:rPr>
                <w:rFonts w:eastAsia="Times New Roman" w:cs="Times New Roman"/>
                <w:noProof/>
              </w:rPr>
            </w:pPr>
            <w:r>
              <w:rPr>
                <w:noProof/>
              </w:rPr>
              <w:t>26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65073E" w:rsidRDefault="000A0998">
            <w:pPr>
              <w:pStyle w:val="P68B1DB1-Normal39"/>
              <w:spacing w:after="0" w:line="240" w:lineRule="auto"/>
              <w:jc w:val="center"/>
              <w:rPr>
                <w:rFonts w:eastAsia="Times New Roman" w:cs="Times New Roman"/>
                <w:noProof/>
              </w:rPr>
            </w:pPr>
            <w:r>
              <w:rPr>
                <w:noProof/>
              </w:rPr>
              <w:t>C2.I1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65073E" w:rsidRDefault="000A0998">
            <w:pPr>
              <w:pStyle w:val="P68B1DB1-Normal39"/>
              <w:spacing w:after="0" w:line="240" w:lineRule="auto"/>
              <w:rPr>
                <w:rFonts w:eastAsia="Times New Roman" w:cs="Times New Roman"/>
                <w:noProof/>
              </w:rPr>
            </w:pPr>
            <w:r>
              <w:rPr>
                <w:noProof/>
              </w:rPr>
              <w:t xml:space="preserve">Uudistamisohjelman täytäntöönpanoa koskevasta sääntelyjärjestelmästä annetun kuninkaallisen asetuksen voimaantulo ja kuninkaallinen asetus, jolla säännellään henkilökohtaisia tuloverokannustimia ohjelman tukemiseksi </w:t>
            </w:r>
          </w:p>
        </w:tc>
      </w:tr>
      <w:tr w:rsidR="0065073E" w14:paraId="4798EE4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65073E" w:rsidRDefault="000A0998">
            <w:pPr>
              <w:pStyle w:val="P68B1DB1-Normal39"/>
              <w:spacing w:after="0" w:line="240" w:lineRule="auto"/>
              <w:jc w:val="center"/>
              <w:rPr>
                <w:rFonts w:eastAsia="Times New Roman" w:cs="Times New Roman"/>
                <w:noProof/>
              </w:rPr>
            </w:pPr>
            <w:r>
              <w:rPr>
                <w:noProof/>
              </w:rPr>
              <w:t>30</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65073E" w:rsidRDefault="000A0998">
            <w:pPr>
              <w:pStyle w:val="P68B1DB1-Normal39"/>
              <w:spacing w:after="0" w:line="240" w:lineRule="auto"/>
              <w:jc w:val="center"/>
              <w:rPr>
                <w:rFonts w:eastAsia="Times New Roman" w:cs="Times New Roman"/>
                <w:noProof/>
              </w:rPr>
            </w:pPr>
            <w:r>
              <w:rPr>
                <w:noProof/>
              </w:rPr>
              <w:t>C2.I2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65073E" w:rsidRDefault="000A0998">
            <w:pPr>
              <w:pStyle w:val="P68B1DB1-Normal39"/>
              <w:spacing w:after="0" w:line="240" w:lineRule="auto"/>
              <w:rPr>
                <w:rFonts w:eastAsia="Times New Roman" w:cs="Times New Roman"/>
                <w:noProof/>
              </w:rPr>
            </w:pPr>
            <w:r>
              <w:rPr>
                <w:noProof/>
              </w:rPr>
              <w:t xml:space="preserve">Energiatehokkuuskriteerien mukaisia energiatehokkaita sosiaalisia vuokra-asuntoja koskevan ohjelman täytäntöönpanoa koskevan sääntelykehyksen määrittelystä annetun kuninkaallisen asetuksen voimaantulo </w:t>
            </w:r>
          </w:p>
        </w:tc>
      </w:tr>
      <w:tr w:rsidR="0065073E" w14:paraId="3393379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65073E" w:rsidRDefault="000A0998">
            <w:pPr>
              <w:pStyle w:val="P68B1DB1-Normal39"/>
              <w:spacing w:after="0" w:line="240" w:lineRule="auto"/>
              <w:jc w:val="center"/>
              <w:rPr>
                <w:rFonts w:eastAsia="Times New Roman" w:cs="Times New Roman"/>
                <w:noProof/>
              </w:rPr>
            </w:pPr>
            <w:r>
              <w:rPr>
                <w:noProof/>
              </w:rPr>
              <w:t>40</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65073E" w:rsidRDefault="000A0998">
            <w:pPr>
              <w:pStyle w:val="P68B1DB1-Normal39"/>
              <w:spacing w:after="0" w:line="240" w:lineRule="auto"/>
              <w:jc w:val="center"/>
              <w:rPr>
                <w:rFonts w:eastAsia="Times New Roman" w:cs="Times New Roman"/>
                <w:noProof/>
              </w:rPr>
            </w:pPr>
            <w:r>
              <w:rPr>
                <w:noProof/>
              </w:rPr>
              <w:t>C3.R1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65073E" w:rsidRDefault="000A0998">
            <w:pPr>
              <w:pStyle w:val="P68B1DB1-Normal39"/>
              <w:spacing w:after="0" w:line="240" w:lineRule="auto"/>
              <w:rPr>
                <w:rFonts w:eastAsia="Times New Roman" w:cs="Times New Roman"/>
                <w:noProof/>
              </w:rPr>
            </w:pPr>
            <w:r>
              <w:rPr>
                <w:noProof/>
              </w:rPr>
              <w:t xml:space="preserve">Elintarvikeketjun toimintaa parantavista toimenpiteistä annetun lain 12/2013 toisen muutoksen voimaantulo </w:t>
            </w:r>
          </w:p>
        </w:tc>
      </w:tr>
      <w:tr w:rsidR="0065073E" w14:paraId="61B9AA8B"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65073E" w:rsidRDefault="000A0998">
            <w:pPr>
              <w:pStyle w:val="P68B1DB1-Normal39"/>
              <w:spacing w:after="0" w:line="240" w:lineRule="auto"/>
              <w:jc w:val="center"/>
              <w:rPr>
                <w:rFonts w:eastAsia="Times New Roman" w:cs="Times New Roman"/>
                <w:noProof/>
              </w:rPr>
            </w:pPr>
            <w:r>
              <w:rPr>
                <w:noProof/>
              </w:rPr>
              <w:t>46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65073E" w:rsidRDefault="000A0998">
            <w:pPr>
              <w:pStyle w:val="P68B1DB1-Normal39"/>
              <w:spacing w:after="0" w:line="240" w:lineRule="auto"/>
              <w:jc w:val="center"/>
              <w:rPr>
                <w:rFonts w:eastAsia="Times New Roman" w:cs="Times New Roman"/>
                <w:noProof/>
              </w:rPr>
            </w:pPr>
            <w:r>
              <w:rPr>
                <w:noProof/>
              </w:rPr>
              <w:t>C3.I1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65073E" w:rsidRDefault="000A0998">
            <w:pPr>
              <w:pStyle w:val="P68B1DB1-Normal39"/>
              <w:spacing w:after="0" w:line="240" w:lineRule="auto"/>
              <w:rPr>
                <w:rFonts w:eastAsia="Times New Roman" w:cs="Times New Roman"/>
                <w:noProof/>
              </w:rPr>
            </w:pPr>
            <w:r>
              <w:rPr>
                <w:noProof/>
              </w:rPr>
              <w:t>Maatalous-, kalastus- ja elintarvikeministeriön (MAPA) ja SEIASAn välisen, kasteltujen alueiden parantamisen ja kestävyyden tukemista koskevan sopimuksen voimaantulo (ensimmäinen vaihe)</w:t>
            </w:r>
          </w:p>
        </w:tc>
      </w:tr>
      <w:tr w:rsidR="0065073E" w14:paraId="3B45D08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65073E" w:rsidRDefault="000A0998">
            <w:pPr>
              <w:pStyle w:val="P68B1DB1-Normal39"/>
              <w:spacing w:after="0" w:line="240" w:lineRule="auto"/>
              <w:jc w:val="center"/>
              <w:rPr>
                <w:rFonts w:eastAsia="Times New Roman" w:cs="Times New Roman"/>
                <w:noProof/>
              </w:rPr>
            </w:pPr>
            <w:r>
              <w:rPr>
                <w:noProof/>
              </w:rPr>
              <w:t>56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65073E" w:rsidRDefault="000A0998">
            <w:pPr>
              <w:pStyle w:val="P68B1DB1-Normal39"/>
              <w:spacing w:after="0" w:line="240" w:lineRule="auto"/>
              <w:jc w:val="center"/>
              <w:rPr>
                <w:rFonts w:eastAsia="Times New Roman" w:cs="Times New Roman"/>
                <w:noProof/>
              </w:rPr>
            </w:pPr>
            <w:r>
              <w:rPr>
                <w:noProof/>
              </w:rPr>
              <w:t>C3.I7</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65073E" w:rsidRDefault="000A0998">
            <w:pPr>
              <w:pStyle w:val="P68B1DB1-Normal39"/>
              <w:spacing w:after="0" w:line="240" w:lineRule="auto"/>
              <w:rPr>
                <w:rFonts w:eastAsia="Times New Roman" w:cs="Times New Roman"/>
                <w:noProof/>
              </w:rPr>
            </w:pPr>
            <w:r>
              <w:rPr>
                <w:noProof/>
              </w:rPr>
              <w:t>Sopimukset julkisten tutkimuslaitosten kanssa</w:t>
            </w:r>
          </w:p>
        </w:tc>
      </w:tr>
      <w:tr w:rsidR="0065073E" w14:paraId="6AD2D41F"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65073E" w:rsidRDefault="000A0998">
            <w:pPr>
              <w:pStyle w:val="P68B1DB1-Normal39"/>
              <w:spacing w:after="0" w:line="240" w:lineRule="auto"/>
              <w:jc w:val="center"/>
              <w:rPr>
                <w:rFonts w:eastAsia="Times New Roman" w:cs="Times New Roman"/>
                <w:noProof/>
              </w:rPr>
            </w:pPr>
            <w:r>
              <w:rPr>
                <w:noProof/>
              </w:rPr>
              <w:t>74</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65073E" w:rsidRDefault="000A0998">
            <w:pPr>
              <w:pStyle w:val="P68B1DB1-Normal39"/>
              <w:spacing w:after="0" w:line="240" w:lineRule="auto"/>
              <w:jc w:val="center"/>
              <w:rPr>
                <w:rFonts w:eastAsia="Times New Roman" w:cs="Times New Roman"/>
                <w:noProof/>
              </w:rPr>
            </w:pPr>
            <w:r>
              <w:rPr>
                <w:noProof/>
              </w:rPr>
              <w:t>C5.R1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65073E" w:rsidRDefault="000A0998">
            <w:pPr>
              <w:pStyle w:val="P68B1DB1-Normal39"/>
              <w:spacing w:after="0" w:line="240" w:lineRule="auto"/>
              <w:rPr>
                <w:rFonts w:eastAsia="Times New Roman" w:cs="Times New Roman"/>
                <w:noProof/>
              </w:rPr>
            </w:pPr>
            <w:r>
              <w:rPr>
                <w:noProof/>
              </w:rPr>
              <w:t xml:space="preserve">Hydrologisesta suunnittelusta annetun asetuksen muutosten voimaantulo </w:t>
            </w:r>
          </w:p>
        </w:tc>
      </w:tr>
      <w:tr w:rsidR="0065073E" w14:paraId="6C3BD0AB"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65073E" w:rsidRDefault="000A0998">
            <w:pPr>
              <w:pStyle w:val="P68B1DB1-Normal39"/>
              <w:spacing w:after="0" w:line="240" w:lineRule="auto"/>
              <w:jc w:val="center"/>
              <w:rPr>
                <w:rFonts w:eastAsia="Times New Roman" w:cs="Times New Roman"/>
                <w:noProof/>
              </w:rPr>
            </w:pPr>
            <w:r>
              <w:rPr>
                <w:noProof/>
              </w:rPr>
              <w:t>83</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65073E" w:rsidRDefault="000A0998">
            <w:pPr>
              <w:pStyle w:val="P68B1DB1-Normal39"/>
              <w:spacing w:after="0" w:line="240" w:lineRule="auto"/>
              <w:jc w:val="center"/>
              <w:rPr>
                <w:rFonts w:eastAsia="Times New Roman" w:cs="Times New Roman"/>
                <w:noProof/>
              </w:rPr>
            </w:pPr>
            <w:r>
              <w:rPr>
                <w:noProof/>
              </w:rPr>
              <w:t>C6.R1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65073E" w:rsidRDefault="000A0998">
            <w:pPr>
              <w:pStyle w:val="P68B1DB1-Normal39"/>
              <w:spacing w:after="0" w:line="240" w:lineRule="auto"/>
              <w:rPr>
                <w:rFonts w:eastAsia="Times New Roman" w:cs="Times New Roman"/>
                <w:noProof/>
              </w:rPr>
            </w:pPr>
            <w:r>
              <w:rPr>
                <w:noProof/>
              </w:rPr>
              <w:t xml:space="preserve">Kestävää, turvallista ja verkotettua liikkuvuutta koskeva strategia (hyväksyntä) </w:t>
            </w:r>
          </w:p>
        </w:tc>
      </w:tr>
      <w:tr w:rsidR="0065073E" w14:paraId="24E452D9"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65073E" w:rsidRDefault="000A0998">
            <w:pPr>
              <w:pStyle w:val="P68B1DB1-Normal39"/>
              <w:spacing w:after="0" w:line="240" w:lineRule="auto"/>
              <w:jc w:val="center"/>
              <w:rPr>
                <w:rFonts w:eastAsia="Times New Roman" w:cs="Times New Roman"/>
                <w:noProof/>
              </w:rPr>
            </w:pPr>
            <w:r>
              <w:rPr>
                <w:noProof/>
              </w:rPr>
              <w:t>108</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65073E" w:rsidRDefault="000A0998">
            <w:pPr>
              <w:pStyle w:val="P68B1DB1-Normal39"/>
              <w:spacing w:after="0" w:line="240" w:lineRule="auto"/>
              <w:jc w:val="center"/>
              <w:rPr>
                <w:rFonts w:eastAsia="Times New Roman" w:cs="Times New Roman"/>
                <w:noProof/>
              </w:rPr>
            </w:pPr>
            <w:r>
              <w:rPr>
                <w:noProof/>
              </w:rPr>
              <w:t>C7.R2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65073E" w:rsidRDefault="000A0998">
            <w:pPr>
              <w:pStyle w:val="P68B1DB1-Normal39"/>
              <w:spacing w:after="0" w:line="240" w:lineRule="auto"/>
              <w:rPr>
                <w:rFonts w:eastAsia="Times New Roman" w:cs="Times New Roman"/>
                <w:noProof/>
              </w:rPr>
            </w:pPr>
            <w:r>
              <w:rPr>
                <w:noProof/>
              </w:rPr>
              <w:t>Kansallinen omaa kulutusta koskeva strategia</w:t>
            </w:r>
          </w:p>
        </w:tc>
      </w:tr>
      <w:tr w:rsidR="0065073E" w14:paraId="3A54A1F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65073E" w:rsidRDefault="000A0998">
            <w:pPr>
              <w:pStyle w:val="P68B1DB1-Normal39"/>
              <w:spacing w:after="0" w:line="240" w:lineRule="auto"/>
              <w:jc w:val="center"/>
              <w:rPr>
                <w:rFonts w:eastAsia="Times New Roman" w:cs="Times New Roman"/>
                <w:noProof/>
              </w:rPr>
            </w:pPr>
            <w:r>
              <w:rPr>
                <w:noProof/>
              </w:rPr>
              <w:t>112</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65073E" w:rsidRDefault="000A0998">
            <w:pPr>
              <w:pStyle w:val="P68B1DB1-Normal39"/>
              <w:spacing w:after="0" w:line="240" w:lineRule="auto"/>
              <w:jc w:val="center"/>
              <w:rPr>
                <w:rFonts w:eastAsia="Times New Roman" w:cs="Times New Roman"/>
                <w:noProof/>
              </w:rPr>
            </w:pPr>
            <w:r>
              <w:rPr>
                <w:noProof/>
              </w:rPr>
              <w:t>C7.R4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65073E" w:rsidRDefault="000A0998">
            <w:pPr>
              <w:pStyle w:val="P68B1DB1-Normal39"/>
              <w:spacing w:after="0" w:line="240" w:lineRule="auto"/>
              <w:rPr>
                <w:rFonts w:eastAsia="Times New Roman" w:cs="Times New Roman"/>
                <w:noProof/>
              </w:rPr>
            </w:pPr>
            <w:r>
              <w:rPr>
                <w:noProof/>
              </w:rPr>
              <w:t>Merituulivoimaa ja muuta merienergiaa koskeva etenemissuunnitelma</w:t>
            </w:r>
          </w:p>
        </w:tc>
      </w:tr>
      <w:tr w:rsidR="0065073E" w14:paraId="7C77981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65073E" w:rsidRDefault="000A0998">
            <w:pPr>
              <w:pStyle w:val="P68B1DB1-Normal39"/>
              <w:spacing w:after="0" w:line="240" w:lineRule="auto"/>
              <w:jc w:val="center"/>
              <w:rPr>
                <w:rFonts w:eastAsia="Times New Roman" w:cs="Times New Roman"/>
                <w:noProof/>
              </w:rPr>
            </w:pPr>
            <w:r>
              <w:rPr>
                <w:noProof/>
              </w:rPr>
              <w:t>139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65073E" w:rsidRDefault="000A0998">
            <w:pPr>
              <w:pStyle w:val="P68B1DB1-Normal39"/>
              <w:spacing w:after="0" w:line="240" w:lineRule="auto"/>
              <w:jc w:val="center"/>
              <w:rPr>
                <w:rFonts w:eastAsia="Times New Roman" w:cs="Times New Roman"/>
                <w:noProof/>
              </w:rPr>
            </w:pPr>
            <w:r>
              <w:rPr>
                <w:noProof/>
              </w:rPr>
              <w:t>C10.I1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65073E" w:rsidRDefault="000A0998">
            <w:pPr>
              <w:pStyle w:val="P68B1DB1-Normal39"/>
              <w:spacing w:after="0" w:line="240" w:lineRule="auto"/>
              <w:rPr>
                <w:rFonts w:eastAsia="Times New Roman" w:cs="Times New Roman"/>
                <w:noProof/>
              </w:rPr>
            </w:pPr>
            <w:r>
              <w:rPr>
                <w:noProof/>
              </w:rPr>
              <w:t>Oikeudenmukaisen siirtymän koulutusohjelma ja tuen myöntäminen oikeudenmukaisen siirtymän alueiden taloudelliseen kehitykseen</w:t>
            </w:r>
          </w:p>
        </w:tc>
      </w:tr>
      <w:tr w:rsidR="0065073E" w14:paraId="2F542DB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65073E" w:rsidRDefault="000A0998">
            <w:pPr>
              <w:pStyle w:val="P68B1DB1-Normal39"/>
              <w:spacing w:after="0" w:line="240" w:lineRule="auto"/>
              <w:jc w:val="center"/>
              <w:rPr>
                <w:rFonts w:eastAsia="Times New Roman" w:cs="Times New Roman"/>
                <w:noProof/>
              </w:rPr>
            </w:pPr>
            <w:r>
              <w:rPr>
                <w:noProof/>
              </w:rPr>
              <w:t>155</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65073E" w:rsidRDefault="000A0998">
            <w:pPr>
              <w:pStyle w:val="P68B1DB1-Normal39"/>
              <w:spacing w:after="0" w:line="240" w:lineRule="auto"/>
              <w:jc w:val="center"/>
              <w:rPr>
                <w:rFonts w:eastAsia="Times New Roman" w:cs="Times New Roman"/>
                <w:noProof/>
              </w:rPr>
            </w:pPr>
            <w:r>
              <w:rPr>
                <w:noProof/>
              </w:rPr>
              <w:t>C11.R4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65073E" w:rsidRDefault="000A0998">
            <w:pPr>
              <w:pStyle w:val="P68B1DB1-Normal39"/>
              <w:spacing w:after="0" w:line="240" w:lineRule="auto"/>
              <w:rPr>
                <w:rFonts w:eastAsia="Times New Roman" w:cs="Times New Roman"/>
                <w:noProof/>
              </w:rPr>
            </w:pPr>
            <w:r>
              <w:rPr>
                <w:noProof/>
              </w:rPr>
              <w:t xml:space="preserve">Kansallisen arviointiviraston perustamisesta annetun ministeriön päätöksen voimaantulo </w:t>
            </w:r>
          </w:p>
        </w:tc>
      </w:tr>
      <w:tr w:rsidR="0065073E" w14:paraId="05B6D33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65073E" w:rsidRDefault="000A0998">
            <w:pPr>
              <w:pStyle w:val="P68B1DB1-Normal39"/>
              <w:spacing w:after="0" w:line="240" w:lineRule="auto"/>
              <w:jc w:val="center"/>
              <w:rPr>
                <w:rFonts w:eastAsia="Times New Roman" w:cs="Times New Roman"/>
                <w:noProof/>
              </w:rPr>
            </w:pPr>
            <w:r>
              <w:rPr>
                <w:noProof/>
              </w:rPr>
              <w:t>189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65073E" w:rsidRDefault="000A0998">
            <w:pPr>
              <w:pStyle w:val="P68B1DB1-Normal39"/>
              <w:spacing w:after="0" w:line="240" w:lineRule="auto"/>
              <w:jc w:val="center"/>
              <w:rPr>
                <w:rFonts w:eastAsia="Times New Roman" w:cs="Times New Roman"/>
                <w:noProof/>
              </w:rPr>
            </w:pPr>
            <w:r>
              <w:rPr>
                <w:noProof/>
              </w:rPr>
              <w:t>C13.R1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65073E" w:rsidRDefault="000A0998">
            <w:pPr>
              <w:pStyle w:val="P68B1DB1-Normal39"/>
              <w:spacing w:after="0" w:line="240" w:lineRule="auto"/>
              <w:rPr>
                <w:rFonts w:eastAsia="Times New Roman" w:cs="Times New Roman"/>
                <w:noProof/>
              </w:rPr>
            </w:pPr>
            <w:r>
              <w:rPr>
                <w:noProof/>
              </w:rPr>
              <w:t xml:space="preserve">Laki asianajajien ja procuradorien ammattiin pääsystä annetun lain 34/2006 muuttamisesta tulee voimaan  </w:t>
            </w:r>
          </w:p>
        </w:tc>
      </w:tr>
      <w:tr w:rsidR="0065073E" w14:paraId="788E0D72"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65073E" w:rsidRDefault="000A0998">
            <w:pPr>
              <w:pStyle w:val="P68B1DB1-Normal39"/>
              <w:spacing w:after="0" w:line="240" w:lineRule="auto"/>
              <w:jc w:val="center"/>
              <w:rPr>
                <w:rFonts w:eastAsia="Times New Roman" w:cs="Times New Roman"/>
                <w:noProof/>
              </w:rPr>
            </w:pPr>
            <w:r>
              <w:rPr>
                <w:noProof/>
              </w:rPr>
              <w:t>216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65073E" w:rsidRDefault="000A0998">
            <w:pPr>
              <w:pStyle w:val="P68B1DB1-Normal39"/>
              <w:spacing w:after="0" w:line="240" w:lineRule="auto"/>
              <w:jc w:val="center"/>
              <w:rPr>
                <w:rFonts w:eastAsia="Times New Roman" w:cs="Times New Roman"/>
                <w:noProof/>
              </w:rPr>
            </w:pPr>
            <w:r>
              <w:rPr>
                <w:noProof/>
              </w:rPr>
              <w:t>C14.R1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65073E" w:rsidRDefault="000A0998">
            <w:pPr>
              <w:pStyle w:val="P68B1DB1-Normal39"/>
              <w:spacing w:after="0" w:line="240" w:lineRule="auto"/>
              <w:rPr>
                <w:rFonts w:eastAsia="Times New Roman" w:cs="Times New Roman"/>
                <w:noProof/>
              </w:rPr>
            </w:pPr>
            <w:r>
              <w:rPr>
                <w:noProof/>
              </w:rPr>
              <w:t xml:space="preserve">Matkailun kilpailukykyä edistävän valtion rahoitusrahaston täytäntöönpanosta annetun kuninkaallisen asetuksen voimaantulo </w:t>
            </w:r>
          </w:p>
        </w:tc>
      </w:tr>
      <w:tr w:rsidR="0065073E" w14:paraId="210A1BAF"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65073E" w:rsidRDefault="000A0998">
            <w:pPr>
              <w:pStyle w:val="P68B1DB1-Normal39"/>
              <w:spacing w:after="0" w:line="240" w:lineRule="auto"/>
              <w:jc w:val="center"/>
              <w:rPr>
                <w:rFonts w:eastAsia="Times New Roman" w:cs="Times New Roman"/>
                <w:noProof/>
              </w:rPr>
            </w:pPr>
            <w:r>
              <w:rPr>
                <w:noProof/>
              </w:rPr>
              <w:t>217</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65073E" w:rsidRDefault="000A0998">
            <w:pPr>
              <w:pStyle w:val="P68B1DB1-Normal39"/>
              <w:spacing w:after="0" w:line="240" w:lineRule="auto"/>
              <w:jc w:val="center"/>
              <w:rPr>
                <w:rFonts w:eastAsia="Times New Roman" w:cs="Times New Roman"/>
                <w:noProof/>
              </w:rPr>
            </w:pPr>
            <w:r>
              <w:rPr>
                <w:noProof/>
              </w:rPr>
              <w:t>C14.I1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65073E" w:rsidRDefault="000A0998">
            <w:pPr>
              <w:pStyle w:val="P68B1DB1-Normal39"/>
              <w:spacing w:after="0" w:line="240" w:lineRule="auto"/>
              <w:rPr>
                <w:rFonts w:eastAsia="Times New Roman" w:cs="Times New Roman"/>
                <w:noProof/>
              </w:rPr>
            </w:pPr>
            <w:r>
              <w:rPr>
                <w:noProof/>
              </w:rPr>
              <w:t>Matkailun kestävyyttä matkakohteessa edistävien suunnitelmien määrärahojen myöntäminen</w:t>
            </w:r>
          </w:p>
        </w:tc>
      </w:tr>
      <w:tr w:rsidR="0065073E" w14:paraId="5995A86C"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65073E" w:rsidRDefault="000A0998">
            <w:pPr>
              <w:pStyle w:val="P68B1DB1-Normal39"/>
              <w:spacing w:after="0" w:line="240" w:lineRule="auto"/>
              <w:jc w:val="center"/>
              <w:rPr>
                <w:rFonts w:eastAsia="Times New Roman" w:cs="Times New Roman"/>
                <w:noProof/>
              </w:rPr>
            </w:pPr>
            <w:r>
              <w:rPr>
                <w:noProof/>
              </w:rPr>
              <w:t>232</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65073E" w:rsidRDefault="000A0998">
            <w:pPr>
              <w:pStyle w:val="P68B1DB1-Normal39"/>
              <w:spacing w:after="0" w:line="240" w:lineRule="auto"/>
              <w:jc w:val="center"/>
              <w:rPr>
                <w:rFonts w:eastAsia="Times New Roman" w:cs="Times New Roman"/>
                <w:noProof/>
              </w:rPr>
            </w:pPr>
            <w:r>
              <w:rPr>
                <w:noProof/>
              </w:rPr>
              <w:t>C15.R2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65073E" w:rsidRDefault="000A0998">
            <w:pPr>
              <w:pStyle w:val="P68B1DB1-Normal39"/>
              <w:spacing w:after="0" w:line="240" w:lineRule="auto"/>
              <w:rPr>
                <w:rFonts w:eastAsia="Times New Roman" w:cs="Times New Roman"/>
                <w:noProof/>
              </w:rPr>
            </w:pPr>
            <w:r>
              <w:rPr>
                <w:noProof/>
              </w:rPr>
              <w:t>700 MHz:n taajuusalueen osoittaminen</w:t>
            </w:r>
          </w:p>
        </w:tc>
      </w:tr>
      <w:tr w:rsidR="0065073E" w14:paraId="3F6862D5"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65073E" w:rsidRDefault="000A0998">
            <w:pPr>
              <w:pStyle w:val="P68B1DB1-Normal39"/>
              <w:spacing w:after="0" w:line="240" w:lineRule="auto"/>
              <w:jc w:val="center"/>
              <w:rPr>
                <w:rFonts w:eastAsia="Times New Roman" w:cs="Times New Roman"/>
                <w:noProof/>
              </w:rPr>
            </w:pPr>
            <w:r>
              <w:rPr>
                <w:noProof/>
              </w:rPr>
              <w:t>233</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65073E" w:rsidRDefault="000A0998">
            <w:pPr>
              <w:pStyle w:val="P68B1DB1-Normal39"/>
              <w:spacing w:after="0" w:line="240" w:lineRule="auto"/>
              <w:jc w:val="center"/>
              <w:rPr>
                <w:rFonts w:eastAsia="Times New Roman" w:cs="Times New Roman"/>
                <w:noProof/>
              </w:rPr>
            </w:pPr>
            <w:r>
              <w:rPr>
                <w:noProof/>
              </w:rPr>
              <w:t>C15.R2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65073E" w:rsidRDefault="000A0998">
            <w:pPr>
              <w:pStyle w:val="P68B1DB1-Normal39"/>
              <w:spacing w:after="0" w:line="240" w:lineRule="auto"/>
              <w:rPr>
                <w:rFonts w:eastAsia="Times New Roman" w:cs="Times New Roman"/>
                <w:noProof/>
              </w:rPr>
            </w:pPr>
            <w:r>
              <w:rPr>
                <w:noProof/>
              </w:rPr>
              <w:t>5G-taajuuksien verotuksen alentamista koskevan säädöksen voimaantulo</w:t>
            </w:r>
          </w:p>
        </w:tc>
      </w:tr>
      <w:tr w:rsidR="0065073E" w14:paraId="143E0516"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65073E" w:rsidRDefault="000A0998">
            <w:pPr>
              <w:pStyle w:val="P68B1DB1-Normal39"/>
              <w:spacing w:after="0" w:line="240" w:lineRule="auto"/>
              <w:jc w:val="center"/>
              <w:rPr>
                <w:rFonts w:eastAsia="Times New Roman" w:cs="Times New Roman"/>
                <w:noProof/>
              </w:rPr>
            </w:pPr>
            <w:r>
              <w:rPr>
                <w:noProof/>
              </w:rPr>
              <w:t>250</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65073E" w:rsidRDefault="000A0998">
            <w:pPr>
              <w:pStyle w:val="P68B1DB1-Normal39"/>
              <w:spacing w:after="0" w:line="240" w:lineRule="auto"/>
              <w:jc w:val="center"/>
              <w:rPr>
                <w:rFonts w:eastAsia="Times New Roman" w:cs="Times New Roman"/>
                <w:noProof/>
              </w:rPr>
            </w:pPr>
            <w:r>
              <w:rPr>
                <w:noProof/>
              </w:rPr>
              <w:t>C16.R1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65073E" w:rsidRDefault="000A0998">
            <w:pPr>
              <w:pStyle w:val="P68B1DB1-Normal39"/>
              <w:spacing w:after="0" w:line="240" w:lineRule="auto"/>
              <w:rPr>
                <w:rFonts w:eastAsia="Times New Roman" w:cs="Times New Roman"/>
                <w:noProof/>
              </w:rPr>
            </w:pPr>
            <w:r>
              <w:rPr>
                <w:noProof/>
              </w:rPr>
              <w:t>Digitaalisten oikeuksien peruskirja</w:t>
            </w:r>
          </w:p>
        </w:tc>
      </w:tr>
      <w:tr w:rsidR="0065073E" w14:paraId="3E47B5B5"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65073E" w:rsidRDefault="000A0998">
            <w:pPr>
              <w:pStyle w:val="P68B1DB1-Normal39"/>
              <w:spacing w:after="0" w:line="240" w:lineRule="auto"/>
              <w:jc w:val="center"/>
              <w:rPr>
                <w:rFonts w:eastAsia="Times New Roman" w:cs="Times New Roman"/>
                <w:noProof/>
              </w:rPr>
            </w:pPr>
            <w:r>
              <w:rPr>
                <w:noProof/>
              </w:rPr>
              <w:t>258</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65073E" w:rsidRDefault="000A0998">
            <w:pPr>
              <w:pStyle w:val="P68B1DB1-Normal39"/>
              <w:spacing w:after="0" w:line="240" w:lineRule="auto"/>
              <w:jc w:val="center"/>
              <w:rPr>
                <w:rFonts w:eastAsia="Times New Roman" w:cs="Times New Roman"/>
                <w:noProof/>
              </w:rPr>
            </w:pPr>
            <w:r>
              <w:rPr>
                <w:noProof/>
              </w:rPr>
              <w:t>C17.I1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65073E" w:rsidRDefault="000A0998">
            <w:pPr>
              <w:pStyle w:val="P68B1DB1-Normal39"/>
              <w:spacing w:after="0" w:line="240" w:lineRule="auto"/>
              <w:rPr>
                <w:rFonts w:eastAsia="Times New Roman" w:cs="Times New Roman"/>
                <w:noProof/>
              </w:rPr>
            </w:pPr>
            <w:r>
              <w:rPr>
                <w:noProof/>
              </w:rPr>
              <w:t xml:space="preserve">Tiede- ja innovaatioministeriön itsehallintoalueiden kanssa allekirjoittamat sopimukset täydentävien T &amp; K-suunnitelmien täytäntöönpanosta. </w:t>
            </w:r>
          </w:p>
        </w:tc>
      </w:tr>
      <w:tr w:rsidR="0065073E" w14:paraId="6FE2883C"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65073E" w:rsidRDefault="000A0998">
            <w:pPr>
              <w:pStyle w:val="P68B1DB1-Normal39"/>
              <w:spacing w:after="0" w:line="240" w:lineRule="auto"/>
              <w:jc w:val="center"/>
              <w:rPr>
                <w:rFonts w:eastAsia="Times New Roman" w:cs="Times New Roman"/>
                <w:noProof/>
              </w:rPr>
            </w:pPr>
            <w:r>
              <w:rPr>
                <w:noProof/>
              </w:rPr>
              <w:t>273</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65073E" w:rsidRDefault="000A0998">
            <w:pPr>
              <w:pStyle w:val="P68B1DB1-Normal39"/>
              <w:spacing w:after="0" w:line="240" w:lineRule="auto"/>
              <w:jc w:val="center"/>
              <w:rPr>
                <w:rFonts w:eastAsia="Times New Roman" w:cs="Times New Roman"/>
                <w:noProof/>
              </w:rPr>
            </w:pPr>
            <w:r>
              <w:rPr>
                <w:noProof/>
              </w:rPr>
              <w:t>C18.R1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65073E" w:rsidRDefault="000A0998">
            <w:pPr>
              <w:pStyle w:val="P68B1DB1-Normal39"/>
              <w:spacing w:after="0" w:line="240" w:lineRule="auto"/>
              <w:rPr>
                <w:rFonts w:eastAsia="Times New Roman" w:cs="Times New Roman"/>
                <w:noProof/>
              </w:rPr>
            </w:pPr>
            <w:r>
              <w:rPr>
                <w:noProof/>
              </w:rPr>
              <w:t>Perusterveydenhuoltoa ja yhteisöhoitoa koskeva toimintasuunnitelma</w:t>
            </w:r>
          </w:p>
        </w:tc>
      </w:tr>
      <w:tr w:rsidR="0065073E" w14:paraId="50516EFF"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65073E" w:rsidRDefault="000A0998">
            <w:pPr>
              <w:pStyle w:val="P68B1DB1-Normal39"/>
              <w:spacing w:after="0" w:line="240" w:lineRule="auto"/>
              <w:jc w:val="center"/>
              <w:rPr>
                <w:rFonts w:eastAsia="Times New Roman" w:cs="Times New Roman"/>
                <w:noProof/>
              </w:rPr>
            </w:pPr>
            <w:r>
              <w:rPr>
                <w:noProof/>
              </w:rPr>
              <w:t>278</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65073E" w:rsidRDefault="000A0998">
            <w:pPr>
              <w:pStyle w:val="P68B1DB1-Normal39"/>
              <w:spacing w:after="0" w:line="240" w:lineRule="auto"/>
              <w:jc w:val="center"/>
              <w:rPr>
                <w:rFonts w:eastAsia="Times New Roman" w:cs="Times New Roman"/>
                <w:noProof/>
              </w:rPr>
            </w:pPr>
            <w:r>
              <w:rPr>
                <w:noProof/>
              </w:rPr>
              <w:t>C18.I1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65073E" w:rsidRDefault="000A0998">
            <w:pPr>
              <w:pStyle w:val="P68B1DB1-Normal39"/>
              <w:spacing w:after="0" w:line="240" w:lineRule="auto"/>
              <w:rPr>
                <w:rFonts w:eastAsia="Times New Roman" w:cs="Times New Roman"/>
                <w:noProof/>
              </w:rPr>
            </w:pPr>
            <w:r>
              <w:rPr>
                <w:noProof/>
              </w:rPr>
              <w:t xml:space="preserve">Laiteinvestointisuunnitelman hyväksyminen ja varojen jakaminen </w:t>
            </w:r>
          </w:p>
        </w:tc>
      </w:tr>
      <w:tr w:rsidR="0065073E" w14:paraId="664D40DD"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65073E" w:rsidRDefault="000A0998">
            <w:pPr>
              <w:pStyle w:val="P68B1DB1-Normal39"/>
              <w:spacing w:after="0" w:line="240" w:lineRule="auto"/>
              <w:jc w:val="center"/>
              <w:rPr>
                <w:rFonts w:eastAsia="Times New Roman" w:cs="Times New Roman"/>
                <w:noProof/>
              </w:rPr>
            </w:pPr>
            <w:r>
              <w:rPr>
                <w:noProof/>
              </w:rPr>
              <w:t>289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65073E" w:rsidRDefault="000A0998">
            <w:pPr>
              <w:pStyle w:val="P68B1DB1-Normal39"/>
              <w:spacing w:after="0" w:line="240" w:lineRule="auto"/>
              <w:jc w:val="center"/>
              <w:rPr>
                <w:rFonts w:eastAsia="Times New Roman" w:cs="Times New Roman"/>
                <w:noProof/>
              </w:rPr>
            </w:pPr>
            <w:r>
              <w:rPr>
                <w:noProof/>
              </w:rPr>
              <w:t>C19.I2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65073E" w:rsidRDefault="000A0998">
            <w:pPr>
              <w:pStyle w:val="P68B1DB1-Normal39"/>
              <w:spacing w:after="0" w:line="240" w:lineRule="auto"/>
              <w:rPr>
                <w:rFonts w:eastAsia="Times New Roman" w:cs="Times New Roman"/>
                <w:noProof/>
              </w:rPr>
            </w:pPr>
            <w:r>
              <w:rPr>
                <w:noProof/>
              </w:rPr>
              <w:t>Ohjelma julkisten ja julkisesti tuettujen koulujen varustamiseksi digitaalisilla välineillä</w:t>
            </w:r>
          </w:p>
        </w:tc>
      </w:tr>
      <w:tr w:rsidR="0065073E" w14:paraId="2535707A"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65073E" w:rsidRDefault="000A0998">
            <w:pPr>
              <w:pStyle w:val="P68B1DB1-Normal39"/>
              <w:spacing w:after="0" w:line="240" w:lineRule="auto"/>
              <w:jc w:val="center"/>
              <w:rPr>
                <w:rFonts w:eastAsia="Times New Roman" w:cs="Times New Roman"/>
                <w:noProof/>
              </w:rPr>
            </w:pPr>
            <w:r>
              <w:rPr>
                <w:noProof/>
              </w:rPr>
              <w:t>306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65073E" w:rsidRDefault="000A0998">
            <w:pPr>
              <w:pStyle w:val="P68B1DB1-Normal39"/>
              <w:spacing w:after="0" w:line="240" w:lineRule="auto"/>
              <w:jc w:val="center"/>
              <w:rPr>
                <w:rFonts w:eastAsia="Times New Roman" w:cs="Times New Roman"/>
                <w:noProof/>
              </w:rPr>
            </w:pPr>
            <w:r>
              <w:rPr>
                <w:noProof/>
              </w:rPr>
              <w:t>C21.R3</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65073E" w:rsidRDefault="000A0998">
            <w:pPr>
              <w:pStyle w:val="P68B1DB1-Normal39"/>
              <w:spacing w:after="0" w:line="240" w:lineRule="auto"/>
              <w:rPr>
                <w:rFonts w:eastAsia="Times New Roman" w:cs="Times New Roman"/>
                <w:noProof/>
              </w:rPr>
            </w:pPr>
            <w:r>
              <w:rPr>
                <w:noProof/>
              </w:rPr>
              <w:t>Yliopistojen organisaatiota koskevien kuninkaallisten asetusten voimaantulo</w:t>
            </w:r>
          </w:p>
        </w:tc>
      </w:tr>
      <w:tr w:rsidR="0065073E" w14:paraId="3FB31BA1"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65073E" w:rsidRDefault="000A0998">
            <w:pPr>
              <w:pStyle w:val="P68B1DB1-Normal39"/>
              <w:spacing w:after="0" w:line="240" w:lineRule="auto"/>
              <w:jc w:val="center"/>
              <w:rPr>
                <w:rFonts w:eastAsia="Times New Roman" w:cs="Times New Roman"/>
                <w:noProof/>
              </w:rPr>
            </w:pPr>
            <w:r>
              <w:rPr>
                <w:noProof/>
              </w:rPr>
              <w:t>331</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65073E" w:rsidRDefault="000A0998">
            <w:pPr>
              <w:pStyle w:val="P68B1DB1-Normal39"/>
              <w:spacing w:after="0" w:line="240" w:lineRule="auto"/>
              <w:jc w:val="center"/>
              <w:rPr>
                <w:rFonts w:eastAsia="Times New Roman" w:cs="Times New Roman"/>
                <w:noProof/>
              </w:rPr>
            </w:pPr>
            <w:r>
              <w:rPr>
                <w:noProof/>
              </w:rPr>
              <w:t>C23.R3</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65073E" w:rsidRDefault="000A0998">
            <w:pPr>
              <w:pStyle w:val="P68B1DB1-Normal39"/>
              <w:spacing w:after="0" w:line="240" w:lineRule="auto"/>
              <w:rPr>
                <w:rFonts w:eastAsia="Times New Roman" w:cs="Times New Roman"/>
                <w:noProof/>
              </w:rPr>
            </w:pPr>
            <w:r>
              <w:rPr>
                <w:noProof/>
              </w:rPr>
              <w:t>Teknisin keinoin kolmansille osapuolille jakelua harjoittavien työntekijöiden suojelusta annetun kuninkaan asetuksen voimaantulo</w:t>
            </w:r>
          </w:p>
        </w:tc>
      </w:tr>
      <w:tr w:rsidR="0065073E" w14:paraId="15080A9A"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65073E" w:rsidRDefault="000A0998">
            <w:pPr>
              <w:pStyle w:val="P68B1DB1-Normal39"/>
              <w:spacing w:after="0" w:line="240" w:lineRule="auto"/>
              <w:jc w:val="center"/>
              <w:rPr>
                <w:rFonts w:eastAsia="Times New Roman" w:cs="Times New Roman"/>
                <w:noProof/>
              </w:rPr>
            </w:pPr>
            <w:r>
              <w:rPr>
                <w:noProof/>
              </w:rPr>
              <w:t>332</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65073E" w:rsidRDefault="000A0998">
            <w:pPr>
              <w:pStyle w:val="P68B1DB1-Normal39"/>
              <w:spacing w:after="0" w:line="240" w:lineRule="auto"/>
              <w:jc w:val="center"/>
              <w:rPr>
                <w:rFonts w:eastAsia="Times New Roman" w:cs="Times New Roman"/>
                <w:noProof/>
              </w:rPr>
            </w:pPr>
            <w:r>
              <w:rPr>
                <w:noProof/>
              </w:rPr>
              <w:t>C23.R4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65073E" w:rsidRDefault="000A0998">
            <w:pPr>
              <w:pStyle w:val="P68B1DB1-Normal39"/>
              <w:spacing w:after="0" w:line="240" w:lineRule="auto"/>
              <w:rPr>
                <w:rFonts w:eastAsia="Times New Roman" w:cs="Times New Roman"/>
                <w:noProof/>
              </w:rPr>
            </w:pPr>
            <w:r>
              <w:rPr>
                <w:noProof/>
              </w:rPr>
              <w:t>Työntekijöiden asemaa koskevien sääntöjen muuttaminen siten, että tuetaan tilapäisten työsuhteiden vähentämistä yksinkertaistamalla sopimustyyppien määrää</w:t>
            </w:r>
          </w:p>
        </w:tc>
      </w:tr>
      <w:tr w:rsidR="0065073E" w14:paraId="62C886C0"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65073E" w:rsidRDefault="000A0998">
            <w:pPr>
              <w:pStyle w:val="P68B1DB1-Normal39"/>
              <w:spacing w:after="0" w:line="240" w:lineRule="auto"/>
              <w:jc w:val="center"/>
              <w:rPr>
                <w:rFonts w:eastAsia="Times New Roman" w:cs="Times New Roman"/>
                <w:noProof/>
              </w:rPr>
            </w:pPr>
            <w:r>
              <w:rPr>
                <w:noProof/>
              </w:rPr>
              <w:t>334</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65073E" w:rsidRDefault="000A0998">
            <w:pPr>
              <w:pStyle w:val="P68B1DB1-Normal39"/>
              <w:spacing w:after="0" w:line="240" w:lineRule="auto"/>
              <w:jc w:val="center"/>
              <w:rPr>
                <w:rFonts w:eastAsia="Times New Roman" w:cs="Times New Roman"/>
                <w:noProof/>
              </w:rPr>
            </w:pPr>
            <w:r>
              <w:rPr>
                <w:noProof/>
              </w:rPr>
              <w:t>C23.R5</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65073E" w:rsidRDefault="000A0998">
            <w:pPr>
              <w:pStyle w:val="P68B1DB1-Normal39"/>
              <w:spacing w:after="0" w:line="240" w:lineRule="auto"/>
              <w:rPr>
                <w:rFonts w:eastAsia="Times New Roman" w:cs="Times New Roman"/>
                <w:noProof/>
              </w:rPr>
            </w:pPr>
            <w:r>
              <w:rPr>
                <w:noProof/>
              </w:rPr>
              <w:t>Kuninkaan asetus Espanjan uudesta työllisyysstrategiasta 2021–2024</w:t>
            </w:r>
          </w:p>
        </w:tc>
      </w:tr>
      <w:tr w:rsidR="0065073E" w14:paraId="21B068B8"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65073E" w:rsidRDefault="000A0998">
            <w:pPr>
              <w:pStyle w:val="P68B1DB1-Normal39"/>
              <w:spacing w:after="0" w:line="240" w:lineRule="auto"/>
              <w:jc w:val="center"/>
              <w:rPr>
                <w:rFonts w:eastAsia="Times New Roman" w:cs="Times New Roman"/>
                <w:noProof/>
              </w:rPr>
            </w:pPr>
            <w:r>
              <w:rPr>
                <w:noProof/>
              </w:rPr>
              <w:t>336</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65073E" w:rsidRDefault="000A0998">
            <w:pPr>
              <w:pStyle w:val="P68B1DB1-Normal39"/>
              <w:spacing w:after="0" w:line="240" w:lineRule="auto"/>
              <w:jc w:val="center"/>
              <w:rPr>
                <w:rFonts w:eastAsia="Times New Roman" w:cs="Times New Roman"/>
                <w:noProof/>
              </w:rPr>
            </w:pPr>
            <w:r>
              <w:rPr>
                <w:noProof/>
              </w:rPr>
              <w:t>C23.R6</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65073E" w:rsidRDefault="000A0998">
            <w:pPr>
              <w:pStyle w:val="P68B1DB1-Normal39"/>
              <w:spacing w:after="0" w:line="240" w:lineRule="auto"/>
              <w:rPr>
                <w:rFonts w:eastAsia="Times New Roman" w:cs="Times New Roman"/>
                <w:noProof/>
              </w:rPr>
            </w:pPr>
            <w:r>
              <w:rPr>
                <w:noProof/>
              </w:rPr>
              <w:t>Työntekijöiden asemaa koskevien sääntöjen muuttaminen siten, että perustetaan järjestelmä suhdannevaihteluihin ja rakenteellisiin häiriöihin sopeutumiseksi, mukaan lukien järjestelmä, joka tarjoaa yrityksille sisäistä joustavuutta ja vakautta työntekijöille</w:t>
            </w:r>
          </w:p>
        </w:tc>
      </w:tr>
      <w:tr w:rsidR="0065073E" w14:paraId="2D2B0382"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65073E" w:rsidRDefault="000A0998">
            <w:pPr>
              <w:pStyle w:val="P68B1DB1-Normal39"/>
              <w:spacing w:after="0" w:line="240" w:lineRule="auto"/>
              <w:jc w:val="center"/>
              <w:rPr>
                <w:rFonts w:eastAsia="Times New Roman" w:cs="Times New Roman"/>
                <w:noProof/>
              </w:rPr>
            </w:pPr>
            <w:r>
              <w:rPr>
                <w:noProof/>
              </w:rPr>
              <w:t>338</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65073E" w:rsidRDefault="000A0998">
            <w:pPr>
              <w:pStyle w:val="P68B1DB1-Normal39"/>
              <w:spacing w:after="0" w:line="240" w:lineRule="auto"/>
              <w:jc w:val="center"/>
              <w:rPr>
                <w:rFonts w:eastAsia="Times New Roman" w:cs="Times New Roman"/>
                <w:noProof/>
              </w:rPr>
            </w:pPr>
            <w:r>
              <w:rPr>
                <w:noProof/>
              </w:rPr>
              <w:t>C23.R8</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65073E" w:rsidRDefault="000A0998">
            <w:pPr>
              <w:pStyle w:val="P68B1DB1-Normal39"/>
              <w:spacing w:after="0" w:line="240" w:lineRule="auto"/>
              <w:rPr>
                <w:rFonts w:eastAsia="Times New Roman" w:cs="Times New Roman"/>
                <w:noProof/>
              </w:rPr>
            </w:pPr>
            <w:r>
              <w:rPr>
                <w:noProof/>
              </w:rPr>
              <w:t xml:space="preserve">Työntekijöiden asemaa koskevien sääntöjen muuttaminen työehtosopimusneuvotteluja koskevien oikeudellisten sääntöjen parantamiseksi </w:t>
            </w:r>
          </w:p>
        </w:tc>
      </w:tr>
      <w:tr w:rsidR="0065073E" w14:paraId="11FCB514"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65073E" w:rsidRDefault="000A0998">
            <w:pPr>
              <w:pStyle w:val="P68B1DB1-Normal39"/>
              <w:spacing w:after="0" w:line="240" w:lineRule="auto"/>
              <w:jc w:val="center"/>
              <w:rPr>
                <w:rFonts w:eastAsia="Times New Roman" w:cs="Times New Roman"/>
                <w:noProof/>
              </w:rPr>
            </w:pPr>
            <w:r>
              <w:rPr>
                <w:noProof/>
              </w:rPr>
              <w:t>339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65073E" w:rsidRDefault="000A0998">
            <w:pPr>
              <w:pStyle w:val="P68B1DB1-Normal39"/>
              <w:spacing w:after="0" w:line="240" w:lineRule="auto"/>
              <w:jc w:val="center"/>
              <w:rPr>
                <w:rFonts w:eastAsia="Times New Roman" w:cs="Times New Roman"/>
                <w:noProof/>
              </w:rPr>
            </w:pPr>
            <w:r>
              <w:rPr>
                <w:noProof/>
              </w:rPr>
              <w:t>C23.R9</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65073E" w:rsidRDefault="000A0998">
            <w:pPr>
              <w:pStyle w:val="P68B1DB1-Normal39"/>
              <w:spacing w:after="0" w:line="240" w:lineRule="auto"/>
              <w:rPr>
                <w:rFonts w:eastAsia="Times New Roman" w:cs="Times New Roman"/>
                <w:noProof/>
              </w:rPr>
            </w:pPr>
            <w:r>
              <w:rPr>
                <w:noProof/>
              </w:rPr>
              <w:t>Työntekijöiden asemaa koskevien sääntöjen muuttaminen alihankintana toimivissa yrityksissä työskentelevien henkilöiden oikeuksien parantamiseksi</w:t>
            </w:r>
          </w:p>
        </w:tc>
      </w:tr>
      <w:tr w:rsidR="0065073E" w14:paraId="6171C868"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65073E" w:rsidRDefault="000A0998">
            <w:pPr>
              <w:pStyle w:val="P68B1DB1-Normal39"/>
              <w:spacing w:after="0" w:line="240" w:lineRule="auto"/>
              <w:jc w:val="center"/>
              <w:rPr>
                <w:rFonts w:eastAsia="Times New Roman" w:cs="Times New Roman"/>
                <w:noProof/>
              </w:rPr>
            </w:pPr>
            <w:r>
              <w:rPr>
                <w:noProof/>
              </w:rPr>
              <w:t>345</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65073E" w:rsidRDefault="000A0998">
            <w:pPr>
              <w:pStyle w:val="P68B1DB1-Normal39"/>
              <w:spacing w:after="0" w:line="240" w:lineRule="auto"/>
              <w:jc w:val="center"/>
              <w:rPr>
                <w:rFonts w:eastAsia="Times New Roman" w:cs="Times New Roman"/>
                <w:noProof/>
              </w:rPr>
            </w:pPr>
            <w:r>
              <w:rPr>
                <w:noProof/>
              </w:rPr>
              <w:t>C23.I4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65073E" w:rsidRDefault="000A0998">
            <w:pPr>
              <w:pStyle w:val="P68B1DB1-Normal39"/>
              <w:spacing w:after="0" w:line="240" w:lineRule="auto"/>
              <w:rPr>
                <w:rFonts w:eastAsia="Times New Roman" w:cs="Times New Roman"/>
                <w:noProof/>
              </w:rPr>
            </w:pPr>
            <w:r>
              <w:rPr>
                <w:noProof/>
              </w:rPr>
              <w:t xml:space="preserve">Haavoittuville ryhmille, yrittäjyydelle ja mikroyrityksille suunnattuihin alueellisiin hankkeisiin myönnettävän rahoituksen hyväksyminen. </w:t>
            </w:r>
          </w:p>
        </w:tc>
      </w:tr>
      <w:tr w:rsidR="0065073E" w14:paraId="7D5A64A0"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65073E" w:rsidRDefault="000A0998">
            <w:pPr>
              <w:pStyle w:val="P68B1DB1-Normal39"/>
              <w:spacing w:after="0" w:line="240" w:lineRule="auto"/>
              <w:jc w:val="center"/>
              <w:rPr>
                <w:rFonts w:eastAsia="Times New Roman" w:cs="Times New Roman"/>
                <w:noProof/>
              </w:rPr>
            </w:pPr>
            <w:r>
              <w:rPr>
                <w:noProof/>
              </w:rPr>
              <w:t>378</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65073E" w:rsidRDefault="000A0998">
            <w:pPr>
              <w:pStyle w:val="P68B1DB1-Normal39"/>
              <w:spacing w:after="0" w:line="240" w:lineRule="auto"/>
              <w:jc w:val="center"/>
              <w:rPr>
                <w:rFonts w:eastAsia="Times New Roman" w:cs="Times New Roman"/>
                <w:noProof/>
              </w:rPr>
            </w:pPr>
            <w:r>
              <w:rPr>
                <w:noProof/>
              </w:rPr>
              <w:t>C27.R2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65073E" w:rsidRDefault="000A0998">
            <w:pPr>
              <w:pStyle w:val="P68B1DB1-Normal39"/>
              <w:spacing w:after="0" w:line="240" w:lineRule="auto"/>
              <w:rPr>
                <w:rFonts w:eastAsia="Times New Roman" w:cs="Times New Roman"/>
                <w:noProof/>
              </w:rPr>
            </w:pPr>
            <w:r>
              <w:rPr>
                <w:noProof/>
              </w:rPr>
              <w:t>Verohallinnon nykyaikaistaminen – Verohallinnon henkilöstön määrä</w:t>
            </w:r>
          </w:p>
        </w:tc>
      </w:tr>
      <w:tr w:rsidR="0065073E" w14:paraId="399D84E0"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65073E" w:rsidRDefault="000A0998">
            <w:pPr>
              <w:pStyle w:val="P68B1DB1-Normal39"/>
              <w:spacing w:after="0" w:line="240" w:lineRule="auto"/>
              <w:jc w:val="center"/>
              <w:rPr>
                <w:rFonts w:eastAsia="Times New Roman" w:cs="Times New Roman"/>
                <w:noProof/>
              </w:rPr>
            </w:pPr>
            <w:r>
              <w:rPr>
                <w:noProof/>
              </w:rPr>
              <w:t>379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65073E" w:rsidRDefault="000A0998">
            <w:pPr>
              <w:pStyle w:val="P68B1DB1-Normal39"/>
              <w:spacing w:after="0" w:line="240" w:lineRule="auto"/>
              <w:jc w:val="center"/>
              <w:rPr>
                <w:rFonts w:eastAsia="Times New Roman" w:cs="Times New Roman"/>
                <w:noProof/>
              </w:rPr>
            </w:pPr>
            <w:r>
              <w:rPr>
                <w:noProof/>
              </w:rPr>
              <w:t>C27.R2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65073E" w:rsidRDefault="000A0998">
            <w:pPr>
              <w:pStyle w:val="P68B1DB1-Normal39"/>
              <w:spacing w:after="0" w:line="240" w:lineRule="auto"/>
              <w:rPr>
                <w:rFonts w:eastAsia="Times New Roman" w:cs="Times New Roman"/>
                <w:noProof/>
              </w:rPr>
            </w:pPr>
            <w:r>
              <w:rPr>
                <w:noProof/>
              </w:rPr>
              <w:t>Veroviraston nykyaikaistaminen – Verotutkimukset</w:t>
            </w:r>
          </w:p>
        </w:tc>
      </w:tr>
      <w:tr w:rsidR="0065073E" w14:paraId="6102C70A"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65073E" w:rsidRDefault="000A0998">
            <w:pPr>
              <w:pStyle w:val="P68B1DB1-Normal39"/>
              <w:spacing w:after="0" w:line="240" w:lineRule="auto"/>
              <w:jc w:val="center"/>
              <w:rPr>
                <w:rFonts w:eastAsia="Times New Roman" w:cs="Times New Roman"/>
                <w:noProof/>
              </w:rPr>
            </w:pPr>
            <w:r>
              <w:rPr>
                <w:noProof/>
              </w:rPr>
              <w:t>380</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65073E" w:rsidRDefault="000A0998">
            <w:pPr>
              <w:pStyle w:val="P68B1DB1-Normal39"/>
              <w:spacing w:after="0" w:line="240" w:lineRule="auto"/>
              <w:jc w:val="center"/>
              <w:rPr>
                <w:rFonts w:eastAsia="Times New Roman" w:cs="Times New Roman"/>
                <w:noProof/>
              </w:rPr>
            </w:pPr>
            <w:r>
              <w:rPr>
                <w:noProof/>
              </w:rPr>
              <w:t>C27.R3</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65073E" w:rsidRDefault="000A0998">
            <w:pPr>
              <w:pStyle w:val="P68B1DB1-Normal39"/>
              <w:spacing w:after="0" w:line="240" w:lineRule="auto"/>
              <w:rPr>
                <w:rFonts w:eastAsia="Times New Roman" w:cs="Times New Roman"/>
                <w:noProof/>
              </w:rPr>
            </w:pPr>
            <w:r>
              <w:rPr>
                <w:noProof/>
              </w:rPr>
              <w:t>Tehostetun avun toimittaminen veronmaksajille – Sociedades Web päivitetty ja saatavilla vähintään 1666123 verovelvolliselle.</w:t>
            </w:r>
          </w:p>
        </w:tc>
      </w:tr>
      <w:tr w:rsidR="0065073E" w14:paraId="7F48A702"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65073E" w:rsidRDefault="000A0998">
            <w:pPr>
              <w:pStyle w:val="P68B1DB1-Normal39"/>
              <w:spacing w:after="0" w:line="240" w:lineRule="auto"/>
              <w:jc w:val="center"/>
              <w:rPr>
                <w:rFonts w:eastAsia="Times New Roman" w:cs="Times New Roman"/>
                <w:noProof/>
              </w:rPr>
            </w:pPr>
            <w:r>
              <w:rPr>
                <w:noProof/>
              </w:rPr>
              <w:t>381</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65073E" w:rsidRDefault="000A0998">
            <w:pPr>
              <w:pStyle w:val="P68B1DB1-Normal39"/>
              <w:spacing w:after="0" w:line="240" w:lineRule="auto"/>
              <w:jc w:val="center"/>
              <w:rPr>
                <w:rFonts w:eastAsia="Times New Roman" w:cs="Times New Roman"/>
                <w:noProof/>
              </w:rPr>
            </w:pPr>
            <w:r>
              <w:rPr>
                <w:noProof/>
              </w:rPr>
              <w:t>C27.R3</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65073E" w:rsidRDefault="000A0998">
            <w:pPr>
              <w:pStyle w:val="P68B1DB1-Normal39"/>
              <w:spacing w:after="0" w:line="240" w:lineRule="auto"/>
              <w:rPr>
                <w:rFonts w:eastAsia="Times New Roman" w:cs="Times New Roman"/>
                <w:noProof/>
              </w:rPr>
            </w:pPr>
            <w:r>
              <w:rPr>
                <w:noProof/>
              </w:rPr>
              <w:t>Tehostetun avun toimittaminen veronmaksajille – Renta Web päivitetty ja saatavilla vähintään 1779505 verovelvolliselle</w:t>
            </w:r>
          </w:p>
        </w:tc>
      </w:tr>
      <w:tr w:rsidR="0065073E" w14:paraId="5D1E0B56"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65073E" w:rsidRDefault="000A0998">
            <w:pPr>
              <w:pStyle w:val="P68B1DB1-Normal39"/>
              <w:spacing w:after="0" w:line="240" w:lineRule="auto"/>
              <w:jc w:val="center"/>
              <w:rPr>
                <w:rFonts w:eastAsia="Times New Roman" w:cs="Times New Roman"/>
                <w:noProof/>
              </w:rPr>
            </w:pPr>
            <w:r>
              <w:rPr>
                <w:noProof/>
              </w:rPr>
              <w:t>383</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65073E" w:rsidRDefault="000A0998">
            <w:pPr>
              <w:pStyle w:val="P68B1DB1-Normal39"/>
              <w:spacing w:after="0" w:line="240" w:lineRule="auto"/>
              <w:jc w:val="center"/>
              <w:rPr>
                <w:rFonts w:eastAsia="Times New Roman" w:cs="Times New Roman"/>
                <w:noProof/>
              </w:rPr>
            </w:pPr>
            <w:r>
              <w:rPr>
                <w:noProof/>
              </w:rPr>
              <w:t>C27.R4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65073E" w:rsidRDefault="000A0998">
            <w:pPr>
              <w:pStyle w:val="P68B1DB1-Normal39"/>
              <w:spacing w:after="0" w:line="240" w:lineRule="auto"/>
              <w:rPr>
                <w:rFonts w:eastAsia="Times New Roman" w:cs="Times New Roman"/>
                <w:noProof/>
              </w:rPr>
            </w:pPr>
            <w:r>
              <w:rPr>
                <w:noProof/>
              </w:rPr>
              <w:t xml:space="preserve">Kansainvälinen ulottuvuus – tunnistetut ulkomaiset verovelvolliset </w:t>
            </w:r>
          </w:p>
        </w:tc>
      </w:tr>
      <w:tr w:rsidR="0065073E" w14:paraId="11B29C5D"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65073E" w:rsidRDefault="000A0998">
            <w:pPr>
              <w:pStyle w:val="P68B1DB1-Normal39"/>
              <w:spacing w:after="0" w:line="240" w:lineRule="auto"/>
              <w:jc w:val="center"/>
              <w:rPr>
                <w:rFonts w:eastAsia="Times New Roman" w:cs="Times New Roman"/>
                <w:noProof/>
              </w:rPr>
            </w:pPr>
            <w:r>
              <w:rPr>
                <w:noProof/>
              </w:rPr>
              <w:t>384</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65073E" w:rsidRDefault="000A0998">
            <w:pPr>
              <w:pStyle w:val="P68B1DB1-Normal39"/>
              <w:spacing w:after="0" w:line="240" w:lineRule="auto"/>
              <w:jc w:val="center"/>
              <w:rPr>
                <w:rFonts w:eastAsia="Times New Roman" w:cs="Times New Roman"/>
                <w:noProof/>
              </w:rPr>
            </w:pPr>
            <w:r>
              <w:rPr>
                <w:noProof/>
              </w:rPr>
              <w:t>C27.R5</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65073E" w:rsidRDefault="000A0998">
            <w:pPr>
              <w:pStyle w:val="P68B1DB1-Normal39"/>
              <w:spacing w:after="0" w:line="240" w:lineRule="auto"/>
              <w:jc w:val="center"/>
              <w:rPr>
                <w:rFonts w:eastAsia="Times New Roman" w:cs="Times New Roman"/>
                <w:noProof/>
              </w:rPr>
            </w:pPr>
            <w:r>
              <w:rPr>
                <w:noProof/>
              </w:rPr>
              <w:t>T</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65073E" w:rsidRDefault="000A0998">
            <w:pPr>
              <w:pStyle w:val="P68B1DB1-Normal39"/>
              <w:spacing w:after="0" w:line="240" w:lineRule="auto"/>
              <w:rPr>
                <w:rFonts w:eastAsia="Times New Roman" w:cs="Times New Roman"/>
                <w:noProof/>
              </w:rPr>
            </w:pPr>
            <w:r>
              <w:rPr>
                <w:noProof/>
              </w:rPr>
              <w:t>Yhteistyömalli – Avoimuusraportit</w:t>
            </w:r>
          </w:p>
        </w:tc>
      </w:tr>
      <w:tr w:rsidR="0065073E" w14:paraId="410E88F6"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65073E" w:rsidRDefault="000A0998">
            <w:pPr>
              <w:pStyle w:val="P68B1DB1-Normal39"/>
              <w:spacing w:after="0" w:line="240" w:lineRule="auto"/>
              <w:jc w:val="center"/>
              <w:rPr>
                <w:rFonts w:eastAsia="Times New Roman" w:cs="Times New Roman"/>
                <w:noProof/>
              </w:rPr>
            </w:pPr>
            <w:r>
              <w:rPr>
                <w:noProof/>
              </w:rPr>
              <w:t>389</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65073E" w:rsidRDefault="000A0998">
            <w:pPr>
              <w:pStyle w:val="P68B1DB1-Normal39"/>
              <w:spacing w:after="0" w:line="240" w:lineRule="auto"/>
              <w:jc w:val="center"/>
              <w:rPr>
                <w:rFonts w:eastAsia="Times New Roman" w:cs="Times New Roman"/>
                <w:noProof/>
              </w:rPr>
            </w:pPr>
            <w:r>
              <w:rPr>
                <w:noProof/>
              </w:rPr>
              <w:t>C28.R4</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65073E" w:rsidRDefault="000A0998">
            <w:pPr>
              <w:pStyle w:val="P68B1DB1-Normal39"/>
              <w:spacing w:after="0" w:line="240" w:lineRule="auto"/>
              <w:rPr>
                <w:rFonts w:eastAsia="Times New Roman" w:cs="Times New Roman"/>
                <w:noProof/>
              </w:rPr>
            </w:pPr>
            <w:r>
              <w:rPr>
                <w:noProof/>
              </w:rPr>
              <w:t>Kertakäyttömuovien ja -jätteiden verot</w:t>
            </w:r>
          </w:p>
        </w:tc>
      </w:tr>
      <w:tr w:rsidR="0065073E" w14:paraId="1405C776"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65073E" w:rsidRDefault="000A0998">
            <w:pPr>
              <w:pStyle w:val="P68B1DB1-Normal39"/>
              <w:spacing w:after="0" w:line="240" w:lineRule="auto"/>
              <w:jc w:val="center"/>
              <w:rPr>
                <w:rFonts w:eastAsia="Times New Roman" w:cs="Times New Roman"/>
                <w:noProof/>
              </w:rPr>
            </w:pPr>
            <w:r>
              <w:rPr>
                <w:noProof/>
              </w:rPr>
              <w:t>400</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65073E" w:rsidRDefault="000A0998">
            <w:pPr>
              <w:pStyle w:val="P68B1DB1-Normal39"/>
              <w:spacing w:after="0" w:line="240" w:lineRule="auto"/>
              <w:jc w:val="center"/>
              <w:rPr>
                <w:rFonts w:eastAsia="Times New Roman" w:cs="Times New Roman"/>
                <w:noProof/>
              </w:rPr>
            </w:pPr>
            <w:r>
              <w:rPr>
                <w:noProof/>
              </w:rPr>
              <w:t>C29.R1</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65073E" w:rsidRDefault="000A0998">
            <w:pPr>
              <w:pStyle w:val="P68B1DB1-Normal39"/>
              <w:spacing w:after="0" w:line="240" w:lineRule="auto"/>
              <w:rPr>
                <w:rFonts w:eastAsia="Times New Roman" w:cs="Times New Roman"/>
                <w:noProof/>
              </w:rPr>
            </w:pPr>
            <w:r>
              <w:rPr>
                <w:noProof/>
              </w:rPr>
              <w:t>Ministerineuvosto hyväksyy AIReF:n tehtäväksi annettavat menojen uudelleenarvioinnit (2022–26).</w:t>
            </w:r>
          </w:p>
        </w:tc>
      </w:tr>
      <w:tr w:rsidR="0065073E" w14:paraId="32948522"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65073E" w:rsidRDefault="000A0998">
            <w:pPr>
              <w:pStyle w:val="P68B1DB1-Normal39"/>
              <w:spacing w:after="0" w:line="240" w:lineRule="auto"/>
              <w:jc w:val="center"/>
              <w:rPr>
                <w:rFonts w:eastAsia="Times New Roman" w:cs="Times New Roman"/>
                <w:noProof/>
              </w:rPr>
            </w:pPr>
            <w:r>
              <w:rPr>
                <w:noProof/>
              </w:rPr>
              <w:t>403</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65073E" w:rsidRDefault="000A0998">
            <w:pPr>
              <w:pStyle w:val="P68B1DB1-Normal39"/>
              <w:spacing w:after="0" w:line="240" w:lineRule="auto"/>
              <w:jc w:val="center"/>
              <w:rPr>
                <w:rFonts w:eastAsia="Times New Roman" w:cs="Times New Roman"/>
                <w:noProof/>
              </w:rPr>
            </w:pPr>
            <w:r>
              <w:rPr>
                <w:noProof/>
              </w:rPr>
              <w:t>C29.R2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65073E" w:rsidRDefault="000A0998">
            <w:pPr>
              <w:pStyle w:val="P68B1DB1-Normal39"/>
              <w:spacing w:after="0" w:line="240" w:lineRule="auto"/>
              <w:rPr>
                <w:rFonts w:eastAsia="Times New Roman" w:cs="Times New Roman"/>
                <w:noProof/>
              </w:rPr>
            </w:pPr>
            <w:r>
              <w:rPr>
                <w:noProof/>
              </w:rPr>
              <w:t>Kertomus talousarvion yhdenmukaistamisesta kestävän kehityksen tavoitteiden kanssa</w:t>
            </w:r>
          </w:p>
        </w:tc>
      </w:tr>
      <w:tr w:rsidR="0065073E" w14:paraId="49B99F65"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65073E" w:rsidRDefault="000A0998">
            <w:pPr>
              <w:pStyle w:val="P68B1DB1-Normal39"/>
              <w:spacing w:after="0" w:line="240" w:lineRule="auto"/>
              <w:jc w:val="center"/>
              <w:rPr>
                <w:rFonts w:eastAsia="Times New Roman" w:cs="Times New Roman"/>
                <w:noProof/>
              </w:rPr>
            </w:pPr>
            <w:r>
              <w:rPr>
                <w:noProof/>
              </w:rPr>
              <w:t>407</w:t>
            </w: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65073E" w:rsidRDefault="000A0998">
            <w:pPr>
              <w:pStyle w:val="P68B1DB1-Normal39"/>
              <w:spacing w:after="0" w:line="240" w:lineRule="auto"/>
              <w:jc w:val="center"/>
              <w:rPr>
                <w:rFonts w:eastAsia="Times New Roman" w:cs="Times New Roman"/>
                <w:noProof/>
              </w:rPr>
            </w:pPr>
            <w:r>
              <w:rPr>
                <w:noProof/>
              </w:rPr>
              <w:t>C30.R2</w:t>
            </w:r>
          </w:p>
        </w:tc>
        <w:tc>
          <w:tcPr>
            <w:tcW w:w="1139"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65073E" w:rsidRDefault="000A0998">
            <w:pPr>
              <w:pStyle w:val="P68B1DB1-Normal39"/>
              <w:spacing w:after="0" w:line="240" w:lineRule="auto"/>
              <w:jc w:val="center"/>
              <w:rPr>
                <w:rFonts w:eastAsia="Times New Roman" w:cs="Times New Roman"/>
                <w:noProof/>
              </w:rPr>
            </w:pPr>
            <w:r>
              <w:rPr>
                <w:noProof/>
              </w:rPr>
              <w:t>M</w:t>
            </w:r>
          </w:p>
        </w:tc>
        <w:tc>
          <w:tcPr>
            <w:tcW w:w="6082"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65073E" w:rsidRDefault="000A0998">
            <w:pPr>
              <w:pStyle w:val="P68B1DB1-Normal39"/>
              <w:spacing w:after="0" w:line="240" w:lineRule="auto"/>
              <w:rPr>
                <w:rFonts w:eastAsia="Times New Roman" w:cs="Times New Roman"/>
                <w:noProof/>
              </w:rPr>
            </w:pPr>
            <w:r>
              <w:rPr>
                <w:noProof/>
              </w:rPr>
              <w:t>Eläkkeiden ostovoiman säilyttäminen sekä todellisen eläkeiän ja lakisääteisen eläkeiän yhdenmukaistaminen</w:t>
            </w:r>
          </w:p>
        </w:tc>
      </w:tr>
      <w:tr w:rsidR="0065073E" w14:paraId="45708A50" w14:textId="77777777">
        <w:trPr>
          <w:trHeight w:val="302"/>
        </w:trPr>
        <w:tc>
          <w:tcPr>
            <w:tcW w:w="126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65073E" w:rsidRDefault="0065073E">
            <w:pPr>
              <w:spacing w:after="0" w:line="240" w:lineRule="auto"/>
              <w:jc w:val="center"/>
              <w:rPr>
                <w:rFonts w:ascii="Times New Roman" w:eastAsia="Times New Roman" w:hAnsi="Times New Roman" w:cs="Times New Roman"/>
                <w:noProof/>
                <w:sz w:val="20"/>
              </w:rPr>
            </w:pPr>
          </w:p>
        </w:tc>
        <w:tc>
          <w:tcPr>
            <w:tcW w:w="1405"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65073E" w:rsidRDefault="0065073E">
            <w:pPr>
              <w:spacing w:after="0" w:line="240" w:lineRule="auto"/>
              <w:jc w:val="center"/>
              <w:rPr>
                <w:rFonts w:ascii="Times New Roman" w:eastAsia="Times New Roman" w:hAnsi="Times New Roman" w:cs="Times New Roman"/>
                <w:noProof/>
                <w:sz w:val="20"/>
              </w:rPr>
            </w:pPr>
          </w:p>
        </w:tc>
        <w:tc>
          <w:tcPr>
            <w:tcW w:w="1139"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65073E" w:rsidRDefault="000A0998">
            <w:pPr>
              <w:pStyle w:val="P68B1DB1-Normal38"/>
              <w:spacing w:after="0" w:line="240" w:lineRule="auto"/>
              <w:jc w:val="center"/>
              <w:rPr>
                <w:rFonts w:eastAsia="Times New Roman" w:cs="Times New Roman"/>
                <w:noProof/>
              </w:rPr>
            </w:pPr>
            <w:r>
              <w:rPr>
                <w:noProof/>
              </w:rPr>
              <w:t>Maksuerän määrä</w:t>
            </w:r>
          </w:p>
        </w:tc>
        <w:tc>
          <w:tcPr>
            <w:tcW w:w="6082"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65073E" w:rsidRDefault="000A0998">
            <w:pPr>
              <w:pStyle w:val="P68B1DB1-Normal38"/>
              <w:spacing w:after="0" w:line="240" w:lineRule="auto"/>
              <w:rPr>
                <w:rFonts w:eastAsia="Times New Roman" w:cs="Times New Roman"/>
                <w:noProof/>
              </w:rPr>
            </w:pPr>
            <w:r>
              <w:rPr>
                <w:noProof/>
              </w:rPr>
              <w:t>YHTEENSÄ 13793103448 EUROA</w:t>
            </w:r>
          </w:p>
        </w:tc>
      </w:tr>
    </w:tbl>
    <w:p w14:paraId="0976F2B0" w14:textId="77777777" w:rsidR="0065073E" w:rsidRDefault="0065073E">
      <w:pPr>
        <w:spacing w:before="120" w:after="120" w:line="240" w:lineRule="auto"/>
        <w:jc w:val="both"/>
        <w:rPr>
          <w:rFonts w:ascii="Times New Roman" w:eastAsia="Calibri" w:hAnsi="Times New Roman" w:cs="Times New Roman"/>
          <w:noProof/>
          <w:sz w:val="24"/>
        </w:rPr>
      </w:pPr>
    </w:p>
    <w:p w14:paraId="3348F253"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Kolmas vaihe (tuki, jota ei makseta takaisin): </w:t>
      </w:r>
    </w:p>
    <w:tbl>
      <w:tblPr>
        <w:tblW w:w="9663" w:type="dxa"/>
        <w:tblInd w:w="113" w:type="dxa"/>
        <w:tblLook w:val="04A0" w:firstRow="1" w:lastRow="0" w:firstColumn="1" w:lastColumn="0" w:noHBand="0" w:noVBand="1"/>
      </w:tblPr>
      <w:tblGrid>
        <w:gridCol w:w="1247"/>
        <w:gridCol w:w="1383"/>
        <w:gridCol w:w="1707"/>
        <w:gridCol w:w="5405"/>
      </w:tblGrid>
      <w:tr w:rsidR="0065073E" w14:paraId="3EF5B9F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415F646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65073E" w:rsidRDefault="0065073E">
            <w:pPr>
              <w:spacing w:after="0" w:line="240" w:lineRule="auto"/>
              <w:rPr>
                <w:rFonts w:ascii="Times New Roman" w:eastAsia="Times New Roman" w:hAnsi="Times New Roman" w:cs="Times New Roman"/>
                <w:b/>
                <w:noProof/>
                <w:sz w:val="20"/>
              </w:rPr>
            </w:pPr>
          </w:p>
        </w:tc>
      </w:tr>
      <w:tr w:rsidR="0065073E" w14:paraId="304944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65073E" w:rsidRDefault="000A0998">
            <w:pPr>
              <w:pStyle w:val="P68B1DB1-Normal39"/>
              <w:spacing w:after="0" w:line="240" w:lineRule="auto"/>
              <w:jc w:val="center"/>
              <w:rPr>
                <w:rFonts w:eastAsia="Times New Roman" w:cs="Times New Roman"/>
                <w:noProof/>
              </w:rPr>
            </w:pPr>
            <w:r>
              <w:rPr>
                <w:noProof/>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65073E" w:rsidRDefault="000A0998">
            <w:pPr>
              <w:pStyle w:val="P68B1DB1-Normal39"/>
              <w:spacing w:after="0" w:line="240" w:lineRule="auto"/>
              <w:rPr>
                <w:rFonts w:eastAsia="Times New Roman" w:cs="Times New Roman"/>
                <w:noProof/>
              </w:rPr>
            </w:pPr>
            <w:r>
              <w:rPr>
                <w:noProof/>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65073E" w:rsidRDefault="000A0998">
            <w:pPr>
              <w:pStyle w:val="P68B1DB1-Normal39"/>
              <w:spacing w:after="0" w:line="240" w:lineRule="auto"/>
              <w:rPr>
                <w:rFonts w:eastAsia="Times New Roman" w:cs="Times New Roman"/>
                <w:noProof/>
              </w:rPr>
            </w:pPr>
            <w:r>
              <w:rPr>
                <w:noProof/>
              </w:rPr>
              <w:t>Muutokset tekniseen rakennuslakiin (vahvistetaan myöhemmin), pienjännitesähkötekniseen asetukseen (LVER) ja julkisia latauspalveluja koskevan kuninkaan asetuksen hyväksyminen</w:t>
            </w:r>
          </w:p>
        </w:tc>
      </w:tr>
      <w:tr w:rsidR="0065073E" w14:paraId="5EDC68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65073E" w:rsidRDefault="000A0998">
            <w:pPr>
              <w:pStyle w:val="P68B1DB1-Normal39"/>
              <w:spacing w:after="0" w:line="240" w:lineRule="auto"/>
              <w:jc w:val="center"/>
              <w:rPr>
                <w:rFonts w:eastAsia="Times New Roman" w:cs="Times New Roman"/>
                <w:noProof/>
              </w:rPr>
            </w:pPr>
            <w:r>
              <w:rPr>
                <w:noProof/>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65073E" w:rsidRDefault="000A0998">
            <w:pPr>
              <w:pStyle w:val="P68B1DB1-Normal39"/>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65073E" w:rsidRDefault="000A0998">
            <w:pPr>
              <w:pStyle w:val="P68B1DB1-Normal39"/>
              <w:spacing w:after="0" w:line="240" w:lineRule="auto"/>
              <w:rPr>
                <w:rFonts w:eastAsia="Times New Roman" w:cs="Times New Roman"/>
                <w:noProof/>
              </w:rPr>
            </w:pPr>
            <w:r>
              <w:rPr>
                <w:noProof/>
              </w:rPr>
              <w:t xml:space="preserve">Kansallisten kalastusalueiden hoitoa koskevan kuninkaallisen asetuksen voimaantulo </w:t>
            </w:r>
          </w:p>
        </w:tc>
      </w:tr>
      <w:tr w:rsidR="0065073E" w14:paraId="7E0696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65073E" w:rsidRDefault="000A0998">
            <w:pPr>
              <w:pStyle w:val="P68B1DB1-Normal39"/>
              <w:spacing w:after="0" w:line="240" w:lineRule="auto"/>
              <w:jc w:val="center"/>
              <w:rPr>
                <w:rFonts w:eastAsia="Times New Roman" w:cs="Times New Roman"/>
                <w:noProof/>
              </w:rPr>
            </w:pPr>
            <w:r>
              <w:rPr>
                <w:noProof/>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65073E" w:rsidRDefault="000A0998">
            <w:pPr>
              <w:pStyle w:val="P68B1DB1-Normal39"/>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65073E" w:rsidRDefault="000A0998">
            <w:pPr>
              <w:pStyle w:val="P68B1DB1-Normal39"/>
              <w:spacing w:after="0" w:line="240" w:lineRule="auto"/>
              <w:rPr>
                <w:rFonts w:eastAsia="Times New Roman" w:cs="Times New Roman"/>
                <w:noProof/>
              </w:rPr>
            </w:pPr>
            <w:r>
              <w:rPr>
                <w:noProof/>
              </w:rPr>
              <w:t xml:space="preserve">Investointisuunnitelma maatalouden ja karjan kestävyyden ja kilpailukyvyn edistämiseksi </w:t>
            </w:r>
          </w:p>
        </w:tc>
      </w:tr>
      <w:tr w:rsidR="0065073E" w14:paraId="483C79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65073E" w:rsidRDefault="000A0998">
            <w:pPr>
              <w:pStyle w:val="P68B1DB1-Normal39"/>
              <w:spacing w:after="0" w:line="240" w:lineRule="auto"/>
              <w:jc w:val="center"/>
              <w:rPr>
                <w:rFonts w:eastAsia="Times New Roman" w:cs="Times New Roman"/>
                <w:noProof/>
              </w:rPr>
            </w:pPr>
            <w:r>
              <w:rPr>
                <w:noProof/>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65073E" w:rsidRDefault="000A0998">
            <w:pPr>
              <w:pStyle w:val="P68B1DB1-Normal39"/>
              <w:spacing w:after="0" w:line="240" w:lineRule="auto"/>
              <w:rPr>
                <w:rFonts w:eastAsia="Times New Roman" w:cs="Times New Roman"/>
                <w:noProof/>
              </w:rPr>
            </w:pPr>
            <w:r>
              <w:rPr>
                <w:noProof/>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65073E" w:rsidRDefault="000A0998">
            <w:pPr>
              <w:pStyle w:val="P68B1DB1-Normal39"/>
              <w:spacing w:after="0" w:line="240" w:lineRule="auto"/>
              <w:rPr>
                <w:rFonts w:eastAsia="Times New Roman" w:cs="Times New Roman"/>
                <w:noProof/>
              </w:rPr>
            </w:pPr>
            <w:r>
              <w:rPr>
                <w:noProof/>
              </w:rPr>
              <w:t>Akustisten koettimien hankinta kalastusalan tutkimusta varten</w:t>
            </w:r>
          </w:p>
        </w:tc>
      </w:tr>
      <w:tr w:rsidR="0065073E" w14:paraId="197099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65073E" w:rsidRDefault="000A0998">
            <w:pPr>
              <w:pStyle w:val="P68B1DB1-Normal39"/>
              <w:spacing w:after="0" w:line="240" w:lineRule="auto"/>
              <w:jc w:val="center"/>
              <w:rPr>
                <w:rFonts w:eastAsia="Times New Roman" w:cs="Times New Roman"/>
                <w:noProof/>
              </w:rPr>
            </w:pPr>
            <w:r>
              <w:rPr>
                <w:noProof/>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65073E" w:rsidRDefault="000A0998">
            <w:pPr>
              <w:pStyle w:val="P68B1DB1-Normal39"/>
              <w:spacing w:after="0" w:line="240" w:lineRule="auto"/>
              <w:rPr>
                <w:rFonts w:eastAsia="Times New Roman" w:cs="Times New Roman"/>
                <w:noProof/>
              </w:rPr>
            </w:pPr>
            <w:r>
              <w:rPr>
                <w:noProof/>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65073E" w:rsidRDefault="000A0998">
            <w:pPr>
              <w:pStyle w:val="P68B1DB1-Normal39"/>
              <w:spacing w:after="0" w:line="240" w:lineRule="auto"/>
              <w:rPr>
                <w:rFonts w:eastAsia="Times New Roman" w:cs="Times New Roman"/>
                <w:noProof/>
              </w:rPr>
            </w:pPr>
            <w:r>
              <w:rPr>
                <w:noProof/>
              </w:rPr>
              <w:t>Kalastusalan investointihankkeiden rahoittaminen</w:t>
            </w:r>
          </w:p>
        </w:tc>
      </w:tr>
      <w:tr w:rsidR="0065073E" w14:paraId="44AA27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65073E" w:rsidRDefault="000A0998">
            <w:pPr>
              <w:pStyle w:val="P68B1DB1-Normal39"/>
              <w:spacing w:after="0" w:line="240" w:lineRule="auto"/>
              <w:jc w:val="center"/>
              <w:rPr>
                <w:rFonts w:eastAsia="Times New Roman" w:cs="Times New Roman"/>
                <w:noProof/>
              </w:rPr>
            </w:pPr>
            <w:r>
              <w:rPr>
                <w:noProof/>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65073E" w:rsidRDefault="000A0998">
            <w:pPr>
              <w:pStyle w:val="P68B1DB1-Normal39"/>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65073E" w:rsidRDefault="000A0998">
            <w:pPr>
              <w:pStyle w:val="P68B1DB1-Normal39"/>
              <w:spacing w:after="0" w:line="240" w:lineRule="auto"/>
              <w:rPr>
                <w:rFonts w:eastAsia="Times New Roman" w:cs="Times New Roman"/>
                <w:noProof/>
              </w:rPr>
            </w:pPr>
            <w:r>
              <w:rPr>
                <w:noProof/>
              </w:rPr>
              <w:t>Palontorjuntaan tarkoitettuja erikoislentokoneita koskevien hankintasopimusten tekeminen ja biologista monimuotoisuutta koskevan tietämyksen seuranta- ja hallintajärjestelmän perustaminen</w:t>
            </w:r>
          </w:p>
        </w:tc>
      </w:tr>
      <w:tr w:rsidR="0065073E" w14:paraId="724B1D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65073E" w:rsidRDefault="000A0998">
            <w:pPr>
              <w:pStyle w:val="P68B1DB1-Normal39"/>
              <w:spacing w:after="0" w:line="240" w:lineRule="auto"/>
              <w:jc w:val="center"/>
              <w:rPr>
                <w:rFonts w:eastAsia="Times New Roman" w:cs="Times New Roman"/>
                <w:noProof/>
              </w:rPr>
            </w:pPr>
            <w:r>
              <w:rPr>
                <w:noProof/>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65073E" w:rsidRDefault="000A0998">
            <w:pPr>
              <w:pStyle w:val="P68B1DB1-Normal39"/>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65073E" w:rsidRDefault="000A0998">
            <w:pPr>
              <w:pStyle w:val="P68B1DB1-Normal39"/>
              <w:spacing w:after="0" w:line="240" w:lineRule="auto"/>
              <w:rPr>
                <w:rFonts w:eastAsia="Times New Roman" w:cs="Times New Roman"/>
                <w:noProof/>
              </w:rPr>
            </w:pPr>
            <w:r>
              <w:rPr>
                <w:noProof/>
              </w:rPr>
              <w:t xml:space="preserve">Energiayhteisöjä koskeva pilottihanke </w:t>
            </w:r>
          </w:p>
        </w:tc>
      </w:tr>
      <w:tr w:rsidR="0065073E" w14:paraId="6A4DED1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65073E" w:rsidRDefault="000A0998">
            <w:pPr>
              <w:pStyle w:val="P68B1DB1-Normal39"/>
              <w:spacing w:after="0" w:line="240" w:lineRule="auto"/>
              <w:jc w:val="center"/>
              <w:rPr>
                <w:rFonts w:eastAsia="Times New Roman" w:cs="Times New Roman"/>
                <w:noProof/>
              </w:rPr>
            </w:pPr>
            <w:r>
              <w:rPr>
                <w:noProof/>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65073E" w:rsidRDefault="000A0998">
            <w:pPr>
              <w:pStyle w:val="P68B1DB1-Normal39"/>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65073E" w:rsidRDefault="000A0998">
            <w:pPr>
              <w:pStyle w:val="P68B1DB1-Normal39"/>
              <w:spacing w:after="0" w:line="240" w:lineRule="auto"/>
              <w:rPr>
                <w:rFonts w:eastAsia="Times New Roman" w:cs="Times New Roman"/>
                <w:noProof/>
              </w:rPr>
            </w:pPr>
            <w:r>
              <w:rPr>
                <w:noProof/>
              </w:rPr>
              <w:t>Innovatiivisen tai lisäarvoa tuottavan uusiutuvan kapasiteetin investointitukea koskeva tarjouskilpailu</w:t>
            </w:r>
          </w:p>
        </w:tc>
      </w:tr>
      <w:tr w:rsidR="0065073E" w14:paraId="4DE38C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65073E" w:rsidRDefault="000A0998">
            <w:pPr>
              <w:pStyle w:val="P68B1DB1-Normal39"/>
              <w:spacing w:after="0" w:line="240" w:lineRule="auto"/>
              <w:jc w:val="center"/>
              <w:rPr>
                <w:rFonts w:eastAsia="Times New Roman" w:cs="Times New Roman"/>
                <w:noProof/>
              </w:rPr>
            </w:pPr>
            <w:r>
              <w:rPr>
                <w:noProof/>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65073E" w:rsidRDefault="000A0998">
            <w:pPr>
              <w:pStyle w:val="P68B1DB1-Normal39"/>
              <w:spacing w:after="0" w:line="240" w:lineRule="auto"/>
              <w:rPr>
                <w:rFonts w:eastAsia="Times New Roman" w:cs="Times New Roman"/>
                <w:noProof/>
              </w:rPr>
            </w:pPr>
            <w:r>
              <w:rPr>
                <w:noProof/>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65073E" w:rsidRDefault="000A0998">
            <w:pPr>
              <w:pStyle w:val="P68B1DB1-Normal39"/>
              <w:spacing w:after="0" w:line="240" w:lineRule="auto"/>
              <w:rPr>
                <w:rFonts w:eastAsia="Times New Roman" w:cs="Times New Roman"/>
                <w:noProof/>
              </w:rPr>
            </w:pPr>
            <w:r>
              <w:rPr>
                <w:noProof/>
              </w:rPr>
              <w:t>Sellaisten toimenpiteiden voimaantulo, joilla edistetään sääntelyn testiympäristöjä sähköalan tutkimuksen ja innovoinnin edistämiseksi.</w:t>
            </w:r>
          </w:p>
        </w:tc>
      </w:tr>
      <w:tr w:rsidR="0065073E" w14:paraId="0E23F5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65073E" w:rsidRDefault="000A0998">
            <w:pPr>
              <w:pStyle w:val="P68B1DB1-Normal39"/>
              <w:spacing w:after="0" w:line="240" w:lineRule="auto"/>
              <w:jc w:val="center"/>
              <w:rPr>
                <w:rFonts w:eastAsia="Times New Roman" w:cs="Times New Roman"/>
                <w:noProof/>
              </w:rPr>
            </w:pPr>
            <w:r>
              <w:rPr>
                <w:noProof/>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65073E" w:rsidRDefault="000A0998">
            <w:pPr>
              <w:pStyle w:val="P68B1DB1-Normal39"/>
              <w:spacing w:after="0" w:line="240" w:lineRule="auto"/>
              <w:rPr>
                <w:rFonts w:eastAsia="Times New Roman" w:cs="Times New Roman"/>
                <w:noProof/>
              </w:rPr>
            </w:pPr>
            <w:r>
              <w:rPr>
                <w:noProof/>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65073E" w:rsidRDefault="000A0998">
            <w:pPr>
              <w:pStyle w:val="P68B1DB1-Normal39"/>
              <w:spacing w:after="0" w:line="240" w:lineRule="auto"/>
              <w:rPr>
                <w:rFonts w:eastAsia="Times New Roman" w:cs="Times New Roman"/>
                <w:noProof/>
              </w:rPr>
            </w:pPr>
            <w:r>
              <w:rPr>
                <w:noProof/>
              </w:rPr>
              <w:t>Uusiutuvien kaasujen alkuperätakuita koskevan asetuksen voimaantulo</w:t>
            </w:r>
          </w:p>
        </w:tc>
      </w:tr>
      <w:tr w:rsidR="0065073E" w14:paraId="027EC3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65073E" w:rsidRDefault="000A0998">
            <w:pPr>
              <w:pStyle w:val="P68B1DB1-Normal39"/>
              <w:spacing w:after="0" w:line="240" w:lineRule="auto"/>
              <w:jc w:val="center"/>
              <w:rPr>
                <w:rFonts w:eastAsia="Times New Roman" w:cs="Times New Roman"/>
                <w:noProof/>
              </w:rPr>
            </w:pPr>
            <w:r>
              <w:rPr>
                <w:noProof/>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65073E" w:rsidRDefault="000A0998">
            <w:pPr>
              <w:pStyle w:val="P68B1DB1-Normal39"/>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65073E" w:rsidRDefault="000A0998">
            <w:pPr>
              <w:pStyle w:val="P68B1DB1-Normal39"/>
              <w:spacing w:after="0" w:line="240" w:lineRule="auto"/>
              <w:rPr>
                <w:rFonts w:eastAsia="Times New Roman" w:cs="Times New Roman"/>
                <w:noProof/>
              </w:rPr>
            </w:pPr>
            <w:r>
              <w:rPr>
                <w:noProof/>
              </w:rPr>
              <w:t>Maksukyvyttömyyslain uudistamista koskevan lain voimaantulo</w:t>
            </w:r>
          </w:p>
        </w:tc>
      </w:tr>
      <w:tr w:rsidR="0065073E" w14:paraId="2953DD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65073E" w:rsidRDefault="000A0998">
            <w:pPr>
              <w:pStyle w:val="P68B1DB1-Normal39"/>
              <w:spacing w:after="0" w:line="240" w:lineRule="auto"/>
              <w:jc w:val="center"/>
              <w:rPr>
                <w:rFonts w:eastAsia="Times New Roman" w:cs="Times New Roman"/>
                <w:noProof/>
              </w:rPr>
            </w:pPr>
            <w:r>
              <w:rPr>
                <w:noProof/>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65073E" w:rsidRDefault="000A0998">
            <w:pPr>
              <w:pStyle w:val="P68B1DB1-Normal39"/>
              <w:spacing w:after="0" w:line="240" w:lineRule="auto"/>
              <w:rPr>
                <w:rFonts w:eastAsia="Times New Roman" w:cs="Times New Roman"/>
                <w:noProof/>
              </w:rPr>
            </w:pPr>
            <w:r>
              <w:rPr>
                <w:noProof/>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65073E" w:rsidRDefault="000A0998">
            <w:pPr>
              <w:pStyle w:val="P68B1DB1-Normal39"/>
              <w:spacing w:after="0" w:line="240" w:lineRule="auto"/>
              <w:rPr>
                <w:rFonts w:eastAsia="Times New Roman" w:cs="Times New Roman"/>
                <w:noProof/>
              </w:rPr>
            </w:pPr>
            <w:r>
              <w:rPr>
                <w:noProof/>
              </w:rPr>
              <w:t>Televiestintälain voimaantulo</w:t>
            </w:r>
          </w:p>
        </w:tc>
      </w:tr>
      <w:tr w:rsidR="0065073E" w14:paraId="62FC46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65073E" w:rsidRDefault="000A0998">
            <w:pPr>
              <w:pStyle w:val="P68B1DB1-Normal39"/>
              <w:spacing w:after="0" w:line="240" w:lineRule="auto"/>
              <w:jc w:val="center"/>
              <w:rPr>
                <w:rFonts w:eastAsia="Times New Roman" w:cs="Times New Roman"/>
                <w:noProof/>
              </w:rPr>
            </w:pPr>
            <w:r>
              <w:rPr>
                <w:noProof/>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65073E" w:rsidRDefault="000A0998">
            <w:pPr>
              <w:pStyle w:val="P68B1DB1-Normal39"/>
              <w:spacing w:after="0" w:line="240" w:lineRule="auto"/>
              <w:rPr>
                <w:rFonts w:eastAsia="Times New Roman" w:cs="Times New Roman"/>
                <w:noProof/>
              </w:rPr>
            </w:pPr>
            <w:r>
              <w:rPr>
                <w:noProof/>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65073E" w:rsidRDefault="000A0998">
            <w:pPr>
              <w:pStyle w:val="P68B1DB1-Normal39"/>
              <w:spacing w:after="0" w:line="240" w:lineRule="auto"/>
              <w:rPr>
                <w:rFonts w:eastAsia="Times New Roman" w:cs="Times New Roman"/>
                <w:noProof/>
              </w:rPr>
            </w:pPr>
            <w:r>
              <w:rPr>
                <w:noProof/>
              </w:rPr>
              <w:t>Tieteestä, teknologiasta ja innovoinnista 1. kesäkuuta annetun lain 14/2011 muutos tulee voimaan.</w:t>
            </w:r>
          </w:p>
        </w:tc>
      </w:tr>
      <w:tr w:rsidR="0065073E" w14:paraId="1A935B0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65073E" w:rsidRDefault="000A0998">
            <w:pPr>
              <w:pStyle w:val="P68B1DB1-Normal39"/>
              <w:spacing w:after="0" w:line="240" w:lineRule="auto"/>
              <w:jc w:val="center"/>
              <w:rPr>
                <w:rFonts w:eastAsia="Times New Roman" w:cs="Times New Roman"/>
                <w:noProof/>
              </w:rPr>
            </w:pPr>
            <w:r>
              <w:rPr>
                <w:noProof/>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65073E" w:rsidRDefault="000A0998">
            <w:pPr>
              <w:pStyle w:val="P68B1DB1-Normal39"/>
              <w:spacing w:after="0" w:line="240" w:lineRule="auto"/>
              <w:rPr>
                <w:rFonts w:eastAsia="Times New Roman" w:cs="Times New Roman"/>
                <w:noProof/>
              </w:rPr>
            </w:pPr>
            <w:r>
              <w:rPr>
                <w:noProof/>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65073E" w:rsidRDefault="000A0998">
            <w:pPr>
              <w:pStyle w:val="P68B1DB1-Normal39"/>
              <w:spacing w:after="0" w:line="240" w:lineRule="auto"/>
              <w:rPr>
                <w:rFonts w:eastAsia="Times New Roman" w:cs="Times New Roman"/>
                <w:noProof/>
              </w:rPr>
            </w:pPr>
            <w:r>
              <w:rPr>
                <w:noProof/>
              </w:rPr>
              <w:t xml:space="preserve">Kestävän autoteollisuuden T &amp; K &amp; I-hankkeiden tukeminen </w:t>
            </w:r>
          </w:p>
        </w:tc>
      </w:tr>
      <w:tr w:rsidR="0065073E" w14:paraId="727BAF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65073E" w:rsidRDefault="000A0998">
            <w:pPr>
              <w:pStyle w:val="P68B1DB1-Normal39"/>
              <w:spacing w:after="0" w:line="240" w:lineRule="auto"/>
              <w:jc w:val="center"/>
              <w:rPr>
                <w:rFonts w:eastAsia="Times New Roman" w:cs="Times New Roman"/>
                <w:noProof/>
              </w:rPr>
            </w:pPr>
            <w:r>
              <w:rPr>
                <w:noProof/>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65073E" w:rsidRDefault="000A0998">
            <w:pPr>
              <w:pStyle w:val="P68B1DB1-Normal39"/>
              <w:spacing w:after="0" w:line="240" w:lineRule="auto"/>
              <w:rPr>
                <w:rFonts w:eastAsia="Times New Roman" w:cs="Times New Roman"/>
                <w:noProof/>
              </w:rPr>
            </w:pPr>
            <w:r>
              <w:rPr>
                <w:noProof/>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65073E" w:rsidRDefault="000A0998">
            <w:pPr>
              <w:pStyle w:val="P68B1DB1-Normal39"/>
              <w:spacing w:after="0" w:line="240" w:lineRule="auto"/>
              <w:rPr>
                <w:rFonts w:eastAsia="Times New Roman" w:cs="Times New Roman"/>
                <w:noProof/>
              </w:rPr>
            </w:pPr>
            <w:r>
              <w:rPr>
                <w:noProof/>
              </w:rPr>
              <w:t xml:space="preserve">Espanjan kansanterveysstrategian hyväksyminen </w:t>
            </w:r>
          </w:p>
        </w:tc>
      </w:tr>
      <w:tr w:rsidR="0065073E" w14:paraId="44B0B2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65073E" w:rsidRDefault="000A0998">
            <w:pPr>
              <w:pStyle w:val="P68B1DB1-Normal39"/>
              <w:spacing w:after="0" w:line="240" w:lineRule="auto"/>
              <w:jc w:val="center"/>
              <w:rPr>
                <w:rFonts w:eastAsia="Times New Roman" w:cs="Times New Roman"/>
                <w:noProof/>
              </w:rPr>
            </w:pPr>
            <w:r>
              <w:rPr>
                <w:noProof/>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65073E" w:rsidRDefault="000A0998">
            <w:pPr>
              <w:pStyle w:val="P68B1DB1-Normal39"/>
              <w:spacing w:after="0" w:line="240" w:lineRule="auto"/>
              <w:rPr>
                <w:rFonts w:eastAsia="Times New Roman" w:cs="Times New Roman"/>
                <w:noProof/>
              </w:rPr>
            </w:pPr>
            <w:r>
              <w:rPr>
                <w:noProof/>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65073E" w:rsidRDefault="000A0998">
            <w:pPr>
              <w:pStyle w:val="P68B1DB1-Normal39"/>
              <w:spacing w:after="0" w:line="240" w:lineRule="auto"/>
              <w:rPr>
                <w:rFonts w:eastAsia="Times New Roman" w:cs="Times New Roman"/>
                <w:noProof/>
              </w:rPr>
            </w:pPr>
            <w:r>
              <w:rPr>
                <w:noProof/>
              </w:rPr>
              <w:t>Yhtenäisestä yhdennetystä ammatillisen koulutuksen järjestelmästä annetun lain voimaantulo, jonka tavoitteena on järjestelmän nykyaikaistaminen</w:t>
            </w:r>
          </w:p>
        </w:tc>
      </w:tr>
      <w:tr w:rsidR="0065073E" w14:paraId="705E64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65073E" w:rsidRDefault="000A0998">
            <w:pPr>
              <w:pStyle w:val="P68B1DB1-Normal39"/>
              <w:spacing w:after="0" w:line="240" w:lineRule="auto"/>
              <w:jc w:val="center"/>
              <w:rPr>
                <w:rFonts w:eastAsia="Times New Roman" w:cs="Times New Roman"/>
                <w:noProof/>
              </w:rPr>
            </w:pPr>
            <w:r>
              <w:rPr>
                <w:noProof/>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65073E" w:rsidRDefault="000A0998">
            <w:pPr>
              <w:pStyle w:val="P68B1DB1-Normal39"/>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65073E" w:rsidRDefault="000A0998">
            <w:pPr>
              <w:pStyle w:val="P68B1DB1-Normal39"/>
              <w:spacing w:after="0" w:line="240" w:lineRule="auto"/>
              <w:rPr>
                <w:rFonts w:eastAsia="Times New Roman" w:cs="Times New Roman"/>
                <w:noProof/>
              </w:rPr>
            </w:pPr>
            <w:r>
              <w:rPr>
                <w:noProof/>
              </w:rPr>
              <w:t xml:space="preserve">Opetuksen vähimmäisvaatimuksista annetun kuninkaallisen asetuksen voimaantulo </w:t>
            </w:r>
          </w:p>
        </w:tc>
      </w:tr>
      <w:tr w:rsidR="0065073E" w14:paraId="06E9132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65073E" w:rsidRDefault="000A0998">
            <w:pPr>
              <w:pStyle w:val="P68B1DB1-Normal39"/>
              <w:spacing w:after="0" w:line="240" w:lineRule="auto"/>
              <w:jc w:val="center"/>
              <w:rPr>
                <w:rFonts w:eastAsia="Times New Roman" w:cs="Times New Roman"/>
                <w:noProof/>
              </w:rPr>
            </w:pPr>
            <w:r>
              <w:rPr>
                <w:noProof/>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65073E" w:rsidRDefault="000A0998">
            <w:pPr>
              <w:pStyle w:val="P68B1DB1-Normal39"/>
              <w:spacing w:after="0" w:line="240" w:lineRule="auto"/>
              <w:rPr>
                <w:rFonts w:eastAsia="Times New Roman" w:cs="Times New Roman"/>
                <w:noProof/>
              </w:rPr>
            </w:pPr>
            <w:r>
              <w:rPr>
                <w:noProof/>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65073E" w:rsidRDefault="000A0998">
            <w:pPr>
              <w:pStyle w:val="P68B1DB1-Normal39"/>
              <w:spacing w:after="0" w:line="240" w:lineRule="auto"/>
              <w:rPr>
                <w:rFonts w:eastAsia="Times New Roman" w:cs="Times New Roman"/>
                <w:noProof/>
              </w:rPr>
            </w:pPr>
            <w:r>
              <w:rPr>
                <w:noProof/>
              </w:rPr>
              <w:t xml:space="preserve">Alueneuvosto hyväksyy itsenäisyys- ja riippuvuushoitojärjestelmän (SAAD) arvioinnin. </w:t>
            </w:r>
          </w:p>
        </w:tc>
      </w:tr>
      <w:tr w:rsidR="0065073E" w14:paraId="37F331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65073E" w:rsidRDefault="000A0998">
            <w:pPr>
              <w:pStyle w:val="P68B1DB1-Normal39"/>
              <w:spacing w:after="0" w:line="240" w:lineRule="auto"/>
              <w:jc w:val="center"/>
              <w:rPr>
                <w:rFonts w:eastAsia="Times New Roman" w:cs="Times New Roman"/>
                <w:noProof/>
              </w:rPr>
            </w:pPr>
            <w:r>
              <w:rPr>
                <w:noProof/>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65073E" w:rsidRDefault="000A0998">
            <w:pPr>
              <w:pStyle w:val="P68B1DB1-Normal39"/>
              <w:spacing w:after="0" w:line="240" w:lineRule="auto"/>
              <w:rPr>
                <w:rFonts w:eastAsia="Times New Roman" w:cs="Times New Roman"/>
                <w:noProof/>
              </w:rPr>
            </w:pPr>
            <w:r>
              <w:rPr>
                <w:noProof/>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65073E" w:rsidRDefault="000A0998">
            <w:pPr>
              <w:pStyle w:val="P68B1DB1-Normal39"/>
              <w:spacing w:after="0" w:line="240" w:lineRule="auto"/>
              <w:rPr>
                <w:rFonts w:eastAsia="Times New Roman" w:cs="Times New Roman"/>
                <w:noProof/>
              </w:rPr>
            </w:pPr>
            <w:r>
              <w:rPr>
                <w:noProof/>
              </w:rPr>
              <w:t xml:space="preserve">Maahantulijoiden ja kansainvälistä suojelua hakevien henkilöiden vastaanottojärjestelmää koskevan lainsäädäntöuudistuksen voimaantulo Espanjassa </w:t>
            </w:r>
          </w:p>
        </w:tc>
      </w:tr>
      <w:tr w:rsidR="0065073E" w14:paraId="47CAE6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65073E" w:rsidRDefault="000A0998">
            <w:pPr>
              <w:pStyle w:val="P68B1DB1-Normal39"/>
              <w:spacing w:after="0" w:line="240" w:lineRule="auto"/>
              <w:jc w:val="center"/>
              <w:rPr>
                <w:rFonts w:eastAsia="Times New Roman" w:cs="Times New Roman"/>
                <w:noProof/>
              </w:rPr>
            </w:pPr>
            <w:r>
              <w:rPr>
                <w:noProof/>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65073E" w:rsidRDefault="000A0998">
            <w:pPr>
              <w:pStyle w:val="P68B1DB1-Normal39"/>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65073E" w:rsidRDefault="000A0998">
            <w:pPr>
              <w:pStyle w:val="P68B1DB1-Normal39"/>
              <w:spacing w:after="0" w:line="240" w:lineRule="auto"/>
              <w:rPr>
                <w:rFonts w:eastAsia="Times New Roman" w:cs="Times New Roman"/>
                <w:noProof/>
              </w:rPr>
            </w:pPr>
            <w:r>
              <w:rPr>
                <w:noProof/>
              </w:rPr>
              <w:t>Vähimmäistoimeentulon käyttöasteen parantaminen ja sen tehokkuuden lisääminen osallisuutta edistävien politiikkojen avulla</w:t>
            </w:r>
          </w:p>
        </w:tc>
      </w:tr>
      <w:tr w:rsidR="0065073E" w14:paraId="1ABA29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65073E" w:rsidRDefault="000A0998">
            <w:pPr>
              <w:pStyle w:val="P68B1DB1-Normal39"/>
              <w:spacing w:after="0" w:line="240" w:lineRule="auto"/>
              <w:jc w:val="center"/>
              <w:rPr>
                <w:rFonts w:eastAsia="Times New Roman" w:cs="Times New Roman"/>
                <w:noProof/>
              </w:rPr>
            </w:pPr>
            <w:r>
              <w:rPr>
                <w:noProof/>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65073E" w:rsidRDefault="000A0998">
            <w:pPr>
              <w:pStyle w:val="P68B1DB1-Normal39"/>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65073E" w:rsidRDefault="000A0998">
            <w:pPr>
              <w:pStyle w:val="P68B1DB1-Normal39"/>
              <w:spacing w:after="0" w:line="240" w:lineRule="auto"/>
              <w:rPr>
                <w:rFonts w:eastAsia="Times New Roman" w:cs="Times New Roman"/>
                <w:noProof/>
              </w:rPr>
            </w:pPr>
            <w:r>
              <w:rPr>
                <w:noProof/>
              </w:rPr>
              <w:t xml:space="preserve">Digitalisaatio ja tärkeimpien kulttuuripalvelujen edistäminen </w:t>
            </w:r>
          </w:p>
        </w:tc>
      </w:tr>
      <w:tr w:rsidR="0065073E" w14:paraId="47F43A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65073E" w:rsidRDefault="000A0998">
            <w:pPr>
              <w:pStyle w:val="P68B1DB1-Normal39"/>
              <w:spacing w:after="0" w:line="240" w:lineRule="auto"/>
              <w:jc w:val="center"/>
              <w:rPr>
                <w:rFonts w:eastAsia="Times New Roman" w:cs="Times New Roman"/>
                <w:noProof/>
              </w:rPr>
            </w:pPr>
            <w:r>
              <w:rPr>
                <w:noProof/>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65073E" w:rsidRDefault="000A0998">
            <w:pPr>
              <w:pStyle w:val="P68B1DB1-Normal39"/>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65073E" w:rsidRDefault="000A0998">
            <w:pPr>
              <w:pStyle w:val="P68B1DB1-Normal39"/>
              <w:spacing w:after="0" w:line="240" w:lineRule="auto"/>
              <w:rPr>
                <w:rFonts w:eastAsia="Times New Roman" w:cs="Times New Roman"/>
                <w:noProof/>
              </w:rPr>
            </w:pPr>
            <w:r>
              <w:rPr>
                <w:noProof/>
              </w:rPr>
              <w:t>Audiovisuaalisesta viestinnästä annetun yleisen lain voimaantulo.</w:t>
            </w:r>
          </w:p>
        </w:tc>
      </w:tr>
      <w:tr w:rsidR="0065073E" w14:paraId="76832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65073E" w:rsidRDefault="000A0998">
            <w:pPr>
              <w:pStyle w:val="P68B1DB1-Normal39"/>
              <w:spacing w:after="0" w:line="240" w:lineRule="auto"/>
              <w:jc w:val="center"/>
              <w:rPr>
                <w:rFonts w:eastAsia="Times New Roman" w:cs="Times New Roman"/>
                <w:noProof/>
              </w:rPr>
            </w:pPr>
            <w:r>
              <w:rPr>
                <w:noProof/>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65073E" w:rsidRDefault="000A0998">
            <w:pPr>
              <w:pStyle w:val="P68B1DB1-Normal39"/>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65073E" w:rsidRDefault="000A0998">
            <w:pPr>
              <w:pStyle w:val="P68B1DB1-Normal39"/>
              <w:spacing w:after="0" w:line="240" w:lineRule="auto"/>
              <w:rPr>
                <w:rFonts w:eastAsia="Times New Roman" w:cs="Times New Roman"/>
                <w:noProof/>
              </w:rPr>
            </w:pPr>
            <w:r>
              <w:rPr>
                <w:noProof/>
              </w:rPr>
              <w:t xml:space="preserve">Hankkeet tasa-arvon edistämiseksi urheilussa </w:t>
            </w:r>
          </w:p>
        </w:tc>
      </w:tr>
      <w:tr w:rsidR="0065073E" w14:paraId="744A87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65073E" w:rsidRDefault="000A0998">
            <w:pPr>
              <w:pStyle w:val="P68B1DB1-Normal39"/>
              <w:spacing w:after="0" w:line="240" w:lineRule="auto"/>
              <w:jc w:val="center"/>
              <w:rPr>
                <w:rFonts w:eastAsia="Times New Roman" w:cs="Times New Roman"/>
                <w:noProof/>
              </w:rPr>
            </w:pPr>
            <w:r>
              <w:rPr>
                <w:noProof/>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65073E" w:rsidRDefault="000A0998">
            <w:pPr>
              <w:pStyle w:val="P68B1DB1-Normal39"/>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65073E" w:rsidRDefault="000A0998">
            <w:pPr>
              <w:pStyle w:val="P68B1DB1-Normal39"/>
              <w:spacing w:after="0" w:line="240" w:lineRule="auto"/>
              <w:rPr>
                <w:rFonts w:eastAsia="Times New Roman" w:cs="Times New Roman"/>
                <w:noProof/>
              </w:rPr>
            </w:pPr>
            <w:r>
              <w:rPr>
                <w:noProof/>
              </w:rPr>
              <w:t>Veropetoksia ja veropetoksia koskevan lain voimaantulo</w:t>
            </w:r>
          </w:p>
        </w:tc>
      </w:tr>
      <w:tr w:rsidR="0065073E" w14:paraId="035DF4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65073E" w:rsidRDefault="000A0998">
            <w:pPr>
              <w:pStyle w:val="P68B1DB1-Normal39"/>
              <w:spacing w:after="0" w:line="240" w:lineRule="auto"/>
              <w:jc w:val="center"/>
              <w:rPr>
                <w:rFonts w:eastAsia="Times New Roman" w:cs="Times New Roman"/>
                <w:noProof/>
              </w:rPr>
            </w:pPr>
            <w:r>
              <w:rPr>
                <w:noProof/>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65073E" w:rsidRDefault="000A0998">
            <w:pPr>
              <w:pStyle w:val="P68B1DB1-Normal39"/>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65073E" w:rsidRDefault="000A0998">
            <w:pPr>
              <w:pStyle w:val="P68B1DB1-Normal39"/>
              <w:spacing w:after="0" w:line="240" w:lineRule="auto"/>
              <w:rPr>
                <w:rFonts w:eastAsia="Times New Roman" w:cs="Times New Roman"/>
                <w:noProof/>
              </w:rPr>
            </w:pPr>
            <w:r>
              <w:rPr>
                <w:noProof/>
              </w:rPr>
              <w:t>Ajoneuvojen rekisteröintiveron ja liikenneveron analyysi</w:t>
            </w:r>
          </w:p>
        </w:tc>
      </w:tr>
      <w:tr w:rsidR="0065073E" w14:paraId="7D113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65073E" w:rsidRDefault="000A0998">
            <w:pPr>
              <w:pStyle w:val="P68B1DB1-Normal39"/>
              <w:spacing w:after="0" w:line="240" w:lineRule="auto"/>
              <w:jc w:val="center"/>
              <w:rPr>
                <w:rFonts w:eastAsia="Times New Roman" w:cs="Times New Roman"/>
                <w:noProof/>
              </w:rPr>
            </w:pPr>
            <w:r>
              <w:rPr>
                <w:noProof/>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65073E" w:rsidRDefault="000A0998">
            <w:pPr>
              <w:pStyle w:val="P68B1DB1-Normal39"/>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65073E" w:rsidRDefault="000A0998">
            <w:pPr>
              <w:pStyle w:val="P68B1DB1-Normal39"/>
              <w:spacing w:after="0" w:line="240" w:lineRule="auto"/>
              <w:rPr>
                <w:rFonts w:eastAsia="Times New Roman" w:cs="Times New Roman"/>
                <w:noProof/>
              </w:rPr>
            </w:pPr>
            <w:r>
              <w:rPr>
                <w:noProof/>
              </w:rPr>
              <w:t xml:space="preserve">Fluorattujen kaasujen verouudistuksen voimaantulo </w:t>
            </w:r>
          </w:p>
        </w:tc>
      </w:tr>
      <w:tr w:rsidR="0065073E" w14:paraId="3F89D6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65073E" w:rsidRDefault="000A0998">
            <w:pPr>
              <w:pStyle w:val="P68B1DB1-Normal39"/>
              <w:spacing w:after="0" w:line="240" w:lineRule="auto"/>
              <w:jc w:val="center"/>
              <w:rPr>
                <w:rFonts w:eastAsia="Times New Roman" w:cs="Times New Roman"/>
                <w:noProof/>
              </w:rPr>
            </w:pPr>
            <w:r>
              <w:rPr>
                <w:noProof/>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65073E" w:rsidRDefault="000A0998">
            <w:pPr>
              <w:pStyle w:val="P68B1DB1-Normal39"/>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65073E" w:rsidRDefault="000A0998">
            <w:pPr>
              <w:pStyle w:val="P68B1DB1-Normal39"/>
              <w:spacing w:after="0" w:line="240" w:lineRule="auto"/>
              <w:rPr>
                <w:rFonts w:eastAsia="Times New Roman" w:cs="Times New Roman"/>
                <w:noProof/>
              </w:rPr>
            </w:pPr>
            <w:r>
              <w:rPr>
                <w:noProof/>
              </w:rPr>
              <w:t>Seurantakertomuksen julkaiseminen</w:t>
            </w:r>
          </w:p>
        </w:tc>
      </w:tr>
      <w:tr w:rsidR="0065073E" w14:paraId="0D7700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65073E" w:rsidRDefault="000A0998">
            <w:pPr>
              <w:pStyle w:val="P68B1DB1-Normal39"/>
              <w:spacing w:after="0" w:line="240" w:lineRule="auto"/>
              <w:jc w:val="center"/>
              <w:rPr>
                <w:rFonts w:eastAsia="Times New Roman" w:cs="Times New Roman"/>
                <w:noProof/>
              </w:rPr>
            </w:pPr>
            <w:r>
              <w:rPr>
                <w:noProof/>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65073E" w:rsidRDefault="000A0998">
            <w:pPr>
              <w:pStyle w:val="P68B1DB1-Normal39"/>
              <w:spacing w:after="0" w:line="240" w:lineRule="auto"/>
              <w:rPr>
                <w:rFonts w:eastAsia="Times New Roman" w:cs="Times New Roman"/>
                <w:noProof/>
              </w:rPr>
            </w:pPr>
            <w:r>
              <w:rPr>
                <w:noProof/>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65073E" w:rsidRDefault="000A0998">
            <w:pPr>
              <w:pStyle w:val="P68B1DB1-Normal39"/>
              <w:spacing w:after="0" w:line="240" w:lineRule="auto"/>
              <w:rPr>
                <w:rFonts w:eastAsia="Times New Roman" w:cs="Times New Roman"/>
                <w:noProof/>
              </w:rPr>
            </w:pPr>
            <w:r>
              <w:rPr>
                <w:noProof/>
              </w:rPr>
              <w:t>Itsenäisten ammatinharjoittajien sosiaaliturvamaksujärjestelmän uudistaminen</w:t>
            </w:r>
          </w:p>
        </w:tc>
      </w:tr>
      <w:tr w:rsidR="0065073E" w14:paraId="42BC5E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65073E" w:rsidRDefault="000A0998">
            <w:pPr>
              <w:pStyle w:val="P68B1DB1-Normal39"/>
              <w:spacing w:after="0" w:line="240" w:lineRule="auto"/>
              <w:jc w:val="center"/>
              <w:rPr>
                <w:rFonts w:eastAsia="Times New Roman" w:cs="Times New Roman"/>
                <w:noProof/>
              </w:rPr>
            </w:pPr>
            <w:r>
              <w:rPr>
                <w:noProof/>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65073E" w:rsidRDefault="000A0998">
            <w:pPr>
              <w:pStyle w:val="P68B1DB1-Normal39"/>
              <w:spacing w:after="0" w:line="240" w:lineRule="auto"/>
              <w:rPr>
                <w:rFonts w:eastAsia="Times New Roman" w:cs="Times New Roman"/>
                <w:noProof/>
              </w:rPr>
            </w:pPr>
            <w:r>
              <w:rPr>
                <w:noProof/>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65073E" w:rsidRDefault="000A0998">
            <w:pPr>
              <w:pStyle w:val="P68B1DB1-Normal39"/>
              <w:spacing w:after="0" w:line="240" w:lineRule="auto"/>
              <w:rPr>
                <w:rFonts w:eastAsia="Times New Roman" w:cs="Times New Roman"/>
                <w:noProof/>
              </w:rPr>
            </w:pPr>
            <w:r>
              <w:rPr>
                <w:noProof/>
              </w:rPr>
              <w:t>Nykyisen lisäeläkejärjestelmän uudelleentarkastelu</w:t>
            </w:r>
          </w:p>
        </w:tc>
      </w:tr>
      <w:tr w:rsidR="0065073E" w14:paraId="67E66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65073E" w:rsidRDefault="000A0998">
            <w:pPr>
              <w:pStyle w:val="P68B1DB1-Normal38"/>
              <w:spacing w:after="0" w:line="240" w:lineRule="auto"/>
              <w:rPr>
                <w:rFonts w:eastAsia="Times New Roman" w:cs="Times New Roman"/>
                <w:noProof/>
              </w:rPr>
            </w:pPr>
            <w:r>
              <w:rPr>
                <w:noProof/>
              </w:rPr>
              <w:t>YHTEENSÄ 6896551724 EUROA</w:t>
            </w:r>
          </w:p>
        </w:tc>
      </w:tr>
    </w:tbl>
    <w:p w14:paraId="0E4ACC87" w14:textId="77777777" w:rsidR="0065073E" w:rsidRDefault="0065073E">
      <w:pPr>
        <w:spacing w:before="120" w:after="120" w:line="240" w:lineRule="auto"/>
        <w:jc w:val="both"/>
        <w:rPr>
          <w:rFonts w:ascii="Times New Roman" w:eastAsia="Calibri" w:hAnsi="Times New Roman" w:cs="Times New Roman"/>
          <w:noProof/>
          <w:sz w:val="24"/>
        </w:rPr>
      </w:pPr>
    </w:p>
    <w:p w14:paraId="6695220B"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Neljäs erä (tuki, jota ei makseta takaisin): </w:t>
      </w:r>
    </w:p>
    <w:tbl>
      <w:tblPr>
        <w:tblW w:w="9663" w:type="dxa"/>
        <w:tblInd w:w="113" w:type="dxa"/>
        <w:tblLook w:val="04A0" w:firstRow="1" w:lastRow="0" w:firstColumn="1" w:lastColumn="0" w:noHBand="0" w:noVBand="1"/>
      </w:tblPr>
      <w:tblGrid>
        <w:gridCol w:w="1247"/>
        <w:gridCol w:w="1383"/>
        <w:gridCol w:w="1707"/>
        <w:gridCol w:w="5405"/>
      </w:tblGrid>
      <w:tr w:rsidR="0065073E" w14:paraId="0556E70F"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57DCDFA0"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65073E" w:rsidRDefault="0065073E">
            <w:pPr>
              <w:spacing w:after="0" w:line="240" w:lineRule="auto"/>
              <w:rPr>
                <w:rFonts w:ascii="Times New Roman" w:eastAsia="Times New Roman" w:hAnsi="Times New Roman" w:cs="Times New Roman"/>
                <w:b/>
                <w:noProof/>
                <w:sz w:val="20"/>
              </w:rPr>
            </w:pPr>
          </w:p>
        </w:tc>
      </w:tr>
      <w:tr w:rsidR="0065073E" w14:paraId="1A13C9A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65073E" w:rsidRDefault="000A0998">
            <w:pPr>
              <w:pStyle w:val="P68B1DB1-Normal39"/>
              <w:spacing w:after="0" w:line="240" w:lineRule="auto"/>
              <w:jc w:val="center"/>
              <w:rPr>
                <w:rFonts w:eastAsia="Times New Roman" w:cs="Times New Roman"/>
                <w:noProof/>
              </w:rPr>
            </w:pPr>
            <w:r>
              <w:rPr>
                <w:noProof/>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65073E" w:rsidRDefault="000A0998">
            <w:pPr>
              <w:pStyle w:val="P68B1DB1-Normal39"/>
              <w:spacing w:after="0" w:line="240" w:lineRule="auto"/>
              <w:rPr>
                <w:rFonts w:eastAsia="Times New Roman" w:cs="Times New Roman"/>
                <w:noProof/>
              </w:rPr>
            </w:pPr>
            <w:r>
              <w:rPr>
                <w:noProof/>
              </w:rPr>
              <w:t>Kestävän liikkuvuuden edistämiseen tähtääviin hankintoihin tai kuntien myöntämiin hankintoihin käytetyt määrärahat</w:t>
            </w:r>
          </w:p>
        </w:tc>
      </w:tr>
      <w:tr w:rsidR="0065073E" w14:paraId="159974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65073E" w:rsidRDefault="000A0998">
            <w:pPr>
              <w:pStyle w:val="P68B1DB1-Normal39"/>
              <w:spacing w:after="0" w:line="240" w:lineRule="auto"/>
              <w:jc w:val="center"/>
              <w:rPr>
                <w:rFonts w:eastAsia="Times New Roman" w:cs="Times New Roman"/>
                <w:noProof/>
              </w:rPr>
            </w:pPr>
            <w:r>
              <w:rPr>
                <w:noProof/>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65073E" w:rsidRDefault="000A0998">
            <w:pPr>
              <w:pStyle w:val="P68B1DB1-Normal39"/>
              <w:spacing w:after="0" w:line="240" w:lineRule="auto"/>
              <w:rPr>
                <w:rFonts w:eastAsia="Times New Roman" w:cs="Times New Roman"/>
                <w:noProof/>
              </w:rPr>
            </w:pPr>
            <w:r>
              <w:rPr>
                <w:noProof/>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65073E" w:rsidRDefault="000A0998">
            <w:pPr>
              <w:pStyle w:val="P68B1DB1-Normal39"/>
              <w:spacing w:after="0" w:line="240" w:lineRule="auto"/>
              <w:rPr>
                <w:rFonts w:eastAsia="Times New Roman" w:cs="Times New Roman"/>
                <w:noProof/>
              </w:rPr>
            </w:pPr>
            <w:r>
              <w:rPr>
                <w:noProof/>
              </w:rPr>
              <w:t xml:space="preserve">Asuntolain voimaantulo, mukaan lukien toimet, joilla tuetaan asuntojen tarjonnan lisäämistä lähes nollaenergiarakennusten mukaisesti </w:t>
            </w:r>
          </w:p>
        </w:tc>
      </w:tr>
      <w:tr w:rsidR="0065073E" w14:paraId="3FCC53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65073E" w:rsidRDefault="000A0998">
            <w:pPr>
              <w:pStyle w:val="P68B1DB1-Normal39"/>
              <w:spacing w:after="0" w:line="240" w:lineRule="auto"/>
              <w:jc w:val="center"/>
              <w:rPr>
                <w:rFonts w:eastAsia="Times New Roman" w:cs="Times New Roman"/>
                <w:noProof/>
              </w:rPr>
            </w:pPr>
            <w:r>
              <w:rPr>
                <w:noProof/>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65073E" w:rsidRDefault="000A0998">
            <w:pPr>
              <w:pStyle w:val="P68B1DB1-Normal39"/>
              <w:spacing w:after="0" w:line="240" w:lineRule="auto"/>
              <w:rPr>
                <w:rFonts w:eastAsia="Times New Roman" w:cs="Times New Roman"/>
                <w:noProof/>
              </w:rPr>
            </w:pPr>
            <w:r>
              <w:rPr>
                <w:noProof/>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65073E" w:rsidRDefault="000A0998">
            <w:pPr>
              <w:pStyle w:val="P68B1DB1-Normal39"/>
              <w:spacing w:after="0" w:line="240" w:lineRule="auto"/>
              <w:rPr>
                <w:rFonts w:eastAsia="Times New Roman" w:cs="Times New Roman"/>
                <w:noProof/>
              </w:rPr>
            </w:pPr>
            <w:r>
              <w:rPr>
                <w:noProof/>
              </w:rPr>
              <w:t xml:space="preserve">Arkkitehtuurin ja rakennusympäristön laatua koskevan lain voimaantulo </w:t>
            </w:r>
          </w:p>
        </w:tc>
      </w:tr>
      <w:tr w:rsidR="0065073E" w14:paraId="51EA53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65073E" w:rsidRDefault="000A0998">
            <w:pPr>
              <w:pStyle w:val="P68B1DB1-Normal39"/>
              <w:spacing w:after="0" w:line="240" w:lineRule="auto"/>
              <w:jc w:val="center"/>
              <w:rPr>
                <w:rFonts w:eastAsia="Times New Roman" w:cs="Times New Roman"/>
                <w:noProof/>
              </w:rPr>
            </w:pPr>
            <w:r>
              <w:rPr>
                <w:noProof/>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65073E" w:rsidRDefault="000A0998">
            <w:pPr>
              <w:pStyle w:val="P68B1DB1-Normal39"/>
              <w:spacing w:after="0" w:line="240" w:lineRule="auto"/>
              <w:rPr>
                <w:rFonts w:eastAsia="Times New Roman" w:cs="Times New Roman"/>
                <w:noProof/>
              </w:rPr>
            </w:pPr>
            <w:r>
              <w:rPr>
                <w:noProof/>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65073E" w:rsidRDefault="000A0998">
            <w:pPr>
              <w:pStyle w:val="P68B1DB1-Normal39"/>
              <w:spacing w:after="0" w:line="240" w:lineRule="auto"/>
              <w:rPr>
                <w:rFonts w:eastAsia="Times New Roman" w:cs="Times New Roman"/>
                <w:noProof/>
              </w:rPr>
            </w:pPr>
            <w:r>
              <w:rPr>
                <w:noProof/>
              </w:rPr>
              <w:t xml:space="preserve">Horisontaaliseen omaisuuslakiin tehtyjen muutosten voimaantulo kunnostustoimien rahoituksen helpottamiseksi </w:t>
            </w:r>
          </w:p>
        </w:tc>
      </w:tr>
      <w:tr w:rsidR="0065073E" w14:paraId="23FEC7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65073E" w:rsidRDefault="000A0998">
            <w:pPr>
              <w:pStyle w:val="P68B1DB1-Normal39"/>
              <w:spacing w:after="0" w:line="240" w:lineRule="auto"/>
              <w:jc w:val="center"/>
              <w:rPr>
                <w:rFonts w:eastAsia="Times New Roman" w:cs="Times New Roman"/>
                <w:noProof/>
              </w:rPr>
            </w:pPr>
            <w:r>
              <w:rPr>
                <w:noProof/>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65073E" w:rsidRDefault="000A0998">
            <w:pPr>
              <w:pStyle w:val="P68B1DB1-Normal39"/>
              <w:spacing w:after="0" w:line="240" w:lineRule="auto"/>
              <w:rPr>
                <w:rFonts w:eastAsia="Times New Roman" w:cs="Times New Roman"/>
                <w:noProof/>
              </w:rPr>
            </w:pPr>
            <w:r>
              <w:rPr>
                <w:noProof/>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65073E" w:rsidRDefault="000A0998">
            <w:pPr>
              <w:pStyle w:val="P68B1DB1-Normal39"/>
              <w:spacing w:after="0" w:line="240" w:lineRule="auto"/>
              <w:rPr>
                <w:rFonts w:eastAsia="Times New Roman" w:cs="Times New Roman"/>
                <w:noProof/>
              </w:rPr>
            </w:pPr>
            <w:r>
              <w:rPr>
                <w:noProof/>
              </w:rPr>
              <w:t xml:space="preserve">Espanjan kaupunkiagendan mukaiset toimintasuunnitelmat </w:t>
            </w:r>
          </w:p>
        </w:tc>
      </w:tr>
      <w:tr w:rsidR="0065073E" w14:paraId="735121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65073E" w:rsidRDefault="000A0998">
            <w:pPr>
              <w:pStyle w:val="P68B1DB1-Normal39"/>
              <w:spacing w:after="0" w:line="240" w:lineRule="auto"/>
              <w:jc w:val="center"/>
              <w:rPr>
                <w:rFonts w:eastAsia="Times New Roman" w:cs="Times New Roman"/>
                <w:noProof/>
              </w:rPr>
            </w:pPr>
            <w:r>
              <w:rPr>
                <w:noProof/>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65073E" w:rsidRDefault="000A0998">
            <w:pPr>
              <w:pStyle w:val="P68B1DB1-Normal39"/>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65073E" w:rsidRDefault="000A0998">
            <w:pPr>
              <w:pStyle w:val="P68B1DB1-Normal39"/>
              <w:spacing w:after="0" w:line="240" w:lineRule="auto"/>
              <w:rPr>
                <w:rFonts w:eastAsia="Times New Roman" w:cs="Times New Roman"/>
                <w:noProof/>
              </w:rPr>
            </w:pPr>
            <w:r>
              <w:rPr>
                <w:noProof/>
              </w:rPr>
              <w:t>Sääntelykehyksen voimaantulo, jotta voidaan kehittää maatilojen parhaita käytettävissä olevia tekniikoita koskeva yleinen rekisteri, josta saadaan tietoa epäpuhtaus- ja kasvihuonekaasupäästöistä, ja uudistetaan suunnittelulainsäädäntöä, johon sisältyy tiloja koskevia kriteerejä eri aloilla</w:t>
            </w:r>
          </w:p>
        </w:tc>
      </w:tr>
      <w:tr w:rsidR="0065073E" w14:paraId="2003BD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65073E" w:rsidRDefault="000A0998">
            <w:pPr>
              <w:pStyle w:val="P68B1DB1-Normal39"/>
              <w:spacing w:after="0" w:line="240" w:lineRule="auto"/>
              <w:jc w:val="center"/>
              <w:rPr>
                <w:rFonts w:eastAsia="Times New Roman" w:cs="Times New Roman"/>
                <w:noProof/>
              </w:rPr>
            </w:pPr>
            <w:r>
              <w:rPr>
                <w:noProof/>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65073E" w:rsidRDefault="000A0998">
            <w:pPr>
              <w:pStyle w:val="P68B1DB1-Normal39"/>
              <w:spacing w:after="0" w:line="240" w:lineRule="auto"/>
              <w:rPr>
                <w:rFonts w:eastAsia="Times New Roman" w:cs="Times New Roman"/>
                <w:noProof/>
              </w:rPr>
            </w:pPr>
            <w:r>
              <w:rPr>
                <w:noProof/>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65073E" w:rsidRDefault="000A0998">
            <w:pPr>
              <w:pStyle w:val="P68B1DB1-Normal39"/>
              <w:spacing w:after="0" w:line="240" w:lineRule="auto"/>
              <w:rPr>
                <w:rFonts w:eastAsia="Times New Roman" w:cs="Times New Roman"/>
                <w:noProof/>
              </w:rPr>
            </w:pPr>
            <w:r>
              <w:rPr>
                <w:noProof/>
              </w:rPr>
              <w:t>Espanjan kastelujärjestelmän parantamiseen tähtäävästä hallintomekanismista annetun kuninkaallisen asetuksen voimaantulo.</w:t>
            </w:r>
          </w:p>
        </w:tc>
      </w:tr>
      <w:tr w:rsidR="0065073E" w14:paraId="1070FD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65073E" w:rsidRDefault="000A0998">
            <w:pPr>
              <w:pStyle w:val="P68B1DB1-Normal39"/>
              <w:spacing w:after="0" w:line="240" w:lineRule="auto"/>
              <w:jc w:val="center"/>
              <w:rPr>
                <w:rFonts w:eastAsia="Times New Roman" w:cs="Times New Roman"/>
                <w:noProof/>
              </w:rPr>
            </w:pPr>
            <w:r>
              <w:rPr>
                <w:noProof/>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65073E" w:rsidRDefault="000A0998">
            <w:pPr>
              <w:pStyle w:val="P68B1DB1-Normal39"/>
              <w:spacing w:after="0" w:line="240" w:lineRule="auto"/>
              <w:rPr>
                <w:rFonts w:eastAsia="Times New Roman" w:cs="Times New Roman"/>
                <w:noProof/>
              </w:rPr>
            </w:pPr>
            <w:r>
              <w:rPr>
                <w:noProof/>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65073E" w:rsidRDefault="000A0998">
            <w:pPr>
              <w:pStyle w:val="P68B1DB1-Normal39"/>
              <w:spacing w:after="0" w:line="240" w:lineRule="auto"/>
              <w:rPr>
                <w:rFonts w:eastAsia="Times New Roman" w:cs="Times New Roman"/>
                <w:noProof/>
              </w:rPr>
            </w:pPr>
            <w:r>
              <w:rPr>
                <w:noProof/>
              </w:rPr>
              <w:t>Maatalouselintarvikealan ja maaseutualueiden digitalisointistrategiaa koskevan toisen toimintasuunnitelman hyväksyminen.</w:t>
            </w:r>
          </w:p>
        </w:tc>
      </w:tr>
      <w:tr w:rsidR="0065073E" w14:paraId="08936E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65073E" w:rsidRDefault="000A0998">
            <w:pPr>
              <w:pStyle w:val="P68B1DB1-Normal39"/>
              <w:spacing w:after="0" w:line="240" w:lineRule="auto"/>
              <w:jc w:val="center"/>
              <w:rPr>
                <w:rFonts w:eastAsia="Times New Roman" w:cs="Times New Roman"/>
                <w:noProof/>
              </w:rPr>
            </w:pPr>
            <w:r>
              <w:rPr>
                <w:noProof/>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65073E" w:rsidRDefault="000A0998">
            <w:pPr>
              <w:pStyle w:val="P68B1DB1-Normal39"/>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65073E" w:rsidRDefault="000A0998">
            <w:pPr>
              <w:pStyle w:val="P68B1DB1-Normal39"/>
              <w:spacing w:after="0" w:line="240" w:lineRule="auto"/>
              <w:rPr>
                <w:rFonts w:eastAsia="Times New Roman" w:cs="Times New Roman"/>
                <w:noProof/>
              </w:rPr>
            </w:pPr>
            <w:r>
              <w:rPr>
                <w:noProof/>
              </w:rPr>
              <w:t>Maatalous-, kalastus- ja elintarvikeministeriön (MAPA) ja SEIASAn välisen kasteltujen alueiden parantamisen ja kestävyyden tukemista koskevan sopimuksen täytäntöönpano (toinen vaihe)</w:t>
            </w:r>
          </w:p>
        </w:tc>
      </w:tr>
      <w:tr w:rsidR="0065073E" w14:paraId="6C3C6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65073E" w:rsidRDefault="000A0998">
            <w:pPr>
              <w:pStyle w:val="P68B1DB1-Normal39"/>
              <w:spacing w:after="0" w:line="240" w:lineRule="auto"/>
              <w:jc w:val="center"/>
              <w:rPr>
                <w:rFonts w:eastAsia="Times New Roman" w:cs="Times New Roman"/>
                <w:noProof/>
              </w:rPr>
            </w:pPr>
            <w:r>
              <w:rPr>
                <w:noProof/>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65073E" w:rsidRDefault="000A0998">
            <w:pPr>
              <w:pStyle w:val="P68B1DB1-Normal39"/>
              <w:spacing w:after="0" w:line="240" w:lineRule="auto"/>
              <w:rPr>
                <w:rFonts w:eastAsia="Times New Roman" w:cs="Times New Roman"/>
                <w:noProof/>
              </w:rPr>
            </w:pPr>
            <w:r>
              <w:rPr>
                <w:noProof/>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65073E" w:rsidRDefault="000A0998">
            <w:pPr>
              <w:pStyle w:val="P68B1DB1-Normal39"/>
              <w:spacing w:after="0" w:line="240" w:lineRule="auto"/>
              <w:rPr>
                <w:rFonts w:eastAsia="Times New Roman" w:cs="Times New Roman"/>
                <w:noProof/>
              </w:rPr>
            </w:pPr>
            <w:r>
              <w:rPr>
                <w:noProof/>
              </w:rPr>
              <w:t>Tieto- ja viestintäteknisten laitteiden hankinta kalastusintressien merivarantoja varten ja sopimukset erityiskäyttöön tarkoitettujen alusten hankkimiseksi merialueita varten</w:t>
            </w:r>
          </w:p>
        </w:tc>
      </w:tr>
      <w:tr w:rsidR="0065073E" w14:paraId="67314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65073E" w:rsidRDefault="000A0998">
            <w:pPr>
              <w:pStyle w:val="P68B1DB1-Normal39"/>
              <w:spacing w:after="0" w:line="240" w:lineRule="auto"/>
              <w:jc w:val="center"/>
              <w:rPr>
                <w:rFonts w:eastAsia="Times New Roman" w:cs="Times New Roman"/>
                <w:noProof/>
              </w:rPr>
            </w:pPr>
            <w:r>
              <w:rPr>
                <w:noProof/>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65073E" w:rsidRDefault="000A0998">
            <w:pPr>
              <w:pStyle w:val="P68B1DB1-Normal39"/>
              <w:spacing w:after="0" w:line="240" w:lineRule="auto"/>
              <w:rPr>
                <w:rFonts w:eastAsia="Times New Roman" w:cs="Times New Roman"/>
                <w:noProof/>
              </w:rPr>
            </w:pPr>
            <w:r>
              <w:rPr>
                <w:noProof/>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65073E" w:rsidRDefault="000A0998">
            <w:pPr>
              <w:pStyle w:val="P68B1DB1-Normal39"/>
              <w:spacing w:after="0" w:line="240" w:lineRule="auto"/>
              <w:rPr>
                <w:rFonts w:eastAsia="Times New Roman" w:cs="Times New Roman"/>
                <w:noProof/>
              </w:rPr>
            </w:pPr>
            <w:r>
              <w:rPr>
                <w:noProof/>
              </w:rPr>
              <w:t xml:space="preserve">Kevyiden partioalusten ja aavan meren partioalusten hankinta laittoman, ilmoittamattoman ja sääntelemättömän kalastuksen torjumiseksi </w:t>
            </w:r>
          </w:p>
        </w:tc>
      </w:tr>
      <w:tr w:rsidR="0065073E" w14:paraId="08C877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65073E" w:rsidRDefault="000A0998">
            <w:pPr>
              <w:pStyle w:val="P68B1DB1-Normal39"/>
              <w:spacing w:after="0" w:line="240" w:lineRule="auto"/>
              <w:jc w:val="center"/>
              <w:rPr>
                <w:rFonts w:eastAsia="Times New Roman" w:cs="Times New Roman"/>
                <w:noProof/>
              </w:rPr>
            </w:pPr>
            <w:r>
              <w:rPr>
                <w:noProof/>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65073E" w:rsidRDefault="000A0998">
            <w:pPr>
              <w:pStyle w:val="P68B1DB1-Normal39"/>
              <w:spacing w:after="0" w:line="240" w:lineRule="auto"/>
              <w:rPr>
                <w:rFonts w:eastAsia="Times New Roman" w:cs="Times New Roman"/>
                <w:noProof/>
              </w:rPr>
            </w:pPr>
            <w:r>
              <w:rPr>
                <w:noProof/>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65073E" w:rsidRDefault="000A0998">
            <w:pPr>
              <w:pStyle w:val="P68B1DB1-Normal39"/>
              <w:spacing w:after="0" w:line="240" w:lineRule="auto"/>
              <w:rPr>
                <w:rFonts w:eastAsia="Times New Roman" w:cs="Times New Roman"/>
                <w:noProof/>
              </w:rPr>
            </w:pPr>
            <w:r>
              <w:rPr>
                <w:noProof/>
              </w:rPr>
              <w:t xml:space="preserve">Luonnonperintöä ja luonnon monimuotoisuutta koskeva strateginen suunnitelma ja suojeltujen merialueiden verkostoa koskeva suunnitelma </w:t>
            </w:r>
          </w:p>
        </w:tc>
      </w:tr>
      <w:tr w:rsidR="0065073E" w14:paraId="4D5929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65073E" w:rsidRDefault="000A0998">
            <w:pPr>
              <w:pStyle w:val="P68B1DB1-Normal39"/>
              <w:spacing w:after="0" w:line="240" w:lineRule="auto"/>
              <w:jc w:val="center"/>
              <w:rPr>
                <w:rFonts w:eastAsia="Times New Roman" w:cs="Times New Roman"/>
                <w:noProof/>
              </w:rPr>
            </w:pPr>
            <w:r>
              <w:rPr>
                <w:noProof/>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65073E" w:rsidRDefault="000A0998">
            <w:pPr>
              <w:pStyle w:val="P68B1DB1-Normal39"/>
              <w:spacing w:after="0" w:line="240" w:lineRule="auto"/>
              <w:rPr>
                <w:rFonts w:eastAsia="Times New Roman" w:cs="Times New Roman"/>
                <w:noProof/>
              </w:rPr>
            </w:pPr>
            <w:r>
              <w:rPr>
                <w:noProof/>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65073E" w:rsidRDefault="000A0998">
            <w:pPr>
              <w:pStyle w:val="P68B1DB1-Normal39"/>
              <w:spacing w:after="0" w:line="240" w:lineRule="auto"/>
              <w:rPr>
                <w:rFonts w:eastAsia="Times New Roman" w:cs="Times New Roman"/>
                <w:noProof/>
              </w:rPr>
            </w:pPr>
            <w:r>
              <w:rPr>
                <w:noProof/>
              </w:rPr>
              <w:t>Espanjan metsästrategian ja -tukisuunnitelman hyväksyminen</w:t>
            </w:r>
          </w:p>
        </w:tc>
      </w:tr>
      <w:tr w:rsidR="0065073E" w14:paraId="63EC54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65073E" w:rsidRDefault="000A0998">
            <w:pPr>
              <w:pStyle w:val="P68B1DB1-Normal39"/>
              <w:spacing w:after="0" w:line="240" w:lineRule="auto"/>
              <w:jc w:val="center"/>
              <w:rPr>
                <w:rFonts w:eastAsia="Times New Roman" w:cs="Times New Roman"/>
                <w:noProof/>
              </w:rPr>
            </w:pPr>
            <w:r>
              <w:rPr>
                <w:noProof/>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65073E" w:rsidRDefault="000A0998">
            <w:pPr>
              <w:pStyle w:val="P68B1DB1-Normal39"/>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65073E" w:rsidRDefault="000A0998">
            <w:pPr>
              <w:pStyle w:val="P68B1DB1-Normal39"/>
              <w:spacing w:after="0" w:line="240" w:lineRule="auto"/>
              <w:rPr>
                <w:rFonts w:eastAsia="Times New Roman" w:cs="Times New Roman"/>
                <w:noProof/>
              </w:rPr>
            </w:pPr>
            <w:r>
              <w:rPr>
                <w:noProof/>
              </w:rPr>
              <w:t>Jokirantojen ennallistaminen tulvariskeiltä suojautumiseksi</w:t>
            </w:r>
          </w:p>
        </w:tc>
      </w:tr>
      <w:tr w:rsidR="0065073E" w14:paraId="31A1A9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65073E" w:rsidRDefault="000A0998">
            <w:pPr>
              <w:pStyle w:val="P68B1DB1-Normal39"/>
              <w:spacing w:after="0" w:line="240" w:lineRule="auto"/>
              <w:jc w:val="center"/>
              <w:rPr>
                <w:rFonts w:eastAsia="Times New Roman" w:cs="Times New Roman"/>
                <w:noProof/>
              </w:rPr>
            </w:pPr>
            <w:r>
              <w:rPr>
                <w:noProof/>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65073E" w:rsidRDefault="000A0998">
            <w:pPr>
              <w:pStyle w:val="P68B1DB1-Normal39"/>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65073E" w:rsidRDefault="000A0998">
            <w:pPr>
              <w:pStyle w:val="P68B1DB1-Normal39"/>
              <w:spacing w:after="0" w:line="240" w:lineRule="auto"/>
              <w:rPr>
                <w:rFonts w:eastAsia="Times New Roman" w:cs="Times New Roman"/>
                <w:noProof/>
              </w:rPr>
            </w:pPr>
            <w:r>
              <w:rPr>
                <w:noProof/>
              </w:rPr>
              <w:t xml:space="preserve">Huonontuneiden alueiden ja ekosysteemien ennallistaminen vähintään 50 kilometrin rannikolle </w:t>
            </w:r>
          </w:p>
        </w:tc>
      </w:tr>
      <w:tr w:rsidR="0065073E" w14:paraId="70190C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65073E" w:rsidRDefault="000A0998">
            <w:pPr>
              <w:pStyle w:val="P68B1DB1-Normal39"/>
              <w:spacing w:after="0" w:line="240" w:lineRule="auto"/>
              <w:jc w:val="center"/>
              <w:rPr>
                <w:rFonts w:eastAsia="Times New Roman" w:cs="Times New Roman"/>
                <w:noProof/>
              </w:rPr>
            </w:pPr>
            <w:r>
              <w:rPr>
                <w:noProof/>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65073E" w:rsidRDefault="000A0998">
            <w:pPr>
              <w:pStyle w:val="P68B1DB1-Normal39"/>
              <w:spacing w:after="0" w:line="240" w:lineRule="auto"/>
              <w:rPr>
                <w:rFonts w:eastAsia="Times New Roman" w:cs="Times New Roman"/>
                <w:noProof/>
              </w:rPr>
            </w:pPr>
            <w:r>
              <w:rPr>
                <w:noProof/>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65073E" w:rsidRDefault="000A0998">
            <w:pPr>
              <w:pStyle w:val="P68B1DB1-Normal39"/>
              <w:spacing w:after="0" w:line="240" w:lineRule="auto"/>
              <w:rPr>
                <w:rFonts w:eastAsia="Times New Roman" w:cs="Times New Roman"/>
                <w:noProof/>
              </w:rPr>
            </w:pPr>
            <w:r>
              <w:rPr>
                <w:noProof/>
              </w:rPr>
              <w:t>Ohjeellinen rautatiestrategia</w:t>
            </w:r>
          </w:p>
        </w:tc>
      </w:tr>
      <w:tr w:rsidR="0065073E" w14:paraId="587A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65073E" w:rsidRDefault="000A0998">
            <w:pPr>
              <w:pStyle w:val="P68B1DB1-Normal39"/>
              <w:spacing w:after="0" w:line="240" w:lineRule="auto"/>
              <w:jc w:val="center"/>
              <w:rPr>
                <w:rFonts w:eastAsia="Times New Roman" w:cs="Times New Roman"/>
                <w:noProof/>
              </w:rPr>
            </w:pPr>
            <w:r>
              <w:rPr>
                <w:noProof/>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65073E" w:rsidRDefault="000A0998">
            <w:pPr>
              <w:pStyle w:val="P68B1DB1-Normal39"/>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65073E" w:rsidRDefault="000A0998">
            <w:pPr>
              <w:pStyle w:val="P68B1DB1-Normal39"/>
              <w:spacing w:after="0" w:line="240" w:lineRule="auto"/>
              <w:rPr>
                <w:rFonts w:eastAsia="Times New Roman" w:cs="Times New Roman"/>
                <w:noProof/>
              </w:rPr>
            </w:pPr>
            <w:r>
              <w:rPr>
                <w:noProof/>
              </w:rPr>
              <w:t>TEN-T-ydinverkko: hankkeiden myöntäminen</w:t>
            </w:r>
          </w:p>
        </w:tc>
      </w:tr>
      <w:tr w:rsidR="0065073E" w14:paraId="3617DE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65073E" w:rsidRDefault="000A0998">
            <w:pPr>
              <w:pStyle w:val="P68B1DB1-Normal39"/>
              <w:spacing w:after="0" w:line="240" w:lineRule="auto"/>
              <w:jc w:val="center"/>
              <w:rPr>
                <w:rFonts w:eastAsia="Times New Roman" w:cs="Times New Roman"/>
                <w:noProof/>
              </w:rPr>
            </w:pPr>
            <w:r>
              <w:rPr>
                <w:noProof/>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65073E" w:rsidRDefault="000A0998">
            <w:pPr>
              <w:pStyle w:val="P68B1DB1-Normal39"/>
              <w:spacing w:after="0" w:line="240" w:lineRule="auto"/>
              <w:rPr>
                <w:rFonts w:eastAsia="Times New Roman" w:cs="Times New Roman"/>
                <w:noProof/>
              </w:rPr>
            </w:pPr>
            <w:r>
              <w:rPr>
                <w:noProof/>
              </w:rPr>
              <w:t>TEN-T-verkon eri liikennemuodot (rautatie- ja maantieliikenne): talousarvion osittainen myöntäminen</w:t>
            </w:r>
          </w:p>
        </w:tc>
      </w:tr>
      <w:tr w:rsidR="0065073E" w14:paraId="2E0610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65073E" w:rsidRDefault="000A0998">
            <w:pPr>
              <w:pStyle w:val="P68B1DB1-Normal39"/>
              <w:spacing w:after="0" w:line="240" w:lineRule="auto"/>
              <w:jc w:val="center"/>
              <w:rPr>
                <w:rFonts w:eastAsia="Times New Roman" w:cs="Times New Roman"/>
                <w:noProof/>
              </w:rPr>
            </w:pPr>
            <w:r>
              <w:rPr>
                <w:noProof/>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65073E" w:rsidRDefault="000A0998">
            <w:pPr>
              <w:pStyle w:val="P68B1DB1-Normal39"/>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65073E" w:rsidRDefault="000A0998">
            <w:pPr>
              <w:pStyle w:val="P68B1DB1-Normal39"/>
              <w:spacing w:after="0" w:line="240" w:lineRule="auto"/>
              <w:rPr>
                <w:rFonts w:eastAsia="Times New Roman" w:cs="Times New Roman"/>
                <w:noProof/>
              </w:rPr>
            </w:pPr>
            <w:r>
              <w:rPr>
                <w:noProof/>
              </w:rPr>
              <w:t xml:space="preserve">Intermodaaliset ja logistiset infrastruktuurit: talousarvion osittainen myöntäminen </w:t>
            </w:r>
          </w:p>
        </w:tc>
      </w:tr>
      <w:tr w:rsidR="0065073E" w14:paraId="0288A6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65073E" w:rsidRDefault="000A0998">
            <w:pPr>
              <w:pStyle w:val="P68B1DB1-Normal39"/>
              <w:spacing w:after="0" w:line="240" w:lineRule="auto"/>
              <w:jc w:val="center"/>
              <w:rPr>
                <w:rFonts w:eastAsia="Times New Roman" w:cs="Times New Roman"/>
                <w:noProof/>
              </w:rPr>
            </w:pPr>
            <w:r>
              <w:rPr>
                <w:noProof/>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65073E" w:rsidRDefault="000A0998">
            <w:pPr>
              <w:pStyle w:val="P68B1DB1-Normal39"/>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65073E" w:rsidRDefault="000A0998">
            <w:pPr>
              <w:pStyle w:val="P68B1DB1-Normal39"/>
              <w:spacing w:after="0" w:line="240" w:lineRule="auto"/>
              <w:rPr>
                <w:rFonts w:eastAsia="Times New Roman" w:cs="Times New Roman"/>
                <w:noProof/>
              </w:rPr>
            </w:pPr>
            <w:r>
              <w:rPr>
                <w:noProof/>
              </w:rPr>
              <w:t xml:space="preserve">Kestävän ja digitaalisen liikenteen ohjelman tukeminen. </w:t>
            </w:r>
          </w:p>
        </w:tc>
      </w:tr>
      <w:tr w:rsidR="0065073E" w14:paraId="551F9F8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65073E" w:rsidRDefault="000A0998">
            <w:pPr>
              <w:pStyle w:val="P68B1DB1-Normal39"/>
              <w:spacing w:after="0" w:line="240" w:lineRule="auto"/>
              <w:jc w:val="center"/>
              <w:rPr>
                <w:rFonts w:eastAsia="Times New Roman" w:cs="Times New Roman"/>
                <w:noProof/>
              </w:rPr>
            </w:pPr>
            <w:r>
              <w:rPr>
                <w:noProof/>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65073E" w:rsidRDefault="000A0998">
            <w:pPr>
              <w:pStyle w:val="P68B1DB1-Normal39"/>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65073E" w:rsidRDefault="000A0998">
            <w:pPr>
              <w:pStyle w:val="P68B1DB1-Normal39"/>
              <w:spacing w:after="0" w:line="240" w:lineRule="auto"/>
              <w:rPr>
                <w:rFonts w:eastAsia="Times New Roman" w:cs="Times New Roman"/>
                <w:noProof/>
              </w:rPr>
            </w:pPr>
            <w:r>
              <w:rPr>
                <w:noProof/>
              </w:rPr>
              <w:t>Tuki ympäristöön, digitaaliseen ja sosiaaliseen infrastruktuuriin liittyville hankkeille.</w:t>
            </w:r>
          </w:p>
        </w:tc>
      </w:tr>
      <w:tr w:rsidR="0065073E" w14:paraId="3D16B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65073E" w:rsidRDefault="000A0998">
            <w:pPr>
              <w:pStyle w:val="P68B1DB1-Normal39"/>
              <w:spacing w:after="0" w:line="240" w:lineRule="auto"/>
              <w:jc w:val="center"/>
              <w:rPr>
                <w:rFonts w:eastAsia="Times New Roman" w:cs="Times New Roman"/>
                <w:noProof/>
              </w:rPr>
            </w:pPr>
            <w:r>
              <w:rPr>
                <w:noProof/>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65073E" w:rsidRDefault="000A0998">
            <w:pPr>
              <w:pStyle w:val="P68B1DB1-Normal39"/>
              <w:spacing w:after="0" w:line="240" w:lineRule="auto"/>
              <w:rPr>
                <w:rFonts w:eastAsia="Times New Roman" w:cs="Times New Roman"/>
                <w:noProof/>
              </w:rPr>
            </w:pPr>
            <w:r>
              <w:rPr>
                <w:noProof/>
              </w:rPr>
              <w:t>Lain 40/2015 muutoksen ja alue- ja paikallisyhteisöjen välistä yhteistyötä tehostavien ministeriöiden päätösten voimaantulo</w:t>
            </w:r>
          </w:p>
        </w:tc>
      </w:tr>
      <w:tr w:rsidR="0065073E" w14:paraId="737001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65073E" w:rsidRDefault="000A0998">
            <w:pPr>
              <w:pStyle w:val="P68B1DB1-Normal39"/>
              <w:spacing w:after="0" w:line="240" w:lineRule="auto"/>
              <w:jc w:val="center"/>
              <w:rPr>
                <w:rFonts w:eastAsia="Times New Roman" w:cs="Times New Roman"/>
                <w:noProof/>
              </w:rPr>
            </w:pPr>
            <w:r>
              <w:rPr>
                <w:noProof/>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65073E" w:rsidRDefault="000A0998">
            <w:pPr>
              <w:pStyle w:val="P68B1DB1-Normal39"/>
              <w:spacing w:after="0" w:line="240" w:lineRule="auto"/>
              <w:rPr>
                <w:rFonts w:eastAsia="Times New Roman" w:cs="Times New Roman"/>
                <w:noProof/>
              </w:rPr>
            </w:pPr>
            <w:r>
              <w:rPr>
                <w:noProof/>
              </w:rPr>
              <w:t>Lain voimaantulo julkisten politiikkojen arvioinnin tehostamiseksi</w:t>
            </w:r>
          </w:p>
        </w:tc>
      </w:tr>
      <w:tr w:rsidR="0065073E" w14:paraId="10CDB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65073E" w:rsidRDefault="000A0998">
            <w:pPr>
              <w:pStyle w:val="P68B1DB1-Normal39"/>
              <w:spacing w:after="0" w:line="240" w:lineRule="auto"/>
              <w:jc w:val="center"/>
              <w:rPr>
                <w:rFonts w:eastAsia="Times New Roman" w:cs="Times New Roman"/>
                <w:noProof/>
              </w:rPr>
            </w:pPr>
            <w:r>
              <w:rPr>
                <w:noProof/>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65073E" w:rsidRDefault="000A0998">
            <w:pPr>
              <w:pStyle w:val="P68B1DB1-Normal39"/>
              <w:spacing w:after="0" w:line="240" w:lineRule="auto"/>
              <w:rPr>
                <w:rFonts w:eastAsia="Times New Roman" w:cs="Times New Roman"/>
                <w:noProof/>
              </w:rPr>
            </w:pPr>
            <w:r>
              <w:rPr>
                <w:noProof/>
              </w:rPr>
              <w:t>Paikallishallintoa koskevan lain 7/1985 uudistuksen voimaantulo ja väestö- ja aluemäärittelyasetuksen hyväksymisestä 11. heinäkuuta 1986 annetun kuninkaallisen asetuksen 1690/1986 muuttaminen</w:t>
            </w:r>
          </w:p>
        </w:tc>
      </w:tr>
      <w:tr w:rsidR="0065073E" w14:paraId="771924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65073E" w:rsidRDefault="000A0998">
            <w:pPr>
              <w:pStyle w:val="P68B1DB1-Normal39"/>
              <w:spacing w:after="0" w:line="240" w:lineRule="auto"/>
              <w:jc w:val="center"/>
              <w:rPr>
                <w:rFonts w:eastAsia="Times New Roman" w:cs="Times New Roman"/>
                <w:noProof/>
              </w:rPr>
            </w:pPr>
            <w:r>
              <w:rPr>
                <w:noProof/>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65073E" w:rsidRDefault="000A0998">
            <w:pPr>
              <w:pStyle w:val="P68B1DB1-Normal39"/>
              <w:spacing w:after="0" w:line="240" w:lineRule="auto"/>
              <w:rPr>
                <w:rFonts w:eastAsia="Times New Roman" w:cs="Times New Roman"/>
                <w:noProof/>
              </w:rPr>
            </w:pPr>
            <w:r>
              <w:rPr>
                <w:noProof/>
              </w:rPr>
              <w:t>Valtionhallinnon virkamieskuntaa koskevien sääntelytoimenpiteiden voimaantulo</w:t>
            </w:r>
          </w:p>
        </w:tc>
      </w:tr>
      <w:tr w:rsidR="0065073E" w14:paraId="319CC0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65073E" w:rsidRDefault="000A0998">
            <w:pPr>
              <w:pStyle w:val="P68B1DB1-Normal39"/>
              <w:spacing w:after="0" w:line="240" w:lineRule="auto"/>
              <w:jc w:val="center"/>
              <w:rPr>
                <w:rFonts w:eastAsia="Times New Roman" w:cs="Times New Roman"/>
                <w:noProof/>
              </w:rPr>
            </w:pPr>
            <w:r>
              <w:rPr>
                <w:noProof/>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65073E" w:rsidRDefault="000A0998">
            <w:pPr>
              <w:pStyle w:val="P68B1DB1-Normal39"/>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65073E" w:rsidRDefault="000A0998">
            <w:pPr>
              <w:pStyle w:val="P68B1DB1-Normal39"/>
              <w:spacing w:after="0" w:line="240" w:lineRule="auto"/>
              <w:rPr>
                <w:rFonts w:eastAsia="Times New Roman" w:cs="Times New Roman"/>
                <w:noProof/>
              </w:rPr>
            </w:pPr>
            <w:r>
              <w:rPr>
                <w:noProof/>
              </w:rPr>
              <w:t>Oikeudenkäyntimenettelyjen tehokkuutta parantavan kuninkaallisen asetuksen ja digitaalista tehokkuutta koskevan kuninkaan asetuksen voimaantulo</w:t>
            </w:r>
          </w:p>
        </w:tc>
      </w:tr>
      <w:tr w:rsidR="0065073E" w14:paraId="23C7C8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65073E" w:rsidRDefault="000A0998">
            <w:pPr>
              <w:pStyle w:val="P68B1DB1-Normal39"/>
              <w:spacing w:after="0" w:line="240" w:lineRule="auto"/>
              <w:jc w:val="center"/>
              <w:rPr>
                <w:rFonts w:eastAsia="Times New Roman" w:cs="Times New Roman"/>
                <w:noProof/>
              </w:rPr>
            </w:pPr>
            <w:r>
              <w:rPr>
                <w:noProof/>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65073E" w:rsidRDefault="000A0998">
            <w:pPr>
              <w:pStyle w:val="P68B1DB1-Normal39"/>
              <w:spacing w:after="0" w:line="240" w:lineRule="auto"/>
              <w:rPr>
                <w:rFonts w:eastAsia="Times New Roman" w:cs="Times New Roman"/>
                <w:noProof/>
              </w:rPr>
            </w:pPr>
            <w:r>
              <w:rPr>
                <w:noProof/>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65073E" w:rsidRDefault="000A0998">
            <w:pPr>
              <w:pStyle w:val="P68B1DB1-Normal39"/>
              <w:spacing w:after="0" w:line="240" w:lineRule="auto"/>
              <w:rPr>
                <w:rFonts w:eastAsia="Times New Roman" w:cs="Times New Roman"/>
                <w:noProof/>
              </w:rPr>
            </w:pPr>
            <w:r>
              <w:rPr>
                <w:noProof/>
              </w:rPr>
              <w:t>Kansallinen hankintastrategia</w:t>
            </w:r>
          </w:p>
        </w:tc>
      </w:tr>
      <w:tr w:rsidR="0065073E" w14:paraId="49C72A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65073E" w:rsidRDefault="000A0998">
            <w:pPr>
              <w:pStyle w:val="P68B1DB1-Normal39"/>
              <w:spacing w:after="0" w:line="240" w:lineRule="auto"/>
              <w:jc w:val="center"/>
              <w:rPr>
                <w:rFonts w:eastAsia="Times New Roman" w:cs="Times New Roman"/>
                <w:noProof/>
              </w:rPr>
            </w:pPr>
            <w:r>
              <w:rPr>
                <w:noProof/>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65073E" w:rsidRDefault="000A0998">
            <w:pPr>
              <w:pStyle w:val="P68B1DB1-Normal39"/>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65073E" w:rsidRDefault="000A0998">
            <w:pPr>
              <w:pStyle w:val="P68B1DB1-Normal39"/>
              <w:spacing w:after="0" w:line="240" w:lineRule="auto"/>
              <w:rPr>
                <w:rFonts w:eastAsia="Times New Roman" w:cs="Times New Roman"/>
                <w:noProof/>
              </w:rPr>
            </w:pPr>
            <w:r>
              <w:rPr>
                <w:noProof/>
              </w:rPr>
              <w:t>Sähköisesti toteutettava oikeudellinen menettely</w:t>
            </w:r>
          </w:p>
        </w:tc>
      </w:tr>
      <w:tr w:rsidR="0065073E" w14:paraId="6EC9F9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65073E" w:rsidRDefault="000A0998">
            <w:pPr>
              <w:pStyle w:val="P68B1DB1-Normal39"/>
              <w:spacing w:after="0" w:line="240" w:lineRule="auto"/>
              <w:jc w:val="center"/>
              <w:rPr>
                <w:rFonts w:eastAsia="Times New Roman" w:cs="Times New Roman"/>
                <w:noProof/>
              </w:rPr>
            </w:pPr>
            <w:r>
              <w:rPr>
                <w:noProof/>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65073E" w:rsidRDefault="000A0998">
            <w:pPr>
              <w:pStyle w:val="P68B1DB1-Normal39"/>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65073E" w:rsidRDefault="000A0998">
            <w:pPr>
              <w:pStyle w:val="P68B1DB1-Normal39"/>
              <w:spacing w:after="0" w:line="240" w:lineRule="auto"/>
              <w:rPr>
                <w:rFonts w:eastAsia="Times New Roman" w:cs="Times New Roman"/>
                <w:noProof/>
              </w:rPr>
            </w:pPr>
            <w:r>
              <w:rPr>
                <w:noProof/>
              </w:rPr>
              <w:t>Uudet viestintävälineet ja -toimet</w:t>
            </w:r>
          </w:p>
        </w:tc>
      </w:tr>
      <w:tr w:rsidR="0065073E" w14:paraId="3DE015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65073E" w:rsidRDefault="000A0998">
            <w:pPr>
              <w:pStyle w:val="P68B1DB1-Normal39"/>
              <w:spacing w:after="0" w:line="240" w:lineRule="auto"/>
              <w:jc w:val="center"/>
              <w:rPr>
                <w:rFonts w:eastAsia="Times New Roman" w:cs="Times New Roman"/>
                <w:noProof/>
              </w:rPr>
            </w:pPr>
            <w:r>
              <w:rPr>
                <w:noProof/>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65073E" w:rsidRDefault="000A0998">
            <w:pPr>
              <w:pStyle w:val="P68B1DB1-Normal39"/>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65073E" w:rsidRDefault="000A0998">
            <w:pPr>
              <w:pStyle w:val="P68B1DB1-Normal39"/>
              <w:spacing w:after="0" w:line="240" w:lineRule="auto"/>
              <w:rPr>
                <w:rFonts w:eastAsia="Times New Roman" w:cs="Times New Roman"/>
                <w:noProof/>
              </w:rPr>
            </w:pPr>
            <w:r>
              <w:rPr>
                <w:noProof/>
              </w:rPr>
              <w:t>Kiertotalouspakettiin kuuluvien säädösten voimaantulo</w:t>
            </w:r>
          </w:p>
        </w:tc>
      </w:tr>
      <w:tr w:rsidR="0065073E" w14:paraId="2F2386F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65073E" w:rsidRDefault="000A0998">
            <w:pPr>
              <w:pStyle w:val="P68B1DB1-Normal39"/>
              <w:spacing w:after="0" w:line="240" w:lineRule="auto"/>
              <w:jc w:val="center"/>
              <w:rPr>
                <w:rFonts w:eastAsia="Times New Roman" w:cs="Times New Roman"/>
                <w:noProof/>
              </w:rPr>
            </w:pPr>
            <w:r>
              <w:rPr>
                <w:noProof/>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65073E" w:rsidRDefault="000A0998">
            <w:pPr>
              <w:pStyle w:val="P68B1DB1-Normal39"/>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65073E" w:rsidRDefault="000A0998">
            <w:pPr>
              <w:pStyle w:val="P68B1DB1-Normal39"/>
              <w:spacing w:after="0" w:line="240" w:lineRule="auto"/>
              <w:rPr>
                <w:rFonts w:eastAsia="Times New Roman" w:cs="Times New Roman"/>
                <w:noProof/>
              </w:rPr>
            </w:pPr>
            <w:r>
              <w:rPr>
                <w:noProof/>
              </w:rPr>
              <w:t xml:space="preserve">Jätteistä ja pilaantuneesta maaperästä annetun lain voimaantulo </w:t>
            </w:r>
          </w:p>
        </w:tc>
      </w:tr>
      <w:tr w:rsidR="0065073E" w14:paraId="612894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65073E" w:rsidRDefault="000A0998">
            <w:pPr>
              <w:pStyle w:val="P68B1DB1-Normal39"/>
              <w:spacing w:after="0" w:line="240" w:lineRule="auto"/>
              <w:jc w:val="center"/>
              <w:rPr>
                <w:rFonts w:eastAsia="Times New Roman" w:cs="Times New Roman"/>
                <w:noProof/>
              </w:rPr>
            </w:pPr>
            <w:r>
              <w:rPr>
                <w:noProof/>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65073E" w:rsidRDefault="000A0998">
            <w:pPr>
              <w:pStyle w:val="P68B1DB1-Normal39"/>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65073E" w:rsidRDefault="000A0998">
            <w:pPr>
              <w:pStyle w:val="P68B1DB1-Normal39"/>
              <w:spacing w:after="0" w:line="240" w:lineRule="auto"/>
              <w:rPr>
                <w:rFonts w:eastAsia="Times New Roman" w:cs="Times New Roman"/>
                <w:noProof/>
              </w:rPr>
            </w:pPr>
            <w:r>
              <w:rPr>
                <w:noProof/>
              </w:rPr>
              <w:t>Sähköajoneuvojen alalla toimiva PERTE</w:t>
            </w:r>
          </w:p>
        </w:tc>
      </w:tr>
      <w:tr w:rsidR="0065073E" w14:paraId="1D07B1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65073E" w:rsidRDefault="000A0998">
            <w:pPr>
              <w:pStyle w:val="P68B1DB1-Normal39"/>
              <w:spacing w:after="0" w:line="240" w:lineRule="auto"/>
              <w:jc w:val="center"/>
              <w:rPr>
                <w:rFonts w:eastAsia="Times New Roman" w:cs="Times New Roman"/>
                <w:noProof/>
              </w:rPr>
            </w:pPr>
            <w:r>
              <w:rPr>
                <w:noProof/>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65073E" w:rsidRDefault="000A0998">
            <w:pPr>
              <w:pStyle w:val="P68B1DB1-Normal39"/>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65073E" w:rsidRDefault="000A0998">
            <w:pPr>
              <w:pStyle w:val="P68B1DB1-Normal39"/>
              <w:spacing w:after="0" w:line="240" w:lineRule="auto"/>
              <w:rPr>
                <w:rFonts w:eastAsia="Times New Roman" w:cs="Times New Roman"/>
                <w:noProof/>
              </w:rPr>
            </w:pPr>
            <w:r>
              <w:rPr>
                <w:noProof/>
              </w:rPr>
              <w:t xml:space="preserve">PERTE-hankkeet suunnitelmassa määritellyillä strategisilla aloilla </w:t>
            </w:r>
          </w:p>
        </w:tc>
      </w:tr>
      <w:tr w:rsidR="0065073E" w14:paraId="4D06C3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65073E" w:rsidRDefault="000A0998">
            <w:pPr>
              <w:pStyle w:val="P68B1DB1-Normal39"/>
              <w:spacing w:after="0" w:line="240" w:lineRule="auto"/>
              <w:jc w:val="center"/>
              <w:rPr>
                <w:rFonts w:eastAsia="Times New Roman" w:cs="Times New Roman"/>
                <w:noProof/>
              </w:rPr>
            </w:pPr>
            <w:r>
              <w:rPr>
                <w:noProof/>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65073E" w:rsidRDefault="000A0998">
            <w:pPr>
              <w:pStyle w:val="P68B1DB1-Normal39"/>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65073E" w:rsidRDefault="000A0998">
            <w:pPr>
              <w:pStyle w:val="P68B1DB1-Normal39"/>
              <w:spacing w:after="0" w:line="240" w:lineRule="auto"/>
              <w:rPr>
                <w:rFonts w:eastAsia="Times New Roman" w:cs="Times New Roman"/>
                <w:noProof/>
              </w:rPr>
            </w:pPr>
            <w:r>
              <w:rPr>
                <w:noProof/>
              </w:rPr>
              <w:t xml:space="preserve">Innovatiiviset hankkeet teollisuuden muuttamiseksi energiatehokkuuden, kestävyyden ja digitalisaation osalta </w:t>
            </w:r>
          </w:p>
        </w:tc>
      </w:tr>
      <w:tr w:rsidR="0065073E" w14:paraId="3B0C9B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65073E" w:rsidRDefault="000A0998">
            <w:pPr>
              <w:pStyle w:val="P68B1DB1-Normal39"/>
              <w:spacing w:after="0" w:line="240" w:lineRule="auto"/>
              <w:jc w:val="center"/>
              <w:rPr>
                <w:rFonts w:eastAsia="Times New Roman" w:cs="Times New Roman"/>
                <w:noProof/>
              </w:rPr>
            </w:pPr>
            <w:r>
              <w:rPr>
                <w:noProof/>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65073E" w:rsidRDefault="000A0998">
            <w:pPr>
              <w:pStyle w:val="P68B1DB1-Normal39"/>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65073E" w:rsidRDefault="000A0998">
            <w:pPr>
              <w:pStyle w:val="P68B1DB1-Normal39"/>
              <w:spacing w:after="0" w:line="240" w:lineRule="auto"/>
              <w:rPr>
                <w:rFonts w:eastAsia="Times New Roman" w:cs="Times New Roman"/>
                <w:noProof/>
              </w:rPr>
            </w:pPr>
            <w:r>
              <w:rPr>
                <w:noProof/>
              </w:rPr>
              <w:t>Yritysten perustamista ja kasvua koskevan lain voimaantulo</w:t>
            </w:r>
          </w:p>
        </w:tc>
      </w:tr>
      <w:tr w:rsidR="0065073E" w14:paraId="1F16E3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65073E" w:rsidRDefault="000A0998">
            <w:pPr>
              <w:pStyle w:val="P68B1DB1-Normal39"/>
              <w:spacing w:after="0" w:line="240" w:lineRule="auto"/>
              <w:jc w:val="center"/>
              <w:rPr>
                <w:rFonts w:eastAsia="Times New Roman" w:cs="Times New Roman"/>
                <w:noProof/>
              </w:rPr>
            </w:pPr>
            <w:r>
              <w:rPr>
                <w:noProof/>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65073E" w:rsidRDefault="000A0998">
            <w:pPr>
              <w:pStyle w:val="P68B1DB1-Normal39"/>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65073E" w:rsidRDefault="000A0998">
            <w:pPr>
              <w:pStyle w:val="P68B1DB1-Normal39"/>
              <w:spacing w:after="0" w:line="240" w:lineRule="auto"/>
              <w:rPr>
                <w:rFonts w:eastAsia="Times New Roman" w:cs="Times New Roman"/>
                <w:noProof/>
              </w:rPr>
            </w:pPr>
            <w:r>
              <w:rPr>
                <w:noProof/>
              </w:rPr>
              <w:t>Startup-yrityksiä koskevan lain voimaantulo</w:t>
            </w:r>
          </w:p>
        </w:tc>
      </w:tr>
      <w:tr w:rsidR="0065073E" w14:paraId="6B8EDE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65073E" w:rsidRDefault="000A0998">
            <w:pPr>
              <w:pStyle w:val="P68B1DB1-Normal39"/>
              <w:spacing w:after="0" w:line="240" w:lineRule="auto"/>
              <w:jc w:val="center"/>
              <w:rPr>
                <w:rFonts w:eastAsia="Times New Roman" w:cs="Times New Roman"/>
                <w:noProof/>
              </w:rPr>
            </w:pPr>
            <w:r>
              <w:rPr>
                <w:noProof/>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65073E" w:rsidRDefault="000A0998">
            <w:pPr>
              <w:pStyle w:val="P68B1DB1-Normal39"/>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65073E" w:rsidRDefault="000A0998">
            <w:pPr>
              <w:pStyle w:val="P68B1DB1-Normal39"/>
              <w:spacing w:after="0" w:line="240" w:lineRule="auto"/>
              <w:rPr>
                <w:rFonts w:eastAsia="Times New Roman" w:cs="Times New Roman"/>
                <w:noProof/>
              </w:rPr>
            </w:pPr>
            <w:r>
              <w:rPr>
                <w:noProof/>
              </w:rPr>
              <w:t>Ulkomaalaisten oikeuksista ja vapauksista ja heidän sosiaalisesta integroitumisestaan annetun lain 4/2000 muuttamisesta 26. heinäkuuta 2022 annetun kuninkaallisen asetuksen 629/2022 voimaantulo</w:t>
            </w:r>
          </w:p>
        </w:tc>
      </w:tr>
      <w:tr w:rsidR="0065073E" w14:paraId="2C6264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65073E" w:rsidRDefault="000A0998">
            <w:pPr>
              <w:pStyle w:val="P68B1DB1-Normal39"/>
              <w:spacing w:after="0" w:line="240" w:lineRule="auto"/>
              <w:jc w:val="center"/>
              <w:rPr>
                <w:rFonts w:eastAsia="Times New Roman" w:cs="Times New Roman"/>
                <w:noProof/>
              </w:rPr>
            </w:pPr>
            <w:r>
              <w:rPr>
                <w:noProof/>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65073E" w:rsidRDefault="000A0998">
            <w:pPr>
              <w:pStyle w:val="P68B1DB1-Normal39"/>
              <w:spacing w:after="0" w:line="240" w:lineRule="auto"/>
              <w:rPr>
                <w:rFonts w:eastAsia="Times New Roman" w:cs="Times New Roman"/>
                <w:noProof/>
              </w:rPr>
            </w:pPr>
            <w:r>
              <w:rPr>
                <w:noProof/>
              </w:rPr>
              <w:t>Digitaalinen työkalupakki -ohjelmaan sidotut määrärahat</w:t>
            </w:r>
          </w:p>
        </w:tc>
      </w:tr>
      <w:tr w:rsidR="0065073E" w14:paraId="6D562E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65073E" w:rsidRDefault="000A0998">
            <w:pPr>
              <w:pStyle w:val="P68B1DB1-Normal39"/>
              <w:spacing w:after="0" w:line="240" w:lineRule="auto"/>
              <w:jc w:val="center"/>
              <w:rPr>
                <w:rFonts w:eastAsia="Times New Roman" w:cs="Times New Roman"/>
                <w:noProof/>
              </w:rPr>
            </w:pPr>
            <w:r>
              <w:rPr>
                <w:noProof/>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65073E" w:rsidRDefault="000A0998">
            <w:pPr>
              <w:pStyle w:val="P68B1DB1-Normal39"/>
              <w:spacing w:after="0" w:line="240" w:lineRule="auto"/>
              <w:rPr>
                <w:rFonts w:eastAsia="Times New Roman" w:cs="Times New Roman"/>
                <w:noProof/>
              </w:rPr>
            </w:pPr>
            <w:r>
              <w:rPr>
                <w:noProof/>
              </w:rPr>
              <w:t>Muutosohjelman toimihenkilöille sidotut määrärahat</w:t>
            </w:r>
          </w:p>
        </w:tc>
      </w:tr>
      <w:tr w:rsidR="0065073E" w14:paraId="71FEF5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65073E" w:rsidRDefault="000A0998">
            <w:pPr>
              <w:pStyle w:val="P68B1DB1-Normal39"/>
              <w:spacing w:after="0" w:line="240" w:lineRule="auto"/>
              <w:jc w:val="center"/>
              <w:rPr>
                <w:rFonts w:eastAsia="Times New Roman" w:cs="Times New Roman"/>
                <w:noProof/>
              </w:rPr>
            </w:pPr>
            <w:r>
              <w:rPr>
                <w:noProof/>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65073E" w:rsidRDefault="000A0998">
            <w:pPr>
              <w:pStyle w:val="P68B1DB1-Normal39"/>
              <w:spacing w:after="0" w:line="240" w:lineRule="auto"/>
              <w:rPr>
                <w:rFonts w:eastAsia="Times New Roman" w:cs="Times New Roman"/>
                <w:noProof/>
              </w:rPr>
            </w:pPr>
            <w:r>
              <w:rPr>
                <w:noProof/>
              </w:rPr>
              <w:t>Innovatiivisen yritysklusterin tukiohjelmaan sidotut määrärahat</w:t>
            </w:r>
          </w:p>
        </w:tc>
      </w:tr>
      <w:tr w:rsidR="0065073E" w14:paraId="0125B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65073E" w:rsidRDefault="000A0998">
            <w:pPr>
              <w:pStyle w:val="P68B1DB1-Normal39"/>
              <w:spacing w:after="0" w:line="240" w:lineRule="auto"/>
              <w:jc w:val="center"/>
              <w:rPr>
                <w:rFonts w:eastAsia="Times New Roman" w:cs="Times New Roman"/>
                <w:noProof/>
              </w:rPr>
            </w:pPr>
            <w:r>
              <w:rPr>
                <w:noProof/>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65073E" w:rsidRDefault="000A0998">
            <w:pPr>
              <w:pStyle w:val="P68B1DB1-Normal39"/>
              <w:spacing w:after="0" w:line="240" w:lineRule="auto"/>
              <w:rPr>
                <w:rFonts w:eastAsia="Times New Roman" w:cs="Times New Roman"/>
                <w:noProof/>
              </w:rPr>
            </w:pPr>
            <w:r>
              <w:rPr>
                <w:noProof/>
              </w:rPr>
              <w:t>Digitaali-innovaatiokeskittymien ohjelmalle sidotut määrärahat</w:t>
            </w:r>
          </w:p>
        </w:tc>
      </w:tr>
      <w:tr w:rsidR="0065073E" w14:paraId="1B9A0A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65073E" w:rsidRDefault="000A0998">
            <w:pPr>
              <w:pStyle w:val="P68B1DB1-Normal39"/>
              <w:spacing w:after="0" w:line="240" w:lineRule="auto"/>
              <w:jc w:val="center"/>
              <w:rPr>
                <w:rFonts w:eastAsia="Times New Roman" w:cs="Times New Roman"/>
                <w:noProof/>
              </w:rPr>
            </w:pPr>
            <w:r>
              <w:rPr>
                <w:noProof/>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65073E" w:rsidRDefault="000A0998">
            <w:pPr>
              <w:pStyle w:val="P68B1DB1-Normal39"/>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65073E" w:rsidRDefault="000A0998">
            <w:pPr>
              <w:pStyle w:val="P68B1DB1-Normal39"/>
              <w:spacing w:after="0" w:line="240" w:lineRule="auto"/>
              <w:rPr>
                <w:rFonts w:eastAsia="Times New Roman" w:cs="Times New Roman"/>
                <w:noProof/>
              </w:rPr>
            </w:pPr>
            <w:r>
              <w:rPr>
                <w:noProof/>
              </w:rPr>
              <w:t>Matkailun kestävyyttä matkakohteessa edistävien suunnitelmien määrärahojen myöntäminen</w:t>
            </w:r>
          </w:p>
        </w:tc>
      </w:tr>
      <w:tr w:rsidR="0065073E" w14:paraId="4857B8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65073E" w:rsidRDefault="000A0998">
            <w:pPr>
              <w:pStyle w:val="P68B1DB1-Normal39"/>
              <w:spacing w:after="0" w:line="240" w:lineRule="auto"/>
              <w:jc w:val="center"/>
              <w:rPr>
                <w:rFonts w:eastAsia="Times New Roman" w:cs="Times New Roman"/>
                <w:noProof/>
              </w:rPr>
            </w:pPr>
            <w:r>
              <w:rPr>
                <w:noProof/>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65073E" w:rsidRDefault="000A0998">
            <w:pPr>
              <w:pStyle w:val="P68B1DB1-Normal39"/>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65073E" w:rsidRDefault="000A0998">
            <w:pPr>
              <w:pStyle w:val="P68B1DB1-Normal39"/>
              <w:spacing w:after="0" w:line="240" w:lineRule="auto"/>
              <w:rPr>
                <w:rFonts w:eastAsia="Times New Roman" w:cs="Times New Roman"/>
                <w:noProof/>
              </w:rPr>
            </w:pPr>
            <w:r>
              <w:rPr>
                <w:noProof/>
              </w:rPr>
              <w:t>26 GHz:n taajuusalueen osoittaminen</w:t>
            </w:r>
          </w:p>
        </w:tc>
      </w:tr>
      <w:tr w:rsidR="0065073E" w14:paraId="2F369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65073E" w:rsidRDefault="000A0998">
            <w:pPr>
              <w:pStyle w:val="P68B1DB1-Normal39"/>
              <w:spacing w:after="0" w:line="240" w:lineRule="auto"/>
              <w:jc w:val="center"/>
              <w:rPr>
                <w:rFonts w:eastAsia="Times New Roman" w:cs="Times New Roman"/>
                <w:noProof/>
              </w:rPr>
            </w:pPr>
            <w:r>
              <w:rPr>
                <w:noProof/>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65073E" w:rsidRDefault="000A0998">
            <w:pPr>
              <w:pStyle w:val="P68B1DB1-Normal39"/>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65073E" w:rsidRDefault="000A0998">
            <w:pPr>
              <w:pStyle w:val="P68B1DB1-Normal39"/>
              <w:spacing w:after="0" w:line="240" w:lineRule="auto"/>
              <w:rPr>
                <w:rFonts w:eastAsia="Times New Roman" w:cs="Times New Roman"/>
                <w:noProof/>
              </w:rPr>
            </w:pPr>
            <w:r>
              <w:rPr>
                <w:noProof/>
              </w:rPr>
              <w:t xml:space="preserve">5G-kyberturvallisuutta koskevan lain voimaantulo </w:t>
            </w:r>
          </w:p>
        </w:tc>
      </w:tr>
      <w:tr w:rsidR="0065073E" w14:paraId="29F5CC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65073E" w:rsidRDefault="000A0998">
            <w:pPr>
              <w:pStyle w:val="P68B1DB1-Normal39"/>
              <w:spacing w:after="0" w:line="240" w:lineRule="auto"/>
              <w:jc w:val="center"/>
              <w:rPr>
                <w:rFonts w:eastAsia="Times New Roman" w:cs="Times New Roman"/>
                <w:noProof/>
              </w:rPr>
            </w:pPr>
            <w:r>
              <w:rPr>
                <w:noProof/>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65073E" w:rsidRDefault="000A0998">
            <w:pPr>
              <w:pStyle w:val="P68B1DB1-Normal39"/>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65073E" w:rsidRDefault="000A0998">
            <w:pPr>
              <w:pStyle w:val="P68B1DB1-Normal39"/>
              <w:spacing w:after="0" w:line="240" w:lineRule="auto"/>
              <w:rPr>
                <w:rFonts w:eastAsia="Times New Roman" w:cs="Times New Roman"/>
                <w:noProof/>
              </w:rPr>
            </w:pPr>
            <w:r>
              <w:rPr>
                <w:noProof/>
              </w:rPr>
              <w:t>Kansallisen kyberturvallisuusalan tukiohjelman, maailmanlaajuisen turvallisuusinnovaatio-ohjelman ja niihin liittyvien toimien käynnistäminen.</w:t>
            </w:r>
          </w:p>
        </w:tc>
      </w:tr>
      <w:tr w:rsidR="0065073E" w14:paraId="4FBFE5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65073E" w:rsidRDefault="000A0998">
            <w:pPr>
              <w:pStyle w:val="P68B1DB1-Normal39"/>
              <w:spacing w:after="0" w:line="240" w:lineRule="auto"/>
              <w:jc w:val="center"/>
              <w:rPr>
                <w:rFonts w:eastAsia="Times New Roman" w:cs="Times New Roman"/>
                <w:noProof/>
              </w:rPr>
            </w:pPr>
            <w:r>
              <w:rPr>
                <w:noProof/>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65073E" w:rsidRDefault="000A0998">
            <w:pPr>
              <w:pStyle w:val="P68B1DB1-Normal39"/>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65073E" w:rsidRDefault="000A0998">
            <w:pPr>
              <w:pStyle w:val="P68B1DB1-Normal39"/>
              <w:spacing w:after="0" w:line="240" w:lineRule="auto"/>
              <w:rPr>
                <w:rFonts w:eastAsia="Times New Roman" w:cs="Times New Roman"/>
                <w:noProof/>
              </w:rPr>
            </w:pPr>
            <w:r>
              <w:rPr>
                <w:noProof/>
              </w:rPr>
              <w:t>Kyberturvallisuusvalmiuksien vahvistaminen ja parantaminen: Kyberturvallisuuden neuvontapalvelu</w:t>
            </w:r>
          </w:p>
        </w:tc>
      </w:tr>
      <w:tr w:rsidR="0065073E" w14:paraId="250C02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65073E" w:rsidRDefault="000A0998">
            <w:pPr>
              <w:pStyle w:val="P68B1DB1-Normal39"/>
              <w:spacing w:after="0" w:line="240" w:lineRule="auto"/>
              <w:jc w:val="center"/>
              <w:rPr>
                <w:rFonts w:eastAsia="Times New Roman" w:cs="Times New Roman"/>
                <w:noProof/>
              </w:rPr>
            </w:pPr>
            <w:r>
              <w:rPr>
                <w:noProof/>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65073E" w:rsidRDefault="000A0998">
            <w:pPr>
              <w:pStyle w:val="P68B1DB1-Normal39"/>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65073E" w:rsidRDefault="000A0998">
            <w:pPr>
              <w:pStyle w:val="P68B1DB1-Normal39"/>
              <w:spacing w:after="0" w:line="240" w:lineRule="auto"/>
              <w:rPr>
                <w:rFonts w:eastAsia="Times New Roman" w:cs="Times New Roman"/>
                <w:noProof/>
              </w:rPr>
            </w:pPr>
            <w:r>
              <w:rPr>
                <w:noProof/>
              </w:rPr>
              <w:t xml:space="preserve">Palkinnot hankkeille, joilla parannetaan kansallisia tieteellisiä infrastruktuureja ja Espanjan tiedeteknologia- ja innovointijärjestelmän valmiuksia, sekä kansainvälisten yhteisöjen kanssa allekirjoitetut kahdenväliset sopimukset ja muut välineet eurooppalaisten ja kansainvälisten infrastruktuurihankkeiden rahoittamiseksi. </w:t>
            </w:r>
          </w:p>
        </w:tc>
      </w:tr>
      <w:tr w:rsidR="0065073E" w14:paraId="15E654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65073E" w:rsidRDefault="000A0998">
            <w:pPr>
              <w:pStyle w:val="P68B1DB1-Normal39"/>
              <w:spacing w:after="0" w:line="240" w:lineRule="auto"/>
              <w:jc w:val="center"/>
              <w:rPr>
                <w:rFonts w:eastAsia="Times New Roman" w:cs="Times New Roman"/>
                <w:noProof/>
              </w:rPr>
            </w:pPr>
            <w:r>
              <w:rPr>
                <w:noProof/>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65073E" w:rsidRDefault="000A0998">
            <w:pPr>
              <w:pStyle w:val="P68B1DB1-Normal39"/>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65073E" w:rsidRDefault="000A0998">
            <w:pPr>
              <w:pStyle w:val="P68B1DB1-Normal39"/>
              <w:spacing w:after="0" w:line="240" w:lineRule="auto"/>
              <w:rPr>
                <w:rFonts w:eastAsia="Times New Roman" w:cs="Times New Roman"/>
                <w:noProof/>
              </w:rPr>
            </w:pPr>
            <w:r>
              <w:rPr>
                <w:noProof/>
              </w:rPr>
              <w:t xml:space="preserve">Uusien yksityisten, tieteidenvälisten, julkisten T &amp; K &amp; I-hankkeiden, konseptitestien, kansainvälisten kilpailuun perustuvien ehdotuspyyntöjen sekä sosiaalisiin haasteisiin keskittyvän huipputason T &amp; K-hankkeiden myöntäminen </w:t>
            </w:r>
          </w:p>
        </w:tc>
      </w:tr>
      <w:tr w:rsidR="0065073E" w14:paraId="075FD5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65073E" w:rsidRDefault="000A0998">
            <w:pPr>
              <w:pStyle w:val="P68B1DB1-Normal39"/>
              <w:spacing w:after="0" w:line="240" w:lineRule="auto"/>
              <w:jc w:val="center"/>
              <w:rPr>
                <w:rFonts w:eastAsia="Times New Roman" w:cs="Times New Roman"/>
                <w:noProof/>
              </w:rPr>
            </w:pPr>
            <w:r>
              <w:rPr>
                <w:noProof/>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65073E" w:rsidRDefault="000A0998">
            <w:pPr>
              <w:pStyle w:val="P68B1DB1-Normal39"/>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65073E" w:rsidRDefault="000A0998">
            <w:pPr>
              <w:pStyle w:val="P68B1DB1-Normal39"/>
              <w:spacing w:after="0" w:line="240" w:lineRule="auto"/>
              <w:rPr>
                <w:rFonts w:eastAsia="Times New Roman" w:cs="Times New Roman"/>
                <w:noProof/>
              </w:rPr>
            </w:pPr>
            <w:r>
              <w:rPr>
                <w:noProof/>
              </w:rPr>
              <w:t>Vähintään 50000 uutta ammatillisen koulutuksen paikkaa vuoden 2020 loppuun verrattuna.</w:t>
            </w:r>
          </w:p>
        </w:tc>
      </w:tr>
      <w:tr w:rsidR="0065073E" w14:paraId="4908B9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65073E" w:rsidRDefault="000A0998">
            <w:pPr>
              <w:pStyle w:val="P68B1DB1-Normal39"/>
              <w:spacing w:after="0" w:line="240" w:lineRule="auto"/>
              <w:jc w:val="center"/>
              <w:rPr>
                <w:rFonts w:eastAsia="Times New Roman" w:cs="Times New Roman"/>
                <w:noProof/>
              </w:rPr>
            </w:pPr>
            <w:r>
              <w:rPr>
                <w:noProof/>
              </w:rPr>
              <w:t>319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65073E" w:rsidRDefault="000A0998">
            <w:pPr>
              <w:pStyle w:val="P68B1DB1-Normal39"/>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65073E" w:rsidRDefault="000A0998">
            <w:pPr>
              <w:pStyle w:val="P68B1DB1-Normal39"/>
              <w:spacing w:after="0" w:line="240" w:lineRule="auto"/>
              <w:rPr>
                <w:rFonts w:eastAsia="Times New Roman" w:cs="Times New Roman"/>
                <w:noProof/>
              </w:rPr>
            </w:pPr>
            <w:r>
              <w:rPr>
                <w:noProof/>
              </w:rPr>
              <w:t>Valtionhallinnon maksuihin perustumattomien taloudellisten etuuksien järjestelmän uudelleenorganisointia ja yksinkertaistamista koskevan suunnitelman julkaiseminen.</w:t>
            </w:r>
          </w:p>
        </w:tc>
      </w:tr>
      <w:tr w:rsidR="0065073E" w14:paraId="613703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65073E" w:rsidRDefault="000A0998">
            <w:pPr>
              <w:pStyle w:val="P68B1DB1-Normal39"/>
              <w:spacing w:after="0" w:line="240" w:lineRule="auto"/>
              <w:jc w:val="center"/>
              <w:rPr>
                <w:rFonts w:eastAsia="Times New Roman" w:cs="Times New Roman"/>
                <w:noProof/>
              </w:rPr>
            </w:pPr>
            <w:r>
              <w:rPr>
                <w:noProof/>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65073E" w:rsidRDefault="000A0998">
            <w:pPr>
              <w:pStyle w:val="P68B1DB1-Normal39"/>
              <w:spacing w:after="0" w:line="240" w:lineRule="auto"/>
              <w:rPr>
                <w:rFonts w:eastAsia="Times New Roman" w:cs="Times New Roman"/>
                <w:noProof/>
              </w:rPr>
            </w:pPr>
            <w:r>
              <w:rPr>
                <w:noProof/>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65073E" w:rsidRDefault="000A0998">
            <w:pPr>
              <w:pStyle w:val="P68B1DB1-Normal39"/>
              <w:spacing w:after="0" w:line="240" w:lineRule="auto"/>
              <w:rPr>
                <w:rFonts w:eastAsia="Times New Roman" w:cs="Times New Roman"/>
                <w:noProof/>
              </w:rPr>
            </w:pPr>
            <w:r>
              <w:rPr>
                <w:noProof/>
              </w:rPr>
              <w:t>Työlain muutoksen voimaantulo (kuninkaan asetus 3/2015)</w:t>
            </w:r>
          </w:p>
        </w:tc>
      </w:tr>
      <w:tr w:rsidR="0065073E" w14:paraId="0D8C5F6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65073E" w:rsidRDefault="000A0998">
            <w:pPr>
              <w:pStyle w:val="P68B1DB1-Normal39"/>
              <w:spacing w:after="0" w:line="240" w:lineRule="auto"/>
              <w:jc w:val="center"/>
              <w:rPr>
                <w:rFonts w:eastAsia="Times New Roman" w:cs="Times New Roman"/>
                <w:noProof/>
              </w:rPr>
            </w:pPr>
            <w:r>
              <w:rPr>
                <w:noProof/>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65073E" w:rsidRDefault="000A0998">
            <w:pPr>
              <w:pStyle w:val="P68B1DB1-Normal39"/>
              <w:spacing w:after="0" w:line="240" w:lineRule="auto"/>
              <w:rPr>
                <w:rFonts w:eastAsia="Times New Roman" w:cs="Times New Roman"/>
                <w:noProof/>
              </w:rPr>
            </w:pPr>
            <w:r>
              <w:rPr>
                <w:noProof/>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65073E" w:rsidRDefault="000A0998">
            <w:pPr>
              <w:pStyle w:val="P68B1DB1-Normal39"/>
              <w:spacing w:after="0" w:line="240" w:lineRule="auto"/>
              <w:rPr>
                <w:rFonts w:eastAsia="Times New Roman" w:cs="Times New Roman"/>
                <w:noProof/>
              </w:rPr>
            </w:pPr>
            <w:r>
              <w:rPr>
                <w:noProof/>
              </w:rPr>
              <w:t>Lain nro 43/2006 uudistuksen voimaantulo rekrytoinnin kannustinjärjestelmän yksinkertaistamiseksi ja tehostamiseksi ottaen huomioon AIReF:n antamat suositukset</w:t>
            </w:r>
          </w:p>
        </w:tc>
      </w:tr>
      <w:tr w:rsidR="0065073E" w14:paraId="3F9525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65073E" w:rsidRDefault="000A0998">
            <w:pPr>
              <w:pStyle w:val="P68B1DB1-Normal39"/>
              <w:spacing w:after="0" w:line="240" w:lineRule="auto"/>
              <w:jc w:val="center"/>
              <w:rPr>
                <w:rFonts w:eastAsia="Times New Roman" w:cs="Times New Roman"/>
                <w:noProof/>
              </w:rPr>
            </w:pPr>
            <w:r>
              <w:rPr>
                <w:noProof/>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65073E" w:rsidRDefault="000A0998">
            <w:pPr>
              <w:pStyle w:val="P68B1DB1-Normal39"/>
              <w:spacing w:after="0" w:line="240" w:lineRule="auto"/>
              <w:rPr>
                <w:rFonts w:eastAsia="Times New Roman" w:cs="Times New Roman"/>
                <w:noProof/>
              </w:rPr>
            </w:pPr>
            <w:r>
              <w:rPr>
                <w:noProof/>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65073E" w:rsidRDefault="000A0998">
            <w:pPr>
              <w:pStyle w:val="P68B1DB1-Normal39"/>
              <w:spacing w:after="0" w:line="240" w:lineRule="auto"/>
              <w:rPr>
                <w:rFonts w:eastAsia="Times New Roman" w:cs="Times New Roman"/>
                <w:noProof/>
              </w:rPr>
            </w:pPr>
            <w:r>
              <w:rPr>
                <w:noProof/>
              </w:rPr>
              <w:t>Maksuihin perustumattoman työttömyystuen sääntelyn uudistamisesta annetun kuninkaallisen asetuksen 8/2015 muutos tulee voimaan</w:t>
            </w:r>
          </w:p>
        </w:tc>
      </w:tr>
      <w:tr w:rsidR="0065073E" w14:paraId="1FC884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65073E" w:rsidRDefault="000A0998">
            <w:pPr>
              <w:pStyle w:val="P68B1DB1-Normal39"/>
              <w:spacing w:after="0" w:line="240" w:lineRule="auto"/>
              <w:jc w:val="center"/>
              <w:rPr>
                <w:rFonts w:eastAsia="Times New Roman" w:cs="Times New Roman"/>
                <w:noProof/>
              </w:rPr>
            </w:pPr>
            <w:r>
              <w:rPr>
                <w:noProof/>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65073E" w:rsidRDefault="000A0998">
            <w:pPr>
              <w:pStyle w:val="P68B1DB1-Normal39"/>
              <w:spacing w:after="0" w:line="240" w:lineRule="auto"/>
              <w:rPr>
                <w:rFonts w:eastAsia="Times New Roman" w:cs="Times New Roman"/>
                <w:noProof/>
              </w:rPr>
            </w:pPr>
            <w:r>
              <w:rPr>
                <w:noProof/>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65073E" w:rsidRDefault="000A0998">
            <w:pPr>
              <w:pStyle w:val="P68B1DB1-Normal39"/>
              <w:spacing w:after="0" w:line="240" w:lineRule="auto"/>
              <w:rPr>
                <w:rFonts w:eastAsia="Times New Roman" w:cs="Times New Roman"/>
                <w:noProof/>
              </w:rPr>
            </w:pPr>
            <w:r>
              <w:rPr>
                <w:noProof/>
              </w:rPr>
              <w:t>Taiteilijan perussäännön, sponsoroinnin ja verokannustinjärjestelmän voimaantulo.</w:t>
            </w:r>
          </w:p>
        </w:tc>
      </w:tr>
      <w:tr w:rsidR="0065073E" w14:paraId="150424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65073E" w:rsidRDefault="000A0998">
            <w:pPr>
              <w:pStyle w:val="P68B1DB1-Normal39"/>
              <w:spacing w:after="0" w:line="240" w:lineRule="auto"/>
              <w:jc w:val="center"/>
              <w:rPr>
                <w:rFonts w:eastAsia="Times New Roman" w:cs="Times New Roman"/>
                <w:noProof/>
              </w:rPr>
            </w:pPr>
            <w:r>
              <w:rPr>
                <w:noProof/>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65073E" w:rsidRDefault="000A0998">
            <w:pPr>
              <w:pStyle w:val="P68B1DB1-Normal39"/>
              <w:spacing w:after="0" w:line="240" w:lineRule="auto"/>
              <w:rPr>
                <w:rFonts w:eastAsia="Times New Roman" w:cs="Times New Roman"/>
                <w:noProof/>
              </w:rPr>
            </w:pPr>
            <w:r>
              <w:rPr>
                <w:noProof/>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65073E" w:rsidRDefault="000A0998">
            <w:pPr>
              <w:pStyle w:val="P68B1DB1-Normal39"/>
              <w:spacing w:after="0" w:line="240" w:lineRule="auto"/>
              <w:rPr>
                <w:rFonts w:eastAsia="Times New Roman" w:cs="Times New Roman"/>
                <w:noProof/>
              </w:rPr>
            </w:pPr>
            <w:r>
              <w:rPr>
                <w:noProof/>
              </w:rPr>
              <w:t xml:space="preserve">Urheilulain voimaantulo </w:t>
            </w:r>
          </w:p>
        </w:tc>
      </w:tr>
      <w:tr w:rsidR="0065073E" w14:paraId="03964C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65073E" w:rsidRDefault="000A0998">
            <w:pPr>
              <w:pStyle w:val="P68B1DB1-Normal39"/>
              <w:spacing w:after="0" w:line="240" w:lineRule="auto"/>
              <w:jc w:val="center"/>
              <w:rPr>
                <w:rFonts w:eastAsia="Times New Roman" w:cs="Times New Roman"/>
                <w:noProof/>
              </w:rPr>
            </w:pPr>
            <w:r>
              <w:rPr>
                <w:noProof/>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65073E" w:rsidRDefault="000A0998">
            <w:pPr>
              <w:pStyle w:val="P68B1DB1-Normal39"/>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65073E" w:rsidRDefault="000A0998">
            <w:pPr>
              <w:pStyle w:val="P68B1DB1-Normal39"/>
              <w:spacing w:after="0" w:line="240" w:lineRule="auto"/>
              <w:rPr>
                <w:rFonts w:eastAsia="Times New Roman" w:cs="Times New Roman"/>
                <w:noProof/>
              </w:rPr>
            </w:pPr>
            <w:r>
              <w:rPr>
                <w:noProof/>
              </w:rPr>
              <w:t>Veropetoksista ja veropetoksista annetun lain vaikutusten väliarviointi.</w:t>
            </w:r>
          </w:p>
        </w:tc>
      </w:tr>
      <w:tr w:rsidR="0065073E" w14:paraId="04E54C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65073E" w:rsidRDefault="000A0998">
            <w:pPr>
              <w:pStyle w:val="P68B1DB1-Normal39"/>
              <w:spacing w:after="0" w:line="240" w:lineRule="auto"/>
              <w:jc w:val="center"/>
              <w:rPr>
                <w:rFonts w:eastAsia="Times New Roman" w:cs="Times New Roman"/>
                <w:noProof/>
              </w:rPr>
            </w:pPr>
            <w:r>
              <w:rPr>
                <w:noProof/>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65073E" w:rsidRDefault="000A0998">
            <w:pPr>
              <w:pStyle w:val="P68B1DB1-Normal39"/>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65073E" w:rsidRDefault="000A0998">
            <w:pPr>
              <w:pStyle w:val="P68B1DB1-Normal39"/>
              <w:spacing w:after="0" w:line="240" w:lineRule="auto"/>
              <w:rPr>
                <w:rFonts w:eastAsia="Times New Roman" w:cs="Times New Roman"/>
                <w:noProof/>
              </w:rPr>
            </w:pPr>
            <w:r>
              <w:rPr>
                <w:noProof/>
              </w:rPr>
              <w:t>Vihreän budjetoinnin yhdenmukaistamista koskeva kertomus</w:t>
            </w:r>
          </w:p>
        </w:tc>
      </w:tr>
      <w:tr w:rsidR="0065073E" w14:paraId="171B8E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65073E" w:rsidRDefault="000A0998">
            <w:pPr>
              <w:pStyle w:val="P68B1DB1-Normal39"/>
              <w:spacing w:after="0" w:line="240" w:lineRule="auto"/>
              <w:jc w:val="center"/>
              <w:rPr>
                <w:rFonts w:eastAsia="Times New Roman" w:cs="Times New Roman"/>
                <w:noProof/>
              </w:rPr>
            </w:pPr>
            <w:r>
              <w:rPr>
                <w:noProof/>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65073E" w:rsidRDefault="000A0998">
            <w:pPr>
              <w:pStyle w:val="P68B1DB1-Normal39"/>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65073E" w:rsidRDefault="000A0998">
            <w:pPr>
              <w:pStyle w:val="P68B1DB1-Normal39"/>
              <w:spacing w:after="0" w:line="240" w:lineRule="auto"/>
              <w:rPr>
                <w:rFonts w:eastAsia="Times New Roman" w:cs="Times New Roman"/>
                <w:noProof/>
              </w:rPr>
            </w:pPr>
            <w:r>
              <w:rPr>
                <w:noProof/>
              </w:rPr>
              <w:t xml:space="preserve">Vanhuuseläkkeen laskentakauden mukauttaminen </w:t>
            </w:r>
          </w:p>
        </w:tc>
      </w:tr>
      <w:tr w:rsidR="0065073E" w14:paraId="4A39EC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65073E" w:rsidRDefault="000A0998">
            <w:pPr>
              <w:pStyle w:val="P68B1DB1-Normal39"/>
              <w:spacing w:after="0" w:line="240" w:lineRule="auto"/>
              <w:jc w:val="center"/>
              <w:rPr>
                <w:rFonts w:eastAsia="Times New Roman" w:cs="Times New Roman"/>
                <w:noProof/>
              </w:rPr>
            </w:pPr>
            <w:r>
              <w:rPr>
                <w:noProof/>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65073E" w:rsidRDefault="000A0998">
            <w:pPr>
              <w:pStyle w:val="P68B1DB1-Normal39"/>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65073E" w:rsidRDefault="000A0998">
            <w:pPr>
              <w:pStyle w:val="P68B1DB1-Normal39"/>
              <w:spacing w:after="0" w:line="240" w:lineRule="auto"/>
              <w:rPr>
                <w:rFonts w:eastAsia="Times New Roman" w:cs="Times New Roman"/>
                <w:noProof/>
              </w:rPr>
            </w:pPr>
            <w:r>
              <w:rPr>
                <w:noProof/>
              </w:rPr>
              <w:t>Kestävyystekijän korvaaminen sukupolvien välisellä pääomajärjestelyllä</w:t>
            </w:r>
          </w:p>
        </w:tc>
      </w:tr>
      <w:tr w:rsidR="0065073E" w14:paraId="254164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65073E" w:rsidRDefault="000A0998">
            <w:pPr>
              <w:pStyle w:val="P68B1DB1-Normal39"/>
              <w:spacing w:after="0" w:line="240" w:lineRule="auto"/>
              <w:jc w:val="center"/>
              <w:rPr>
                <w:rFonts w:eastAsia="Times New Roman" w:cs="Times New Roman"/>
                <w:noProof/>
              </w:rPr>
            </w:pPr>
            <w:r>
              <w:rPr>
                <w:noProof/>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65073E" w:rsidRDefault="000A0998">
            <w:pPr>
              <w:pStyle w:val="P68B1DB1-Normal39"/>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65073E" w:rsidRDefault="000A0998">
            <w:pPr>
              <w:pStyle w:val="P68B1DB1-Normal39"/>
              <w:spacing w:after="0" w:line="240" w:lineRule="auto"/>
              <w:rPr>
                <w:rFonts w:eastAsia="Times New Roman" w:cs="Times New Roman"/>
                <w:noProof/>
              </w:rPr>
            </w:pPr>
            <w:r>
              <w:rPr>
                <w:noProof/>
              </w:rPr>
              <w:t>Päivitetyt ennusteet siitä, miten vuosina 2021 ja 2022 toteutetuilla eläkeuudistuksilla varmistetaan julkisen talouden pitkän aikavälin kestävyys</w:t>
            </w:r>
          </w:p>
        </w:tc>
      </w:tr>
      <w:tr w:rsidR="0065073E" w14:paraId="4CA8C9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65073E" w:rsidRDefault="000A0998">
            <w:pPr>
              <w:pStyle w:val="P68B1DB1-Normal39"/>
              <w:spacing w:after="0" w:line="240" w:lineRule="auto"/>
              <w:jc w:val="center"/>
              <w:rPr>
                <w:rFonts w:eastAsia="Times New Roman" w:cs="Times New Roman"/>
                <w:noProof/>
              </w:rPr>
            </w:pPr>
            <w:r>
              <w:rPr>
                <w:noProof/>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65073E" w:rsidRDefault="000A0998">
            <w:pPr>
              <w:pStyle w:val="P68B1DB1-Normal39"/>
              <w:spacing w:after="0" w:line="240" w:lineRule="auto"/>
              <w:rPr>
                <w:rFonts w:eastAsia="Times New Roman" w:cs="Times New Roman"/>
                <w:noProof/>
              </w:rPr>
            </w:pPr>
            <w:r>
              <w:rPr>
                <w:noProof/>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65073E" w:rsidRDefault="000A0998">
            <w:pPr>
              <w:pStyle w:val="P68B1DB1-Normal39"/>
              <w:spacing w:after="0" w:line="240" w:lineRule="auto"/>
              <w:rPr>
                <w:rFonts w:eastAsia="Times New Roman" w:cs="Times New Roman"/>
                <w:noProof/>
              </w:rPr>
            </w:pPr>
            <w:r>
              <w:rPr>
                <w:noProof/>
              </w:rPr>
              <w:t>Enimmäismaksupohjan mukauttaminen</w:t>
            </w:r>
          </w:p>
        </w:tc>
      </w:tr>
      <w:tr w:rsidR="0065073E" w14:paraId="2737D7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65073E" w:rsidRDefault="000A0998">
            <w:pPr>
              <w:pStyle w:val="P68B1DB1-Normal38"/>
              <w:spacing w:after="0" w:line="240" w:lineRule="auto"/>
              <w:rPr>
                <w:rFonts w:eastAsia="Times New Roman" w:cs="Times New Roman"/>
                <w:noProof/>
              </w:rPr>
            </w:pPr>
            <w:r>
              <w:rPr>
                <w:noProof/>
              </w:rPr>
              <w:t>YHTEENSÄ 11435531581 EUROA</w:t>
            </w:r>
          </w:p>
        </w:tc>
      </w:tr>
    </w:tbl>
    <w:p w14:paraId="4C121253" w14:textId="77777777" w:rsidR="0065073E" w:rsidRDefault="0065073E">
      <w:pPr>
        <w:spacing w:before="120" w:after="120" w:line="240" w:lineRule="auto"/>
        <w:jc w:val="both"/>
        <w:rPr>
          <w:rFonts w:ascii="Times New Roman" w:eastAsia="Calibri" w:hAnsi="Times New Roman" w:cs="Times New Roman"/>
          <w:noProof/>
          <w:sz w:val="24"/>
        </w:rPr>
      </w:pPr>
    </w:p>
    <w:p w14:paraId="2968E40E"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73"/>
          <w:headerReference w:type="default" r:id="rId674"/>
          <w:footerReference w:type="even" r:id="rId675"/>
          <w:footerReference w:type="default" r:id="rId676"/>
          <w:headerReference w:type="first" r:id="rId677"/>
          <w:footerReference w:type="first" r:id="rId678"/>
          <w:pgSz w:w="11907" w:h="16839"/>
          <w:pgMar w:top="1134" w:right="1134" w:bottom="1134" w:left="1134" w:header="567" w:footer="567" w:gutter="0"/>
          <w:cols w:space="720"/>
          <w:docGrid w:linePitch="360"/>
        </w:sectPr>
      </w:pPr>
    </w:p>
    <w:p w14:paraId="6C55E346"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Viides erä (tuki, jota ei makseta takaisin): </w:t>
      </w:r>
    </w:p>
    <w:tbl>
      <w:tblPr>
        <w:tblW w:w="9663" w:type="dxa"/>
        <w:tblInd w:w="113" w:type="dxa"/>
        <w:tblLook w:val="04A0" w:firstRow="1" w:lastRow="0" w:firstColumn="1" w:lastColumn="0" w:noHBand="0" w:noVBand="1"/>
      </w:tblPr>
      <w:tblGrid>
        <w:gridCol w:w="1247"/>
        <w:gridCol w:w="1383"/>
        <w:gridCol w:w="1707"/>
        <w:gridCol w:w="5405"/>
      </w:tblGrid>
      <w:tr w:rsidR="0065073E" w14:paraId="7D39B07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25D26112"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65073E" w:rsidRDefault="0065073E">
            <w:pPr>
              <w:spacing w:after="0" w:line="240" w:lineRule="auto"/>
              <w:rPr>
                <w:rFonts w:ascii="Times New Roman" w:eastAsia="Times New Roman" w:hAnsi="Times New Roman" w:cs="Times New Roman"/>
                <w:b/>
                <w:noProof/>
                <w:sz w:val="20"/>
              </w:rPr>
            </w:pPr>
          </w:p>
        </w:tc>
      </w:tr>
      <w:tr w:rsidR="0065073E" w14:paraId="73AA3C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65073E" w:rsidRDefault="000A0998">
            <w:pPr>
              <w:pStyle w:val="P68B1DB1-Normal39"/>
              <w:spacing w:after="0" w:line="240" w:lineRule="auto"/>
              <w:jc w:val="center"/>
              <w:rPr>
                <w:rFonts w:eastAsia="Times New Roman" w:cs="Times New Roman"/>
                <w:noProof/>
              </w:rPr>
            </w:pPr>
            <w:r>
              <w:rPr>
                <w:noProof/>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65073E" w:rsidRDefault="000A0998">
            <w:pPr>
              <w:pStyle w:val="P68B1DB1-Normal39"/>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65073E" w:rsidRDefault="000A0998">
            <w:pPr>
              <w:pStyle w:val="P68B1DB1-Normal39"/>
              <w:spacing w:after="0" w:line="240" w:lineRule="auto"/>
              <w:rPr>
                <w:rFonts w:eastAsia="Times New Roman" w:cs="Times New Roman"/>
                <w:noProof/>
              </w:rPr>
            </w:pPr>
            <w:r>
              <w:rPr>
                <w:noProof/>
              </w:rPr>
              <w:t xml:space="preserve">Sähköistä liikkuvuutta edistävien innovatiivisten hankkeiden myöntäminen </w:t>
            </w:r>
          </w:p>
        </w:tc>
      </w:tr>
      <w:tr w:rsidR="0065073E" w14:paraId="1C1B53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65073E" w:rsidRDefault="000A0998">
            <w:pPr>
              <w:pStyle w:val="P68B1DB1-Normal39"/>
              <w:spacing w:after="0" w:line="240" w:lineRule="auto"/>
              <w:jc w:val="center"/>
              <w:rPr>
                <w:rFonts w:eastAsia="Times New Roman" w:cs="Times New Roman"/>
                <w:noProof/>
              </w:rPr>
            </w:pPr>
            <w:r>
              <w:rPr>
                <w:noProof/>
              </w:rPr>
              <w:t>21 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65073E" w:rsidRDefault="000A0998">
            <w:pPr>
              <w:pStyle w:val="P68B1DB1-Normal39"/>
              <w:spacing w:after="0" w:line="240" w:lineRule="auto"/>
              <w:rPr>
                <w:rFonts w:eastAsia="Times New Roman" w:cs="Times New Roman"/>
                <w:noProof/>
              </w:rPr>
            </w:pPr>
            <w:r>
              <w:rPr>
                <w:noProof/>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65073E" w:rsidRDefault="000A0998">
            <w:pPr>
              <w:pStyle w:val="P68B1DB1-Normal39"/>
              <w:spacing w:after="0" w:line="240" w:lineRule="auto"/>
              <w:rPr>
                <w:rFonts w:eastAsia="Times New Roman" w:cs="Times New Roman"/>
                <w:noProof/>
              </w:rPr>
            </w:pPr>
            <w:r>
              <w:rPr>
                <w:noProof/>
              </w:rPr>
              <w:t>Espanjan pitkän aikavälin perusparannusstrategian täytäntöönpanoa koskevien työryhmien suositusten julkaiseminen</w:t>
            </w:r>
          </w:p>
        </w:tc>
      </w:tr>
      <w:tr w:rsidR="0065073E" w14:paraId="2ADF48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65073E" w:rsidRDefault="000A0998">
            <w:pPr>
              <w:pStyle w:val="P68B1DB1-Normal39"/>
              <w:spacing w:after="0" w:line="240" w:lineRule="auto"/>
              <w:jc w:val="center"/>
              <w:rPr>
                <w:rFonts w:eastAsia="Times New Roman" w:cs="Times New Roman"/>
                <w:noProof/>
              </w:rPr>
            </w:pPr>
            <w:r>
              <w:rPr>
                <w:noProof/>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65073E" w:rsidRDefault="000A0998">
            <w:pPr>
              <w:pStyle w:val="P68B1DB1-Normal39"/>
              <w:spacing w:after="0" w:line="240" w:lineRule="auto"/>
              <w:rPr>
                <w:rFonts w:eastAsia="Times New Roman" w:cs="Times New Roman"/>
                <w:noProof/>
              </w:rPr>
            </w:pPr>
            <w:r>
              <w:rPr>
                <w:noProof/>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65073E" w:rsidRDefault="000A0998">
            <w:pPr>
              <w:pStyle w:val="P68B1DB1-Normal39"/>
              <w:spacing w:after="0" w:line="240" w:lineRule="auto"/>
              <w:rPr>
                <w:rFonts w:eastAsia="Times New Roman" w:cs="Times New Roman"/>
                <w:noProof/>
              </w:rPr>
            </w:pPr>
            <w:r>
              <w:rPr>
                <w:noProof/>
              </w:rPr>
              <w:t>Maatalousmaan kestävää ravitsemusta koskevan sääntelykehyksen voimaantulo.</w:t>
            </w:r>
          </w:p>
        </w:tc>
      </w:tr>
      <w:tr w:rsidR="0065073E" w14:paraId="28E8C2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65073E" w:rsidRDefault="000A0998">
            <w:pPr>
              <w:pStyle w:val="P68B1DB1-Normal39"/>
              <w:spacing w:after="0" w:line="240" w:lineRule="auto"/>
              <w:jc w:val="center"/>
              <w:rPr>
                <w:rFonts w:eastAsia="Times New Roman" w:cs="Times New Roman"/>
                <w:noProof/>
              </w:rPr>
            </w:pPr>
            <w:r>
              <w:rPr>
                <w:noProof/>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65073E" w:rsidRDefault="000A0998">
            <w:pPr>
              <w:pStyle w:val="P68B1DB1-Normal39"/>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65073E" w:rsidRDefault="000A0998">
            <w:pPr>
              <w:pStyle w:val="P68B1DB1-Normal39"/>
              <w:spacing w:after="0" w:line="240" w:lineRule="auto"/>
              <w:rPr>
                <w:rFonts w:eastAsia="Times New Roman" w:cs="Times New Roman"/>
                <w:noProof/>
              </w:rPr>
            </w:pPr>
            <w:r>
              <w:rPr>
                <w:noProof/>
              </w:rPr>
              <w:t>Maatalous-, kalastus- ja elintarvikeministeriön (MAPA) ja ENISAn välisten sopimusten allekirjoittaminen</w:t>
            </w:r>
          </w:p>
        </w:tc>
      </w:tr>
      <w:tr w:rsidR="0065073E" w14:paraId="443DE8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65073E" w:rsidRDefault="000A0998">
            <w:pPr>
              <w:pStyle w:val="P68B1DB1-Normal39"/>
              <w:spacing w:after="0" w:line="240" w:lineRule="auto"/>
              <w:jc w:val="center"/>
              <w:rPr>
                <w:rFonts w:eastAsia="Times New Roman" w:cs="Times New Roman"/>
                <w:noProof/>
              </w:rPr>
            </w:pPr>
            <w:r>
              <w:rPr>
                <w:noProof/>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65073E" w:rsidRDefault="000A0998">
            <w:pPr>
              <w:pStyle w:val="P68B1DB1-Normal39"/>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65073E" w:rsidRDefault="000A0998">
            <w:pPr>
              <w:pStyle w:val="P68B1DB1-Normal39"/>
              <w:spacing w:after="0" w:line="240" w:lineRule="auto"/>
              <w:rPr>
                <w:rFonts w:eastAsia="Times New Roman" w:cs="Times New Roman"/>
                <w:noProof/>
              </w:rPr>
            </w:pPr>
            <w:r>
              <w:rPr>
                <w:noProof/>
              </w:rPr>
              <w:t>Entisten kaivosalueiden kunnostaminen (vähintään 20 entistä kaivosaluetta)</w:t>
            </w:r>
          </w:p>
        </w:tc>
      </w:tr>
      <w:tr w:rsidR="0065073E" w14:paraId="5E4090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65073E" w:rsidRDefault="000A0998">
            <w:pPr>
              <w:pStyle w:val="P68B1DB1-Normal39"/>
              <w:spacing w:after="0" w:line="240" w:lineRule="auto"/>
              <w:jc w:val="center"/>
              <w:rPr>
                <w:rFonts w:eastAsia="Times New Roman" w:cs="Times New Roman"/>
                <w:noProof/>
              </w:rPr>
            </w:pPr>
            <w:r>
              <w:rPr>
                <w:noProof/>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65073E" w:rsidRDefault="000A0998">
            <w:pPr>
              <w:pStyle w:val="P68B1DB1-Normal39"/>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65073E" w:rsidRDefault="000A0998">
            <w:pPr>
              <w:pStyle w:val="P68B1DB1-Normal39"/>
              <w:spacing w:after="0" w:line="240" w:lineRule="auto"/>
              <w:rPr>
                <w:rFonts w:eastAsia="Times New Roman" w:cs="Times New Roman"/>
                <w:noProof/>
              </w:rPr>
            </w:pPr>
            <w:r>
              <w:rPr>
                <w:noProof/>
              </w:rPr>
              <w:t xml:space="preserve">Kestävää metsänhoitoa koskevat toimet </w:t>
            </w:r>
          </w:p>
        </w:tc>
      </w:tr>
      <w:tr w:rsidR="0065073E" w14:paraId="49A460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65073E" w:rsidRDefault="000A0998">
            <w:pPr>
              <w:pStyle w:val="P68B1DB1-Normal39"/>
              <w:spacing w:after="0" w:line="240" w:lineRule="auto"/>
              <w:jc w:val="center"/>
              <w:rPr>
                <w:rFonts w:eastAsia="Times New Roman" w:cs="Times New Roman"/>
                <w:noProof/>
              </w:rPr>
            </w:pPr>
            <w:r>
              <w:rPr>
                <w:noProof/>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65073E" w:rsidRDefault="000A0998">
            <w:pPr>
              <w:pStyle w:val="P68B1DB1-Normal39"/>
              <w:spacing w:after="0" w:line="240" w:lineRule="auto"/>
              <w:rPr>
                <w:rFonts w:eastAsia="Times New Roman" w:cs="Times New Roman"/>
                <w:noProof/>
              </w:rPr>
            </w:pPr>
            <w:r>
              <w:rPr>
                <w:noProof/>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65073E" w:rsidRDefault="000A0998">
            <w:pPr>
              <w:pStyle w:val="P68B1DB1-Normal39"/>
              <w:spacing w:after="0" w:line="240" w:lineRule="auto"/>
              <w:rPr>
                <w:rFonts w:eastAsia="Times New Roman" w:cs="Times New Roman"/>
                <w:noProof/>
              </w:rPr>
            </w:pPr>
            <w:r>
              <w:rPr>
                <w:noProof/>
              </w:rPr>
              <w:t>Vesilain muutoksen ja kuninkaan asetuksen 1620/2007 korvaavan uuden asetuksen voimaantulo</w:t>
            </w:r>
          </w:p>
        </w:tc>
      </w:tr>
      <w:tr w:rsidR="0065073E" w14:paraId="0F253F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65073E" w:rsidRDefault="000A0998">
            <w:pPr>
              <w:pStyle w:val="P68B1DB1-Normal39"/>
              <w:spacing w:after="0" w:line="240" w:lineRule="auto"/>
              <w:jc w:val="center"/>
              <w:rPr>
                <w:rFonts w:eastAsia="Times New Roman" w:cs="Times New Roman"/>
                <w:noProof/>
              </w:rPr>
            </w:pPr>
            <w:r>
              <w:rPr>
                <w:noProof/>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65073E" w:rsidRDefault="000A0998">
            <w:pPr>
              <w:pStyle w:val="P68B1DB1-Normal39"/>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65073E" w:rsidRDefault="000A0998">
            <w:pPr>
              <w:pStyle w:val="P68B1DB1-Normal39"/>
              <w:spacing w:after="0" w:line="240" w:lineRule="auto"/>
              <w:rPr>
                <w:rFonts w:eastAsia="Times New Roman" w:cs="Times New Roman"/>
                <w:noProof/>
              </w:rPr>
            </w:pPr>
            <w:r>
              <w:rPr>
                <w:noProof/>
              </w:rPr>
              <w:t xml:space="preserve">Paremmat veden ja jäteveden käsittelyinfrastruktuurit </w:t>
            </w:r>
          </w:p>
        </w:tc>
      </w:tr>
      <w:tr w:rsidR="0065073E" w14:paraId="4F2DC99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65073E" w:rsidRDefault="000A0998">
            <w:pPr>
              <w:pStyle w:val="P68B1DB1-Normal39"/>
              <w:spacing w:after="0" w:line="240" w:lineRule="auto"/>
              <w:jc w:val="center"/>
              <w:rPr>
                <w:rFonts w:eastAsia="Times New Roman" w:cs="Times New Roman"/>
                <w:noProof/>
              </w:rPr>
            </w:pPr>
            <w:r>
              <w:rPr>
                <w:noProof/>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65073E" w:rsidRDefault="000A0998">
            <w:pPr>
              <w:pStyle w:val="P68B1DB1-Normal39"/>
              <w:spacing w:after="0" w:line="240" w:lineRule="auto"/>
              <w:rPr>
                <w:rFonts w:eastAsia="Times New Roman" w:cs="Times New Roman"/>
                <w:noProof/>
              </w:rPr>
            </w:pPr>
            <w:r>
              <w:rPr>
                <w:noProof/>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65073E" w:rsidRDefault="000A0998">
            <w:pPr>
              <w:pStyle w:val="P68B1DB1-Normal39"/>
              <w:spacing w:after="0" w:line="240" w:lineRule="auto"/>
              <w:rPr>
                <w:rFonts w:eastAsia="Times New Roman" w:cs="Times New Roman"/>
                <w:noProof/>
              </w:rPr>
            </w:pPr>
            <w:r>
              <w:rPr>
                <w:noProof/>
              </w:rPr>
              <w:t>Omaan kulutukseen tähtäävän kansallisen strategian mukaisten toimenpiteiden loppuun saattaminen</w:t>
            </w:r>
          </w:p>
        </w:tc>
      </w:tr>
      <w:tr w:rsidR="0065073E" w14:paraId="069F93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65073E" w:rsidRDefault="000A0998">
            <w:pPr>
              <w:pStyle w:val="P68B1DB1-Normal39"/>
              <w:spacing w:after="0" w:line="240" w:lineRule="auto"/>
              <w:jc w:val="center"/>
              <w:rPr>
                <w:rFonts w:eastAsia="Times New Roman" w:cs="Times New Roman"/>
                <w:noProof/>
              </w:rPr>
            </w:pPr>
            <w:r>
              <w:rPr>
                <w:noProof/>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65073E" w:rsidRDefault="000A0998">
            <w:pPr>
              <w:pStyle w:val="P68B1DB1-Normal39"/>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65073E" w:rsidRDefault="000A0998">
            <w:pPr>
              <w:pStyle w:val="P68B1DB1-Normal39"/>
              <w:spacing w:after="0" w:line="240" w:lineRule="auto"/>
              <w:rPr>
                <w:rFonts w:eastAsia="Times New Roman" w:cs="Times New Roman"/>
                <w:noProof/>
              </w:rPr>
            </w:pPr>
            <w:r>
              <w:rPr>
                <w:noProof/>
              </w:rPr>
              <w:t>Merituulivoimaa ja muuta merienergiaa koskevassa kartassa yksilöityjen sääntelytoimenpiteiden voimaantulo</w:t>
            </w:r>
          </w:p>
        </w:tc>
      </w:tr>
      <w:tr w:rsidR="0065073E" w14:paraId="626A32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65073E" w:rsidRDefault="000A0998">
            <w:pPr>
              <w:pStyle w:val="P68B1DB1-Normal39"/>
              <w:spacing w:after="0" w:line="240" w:lineRule="auto"/>
              <w:jc w:val="center"/>
              <w:rPr>
                <w:rFonts w:eastAsia="Times New Roman" w:cs="Times New Roman"/>
                <w:noProof/>
              </w:rPr>
            </w:pPr>
            <w:r>
              <w:rPr>
                <w:noProof/>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65073E" w:rsidRDefault="000A0998">
            <w:pPr>
              <w:pStyle w:val="P68B1DB1-Normal39"/>
              <w:spacing w:after="0" w:line="240" w:lineRule="auto"/>
              <w:rPr>
                <w:rFonts w:eastAsia="Times New Roman" w:cs="Times New Roman"/>
                <w:noProof/>
              </w:rPr>
            </w:pPr>
            <w:r>
              <w:rPr>
                <w:noProof/>
              </w:rPr>
              <w:t>Pk-yritysten rahoittaminen vedyn arvoketjun vahvistamiseksi</w:t>
            </w:r>
          </w:p>
        </w:tc>
      </w:tr>
      <w:tr w:rsidR="0065073E" w14:paraId="72E35E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65073E" w:rsidRDefault="000A0998">
            <w:pPr>
              <w:pStyle w:val="P68B1DB1-Normal39"/>
              <w:spacing w:after="0" w:line="240" w:lineRule="auto"/>
              <w:jc w:val="center"/>
              <w:rPr>
                <w:rFonts w:eastAsia="Times New Roman" w:cs="Times New Roman"/>
                <w:noProof/>
              </w:rPr>
            </w:pPr>
            <w:r>
              <w:rPr>
                <w:noProof/>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65073E" w:rsidRDefault="000A0998">
            <w:pPr>
              <w:pStyle w:val="P68B1DB1-Normal39"/>
              <w:spacing w:after="0" w:line="240" w:lineRule="auto"/>
              <w:rPr>
                <w:rFonts w:eastAsia="Times New Roman" w:cs="Times New Roman"/>
                <w:noProof/>
              </w:rPr>
            </w:pPr>
            <w:r>
              <w:rPr>
                <w:noProof/>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65073E" w:rsidRDefault="000A0998">
            <w:pPr>
              <w:pStyle w:val="P68B1DB1-Normal39"/>
              <w:spacing w:after="0" w:line="240" w:lineRule="auto"/>
              <w:rPr>
                <w:rFonts w:eastAsia="Times New Roman" w:cs="Times New Roman"/>
                <w:noProof/>
              </w:rPr>
            </w:pPr>
            <w:r>
              <w:rPr>
                <w:noProof/>
              </w:rPr>
              <w:t xml:space="preserve">Oikeudenmukaista siirtymää koskevat pöytäkirjat ja neuvoa-antava toimikunta </w:t>
            </w:r>
          </w:p>
        </w:tc>
      </w:tr>
      <w:tr w:rsidR="0065073E" w14:paraId="70D2BA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65073E" w:rsidRDefault="000A0998">
            <w:pPr>
              <w:pStyle w:val="P68B1DB1-Normal39"/>
              <w:spacing w:after="0" w:line="240" w:lineRule="auto"/>
              <w:jc w:val="center"/>
              <w:rPr>
                <w:rFonts w:eastAsia="Times New Roman" w:cs="Times New Roman"/>
                <w:noProof/>
              </w:rPr>
            </w:pPr>
            <w:r>
              <w:rPr>
                <w:noProof/>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65073E" w:rsidRDefault="000A0998">
            <w:pPr>
              <w:pStyle w:val="P68B1DB1-Normal39"/>
              <w:spacing w:after="0" w:line="240" w:lineRule="auto"/>
              <w:rPr>
                <w:rFonts w:eastAsia="Times New Roman" w:cs="Times New Roman"/>
                <w:noProof/>
              </w:rPr>
            </w:pPr>
            <w:r>
              <w:rPr>
                <w:noProof/>
              </w:rPr>
              <w:t>Kansallisen turvallisuuskehyksen päivittäminen</w:t>
            </w:r>
          </w:p>
        </w:tc>
      </w:tr>
      <w:tr w:rsidR="0065073E" w14:paraId="275E01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65073E" w:rsidRDefault="000A0998">
            <w:pPr>
              <w:pStyle w:val="P68B1DB1-Normal39"/>
              <w:spacing w:after="0" w:line="240" w:lineRule="auto"/>
              <w:jc w:val="center"/>
              <w:rPr>
                <w:rFonts w:eastAsia="Times New Roman" w:cs="Times New Roman"/>
                <w:noProof/>
              </w:rPr>
            </w:pPr>
            <w:r>
              <w:rPr>
                <w:noProof/>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65073E" w:rsidRDefault="000A0998">
            <w:pPr>
              <w:pStyle w:val="P68B1DB1-Normal39"/>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65073E" w:rsidRDefault="000A0998">
            <w:pPr>
              <w:pStyle w:val="P68B1DB1-Normal39"/>
              <w:spacing w:after="0" w:line="240" w:lineRule="auto"/>
              <w:rPr>
                <w:rFonts w:eastAsia="Times New Roman" w:cs="Times New Roman"/>
                <w:noProof/>
              </w:rPr>
            </w:pPr>
            <w:r>
              <w:rPr>
                <w:noProof/>
              </w:rPr>
              <w:t>Kansallisen kyberturvallisuusalan tukiohjelman, maailmanlaajuisen turvallisuusinnovaatio-ohjelman ja niihin liittyvien toimien käynnistäminen.</w:t>
            </w:r>
          </w:p>
        </w:tc>
      </w:tr>
      <w:tr w:rsidR="0065073E" w14:paraId="604871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65073E" w:rsidRDefault="000A0998">
            <w:pPr>
              <w:pStyle w:val="P68B1DB1-Normal39"/>
              <w:spacing w:after="0" w:line="240" w:lineRule="auto"/>
              <w:jc w:val="center"/>
              <w:rPr>
                <w:rFonts w:eastAsia="Times New Roman" w:cs="Times New Roman"/>
                <w:noProof/>
              </w:rPr>
            </w:pPr>
            <w:r>
              <w:rPr>
                <w:noProof/>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65073E" w:rsidRDefault="000A0998">
            <w:pPr>
              <w:pStyle w:val="P68B1DB1-Normal39"/>
              <w:spacing w:after="0" w:line="240" w:lineRule="auto"/>
              <w:rPr>
                <w:rFonts w:eastAsia="Times New Roman" w:cs="Times New Roman"/>
                <w:noProof/>
              </w:rPr>
            </w:pPr>
            <w:r>
              <w:rPr>
                <w:noProof/>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65073E" w:rsidRDefault="000A0998">
            <w:pPr>
              <w:pStyle w:val="P68B1DB1-Normal39"/>
              <w:spacing w:after="0" w:line="240" w:lineRule="auto"/>
              <w:rPr>
                <w:rFonts w:eastAsia="Times New Roman" w:cs="Times New Roman"/>
                <w:noProof/>
              </w:rPr>
            </w:pPr>
            <w:r>
              <w:rPr>
                <w:noProof/>
              </w:rPr>
              <w:t>Yliopistojärjestelmää koskevan orgaanisen lain voimaantulo</w:t>
            </w:r>
          </w:p>
        </w:tc>
      </w:tr>
      <w:tr w:rsidR="0065073E" w14:paraId="0EC906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65073E" w:rsidRDefault="000A0998">
            <w:pPr>
              <w:pStyle w:val="P68B1DB1-Normal39"/>
              <w:spacing w:after="0" w:line="240" w:lineRule="auto"/>
              <w:jc w:val="center"/>
              <w:rPr>
                <w:rFonts w:eastAsia="Times New Roman" w:cs="Times New Roman"/>
                <w:noProof/>
              </w:rPr>
            </w:pPr>
            <w:r>
              <w:rPr>
                <w:noProof/>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65073E" w:rsidRDefault="000A0998">
            <w:pPr>
              <w:pStyle w:val="P68B1DB1-Normal39"/>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65073E" w:rsidRDefault="000A0998">
            <w:pPr>
              <w:pStyle w:val="P68B1DB1-Normal39"/>
              <w:spacing w:after="0" w:line="240" w:lineRule="auto"/>
              <w:rPr>
                <w:rFonts w:eastAsia="Times New Roman" w:cs="Times New Roman"/>
                <w:noProof/>
              </w:rPr>
            </w:pPr>
            <w:r>
              <w:rPr>
                <w:noProof/>
              </w:rPr>
              <w:t>Korkeakoulujen pienten osaamiskokonaisuuksien kehittämistä koskevan toimintasuunnitelman hyväksyminen</w:t>
            </w:r>
          </w:p>
        </w:tc>
      </w:tr>
      <w:tr w:rsidR="0065073E" w14:paraId="5C81DA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65073E" w:rsidRDefault="000A0998">
            <w:pPr>
              <w:pStyle w:val="P68B1DB1-Normal39"/>
              <w:spacing w:after="0" w:line="240" w:lineRule="auto"/>
              <w:jc w:val="center"/>
              <w:rPr>
                <w:rFonts w:eastAsia="Times New Roman" w:cs="Times New Roman"/>
                <w:noProof/>
              </w:rPr>
            </w:pPr>
            <w:r>
              <w:rPr>
                <w:noProof/>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65073E" w:rsidRDefault="000A0998">
            <w:pPr>
              <w:pStyle w:val="P68B1DB1-Normal39"/>
              <w:spacing w:after="0" w:line="240" w:lineRule="auto"/>
              <w:rPr>
                <w:rFonts w:eastAsia="Times New Roman" w:cs="Times New Roman"/>
                <w:noProof/>
              </w:rPr>
            </w:pPr>
            <w:r>
              <w:rPr>
                <w:noProof/>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65073E" w:rsidRDefault="000A0998">
            <w:pPr>
              <w:pStyle w:val="P68B1DB1-Normal39"/>
              <w:spacing w:after="0" w:line="240" w:lineRule="auto"/>
              <w:rPr>
                <w:rFonts w:eastAsia="Times New Roman" w:cs="Times New Roman"/>
                <w:noProof/>
              </w:rPr>
            </w:pPr>
            <w:r>
              <w:rPr>
                <w:noProof/>
              </w:rPr>
              <w:t>Sosiaalipalvelulain ja ministeriön asetusten voimaantulo</w:t>
            </w:r>
          </w:p>
        </w:tc>
      </w:tr>
      <w:tr w:rsidR="0065073E" w14:paraId="6E9E7F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65073E" w:rsidRDefault="000A0998">
            <w:pPr>
              <w:pStyle w:val="P68B1DB1-Normal39"/>
              <w:spacing w:after="0" w:line="240" w:lineRule="auto"/>
              <w:jc w:val="center"/>
              <w:rPr>
                <w:rFonts w:eastAsia="Times New Roman" w:cs="Times New Roman"/>
                <w:noProof/>
              </w:rPr>
            </w:pPr>
            <w:r>
              <w:rPr>
                <w:noProof/>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65073E" w:rsidRDefault="000A0998">
            <w:pPr>
              <w:pStyle w:val="P68B1DB1-Normal39"/>
              <w:spacing w:after="0" w:line="240" w:lineRule="auto"/>
              <w:rPr>
                <w:rFonts w:eastAsia="Times New Roman" w:cs="Times New Roman"/>
                <w:noProof/>
              </w:rPr>
            </w:pPr>
            <w:r>
              <w:rPr>
                <w:noProof/>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65073E" w:rsidRDefault="000A0998">
            <w:pPr>
              <w:pStyle w:val="P68B1DB1-Normal39"/>
              <w:spacing w:after="0" w:line="240" w:lineRule="auto"/>
              <w:rPr>
                <w:rFonts w:eastAsia="Times New Roman" w:cs="Times New Roman"/>
                <w:noProof/>
              </w:rPr>
            </w:pPr>
            <w:r>
              <w:rPr>
                <w:noProof/>
              </w:rPr>
              <w:t>Perheen moninaisuutta koskevan lain voimaantulo</w:t>
            </w:r>
          </w:p>
        </w:tc>
      </w:tr>
      <w:tr w:rsidR="0065073E" w14:paraId="376139D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65073E" w:rsidRDefault="000A0998">
            <w:pPr>
              <w:pStyle w:val="P68B1DB1-Normal39"/>
              <w:spacing w:after="0" w:line="240" w:lineRule="auto"/>
              <w:jc w:val="center"/>
              <w:rPr>
                <w:rFonts w:eastAsia="Times New Roman" w:cs="Times New Roman"/>
                <w:noProof/>
              </w:rPr>
            </w:pPr>
            <w:r>
              <w:rPr>
                <w:noProof/>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65073E" w:rsidRDefault="000A0998">
            <w:pPr>
              <w:pStyle w:val="P68B1DB1-Normal39"/>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65073E" w:rsidRDefault="000A0998">
            <w:pPr>
              <w:pStyle w:val="P68B1DB1-Normal39"/>
              <w:spacing w:after="0" w:line="240" w:lineRule="auto"/>
              <w:rPr>
                <w:rFonts w:eastAsia="Times New Roman" w:cs="Times New Roman"/>
                <w:noProof/>
              </w:rPr>
            </w:pPr>
            <w:r>
              <w:rPr>
                <w:noProof/>
              </w:rPr>
              <w:t>Sosiaalisten oikeuksien ministeriön ja Agenda 2030 -toimintaohjelman toteuttamat hankkeet</w:t>
            </w:r>
          </w:p>
        </w:tc>
      </w:tr>
      <w:tr w:rsidR="0065073E" w14:paraId="7D9C9B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65073E" w:rsidRDefault="000A0998">
            <w:pPr>
              <w:pStyle w:val="P68B1DB1-Normal39"/>
              <w:spacing w:after="0" w:line="240" w:lineRule="auto"/>
              <w:jc w:val="center"/>
              <w:rPr>
                <w:rFonts w:eastAsia="Times New Roman" w:cs="Times New Roman"/>
                <w:noProof/>
              </w:rPr>
            </w:pPr>
            <w:r>
              <w:rPr>
                <w:noProof/>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65073E" w:rsidRDefault="000A0998">
            <w:pPr>
              <w:pStyle w:val="P68B1DB1-Normal39"/>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65073E" w:rsidRDefault="000A0998">
            <w:pPr>
              <w:pStyle w:val="P68B1DB1-Normal39"/>
              <w:spacing w:after="0" w:line="240" w:lineRule="auto"/>
              <w:rPr>
                <w:rFonts w:eastAsia="Times New Roman" w:cs="Times New Roman"/>
                <w:noProof/>
              </w:rPr>
            </w:pPr>
            <w:r>
              <w:rPr>
                <w:noProof/>
              </w:rPr>
              <w:t>Perustetaan erilaisia palveluja seksuaalisen väkivallan uhreille.</w:t>
            </w:r>
          </w:p>
        </w:tc>
      </w:tr>
      <w:tr w:rsidR="0065073E" w14:paraId="0F1B3C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65073E" w:rsidRDefault="000A0998">
            <w:pPr>
              <w:pStyle w:val="P68B1DB1-Normal39"/>
              <w:spacing w:after="0" w:line="240" w:lineRule="auto"/>
              <w:jc w:val="center"/>
              <w:rPr>
                <w:rFonts w:eastAsia="Times New Roman" w:cs="Times New Roman"/>
                <w:noProof/>
              </w:rPr>
            </w:pPr>
            <w:r>
              <w:rPr>
                <w:noProof/>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65073E" w:rsidRDefault="000A0998">
            <w:pPr>
              <w:pStyle w:val="P68B1DB1-Normal39"/>
              <w:spacing w:after="0" w:line="240" w:lineRule="auto"/>
              <w:rPr>
                <w:rFonts w:eastAsia="Times New Roman" w:cs="Times New Roman"/>
                <w:noProof/>
              </w:rPr>
            </w:pPr>
            <w:r>
              <w:rPr>
                <w:noProof/>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65073E" w:rsidRDefault="000A0998">
            <w:pPr>
              <w:pStyle w:val="P68B1DB1-Normal39"/>
              <w:spacing w:after="0" w:line="240" w:lineRule="auto"/>
              <w:rPr>
                <w:rFonts w:eastAsia="Times New Roman" w:cs="Times New Roman"/>
                <w:noProof/>
              </w:rPr>
            </w:pPr>
            <w:r>
              <w:rPr>
                <w:noProof/>
              </w:rPr>
              <w:t>Veroetuuksien tarkistaminen ja muutokset</w:t>
            </w:r>
          </w:p>
        </w:tc>
      </w:tr>
      <w:tr w:rsidR="0065073E" w14:paraId="132D7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65073E" w:rsidRDefault="000A0998">
            <w:pPr>
              <w:pStyle w:val="P68B1DB1-Normal39"/>
              <w:spacing w:after="0" w:line="240" w:lineRule="auto"/>
              <w:jc w:val="center"/>
              <w:rPr>
                <w:rFonts w:eastAsia="Times New Roman" w:cs="Times New Roman"/>
                <w:noProof/>
              </w:rPr>
            </w:pPr>
            <w:r>
              <w:rPr>
                <w:noProof/>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65073E" w:rsidRDefault="000A0998">
            <w:pPr>
              <w:pStyle w:val="P68B1DB1-Normal39"/>
              <w:spacing w:after="0" w:line="240" w:lineRule="auto"/>
              <w:rPr>
                <w:rFonts w:eastAsia="Times New Roman" w:cs="Times New Roman"/>
                <w:noProof/>
              </w:rPr>
            </w:pPr>
            <w:r>
              <w:rPr>
                <w:noProof/>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65073E" w:rsidRDefault="000A0998">
            <w:pPr>
              <w:pStyle w:val="P68B1DB1-Normal39"/>
              <w:spacing w:after="0" w:line="240" w:lineRule="auto"/>
              <w:rPr>
                <w:rFonts w:eastAsia="Times New Roman" w:cs="Times New Roman"/>
                <w:noProof/>
              </w:rPr>
            </w:pPr>
            <w:r>
              <w:rPr>
                <w:noProof/>
              </w:rPr>
              <w:t>Komitean suosituksiin perustuvien uudistusten voimaantulo</w:t>
            </w:r>
          </w:p>
        </w:tc>
      </w:tr>
      <w:tr w:rsidR="0065073E" w14:paraId="2B777E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65073E" w:rsidRDefault="000A0998">
            <w:pPr>
              <w:pStyle w:val="P68B1DB1-Normal39"/>
              <w:spacing w:after="0" w:line="240" w:lineRule="auto"/>
              <w:jc w:val="center"/>
              <w:rPr>
                <w:rFonts w:eastAsia="Times New Roman" w:cs="Times New Roman"/>
                <w:noProof/>
              </w:rPr>
            </w:pPr>
            <w:r>
              <w:rPr>
                <w:noProof/>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65073E" w:rsidRDefault="000A0998">
            <w:pPr>
              <w:pStyle w:val="P68B1DB1-Normal39"/>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65073E" w:rsidRDefault="000A0998">
            <w:pPr>
              <w:pStyle w:val="P68B1DB1-Normal39"/>
              <w:spacing w:after="0" w:line="240" w:lineRule="auto"/>
              <w:rPr>
                <w:rFonts w:eastAsia="Times New Roman" w:cs="Times New Roman"/>
                <w:noProof/>
              </w:rPr>
            </w:pPr>
            <w:r>
              <w:rPr>
                <w:noProof/>
              </w:rPr>
              <w:t>Menojen uudelleenarvioinnin vaihe III</w:t>
            </w:r>
          </w:p>
        </w:tc>
      </w:tr>
      <w:tr w:rsidR="0065073E" w14:paraId="23FB34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65073E" w:rsidRDefault="000A0998">
            <w:pPr>
              <w:pStyle w:val="P68B1DB1-Normal38"/>
              <w:spacing w:after="0" w:line="240" w:lineRule="auto"/>
              <w:rPr>
                <w:rFonts w:eastAsia="Times New Roman" w:cs="Times New Roman"/>
                <w:noProof/>
              </w:rPr>
            </w:pPr>
            <w:r>
              <w:rPr>
                <w:noProof/>
              </w:rPr>
              <w:t>YHTEENSÄ 7671001527 EUROA</w:t>
            </w:r>
          </w:p>
        </w:tc>
      </w:tr>
    </w:tbl>
    <w:p w14:paraId="0476ED92" w14:textId="77777777" w:rsidR="0065073E" w:rsidRDefault="0065073E">
      <w:pPr>
        <w:spacing w:before="120" w:after="120" w:line="240" w:lineRule="auto"/>
        <w:jc w:val="both"/>
        <w:rPr>
          <w:rFonts w:ascii="Times New Roman" w:eastAsia="Calibri" w:hAnsi="Times New Roman" w:cs="Times New Roman"/>
          <w:noProof/>
          <w:sz w:val="24"/>
        </w:rPr>
      </w:pPr>
    </w:p>
    <w:p w14:paraId="3801C281"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79"/>
          <w:headerReference w:type="default" r:id="rId680"/>
          <w:footerReference w:type="even" r:id="rId681"/>
          <w:footerReference w:type="default" r:id="rId682"/>
          <w:headerReference w:type="first" r:id="rId683"/>
          <w:footerReference w:type="first" r:id="rId684"/>
          <w:pgSz w:w="11907" w:h="16839"/>
          <w:pgMar w:top="1134" w:right="1134" w:bottom="1134" w:left="1134" w:header="567" w:footer="567" w:gutter="0"/>
          <w:cols w:space="720"/>
          <w:docGrid w:linePitch="360"/>
        </w:sectPr>
      </w:pPr>
    </w:p>
    <w:p w14:paraId="6184B4C8"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Kuudes erä (tuki, jota ei makseta takaisin): </w:t>
      </w:r>
    </w:p>
    <w:tbl>
      <w:tblPr>
        <w:tblW w:w="9665" w:type="dxa"/>
        <w:tblInd w:w="113" w:type="dxa"/>
        <w:tblLook w:val="04A0" w:firstRow="1" w:lastRow="0" w:firstColumn="1" w:lastColumn="0" w:noHBand="0" w:noVBand="1"/>
      </w:tblPr>
      <w:tblGrid>
        <w:gridCol w:w="1248"/>
        <w:gridCol w:w="1383"/>
        <w:gridCol w:w="1706"/>
        <w:gridCol w:w="5405"/>
      </w:tblGrid>
      <w:tr w:rsidR="0065073E" w14:paraId="7714E221" w14:textId="77777777">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65073E" w:rsidRDefault="000A0998">
            <w:pPr>
              <w:pStyle w:val="P68B1DB1-Normal38"/>
              <w:spacing w:after="0" w:line="240" w:lineRule="auto"/>
              <w:jc w:val="center"/>
              <w:rPr>
                <w:rFonts w:eastAsia="Times New Roman" w:cs="Times New Roman"/>
                <w:noProof/>
              </w:rPr>
            </w:pPr>
            <w:bookmarkStart w:id="64" w:name="_Hlk145968623"/>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01CB0D0A"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65073E" w:rsidRDefault="0065073E">
            <w:pPr>
              <w:spacing w:after="0" w:line="240" w:lineRule="auto"/>
              <w:rPr>
                <w:rFonts w:ascii="Times New Roman" w:eastAsia="Times New Roman" w:hAnsi="Times New Roman" w:cs="Times New Roman"/>
                <w:b/>
                <w:noProof/>
                <w:sz w:val="20"/>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65073E" w:rsidRDefault="0065073E">
            <w:pPr>
              <w:spacing w:after="0" w:line="240" w:lineRule="auto"/>
              <w:rPr>
                <w:rFonts w:ascii="Times New Roman" w:eastAsia="Times New Roman" w:hAnsi="Times New Roman" w:cs="Times New Roman"/>
                <w:b/>
                <w:noProof/>
                <w:sz w:val="20"/>
              </w:rPr>
            </w:pPr>
          </w:p>
        </w:tc>
      </w:tr>
      <w:tr w:rsidR="0065073E" w14:paraId="1F3B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65073E" w:rsidRDefault="000A0998">
            <w:pPr>
              <w:pStyle w:val="P68B1DB1-Normal39"/>
              <w:spacing w:after="0" w:line="240" w:lineRule="auto"/>
              <w:rPr>
                <w:rFonts w:eastAsia="Times New Roman" w:cs="Times New Roman"/>
                <w:noProof/>
              </w:rPr>
            </w:pPr>
            <w:r>
              <w:rPr>
                <w:noProof/>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65073E" w:rsidRDefault="000A0998">
            <w:pPr>
              <w:pStyle w:val="P68B1DB1-Normal39"/>
              <w:spacing w:after="0" w:line="240" w:lineRule="auto"/>
              <w:rPr>
                <w:rFonts w:eastAsia="Times New Roman" w:cs="Times New Roman"/>
                <w:noProof/>
              </w:rPr>
            </w:pPr>
            <w:r>
              <w:rPr>
                <w:noProof/>
              </w:rPr>
              <w:t xml:space="preserve">Itsehallintoalueiden hankintoihin tai myöntämiin hankintoihin käytetyt määrärahat vähintään 900 miljoonaa euroa kestävän liikkuvuuden edistämiseksi </w:t>
            </w:r>
          </w:p>
        </w:tc>
      </w:tr>
      <w:bookmarkEnd w:id="64"/>
      <w:tr w:rsidR="0065073E" w14:paraId="68C38C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65073E" w:rsidRDefault="000A0998">
            <w:pPr>
              <w:pStyle w:val="P68B1DB1-Normal39"/>
              <w:spacing w:after="0" w:line="240" w:lineRule="auto"/>
              <w:rPr>
                <w:rFonts w:eastAsia="Times New Roman" w:cs="Times New Roman"/>
                <w:noProof/>
              </w:rPr>
            </w:pPr>
            <w:r>
              <w:rPr>
                <w:noProof/>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65073E" w:rsidRDefault="000A0998">
            <w:pPr>
              <w:pStyle w:val="P68B1DB1-Normal39"/>
              <w:spacing w:after="0" w:line="240" w:lineRule="auto"/>
              <w:rPr>
                <w:rFonts w:eastAsia="Times New Roman" w:cs="Times New Roman"/>
                <w:noProof/>
              </w:rPr>
            </w:pPr>
            <w:r>
              <w:rPr>
                <w:noProof/>
              </w:rPr>
              <w:t xml:space="preserve">Kestävän liikkuvuuden edistämiseksi päätökseen saatetut hankkeet, myös kaupunki- ja suurkaupunkialueilla </w:t>
            </w:r>
          </w:p>
        </w:tc>
      </w:tr>
      <w:tr w:rsidR="0065073E" w14:paraId="272639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65073E" w:rsidRDefault="000A0998">
            <w:pPr>
              <w:pStyle w:val="P68B1DB1-Normal39"/>
              <w:spacing w:after="0" w:line="240" w:lineRule="auto"/>
              <w:rPr>
                <w:rFonts w:eastAsia="Times New Roman" w:cs="Times New Roman"/>
                <w:noProof/>
              </w:rPr>
            </w:pPr>
            <w:r>
              <w:rPr>
                <w:noProof/>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65073E" w:rsidRDefault="000A0998">
            <w:pPr>
              <w:pStyle w:val="P68B1DB1-Normal39"/>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65073E" w:rsidRDefault="000A0998">
            <w:pPr>
              <w:pStyle w:val="P68B1DB1-Normal39"/>
              <w:spacing w:after="0" w:line="240" w:lineRule="auto"/>
              <w:rPr>
                <w:rFonts w:eastAsia="Times New Roman" w:cs="Times New Roman"/>
                <w:noProof/>
              </w:rPr>
            </w:pPr>
            <w:r>
              <w:rPr>
                <w:noProof/>
              </w:rPr>
              <w:t xml:space="preserve">Sähköajoneuvoja ja latauspisteitä koskevien tukihakemusten rekisteröinti </w:t>
            </w:r>
          </w:p>
        </w:tc>
      </w:tr>
      <w:tr w:rsidR="0065073E" w14:paraId="05E01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65073E" w:rsidRDefault="000A0998">
            <w:pPr>
              <w:pStyle w:val="P68B1DB1-Normal39"/>
              <w:spacing w:after="0" w:line="240" w:lineRule="auto"/>
              <w:rPr>
                <w:rFonts w:eastAsia="Times New Roman" w:cs="Times New Roman"/>
                <w:noProof/>
              </w:rPr>
            </w:pPr>
            <w:r>
              <w:rPr>
                <w:noProof/>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65073E" w:rsidRDefault="000A0998">
            <w:pPr>
              <w:pStyle w:val="P68B1DB1-Normal39"/>
              <w:spacing w:after="0" w:line="240" w:lineRule="auto"/>
              <w:rPr>
                <w:rFonts w:eastAsia="Times New Roman" w:cs="Times New Roman"/>
                <w:noProof/>
              </w:rPr>
            </w:pPr>
            <w:r>
              <w:rPr>
                <w:noProof/>
              </w:rPr>
              <w:t xml:space="preserve">Lyhyen matkan radat (Cercanías) </w:t>
            </w:r>
          </w:p>
        </w:tc>
      </w:tr>
      <w:tr w:rsidR="0065073E" w14:paraId="3C6E39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65073E" w:rsidRDefault="000A0998">
            <w:pPr>
              <w:pStyle w:val="P68B1DB1-Normal39"/>
              <w:spacing w:after="0" w:line="240" w:lineRule="auto"/>
              <w:rPr>
                <w:rFonts w:eastAsia="Times New Roman" w:cs="Times New Roman"/>
                <w:noProof/>
              </w:rPr>
            </w:pPr>
            <w:r>
              <w:rPr>
                <w:noProof/>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65073E" w:rsidRDefault="000A0998">
            <w:pPr>
              <w:pStyle w:val="P68B1DB1-Normal39"/>
              <w:spacing w:after="0" w:line="240" w:lineRule="auto"/>
              <w:rPr>
                <w:rFonts w:eastAsia="Times New Roman" w:cs="Times New Roman"/>
                <w:noProof/>
              </w:rPr>
            </w:pPr>
            <w:r>
              <w:rPr>
                <w:noProof/>
              </w:rPr>
              <w:t xml:space="preserve">Asemat paranevat digitalisaation myötä </w:t>
            </w:r>
          </w:p>
        </w:tc>
      </w:tr>
      <w:tr w:rsidR="0065073E" w14:paraId="108C70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65073E" w:rsidRDefault="000A0998">
            <w:pPr>
              <w:pStyle w:val="P68B1DB1-Normal39"/>
              <w:spacing w:after="0" w:line="240" w:lineRule="auto"/>
              <w:rPr>
                <w:rFonts w:eastAsia="Times New Roman" w:cs="Times New Roman"/>
                <w:noProof/>
              </w:rPr>
            </w:pPr>
            <w:r>
              <w:rPr>
                <w:noProof/>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65073E" w:rsidRDefault="000A0998">
            <w:pPr>
              <w:pStyle w:val="P68B1DB1-Normal39"/>
              <w:spacing w:after="0" w:line="240" w:lineRule="auto"/>
              <w:rPr>
                <w:rFonts w:eastAsia="Times New Roman" w:cs="Times New Roman"/>
                <w:noProof/>
              </w:rPr>
            </w:pPr>
            <w:r>
              <w:rPr>
                <w:noProof/>
              </w:rPr>
              <w:t xml:space="preserve">Parannetut Cercanías-asemat </w:t>
            </w:r>
          </w:p>
        </w:tc>
      </w:tr>
      <w:tr w:rsidR="0065073E" w14:paraId="0A9C02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65073E" w:rsidRDefault="000A0998">
            <w:pPr>
              <w:pStyle w:val="P68B1DB1-Normal39"/>
              <w:spacing w:after="0" w:line="240" w:lineRule="auto"/>
              <w:rPr>
                <w:rFonts w:eastAsia="Times New Roman" w:cs="Times New Roman"/>
                <w:noProof/>
              </w:rPr>
            </w:pPr>
            <w:r>
              <w:rPr>
                <w:noProof/>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65073E" w:rsidRDefault="000A0998">
            <w:pPr>
              <w:pStyle w:val="P68B1DB1-Normal39"/>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65073E" w:rsidRDefault="000A0998">
            <w:pPr>
              <w:pStyle w:val="P68B1DB1-Normal39"/>
              <w:spacing w:after="0" w:line="240" w:lineRule="auto"/>
              <w:rPr>
                <w:rFonts w:eastAsia="Times New Roman" w:cs="Times New Roman"/>
                <w:noProof/>
              </w:rPr>
            </w:pPr>
            <w:r>
              <w:rPr>
                <w:noProof/>
              </w:rPr>
              <w:t>Asuinasuntojen ja muiden kuin asuinrakennusten peruskorjausten myöntäminen siten, että primäärienergian kysyntä vähenee keskimäärin vähintään 30 prosenttia</w:t>
            </w:r>
          </w:p>
        </w:tc>
      </w:tr>
      <w:tr w:rsidR="0065073E" w14:paraId="4C3597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65073E" w:rsidRDefault="000A0998">
            <w:pPr>
              <w:pStyle w:val="P68B1DB1-Normal39"/>
              <w:spacing w:after="0" w:line="240" w:lineRule="auto"/>
              <w:rPr>
                <w:rFonts w:eastAsia="Times New Roman" w:cs="Times New Roman"/>
                <w:noProof/>
              </w:rPr>
            </w:pPr>
            <w:r>
              <w:rPr>
                <w:noProof/>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65073E" w:rsidRDefault="000A0998">
            <w:pPr>
              <w:pStyle w:val="P68B1DB1-Normal39"/>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65073E" w:rsidRDefault="000A0998">
            <w:pPr>
              <w:pStyle w:val="P68B1DB1-Normal39"/>
              <w:spacing w:after="0" w:line="240" w:lineRule="auto"/>
              <w:rPr>
                <w:rFonts w:eastAsia="Times New Roman" w:cs="Times New Roman"/>
                <w:noProof/>
              </w:rPr>
            </w:pPr>
            <w:r>
              <w:rPr>
                <w:noProof/>
              </w:rPr>
              <w:t>Eläinkuljetusten bioturvaamisen parantamista koskevan asetuksen ja antibioottien kestävää käyttöä eläinlajeissa koskevan asetuksen voimaantulo</w:t>
            </w:r>
          </w:p>
        </w:tc>
      </w:tr>
      <w:tr w:rsidR="0065073E" w14:paraId="021006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65073E" w:rsidRDefault="000A0998">
            <w:pPr>
              <w:pStyle w:val="P68B1DB1-Normal39"/>
              <w:spacing w:after="0" w:line="240" w:lineRule="auto"/>
              <w:rPr>
                <w:rFonts w:eastAsia="Times New Roman" w:cs="Times New Roman"/>
                <w:noProof/>
              </w:rPr>
            </w:pPr>
            <w:r>
              <w:rPr>
                <w:noProof/>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65073E" w:rsidRDefault="000A0998">
            <w:pPr>
              <w:pStyle w:val="P68B1DB1-Normal39"/>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65073E" w:rsidRDefault="000A0998">
            <w:pPr>
              <w:pStyle w:val="P68B1DB1-Normal39"/>
              <w:spacing w:after="0" w:line="240" w:lineRule="auto"/>
              <w:rPr>
                <w:rFonts w:eastAsia="Times New Roman" w:cs="Times New Roman"/>
                <w:noProof/>
              </w:rPr>
            </w:pPr>
            <w:r>
              <w:rPr>
                <w:noProof/>
              </w:rPr>
              <w:t>Maatalous-, kalastus- ja elintarvikeministeriön (MAPA) ja SEIASAn väliseen sopimukseen kasteltujen alueiden parantamisen ja kestävyyden tukemisesta tehdyn lisäyksen täytäntöönpano (toinen vaihe)</w:t>
            </w:r>
          </w:p>
        </w:tc>
      </w:tr>
      <w:tr w:rsidR="0065073E" w14:paraId="48E49A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65073E" w:rsidRDefault="000A0998">
            <w:pPr>
              <w:pStyle w:val="P68B1DB1-Normal39"/>
              <w:spacing w:after="0" w:line="240" w:lineRule="auto"/>
              <w:rPr>
                <w:rFonts w:eastAsia="Times New Roman" w:cs="Times New Roman"/>
                <w:noProof/>
              </w:rPr>
            </w:pPr>
            <w:r>
              <w:rPr>
                <w:noProof/>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65073E" w:rsidRDefault="000A0998">
            <w:pPr>
              <w:pStyle w:val="P68B1DB1-Normal39"/>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65073E" w:rsidRDefault="000A0998">
            <w:pPr>
              <w:pStyle w:val="P68B1DB1-Normal39"/>
              <w:spacing w:after="0" w:line="240" w:lineRule="auto"/>
              <w:rPr>
                <w:rFonts w:eastAsia="Times New Roman" w:cs="Times New Roman"/>
                <w:noProof/>
              </w:rPr>
            </w:pPr>
            <w:r>
              <w:rPr>
                <w:noProof/>
              </w:rPr>
              <w:t>Maatalouselintarvikealan pk-yritykset, joita tuetaan innovatiivisten ja digitaalisten liiketoimintahankkeiden toteuttamiseen</w:t>
            </w:r>
          </w:p>
        </w:tc>
      </w:tr>
      <w:tr w:rsidR="0065073E" w14:paraId="72099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65073E" w:rsidRDefault="000A0998">
            <w:pPr>
              <w:pStyle w:val="P68B1DB1-Normal39"/>
              <w:spacing w:after="0" w:line="240" w:lineRule="auto"/>
              <w:rPr>
                <w:rFonts w:eastAsia="Times New Roman" w:cs="Times New Roman"/>
                <w:noProof/>
              </w:rPr>
            </w:pPr>
            <w:r>
              <w:rPr>
                <w:noProof/>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65073E" w:rsidRDefault="000A0998">
            <w:pPr>
              <w:pStyle w:val="P68B1DB1-Normal39"/>
              <w:spacing w:after="0" w:line="240" w:lineRule="auto"/>
              <w:rPr>
                <w:rFonts w:eastAsia="Times New Roman" w:cs="Times New Roman"/>
                <w:noProof/>
              </w:rPr>
            </w:pPr>
            <w:r>
              <w:rPr>
                <w:noProof/>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65073E" w:rsidRDefault="000A0998">
            <w:pPr>
              <w:pStyle w:val="P68B1DB1-Normal39"/>
              <w:spacing w:after="0" w:line="240" w:lineRule="auto"/>
              <w:rPr>
                <w:rFonts w:eastAsia="Times New Roman" w:cs="Times New Roman"/>
                <w:noProof/>
              </w:rPr>
            </w:pPr>
            <w:r>
              <w:rPr>
                <w:noProof/>
              </w:rPr>
              <w:t>Tutkimus-, kehitys- ja innovointihankkeet, joilla tuetaan kalastus- ja vesiviljelyalan häiriönsietokykyä ja kestävyyttä</w:t>
            </w:r>
          </w:p>
        </w:tc>
      </w:tr>
      <w:tr w:rsidR="0065073E" w14:paraId="353C04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65073E" w:rsidRDefault="000A0998">
            <w:pPr>
              <w:pStyle w:val="P68B1DB1-Normal39"/>
              <w:spacing w:after="0" w:line="240" w:lineRule="auto"/>
              <w:rPr>
                <w:rFonts w:eastAsia="Times New Roman" w:cs="Times New Roman"/>
                <w:noProof/>
              </w:rPr>
            </w:pPr>
            <w:r>
              <w:rPr>
                <w:noProof/>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65073E" w:rsidRDefault="000A0998">
            <w:pPr>
              <w:pStyle w:val="P68B1DB1-Normal39"/>
              <w:spacing w:after="0" w:line="240" w:lineRule="auto"/>
              <w:rPr>
                <w:rFonts w:eastAsia="Times New Roman" w:cs="Times New Roman"/>
                <w:noProof/>
              </w:rPr>
            </w:pPr>
            <w:r>
              <w:rPr>
                <w:noProof/>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65073E" w:rsidRDefault="000A0998">
            <w:pPr>
              <w:pStyle w:val="P68B1DB1-Normal39"/>
              <w:spacing w:after="0" w:line="240" w:lineRule="auto"/>
              <w:rPr>
                <w:rFonts w:eastAsia="Times New Roman" w:cs="Times New Roman"/>
                <w:noProof/>
              </w:rPr>
            </w:pPr>
            <w:r>
              <w:rPr>
                <w:noProof/>
              </w:rPr>
              <w:t xml:space="preserve">Espanjan kalastuksen tietojärjestelmän (SIPE) ja kalastuksenvalvontajärjestelmän digitaalinen vahvistaminen </w:t>
            </w:r>
          </w:p>
        </w:tc>
      </w:tr>
      <w:tr w:rsidR="0065073E" w14:paraId="08B026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65073E" w:rsidRDefault="000A0998">
            <w:pPr>
              <w:pStyle w:val="P68B1DB1-Normal39"/>
              <w:spacing w:after="0" w:line="240" w:lineRule="auto"/>
              <w:rPr>
                <w:rFonts w:eastAsia="Times New Roman" w:cs="Times New Roman"/>
                <w:noProof/>
              </w:rPr>
            </w:pPr>
            <w:r>
              <w:rPr>
                <w:noProof/>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65073E" w:rsidRDefault="000A0998">
            <w:pPr>
              <w:pStyle w:val="P68B1DB1-Normal39"/>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65073E" w:rsidRDefault="000A0998">
            <w:pPr>
              <w:pStyle w:val="P68B1DB1-Normal39"/>
              <w:spacing w:after="0" w:line="240" w:lineRule="auto"/>
              <w:rPr>
                <w:rFonts w:eastAsia="Times New Roman" w:cs="Times New Roman"/>
                <w:noProof/>
              </w:rPr>
            </w:pPr>
            <w:r>
              <w:rPr>
                <w:noProof/>
              </w:rPr>
              <w:t xml:space="preserve">Suojellut merialueet </w:t>
            </w:r>
          </w:p>
        </w:tc>
      </w:tr>
      <w:tr w:rsidR="0065073E" w14:paraId="7318357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65073E" w:rsidRDefault="000A0998">
            <w:pPr>
              <w:pStyle w:val="P68B1DB1-Normal39"/>
              <w:spacing w:after="0" w:line="240" w:lineRule="auto"/>
              <w:rPr>
                <w:rFonts w:eastAsia="Times New Roman" w:cs="Times New Roman"/>
                <w:noProof/>
              </w:rPr>
            </w:pPr>
            <w:r>
              <w:rPr>
                <w:noProof/>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65073E" w:rsidRDefault="000A0998">
            <w:pPr>
              <w:pStyle w:val="P68B1DB1-Normal39"/>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65073E" w:rsidRDefault="000A0998">
            <w:pPr>
              <w:pStyle w:val="P68B1DB1-Normal39"/>
              <w:spacing w:after="0" w:line="240" w:lineRule="auto"/>
              <w:rPr>
                <w:rFonts w:eastAsia="Times New Roman" w:cs="Times New Roman"/>
                <w:noProof/>
              </w:rPr>
            </w:pPr>
            <w:r>
              <w:rPr>
                <w:noProof/>
              </w:rPr>
              <w:t xml:space="preserve">Hankintasopimusten tekeminen vesivarojen tuntemuksen ja käytön parantamiseksi sekä sademäärien ja muiden säätietojen seuraamiseksi </w:t>
            </w:r>
          </w:p>
        </w:tc>
      </w:tr>
      <w:tr w:rsidR="0065073E" w14:paraId="34FE77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65073E" w:rsidRDefault="000A0998">
            <w:pPr>
              <w:pStyle w:val="P68B1DB1-Normal39"/>
              <w:spacing w:after="0" w:line="240" w:lineRule="auto"/>
              <w:rPr>
                <w:rFonts w:eastAsia="Times New Roman" w:cs="Times New Roman"/>
                <w:noProof/>
              </w:rPr>
            </w:pPr>
            <w:r>
              <w:rPr>
                <w:noProof/>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65073E" w:rsidRDefault="000A0998">
            <w:pPr>
              <w:pStyle w:val="P68B1DB1-Normal39"/>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65073E" w:rsidRDefault="000A0998">
            <w:pPr>
              <w:pStyle w:val="P68B1DB1-Normal39"/>
              <w:spacing w:after="0" w:line="240" w:lineRule="auto"/>
              <w:rPr>
                <w:rFonts w:eastAsia="Times New Roman" w:cs="Times New Roman"/>
                <w:noProof/>
              </w:rPr>
            </w:pPr>
            <w:r>
              <w:rPr>
                <w:noProof/>
              </w:rPr>
              <w:t>Huonontuneiden alueiden ja ekosysteemien ennallistaminen vähintään 100 kilometrin rannikolla</w:t>
            </w:r>
          </w:p>
        </w:tc>
      </w:tr>
      <w:tr w:rsidR="0065073E" w14:paraId="7FD3F8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65073E" w:rsidRDefault="000A0998">
            <w:pPr>
              <w:pStyle w:val="P68B1DB1-Normal39"/>
              <w:spacing w:after="0" w:line="240" w:lineRule="auto"/>
              <w:rPr>
                <w:rFonts w:eastAsia="Times New Roman" w:cs="Times New Roman"/>
                <w:noProof/>
              </w:rPr>
            </w:pPr>
            <w:r>
              <w:rPr>
                <w:noProof/>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65073E" w:rsidRDefault="000A0998">
            <w:pPr>
              <w:pStyle w:val="P68B1DB1-Normal39"/>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65073E" w:rsidRDefault="000A0998">
            <w:pPr>
              <w:pStyle w:val="P68B1DB1-Normal39"/>
              <w:spacing w:after="0" w:line="240" w:lineRule="auto"/>
              <w:rPr>
                <w:rFonts w:eastAsia="Times New Roman" w:cs="Times New Roman"/>
                <w:noProof/>
              </w:rPr>
            </w:pPr>
            <w:r>
              <w:rPr>
                <w:noProof/>
              </w:rPr>
              <w:t xml:space="preserve">Uusiutuvan energian tuotantokapasiteetin lisääminen </w:t>
            </w:r>
          </w:p>
        </w:tc>
      </w:tr>
      <w:tr w:rsidR="0065073E" w14:paraId="0E8251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65073E" w:rsidRDefault="000A0998">
            <w:pPr>
              <w:pStyle w:val="P68B1DB1-Normal39"/>
              <w:spacing w:after="0" w:line="240" w:lineRule="auto"/>
              <w:rPr>
                <w:rFonts w:eastAsia="Times New Roman" w:cs="Times New Roman"/>
                <w:noProof/>
              </w:rPr>
            </w:pPr>
            <w:r>
              <w:rPr>
                <w:noProof/>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65073E" w:rsidRDefault="000A0998">
            <w:pPr>
              <w:pStyle w:val="P68B1DB1-Normal39"/>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65073E" w:rsidRDefault="000A0998">
            <w:pPr>
              <w:pStyle w:val="P68B1DB1-Normal39"/>
              <w:spacing w:after="0" w:line="240" w:lineRule="auto"/>
              <w:rPr>
                <w:rFonts w:eastAsia="Times New Roman" w:cs="Times New Roman"/>
                <w:noProof/>
              </w:rPr>
            </w:pPr>
            <w:r>
              <w:rPr>
                <w:noProof/>
              </w:rPr>
              <w:t xml:space="preserve">Espanjassa asennettu uusiutuvan energian kumulatiivinen lisäkapasiteetti </w:t>
            </w:r>
          </w:p>
        </w:tc>
      </w:tr>
      <w:tr w:rsidR="0065073E" w14:paraId="0598AA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65073E" w:rsidRDefault="000A0998">
            <w:pPr>
              <w:pStyle w:val="P68B1DB1-Normal39"/>
              <w:spacing w:after="0" w:line="240" w:lineRule="auto"/>
              <w:rPr>
                <w:rFonts w:eastAsia="Times New Roman" w:cs="Times New Roman"/>
                <w:noProof/>
              </w:rPr>
            </w:pPr>
            <w:r>
              <w:rPr>
                <w:noProof/>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65073E" w:rsidRDefault="000A0998">
            <w:pPr>
              <w:pStyle w:val="P68B1DB1-Normal39"/>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65073E" w:rsidRDefault="000A0998">
            <w:pPr>
              <w:pStyle w:val="P68B1DB1-Normal39"/>
              <w:spacing w:after="0" w:line="240" w:lineRule="auto"/>
              <w:rPr>
                <w:rFonts w:eastAsia="Times New Roman" w:cs="Times New Roman"/>
                <w:noProof/>
              </w:rPr>
            </w:pPr>
            <w:r>
              <w:rPr>
                <w:noProof/>
              </w:rPr>
              <w:t>Biokaasua koskevassa etenemissuunnitelmassa yksilöityjen toimenpiteiden loppuun saattaminen</w:t>
            </w:r>
          </w:p>
        </w:tc>
      </w:tr>
      <w:tr w:rsidR="0065073E" w14:paraId="08B7B0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65073E" w:rsidRDefault="000A0998">
            <w:pPr>
              <w:pStyle w:val="P68B1DB1-Normal39"/>
              <w:spacing w:after="0" w:line="240" w:lineRule="auto"/>
              <w:rPr>
                <w:rFonts w:eastAsia="Times New Roman" w:cs="Times New Roman"/>
                <w:noProof/>
              </w:rPr>
            </w:pPr>
            <w:r>
              <w:rPr>
                <w:noProof/>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65073E" w:rsidRDefault="000A0998">
            <w:pPr>
              <w:pStyle w:val="P68B1DB1-Normal39"/>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65073E" w:rsidRDefault="000A0998">
            <w:pPr>
              <w:pStyle w:val="P68B1DB1-Normal39"/>
              <w:spacing w:after="0" w:line="240" w:lineRule="auto"/>
              <w:rPr>
                <w:rFonts w:eastAsia="Times New Roman" w:cs="Times New Roman"/>
                <w:noProof/>
              </w:rPr>
            </w:pPr>
            <w:r>
              <w:rPr>
                <w:noProof/>
              </w:rPr>
              <w:t>Merten uusiutuvan energian infrastruktuurin uudet hankkeet, teknologiat tai laitteistot</w:t>
            </w:r>
          </w:p>
        </w:tc>
      </w:tr>
      <w:tr w:rsidR="0065073E" w14:paraId="766404C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65073E" w:rsidRDefault="000A0998">
            <w:pPr>
              <w:pStyle w:val="P68B1DB1-Normal39"/>
              <w:spacing w:after="0" w:line="240" w:lineRule="auto"/>
              <w:rPr>
                <w:rFonts w:eastAsia="Times New Roman" w:cs="Times New Roman"/>
                <w:noProof/>
              </w:rPr>
            </w:pPr>
            <w:r>
              <w:rPr>
                <w:noProof/>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65073E" w:rsidRDefault="000A0998">
            <w:pPr>
              <w:pStyle w:val="P68B1DB1-Normal39"/>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65073E" w:rsidRDefault="000A0998">
            <w:pPr>
              <w:pStyle w:val="P68B1DB1-Normal39"/>
              <w:spacing w:after="0" w:line="240" w:lineRule="auto"/>
              <w:rPr>
                <w:rFonts w:eastAsia="Times New Roman" w:cs="Times New Roman"/>
                <w:noProof/>
              </w:rPr>
            </w:pPr>
            <w:r>
              <w:rPr>
                <w:noProof/>
              </w:rPr>
              <w:t xml:space="preserve">Puhdas energia ja älykkäät hankkeet saarille </w:t>
            </w:r>
          </w:p>
        </w:tc>
      </w:tr>
      <w:tr w:rsidR="0065073E" w14:paraId="2CEF566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65073E" w:rsidRDefault="000A0998">
            <w:pPr>
              <w:pStyle w:val="P68B1DB1-Normal39"/>
              <w:spacing w:after="0" w:line="240" w:lineRule="auto"/>
              <w:rPr>
                <w:rFonts w:eastAsia="Times New Roman" w:cs="Times New Roman"/>
                <w:noProof/>
              </w:rPr>
            </w:pPr>
            <w:r>
              <w:rPr>
                <w:noProof/>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65073E" w:rsidRDefault="000A0998">
            <w:pPr>
              <w:pStyle w:val="P68B1DB1-Normal39"/>
              <w:spacing w:after="0" w:line="240" w:lineRule="auto"/>
              <w:rPr>
                <w:rFonts w:eastAsia="Times New Roman" w:cs="Times New Roman"/>
                <w:noProof/>
              </w:rPr>
            </w:pPr>
            <w:r>
              <w:rPr>
                <w:noProof/>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65073E" w:rsidRDefault="000A0998">
            <w:pPr>
              <w:pStyle w:val="P68B1DB1-Normal39"/>
              <w:spacing w:after="0" w:line="240" w:lineRule="auto"/>
              <w:rPr>
                <w:rFonts w:eastAsia="Times New Roman" w:cs="Times New Roman"/>
                <w:noProof/>
              </w:rPr>
            </w:pPr>
            <w:r>
              <w:rPr>
                <w:noProof/>
              </w:rPr>
              <w:t>Jouston ja kysyntäjouston integrointia koskevien sääntelytoimenpiteiden voimaantulo.</w:t>
            </w:r>
          </w:p>
        </w:tc>
      </w:tr>
      <w:tr w:rsidR="0065073E" w14:paraId="3D3547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65073E" w:rsidRDefault="000A0998">
            <w:pPr>
              <w:pStyle w:val="P68B1DB1-Normal39"/>
              <w:spacing w:after="0" w:line="240" w:lineRule="auto"/>
              <w:rPr>
                <w:rFonts w:eastAsia="Times New Roman" w:cs="Times New Roman"/>
                <w:noProof/>
              </w:rPr>
            </w:pPr>
            <w:r>
              <w:rPr>
                <w:noProof/>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65073E" w:rsidRDefault="000A0998">
            <w:pPr>
              <w:pStyle w:val="P68B1DB1-Normal39"/>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65073E" w:rsidRDefault="000A0998">
            <w:pPr>
              <w:pStyle w:val="P68B1DB1-Normal39"/>
              <w:spacing w:after="0" w:line="240" w:lineRule="auto"/>
              <w:rPr>
                <w:rFonts w:eastAsia="Times New Roman" w:cs="Times New Roman"/>
                <w:noProof/>
              </w:rPr>
            </w:pPr>
            <w:r>
              <w:rPr>
                <w:noProof/>
              </w:rPr>
              <w:t>Innovatiiviset varastointihankkeet, joille on myönnetty tukea</w:t>
            </w:r>
          </w:p>
        </w:tc>
      </w:tr>
      <w:tr w:rsidR="0065073E" w14:paraId="08C2DE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65073E" w:rsidRDefault="000A0998">
            <w:pPr>
              <w:pStyle w:val="P68B1DB1-Normal39"/>
              <w:spacing w:after="0" w:line="240" w:lineRule="auto"/>
              <w:rPr>
                <w:rFonts w:eastAsia="Times New Roman" w:cs="Times New Roman"/>
                <w:noProof/>
              </w:rPr>
            </w:pPr>
            <w:r>
              <w:rPr>
                <w:noProof/>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65073E" w:rsidRDefault="000A0998">
            <w:pPr>
              <w:pStyle w:val="P68B1DB1-Normal39"/>
              <w:spacing w:after="0" w:line="240" w:lineRule="auto"/>
              <w:rPr>
                <w:rFonts w:eastAsia="Times New Roman" w:cs="Times New Roman"/>
                <w:noProof/>
              </w:rPr>
            </w:pPr>
            <w:r>
              <w:rPr>
                <w:noProof/>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65073E" w:rsidRDefault="000A0998">
            <w:pPr>
              <w:pStyle w:val="P68B1DB1-Normal39"/>
              <w:spacing w:after="0" w:line="240" w:lineRule="auto"/>
              <w:rPr>
                <w:rFonts w:eastAsia="Times New Roman" w:cs="Times New Roman"/>
                <w:noProof/>
              </w:rPr>
            </w:pPr>
            <w:r>
              <w:rPr>
                <w:noProof/>
              </w:rPr>
              <w:t>Innovatiiviset digitalisointihankkeet sähkönjakelussa</w:t>
            </w:r>
          </w:p>
        </w:tc>
      </w:tr>
      <w:tr w:rsidR="0065073E" w14:paraId="4750A54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65073E" w:rsidRDefault="000A0998">
            <w:pPr>
              <w:pStyle w:val="P68B1DB1-Normal39"/>
              <w:spacing w:after="0" w:line="240" w:lineRule="auto"/>
              <w:rPr>
                <w:rFonts w:eastAsia="Times New Roman" w:cs="Times New Roman"/>
                <w:noProof/>
              </w:rPr>
            </w:pPr>
            <w:r>
              <w:rPr>
                <w:noProof/>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65073E" w:rsidRDefault="000A0998">
            <w:pPr>
              <w:pStyle w:val="P68B1DB1-Normal39"/>
              <w:spacing w:after="0" w:line="240" w:lineRule="auto"/>
              <w:rPr>
                <w:rFonts w:eastAsia="Times New Roman" w:cs="Times New Roman"/>
                <w:noProof/>
              </w:rPr>
            </w:pPr>
            <w:r>
              <w:rPr>
                <w:noProof/>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65073E" w:rsidRDefault="000A0998">
            <w:pPr>
              <w:pStyle w:val="P68B1DB1-Normal39"/>
              <w:spacing w:after="0" w:line="240" w:lineRule="auto"/>
              <w:rPr>
                <w:rFonts w:eastAsia="Times New Roman" w:cs="Times New Roman"/>
                <w:noProof/>
              </w:rPr>
            </w:pPr>
            <w:r>
              <w:rPr>
                <w:noProof/>
              </w:rPr>
              <w:t>Hankkeet, joilla edistetään energiakäänteen uusia liiketoimintamalleja</w:t>
            </w:r>
          </w:p>
        </w:tc>
      </w:tr>
      <w:tr w:rsidR="0065073E" w14:paraId="21CBD9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65073E" w:rsidRDefault="000A0998">
            <w:pPr>
              <w:pStyle w:val="P68B1DB1-Normal39"/>
              <w:spacing w:after="0" w:line="240" w:lineRule="auto"/>
              <w:rPr>
                <w:rFonts w:eastAsia="Times New Roman" w:cs="Times New Roman"/>
                <w:noProof/>
              </w:rPr>
            </w:pPr>
            <w:r>
              <w:rPr>
                <w:noProof/>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65073E" w:rsidRDefault="000A0998">
            <w:pPr>
              <w:pStyle w:val="P68B1DB1-Normal39"/>
              <w:spacing w:after="0" w:line="240" w:lineRule="auto"/>
              <w:rPr>
                <w:rFonts w:eastAsia="Times New Roman" w:cs="Times New Roman"/>
                <w:noProof/>
              </w:rPr>
            </w:pPr>
            <w:r>
              <w:rPr>
                <w:noProof/>
              </w:rPr>
              <w:t xml:space="preserve">Teknologian kehitys uusiutuvan vedyn arvoketjussa </w:t>
            </w:r>
          </w:p>
        </w:tc>
      </w:tr>
      <w:tr w:rsidR="0065073E" w14:paraId="4C420B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65073E" w:rsidRDefault="000A0998">
            <w:pPr>
              <w:pStyle w:val="P68B1DB1-Normal39"/>
              <w:spacing w:after="0" w:line="240" w:lineRule="auto"/>
              <w:rPr>
                <w:rFonts w:eastAsia="Times New Roman" w:cs="Times New Roman"/>
                <w:noProof/>
              </w:rPr>
            </w:pPr>
            <w:r>
              <w:rPr>
                <w:noProof/>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65073E" w:rsidRDefault="000A0998">
            <w:pPr>
              <w:pStyle w:val="P68B1DB1-Normal39"/>
              <w:spacing w:after="0" w:line="240" w:lineRule="auto"/>
              <w:rPr>
                <w:rFonts w:eastAsia="Times New Roman" w:cs="Times New Roman"/>
                <w:noProof/>
              </w:rPr>
            </w:pPr>
            <w:r>
              <w:rPr>
                <w:noProof/>
              </w:rPr>
              <w:t xml:space="preserve">Uusiutuvan vedyn klusterit (tai laaksot)  </w:t>
            </w:r>
          </w:p>
        </w:tc>
      </w:tr>
      <w:tr w:rsidR="0065073E" w14:paraId="6D1C4A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65073E" w:rsidRDefault="000A0998">
            <w:pPr>
              <w:pStyle w:val="P68B1DB1-Normal39"/>
              <w:spacing w:after="0" w:line="240" w:lineRule="auto"/>
              <w:rPr>
                <w:rFonts w:eastAsia="Times New Roman" w:cs="Times New Roman"/>
                <w:noProof/>
              </w:rPr>
            </w:pPr>
            <w:r>
              <w:rPr>
                <w:noProof/>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65073E" w:rsidRDefault="000A0998">
            <w:pPr>
              <w:pStyle w:val="P68B1DB1-Normal39"/>
              <w:spacing w:after="0" w:line="240" w:lineRule="auto"/>
              <w:rPr>
                <w:rFonts w:eastAsia="Times New Roman" w:cs="Times New Roman"/>
                <w:noProof/>
              </w:rPr>
            </w:pPr>
            <w:r>
              <w:rPr>
                <w:noProof/>
              </w:rPr>
              <w:t xml:space="preserve">Vedyn edelläkävijähankkeet  </w:t>
            </w:r>
          </w:p>
        </w:tc>
      </w:tr>
      <w:tr w:rsidR="0065073E" w14:paraId="050FC5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65073E" w:rsidRDefault="000A0998">
            <w:pPr>
              <w:pStyle w:val="P68B1DB1-Normal39"/>
              <w:spacing w:after="0" w:line="240" w:lineRule="auto"/>
              <w:rPr>
                <w:rFonts w:eastAsia="Times New Roman" w:cs="Times New Roman"/>
                <w:noProof/>
              </w:rPr>
            </w:pPr>
            <w:r>
              <w:rPr>
                <w:noProof/>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65073E" w:rsidRDefault="000A0998">
            <w:pPr>
              <w:pStyle w:val="P68B1DB1-Normal39"/>
              <w:spacing w:after="0" w:line="240" w:lineRule="auto"/>
              <w:rPr>
                <w:rFonts w:eastAsia="Times New Roman" w:cs="Times New Roman"/>
                <w:noProof/>
              </w:rPr>
            </w:pPr>
            <w:r>
              <w:rPr>
                <w:noProof/>
              </w:rPr>
              <w:t>Testauslaitokset tai uudet valmistuslinjat.</w:t>
            </w:r>
          </w:p>
        </w:tc>
      </w:tr>
      <w:tr w:rsidR="0065073E" w14:paraId="162253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65073E" w:rsidRDefault="000A0998">
            <w:pPr>
              <w:pStyle w:val="P68B1DB1-Normal39"/>
              <w:spacing w:after="0" w:line="240" w:lineRule="auto"/>
              <w:rPr>
                <w:rFonts w:eastAsia="Times New Roman" w:cs="Times New Roman"/>
                <w:noProof/>
              </w:rPr>
            </w:pPr>
            <w:r>
              <w:rPr>
                <w:noProof/>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65073E" w:rsidRDefault="000A0998">
            <w:pPr>
              <w:pStyle w:val="P68B1DB1-Normal39"/>
              <w:spacing w:after="0" w:line="240" w:lineRule="auto"/>
              <w:rPr>
                <w:rFonts w:eastAsia="Times New Roman" w:cs="Times New Roman"/>
                <w:noProof/>
              </w:rPr>
            </w:pPr>
            <w:r>
              <w:rPr>
                <w:noProof/>
              </w:rPr>
              <w:t>Uuden arvioinnista vastaavan julkisen elimen perussääntö</w:t>
            </w:r>
          </w:p>
        </w:tc>
      </w:tr>
      <w:tr w:rsidR="0065073E" w14:paraId="0EFDFC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65073E" w:rsidRDefault="000A0998">
            <w:pPr>
              <w:pStyle w:val="P68B1DB1-Normal39"/>
              <w:spacing w:after="0" w:line="240" w:lineRule="auto"/>
              <w:rPr>
                <w:rFonts w:eastAsia="Times New Roman" w:cs="Times New Roman"/>
                <w:noProof/>
              </w:rPr>
            </w:pPr>
            <w:r>
              <w:rPr>
                <w:noProof/>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65073E" w:rsidRDefault="000A0998">
            <w:pPr>
              <w:pStyle w:val="P68B1DB1-Normal39"/>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65073E" w:rsidRDefault="000A0998">
            <w:pPr>
              <w:pStyle w:val="P68B1DB1-Normal39"/>
              <w:spacing w:after="0" w:line="240" w:lineRule="auto"/>
              <w:rPr>
                <w:rFonts w:eastAsia="Times New Roman" w:cs="Times New Roman"/>
                <w:noProof/>
              </w:rPr>
            </w:pPr>
            <w:r>
              <w:rPr>
                <w:noProof/>
              </w:rPr>
              <w:t>Rahoitusjärjestelmää koskevan kaksivuotisen ilmastonmuutosriskiraportin julkaiseminen ja kestävän rahoituksen neuvoston perustaminen</w:t>
            </w:r>
          </w:p>
        </w:tc>
      </w:tr>
      <w:tr w:rsidR="0065073E" w14:paraId="43CD5C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65073E" w:rsidRDefault="000A0998">
            <w:pPr>
              <w:pStyle w:val="P68B1DB1-Normal39"/>
              <w:spacing w:after="0" w:line="240" w:lineRule="auto"/>
              <w:rPr>
                <w:rFonts w:eastAsia="Times New Roman" w:cs="Times New Roman"/>
                <w:noProof/>
              </w:rPr>
            </w:pPr>
            <w:r>
              <w:rPr>
                <w:noProof/>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65073E" w:rsidRDefault="000A0998">
            <w:pPr>
              <w:pStyle w:val="P68B1DB1-Normal39"/>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65073E" w:rsidRDefault="000A0998">
            <w:pPr>
              <w:pStyle w:val="P68B1DB1-Normal39"/>
              <w:spacing w:after="0" w:line="240" w:lineRule="auto"/>
              <w:rPr>
                <w:rFonts w:eastAsia="Times New Roman" w:cs="Times New Roman"/>
                <w:noProof/>
              </w:rPr>
            </w:pPr>
            <w:r>
              <w:rPr>
                <w:noProof/>
              </w:rPr>
              <w:t>Kansallisten julkisten hankinta-alustojen yhteenliittäminen</w:t>
            </w:r>
          </w:p>
        </w:tc>
      </w:tr>
      <w:tr w:rsidR="0065073E" w14:paraId="5F5922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65073E" w:rsidRDefault="000A0998">
            <w:pPr>
              <w:pStyle w:val="P68B1DB1-Normal39"/>
              <w:spacing w:after="0" w:line="240" w:lineRule="auto"/>
              <w:rPr>
                <w:rFonts w:eastAsia="Times New Roman" w:cs="Times New Roman"/>
                <w:noProof/>
              </w:rPr>
            </w:pPr>
            <w:r>
              <w:rPr>
                <w:noProof/>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65073E" w:rsidRDefault="000A0998">
            <w:pPr>
              <w:pStyle w:val="P68B1DB1-Normal39"/>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65073E" w:rsidRDefault="000A0998">
            <w:pPr>
              <w:pStyle w:val="P68B1DB1-Normal39"/>
              <w:spacing w:after="0" w:line="240" w:lineRule="auto"/>
              <w:rPr>
                <w:rFonts w:eastAsia="Times New Roman" w:cs="Times New Roman"/>
                <w:noProof/>
              </w:rPr>
            </w:pPr>
            <w:r>
              <w:rPr>
                <w:noProof/>
              </w:rPr>
              <w:t>Julkishallinnon keskushallinnon digitalisaatiota tukevien hankkeiden myöntäminen</w:t>
            </w:r>
          </w:p>
        </w:tc>
      </w:tr>
      <w:tr w:rsidR="0065073E" w14:paraId="710577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65073E" w:rsidRDefault="000A0998">
            <w:pPr>
              <w:pStyle w:val="P68B1DB1-Normal39"/>
              <w:spacing w:after="0" w:line="240" w:lineRule="auto"/>
              <w:rPr>
                <w:rFonts w:eastAsia="Times New Roman" w:cs="Times New Roman"/>
                <w:noProof/>
              </w:rPr>
            </w:pPr>
            <w:r>
              <w:rPr>
                <w:noProof/>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65073E" w:rsidRDefault="000A0998">
            <w:pPr>
              <w:pStyle w:val="P68B1DB1-Normal39"/>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65073E" w:rsidRDefault="000A0998">
            <w:pPr>
              <w:pStyle w:val="P68B1DB1-Normal39"/>
              <w:spacing w:after="0" w:line="240" w:lineRule="auto"/>
              <w:rPr>
                <w:rFonts w:eastAsia="Times New Roman" w:cs="Times New Roman"/>
                <w:noProof/>
              </w:rPr>
            </w:pPr>
            <w:r>
              <w:rPr>
                <w:noProof/>
              </w:rPr>
              <w:t>Yhteentoimivat alustat sosiaaliturva- ja terveystietojen vaihtamiseksi</w:t>
            </w:r>
          </w:p>
        </w:tc>
      </w:tr>
      <w:tr w:rsidR="0065073E" w14:paraId="336DFC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65073E" w:rsidRDefault="000A0998">
            <w:pPr>
              <w:pStyle w:val="P68B1DB1-Normal39"/>
              <w:spacing w:after="0" w:line="240" w:lineRule="auto"/>
              <w:rPr>
                <w:rFonts w:eastAsia="Times New Roman" w:cs="Times New Roman"/>
                <w:noProof/>
              </w:rPr>
            </w:pPr>
            <w:r>
              <w:rPr>
                <w:noProof/>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65073E" w:rsidRDefault="000A0998">
            <w:pPr>
              <w:pStyle w:val="P68B1DB1-Normal39"/>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65073E" w:rsidRDefault="000A0998">
            <w:pPr>
              <w:pStyle w:val="P68B1DB1-Normal39"/>
              <w:spacing w:after="0" w:line="240" w:lineRule="auto"/>
              <w:rPr>
                <w:rFonts w:eastAsia="Times New Roman" w:cs="Times New Roman"/>
                <w:noProof/>
              </w:rPr>
            </w:pPr>
            <w:r>
              <w:rPr>
                <w:noProof/>
              </w:rPr>
              <w:t>Julkishallinnon keskushallinnon digitalisaatiota edistäviä hankkeita tukevien hankkeiden myöntäminen</w:t>
            </w:r>
          </w:p>
        </w:tc>
      </w:tr>
      <w:tr w:rsidR="0065073E" w14:paraId="3B7A13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65073E" w:rsidRDefault="000A0998">
            <w:pPr>
              <w:pStyle w:val="P68B1DB1-Normal39"/>
              <w:spacing w:after="0" w:line="240" w:lineRule="auto"/>
              <w:rPr>
                <w:rFonts w:eastAsia="Times New Roman" w:cs="Times New Roman"/>
                <w:noProof/>
              </w:rPr>
            </w:pPr>
            <w:r>
              <w:rPr>
                <w:noProof/>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65073E" w:rsidRDefault="000A0998">
            <w:pPr>
              <w:pStyle w:val="P68B1DB1-Normal39"/>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65073E" w:rsidRDefault="000A0998">
            <w:pPr>
              <w:pStyle w:val="P68B1DB1-Normal39"/>
              <w:spacing w:after="0" w:line="240" w:lineRule="auto"/>
              <w:rPr>
                <w:rFonts w:eastAsia="Times New Roman" w:cs="Times New Roman"/>
                <w:noProof/>
              </w:rPr>
            </w:pPr>
            <w:r>
              <w:rPr>
                <w:noProof/>
              </w:rPr>
              <w:t>Alue- ja paikallisyhteisöjen digitalisointi</w:t>
            </w:r>
          </w:p>
        </w:tc>
      </w:tr>
      <w:tr w:rsidR="0065073E" w14:paraId="6E5E3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65073E" w:rsidRDefault="000A0998">
            <w:pPr>
              <w:pStyle w:val="P68B1DB1-Normal39"/>
              <w:spacing w:after="0" w:line="240" w:lineRule="auto"/>
              <w:rPr>
                <w:rFonts w:eastAsia="Times New Roman" w:cs="Times New Roman"/>
                <w:noProof/>
              </w:rPr>
            </w:pPr>
            <w:r>
              <w:rPr>
                <w:noProof/>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65073E" w:rsidRDefault="000A0998">
            <w:pPr>
              <w:pStyle w:val="P68B1DB1-Normal39"/>
              <w:spacing w:after="0" w:line="240" w:lineRule="auto"/>
              <w:rPr>
                <w:rFonts w:eastAsia="Times New Roman" w:cs="Times New Roman"/>
                <w:noProof/>
              </w:rPr>
            </w:pPr>
            <w:r>
              <w:rPr>
                <w:noProof/>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65073E" w:rsidRDefault="000A0998">
            <w:pPr>
              <w:pStyle w:val="P68B1DB1-Normal39"/>
              <w:spacing w:after="0" w:line="240" w:lineRule="auto"/>
              <w:rPr>
                <w:rFonts w:eastAsia="Times New Roman" w:cs="Times New Roman"/>
                <w:noProof/>
              </w:rPr>
            </w:pPr>
            <w:r>
              <w:rPr>
                <w:noProof/>
              </w:rPr>
              <w:t>Teollisuuslain voimaantulo</w:t>
            </w:r>
          </w:p>
        </w:tc>
      </w:tr>
      <w:tr w:rsidR="0065073E" w14:paraId="7F4ECB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65073E" w:rsidRDefault="000A0998">
            <w:pPr>
              <w:pStyle w:val="P68B1DB1-Normal39"/>
              <w:spacing w:after="0" w:line="240" w:lineRule="auto"/>
              <w:rPr>
                <w:rFonts w:eastAsia="Times New Roman" w:cs="Times New Roman"/>
                <w:noProof/>
              </w:rPr>
            </w:pPr>
            <w:r>
              <w:rPr>
                <w:noProof/>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65073E" w:rsidRDefault="000A0998">
            <w:pPr>
              <w:pStyle w:val="P68B1DB1-Normal39"/>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65073E" w:rsidRDefault="000A0998">
            <w:pPr>
              <w:pStyle w:val="P68B1DB1-Normal39"/>
              <w:spacing w:after="0" w:line="240" w:lineRule="auto"/>
              <w:rPr>
                <w:rFonts w:eastAsia="Times New Roman" w:cs="Times New Roman"/>
                <w:noProof/>
              </w:rPr>
            </w:pPr>
            <w:r>
              <w:rPr>
                <w:noProof/>
              </w:rPr>
              <w:t>Jätelainsäädännön täytäntöönpanoa tukevien hankkeiden loppuun saattaminen ja kiertotalouden edistäminen yrityksissä</w:t>
            </w:r>
          </w:p>
        </w:tc>
      </w:tr>
      <w:tr w:rsidR="0065073E" w14:paraId="6C959C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65073E" w:rsidRDefault="000A0998">
            <w:pPr>
              <w:pStyle w:val="P68B1DB1-Normal39"/>
              <w:spacing w:after="0" w:line="240" w:lineRule="auto"/>
              <w:rPr>
                <w:rFonts w:eastAsia="Times New Roman" w:cs="Times New Roman"/>
                <w:noProof/>
              </w:rPr>
            </w:pPr>
            <w:r>
              <w:rPr>
                <w:noProof/>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65073E" w:rsidRDefault="000A0998">
            <w:pPr>
              <w:pStyle w:val="P68B1DB1-Normal39"/>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65073E" w:rsidRDefault="000A0998">
            <w:pPr>
              <w:pStyle w:val="P68B1DB1-Normal39"/>
              <w:spacing w:after="0" w:line="240" w:lineRule="auto"/>
              <w:rPr>
                <w:rFonts w:eastAsia="Times New Roman" w:cs="Times New Roman"/>
                <w:noProof/>
              </w:rPr>
            </w:pPr>
            <w:r>
              <w:rPr>
                <w:noProof/>
              </w:rPr>
              <w:t>Yrittäjien tukemisesta ja kansainvälistymisestä 27. syyskuuta annettuun lakiin 14/2013 tehdyn muutoksen voimaantulo</w:t>
            </w:r>
          </w:p>
        </w:tc>
      </w:tr>
      <w:tr w:rsidR="0065073E" w14:paraId="578386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65073E" w:rsidRDefault="000A0998">
            <w:pPr>
              <w:pStyle w:val="P68B1DB1-Normal39"/>
              <w:spacing w:after="0" w:line="240" w:lineRule="auto"/>
              <w:rPr>
                <w:rFonts w:eastAsia="Times New Roman" w:cs="Times New Roman"/>
                <w:noProof/>
              </w:rPr>
            </w:pPr>
            <w:r>
              <w:rPr>
                <w:noProof/>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65073E" w:rsidRDefault="000A0998">
            <w:pPr>
              <w:pStyle w:val="P68B1DB1-Normal39"/>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65073E" w:rsidRDefault="000A0998">
            <w:pPr>
              <w:pStyle w:val="P68B1DB1-Normal39"/>
              <w:spacing w:after="0" w:line="240" w:lineRule="auto"/>
              <w:rPr>
                <w:rFonts w:eastAsia="Times New Roman" w:cs="Times New Roman"/>
                <w:noProof/>
              </w:rPr>
            </w:pPr>
            <w:r>
              <w:rPr>
                <w:noProof/>
              </w:rPr>
              <w:t>Käyttäjät, jotka hyötyvät yrittäjäekosysteemiä edistävistä toimenpiteistä</w:t>
            </w:r>
          </w:p>
        </w:tc>
      </w:tr>
      <w:tr w:rsidR="0065073E" w14:paraId="1D2EB2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65073E" w:rsidRDefault="000A0998">
            <w:pPr>
              <w:pStyle w:val="P68B1DB1-Normal39"/>
              <w:spacing w:after="0" w:line="240" w:lineRule="auto"/>
              <w:rPr>
                <w:rFonts w:eastAsia="Times New Roman" w:cs="Times New Roman"/>
                <w:noProof/>
              </w:rPr>
            </w:pPr>
            <w:r>
              <w:rPr>
                <w:noProof/>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65073E" w:rsidRDefault="000A0998">
            <w:pPr>
              <w:pStyle w:val="P68B1DB1-Normal39"/>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65073E" w:rsidRDefault="000A0998">
            <w:pPr>
              <w:pStyle w:val="P68B1DB1-Normal39"/>
              <w:spacing w:after="0" w:line="240" w:lineRule="auto"/>
              <w:rPr>
                <w:rFonts w:eastAsia="Times New Roman" w:cs="Times New Roman"/>
                <w:noProof/>
              </w:rPr>
            </w:pPr>
            <w:r>
              <w:rPr>
                <w:noProof/>
              </w:rPr>
              <w:t>CERSA-takaus</w:t>
            </w:r>
          </w:p>
        </w:tc>
      </w:tr>
      <w:tr w:rsidR="0065073E" w14:paraId="32B34F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65073E" w:rsidRDefault="000A0998">
            <w:pPr>
              <w:pStyle w:val="P68B1DB1-Normal39"/>
              <w:spacing w:after="0" w:line="240" w:lineRule="auto"/>
              <w:rPr>
                <w:rFonts w:eastAsia="Times New Roman" w:cs="Times New Roman"/>
                <w:noProof/>
              </w:rPr>
            </w:pPr>
            <w:r>
              <w:rPr>
                <w:noProof/>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65073E" w:rsidRDefault="000A0998">
            <w:pPr>
              <w:pStyle w:val="P68B1DB1-Normal39"/>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65073E" w:rsidRDefault="000A0998">
            <w:pPr>
              <w:pStyle w:val="P68B1DB1-Normal39"/>
              <w:spacing w:after="0" w:line="240" w:lineRule="auto"/>
              <w:rPr>
                <w:rFonts w:eastAsia="Times New Roman" w:cs="Times New Roman"/>
                <w:noProof/>
              </w:rPr>
            </w:pPr>
            <w:r>
              <w:rPr>
                <w:noProof/>
              </w:rPr>
              <w:t>Yrittäjät ja pk-yritykset, joita tuetaan teollisen yrittäjyyden tukiohjelmasta</w:t>
            </w:r>
          </w:p>
        </w:tc>
      </w:tr>
      <w:tr w:rsidR="0065073E" w14:paraId="1BFDF0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65073E" w:rsidRDefault="000A0998">
            <w:pPr>
              <w:pStyle w:val="P68B1DB1-Normal39"/>
              <w:spacing w:after="0" w:line="240" w:lineRule="auto"/>
              <w:rPr>
                <w:rFonts w:eastAsia="Times New Roman" w:cs="Times New Roman"/>
                <w:noProof/>
              </w:rPr>
            </w:pPr>
            <w:r>
              <w:rPr>
                <w:noProof/>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65073E" w:rsidRDefault="000A0998">
            <w:pPr>
              <w:pStyle w:val="P68B1DB1-Normal39"/>
              <w:spacing w:after="0" w:line="240" w:lineRule="auto"/>
              <w:rPr>
                <w:rFonts w:eastAsia="Times New Roman" w:cs="Times New Roman"/>
                <w:noProof/>
              </w:rPr>
            </w:pPr>
            <w:r>
              <w:rPr>
                <w:noProof/>
              </w:rPr>
              <w:t>Muutosohjelman toimihenkilöiden talousarvion toteuttaminen</w:t>
            </w:r>
          </w:p>
        </w:tc>
      </w:tr>
      <w:tr w:rsidR="0065073E" w14:paraId="7EC752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65073E" w:rsidRDefault="000A0998">
            <w:pPr>
              <w:pStyle w:val="P68B1DB1-Normal39"/>
              <w:spacing w:after="0" w:line="240" w:lineRule="auto"/>
              <w:rPr>
                <w:rFonts w:eastAsia="Times New Roman" w:cs="Times New Roman"/>
                <w:noProof/>
              </w:rPr>
            </w:pPr>
            <w:r>
              <w:rPr>
                <w:noProof/>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65073E" w:rsidRDefault="000A0998">
            <w:pPr>
              <w:pStyle w:val="P68B1DB1-Normal39"/>
              <w:spacing w:after="0" w:line="240" w:lineRule="auto"/>
              <w:rPr>
                <w:rFonts w:eastAsia="Times New Roman" w:cs="Times New Roman"/>
                <w:noProof/>
              </w:rPr>
            </w:pPr>
            <w:r>
              <w:rPr>
                <w:noProof/>
              </w:rPr>
              <w:t xml:space="preserve">Innovatiivisten yritysten klusteritukiohjelman talousarvion toteuttaminen </w:t>
            </w:r>
          </w:p>
        </w:tc>
      </w:tr>
      <w:tr w:rsidR="0065073E" w14:paraId="1B56943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65073E" w:rsidRDefault="000A0998">
            <w:pPr>
              <w:pStyle w:val="P68B1DB1-Normal39"/>
              <w:spacing w:after="0" w:line="240" w:lineRule="auto"/>
              <w:rPr>
                <w:rFonts w:eastAsia="Times New Roman" w:cs="Times New Roman"/>
                <w:noProof/>
              </w:rPr>
            </w:pPr>
            <w:r>
              <w:rPr>
                <w:noProof/>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65073E" w:rsidRDefault="000A0998">
            <w:pPr>
              <w:pStyle w:val="P68B1DB1-Normal39"/>
              <w:spacing w:after="0" w:line="240" w:lineRule="auto"/>
              <w:rPr>
                <w:rFonts w:eastAsia="Times New Roman" w:cs="Times New Roman"/>
                <w:noProof/>
              </w:rPr>
            </w:pPr>
            <w:r>
              <w:rPr>
                <w:noProof/>
              </w:rPr>
              <w:t>Digitaali-innovaatiokeskittymiä koskevan ohjelman talousarvion toteuttaminen</w:t>
            </w:r>
          </w:p>
        </w:tc>
      </w:tr>
      <w:tr w:rsidR="0065073E" w14:paraId="299FB6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65073E" w:rsidRDefault="000A0998">
            <w:pPr>
              <w:pStyle w:val="P68B1DB1-Normal39"/>
              <w:spacing w:after="0" w:line="240" w:lineRule="auto"/>
              <w:rPr>
                <w:rFonts w:eastAsia="Times New Roman" w:cs="Times New Roman"/>
                <w:noProof/>
              </w:rPr>
            </w:pPr>
            <w:r>
              <w:rPr>
                <w:noProof/>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65073E" w:rsidRDefault="000A0998">
            <w:pPr>
              <w:pStyle w:val="P68B1DB1-Normal39"/>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65073E" w:rsidRDefault="000A0998">
            <w:pPr>
              <w:pStyle w:val="P68B1DB1-Normal39"/>
              <w:spacing w:after="0" w:line="240" w:lineRule="auto"/>
              <w:rPr>
                <w:rFonts w:eastAsia="Times New Roman" w:cs="Times New Roman"/>
                <w:noProof/>
              </w:rPr>
            </w:pPr>
            <w:r>
              <w:rPr>
                <w:noProof/>
              </w:rPr>
              <w:t>Pk-yritykset ja elinkeinoelämän järjestöt, jotka ovat saaneet tukea teknologiarahastosta</w:t>
            </w:r>
          </w:p>
        </w:tc>
      </w:tr>
      <w:tr w:rsidR="0065073E" w14:paraId="1751BA0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65073E" w:rsidRDefault="000A0998">
            <w:pPr>
              <w:pStyle w:val="P68B1DB1-Normal39"/>
              <w:spacing w:after="0" w:line="240" w:lineRule="auto"/>
              <w:rPr>
                <w:rFonts w:eastAsia="Times New Roman" w:cs="Times New Roman"/>
                <w:noProof/>
              </w:rPr>
            </w:pPr>
            <w:r>
              <w:rPr>
                <w:noProof/>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65073E" w:rsidRDefault="000A0998">
            <w:pPr>
              <w:pStyle w:val="P68B1DB1-Normal39"/>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65073E" w:rsidRDefault="000A0998">
            <w:pPr>
              <w:pStyle w:val="P68B1DB1-Normal39"/>
              <w:spacing w:after="0" w:line="240" w:lineRule="auto"/>
              <w:rPr>
                <w:rFonts w:eastAsia="Times New Roman" w:cs="Times New Roman"/>
                <w:noProof/>
              </w:rPr>
            </w:pPr>
            <w:r>
              <w:rPr>
                <w:noProof/>
              </w:rPr>
              <w:t>Matkailun kestävyyttä matkakohteessa edistävien suunnitelmien määrärahojen myöntäminen</w:t>
            </w:r>
          </w:p>
        </w:tc>
      </w:tr>
      <w:tr w:rsidR="0065073E" w14:paraId="6DB9E1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65073E" w:rsidRDefault="000A0998">
            <w:pPr>
              <w:pStyle w:val="P68B1DB1-Normal39"/>
              <w:spacing w:after="0" w:line="240" w:lineRule="auto"/>
              <w:rPr>
                <w:rFonts w:eastAsia="Times New Roman" w:cs="Times New Roman"/>
                <w:noProof/>
              </w:rPr>
            </w:pPr>
            <w:r>
              <w:rPr>
                <w:noProof/>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65073E" w:rsidRDefault="000A0998">
            <w:pPr>
              <w:pStyle w:val="P68B1DB1-Normal39"/>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65073E" w:rsidRDefault="000A0998">
            <w:pPr>
              <w:pStyle w:val="P68B1DB1-Normal39"/>
              <w:spacing w:after="0" w:line="240" w:lineRule="auto"/>
              <w:rPr>
                <w:rFonts w:eastAsia="Times New Roman" w:cs="Times New Roman"/>
                <w:noProof/>
              </w:rPr>
            </w:pPr>
            <w:r>
              <w:rPr>
                <w:noProof/>
              </w:rPr>
              <w:t>Ultranopean laajakaistan käyttöönotto: palkinto</w:t>
            </w:r>
          </w:p>
        </w:tc>
      </w:tr>
      <w:tr w:rsidR="0065073E" w14:paraId="5151DB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65073E" w:rsidRDefault="000A0998">
            <w:pPr>
              <w:pStyle w:val="P68B1DB1-Normal39"/>
              <w:spacing w:after="0" w:line="240" w:lineRule="auto"/>
              <w:rPr>
                <w:rFonts w:eastAsia="Times New Roman" w:cs="Times New Roman"/>
                <w:noProof/>
              </w:rPr>
            </w:pPr>
            <w:r>
              <w:rPr>
                <w:noProof/>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65073E" w:rsidRDefault="000A0998">
            <w:pPr>
              <w:pStyle w:val="P68B1DB1-Normal39"/>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65073E" w:rsidRDefault="000A0998">
            <w:pPr>
              <w:pStyle w:val="P68B1DB1-Normal39"/>
              <w:spacing w:after="0" w:line="240" w:lineRule="auto"/>
              <w:rPr>
                <w:rFonts w:eastAsia="Times New Roman" w:cs="Times New Roman"/>
                <w:noProof/>
              </w:rPr>
            </w:pPr>
            <w:r>
              <w:rPr>
                <w:noProof/>
              </w:rPr>
              <w:t>Kyberturvallisuusvalmiuksien vahvistaminen ja parantaminen: Resurssit</w:t>
            </w:r>
          </w:p>
        </w:tc>
      </w:tr>
      <w:tr w:rsidR="0065073E" w14:paraId="18446A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65073E" w:rsidRDefault="000A0998">
            <w:pPr>
              <w:pStyle w:val="P68B1DB1-Normal39"/>
              <w:spacing w:after="0" w:line="240" w:lineRule="auto"/>
              <w:rPr>
                <w:rFonts w:eastAsia="Times New Roman" w:cs="Times New Roman"/>
                <w:noProof/>
              </w:rPr>
            </w:pPr>
            <w:r>
              <w:rPr>
                <w:noProof/>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65073E" w:rsidRDefault="000A0998">
            <w:pPr>
              <w:pStyle w:val="P68B1DB1-Normal39"/>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65073E" w:rsidRDefault="000A0998">
            <w:pPr>
              <w:pStyle w:val="P68B1DB1-Normal39"/>
              <w:spacing w:after="0" w:line="240" w:lineRule="auto"/>
              <w:rPr>
                <w:rFonts w:eastAsia="Times New Roman" w:cs="Times New Roman"/>
                <w:noProof/>
              </w:rPr>
            </w:pPr>
            <w:r>
              <w:rPr>
                <w:noProof/>
              </w:rPr>
              <w:t xml:space="preserve">Tekoälyhankkeiden tukeminen </w:t>
            </w:r>
          </w:p>
        </w:tc>
      </w:tr>
      <w:tr w:rsidR="0065073E" w14:paraId="3B57AB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65073E" w:rsidRDefault="000A0998">
            <w:pPr>
              <w:pStyle w:val="P68B1DB1-Normal39"/>
              <w:spacing w:after="0" w:line="240" w:lineRule="auto"/>
              <w:rPr>
                <w:rFonts w:eastAsia="Times New Roman" w:cs="Times New Roman"/>
                <w:noProof/>
              </w:rPr>
            </w:pPr>
            <w:r>
              <w:rPr>
                <w:noProof/>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65073E" w:rsidRDefault="000A0998">
            <w:pPr>
              <w:pStyle w:val="P68B1DB1-Normal39"/>
              <w:spacing w:after="0" w:line="240" w:lineRule="auto"/>
              <w:rPr>
                <w:rFonts w:eastAsia="Times New Roman" w:cs="Times New Roman"/>
                <w:noProof/>
              </w:rPr>
            </w:pPr>
            <w:r>
              <w:rPr>
                <w:noProof/>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65073E" w:rsidRDefault="000A0998">
            <w:pPr>
              <w:pStyle w:val="P68B1DB1-Normal39"/>
              <w:spacing w:after="0" w:line="240" w:lineRule="auto"/>
              <w:rPr>
                <w:rFonts w:eastAsia="Times New Roman" w:cs="Times New Roman"/>
                <w:noProof/>
              </w:rPr>
            </w:pPr>
            <w:r>
              <w:rPr>
                <w:noProof/>
              </w:rPr>
              <w:t xml:space="preserve">Espanjan tiede-, teknologia- ja innovaatiostrategian 2021–2027 väliarviointi </w:t>
            </w:r>
          </w:p>
        </w:tc>
      </w:tr>
      <w:tr w:rsidR="0065073E" w14:paraId="7DB24D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65073E" w:rsidRDefault="000A0998">
            <w:pPr>
              <w:pStyle w:val="P68B1DB1-Normal39"/>
              <w:spacing w:after="0" w:line="240" w:lineRule="auto"/>
              <w:rPr>
                <w:rFonts w:eastAsia="Times New Roman" w:cs="Times New Roman"/>
                <w:noProof/>
              </w:rPr>
            </w:pPr>
            <w:r>
              <w:rPr>
                <w:noProof/>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65073E" w:rsidRDefault="000A0998">
            <w:pPr>
              <w:pStyle w:val="P68B1DB1-Normal39"/>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65073E" w:rsidRDefault="000A0998">
            <w:pPr>
              <w:pStyle w:val="P68B1DB1-Normal39"/>
              <w:spacing w:after="0" w:line="240" w:lineRule="auto"/>
              <w:rPr>
                <w:rFonts w:eastAsia="Times New Roman" w:cs="Times New Roman"/>
                <w:noProof/>
              </w:rPr>
            </w:pPr>
            <w:r>
              <w:rPr>
                <w:noProof/>
              </w:rPr>
              <w:t xml:space="preserve">Innovatiiviset ja teknologiapohjaiset yritykset ovat saaneet pääomaa INNVIERTE-ohjelmasta vahvistaakseen tutkimustoimintaansa varhaisessa vaiheessa. </w:t>
            </w:r>
          </w:p>
        </w:tc>
      </w:tr>
      <w:tr w:rsidR="0065073E" w14:paraId="594100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65073E" w:rsidRDefault="000A0998">
            <w:pPr>
              <w:pStyle w:val="P68B1DB1-Normal39"/>
              <w:spacing w:after="0" w:line="240" w:lineRule="auto"/>
              <w:rPr>
                <w:rFonts w:eastAsia="Times New Roman" w:cs="Times New Roman"/>
                <w:noProof/>
              </w:rPr>
            </w:pPr>
            <w:r>
              <w:rPr>
                <w:noProof/>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65073E" w:rsidRDefault="000A0998">
            <w:pPr>
              <w:pStyle w:val="P68B1DB1-Normal39"/>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65073E" w:rsidRDefault="000A0998">
            <w:pPr>
              <w:pStyle w:val="P68B1DB1-Normal39"/>
              <w:spacing w:after="0" w:line="240" w:lineRule="auto"/>
              <w:rPr>
                <w:rFonts w:eastAsia="Times New Roman" w:cs="Times New Roman"/>
                <w:noProof/>
              </w:rPr>
            </w:pPr>
            <w:r>
              <w:rPr>
                <w:noProof/>
              </w:rPr>
              <w:t xml:space="preserve">Tuki ilmailu- ja avaruusalan T &amp; K &amp; Innovaatiohankkeille, joissa keskitytään vähäpäästöisiin ja päästöttömiin toimiin  </w:t>
            </w:r>
          </w:p>
        </w:tc>
      </w:tr>
      <w:tr w:rsidR="0065073E" w14:paraId="35B10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65073E" w:rsidRDefault="000A0998">
            <w:pPr>
              <w:pStyle w:val="P68B1DB1-Normal39"/>
              <w:spacing w:after="0" w:line="240" w:lineRule="auto"/>
              <w:rPr>
                <w:rFonts w:eastAsia="Times New Roman" w:cs="Times New Roman"/>
                <w:noProof/>
              </w:rPr>
            </w:pPr>
            <w:r>
              <w:rPr>
                <w:noProof/>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65073E" w:rsidRDefault="000A0998">
            <w:pPr>
              <w:pStyle w:val="P68B1DB1-Normal39"/>
              <w:spacing w:after="0" w:line="240" w:lineRule="auto"/>
              <w:rPr>
                <w:rFonts w:eastAsia="Times New Roman" w:cs="Times New Roman"/>
                <w:noProof/>
              </w:rPr>
            </w:pPr>
            <w:r>
              <w:rPr>
                <w:noProof/>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65073E" w:rsidRDefault="000A0998">
            <w:pPr>
              <w:pStyle w:val="P68B1DB1-Normal39"/>
              <w:spacing w:after="0" w:line="240" w:lineRule="auto"/>
              <w:rPr>
                <w:rFonts w:eastAsia="Times New Roman" w:cs="Times New Roman"/>
                <w:noProof/>
              </w:rPr>
            </w:pPr>
            <w:r>
              <w:rPr>
                <w:noProof/>
              </w:rPr>
              <w:t>Laki kansallisen terveydenhuoltojärjestelmän tasapuolisuudesta, yleismaailmallisuudesta ja yhteenkuuluvuudesta sekä erittäin monimutkaisen hoidon uudelleensuuntaamisesta ja yhteisen palveluvalikoiman lisäämisestä</w:t>
            </w:r>
          </w:p>
        </w:tc>
      </w:tr>
      <w:tr w:rsidR="0065073E" w14:paraId="37A9E3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65073E" w:rsidRDefault="000A0998">
            <w:pPr>
              <w:pStyle w:val="P68B1DB1-Normal39"/>
              <w:spacing w:after="0" w:line="240" w:lineRule="auto"/>
              <w:rPr>
                <w:rFonts w:eastAsia="Times New Roman" w:cs="Times New Roman"/>
                <w:noProof/>
              </w:rPr>
            </w:pPr>
            <w:r>
              <w:rPr>
                <w:noProof/>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65073E" w:rsidRDefault="000A0998">
            <w:pPr>
              <w:pStyle w:val="P68B1DB1-Normal39"/>
              <w:spacing w:after="0" w:line="240" w:lineRule="auto"/>
              <w:rPr>
                <w:rFonts w:eastAsia="Times New Roman" w:cs="Times New Roman"/>
                <w:noProof/>
              </w:rPr>
            </w:pPr>
            <w:r>
              <w:rPr>
                <w:noProof/>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785E86B5" w:rsidR="0065073E" w:rsidRDefault="000A0998">
            <w:pPr>
              <w:pStyle w:val="P68B1DB1-Normal39"/>
              <w:spacing w:after="0" w:line="240" w:lineRule="auto"/>
              <w:rPr>
                <w:rFonts w:eastAsia="Times New Roman" w:cs="Times New Roman"/>
                <w:noProof/>
              </w:rPr>
            </w:pPr>
            <w:r>
              <w:rPr>
                <w:noProof/>
              </w:rPr>
              <w:t>Laki lakisääteisen terveydenhuollon henkilöstön puitesäännöstä, muista täydentävistä toimenpiteistä ja erikoistuneen terveydenhuoltoalan koulutusjärjestelmän parantamisesta</w:t>
            </w:r>
          </w:p>
        </w:tc>
      </w:tr>
      <w:tr w:rsidR="0065073E" w14:paraId="256B8A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65073E" w:rsidRDefault="000A0998">
            <w:pPr>
              <w:pStyle w:val="P68B1DB1-Normal39"/>
              <w:spacing w:after="0" w:line="240" w:lineRule="auto"/>
              <w:rPr>
                <w:rFonts w:eastAsia="Times New Roman" w:cs="Times New Roman"/>
                <w:noProof/>
              </w:rPr>
            </w:pPr>
            <w:r>
              <w:rPr>
                <w:noProof/>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65073E" w:rsidRDefault="000A0998">
            <w:pPr>
              <w:pStyle w:val="P68B1DB1-Normal39"/>
              <w:spacing w:after="0" w:line="240" w:lineRule="auto"/>
              <w:rPr>
                <w:rFonts w:eastAsia="Times New Roman" w:cs="Times New Roman"/>
                <w:noProof/>
              </w:rPr>
            </w:pPr>
            <w:r>
              <w:rPr>
                <w:noProof/>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65073E" w:rsidRDefault="000A0998">
            <w:pPr>
              <w:pStyle w:val="P68B1DB1-Normal39"/>
              <w:spacing w:after="0" w:line="240" w:lineRule="auto"/>
              <w:rPr>
                <w:rFonts w:eastAsia="Times New Roman" w:cs="Times New Roman"/>
                <w:noProof/>
              </w:rPr>
            </w:pPr>
            <w:r>
              <w:rPr>
                <w:noProof/>
              </w:rPr>
              <w:t xml:space="preserve">Laki lääkkeiden takuista ja järkevästä käytöstä </w:t>
            </w:r>
          </w:p>
        </w:tc>
      </w:tr>
      <w:tr w:rsidR="0065073E" w14:paraId="49A09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65073E" w:rsidRDefault="000A0998">
            <w:pPr>
              <w:pStyle w:val="P68B1DB1-Normal39"/>
              <w:spacing w:after="0" w:line="240" w:lineRule="auto"/>
              <w:rPr>
                <w:rFonts w:eastAsia="Times New Roman" w:cs="Times New Roman"/>
                <w:noProof/>
              </w:rPr>
            </w:pPr>
            <w:r>
              <w:rPr>
                <w:noProof/>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65073E" w:rsidRDefault="000A0998">
            <w:pPr>
              <w:pStyle w:val="P68B1DB1-Normal39"/>
              <w:spacing w:after="0" w:line="240" w:lineRule="auto"/>
              <w:rPr>
                <w:rFonts w:eastAsia="Times New Roman" w:cs="Times New Roman"/>
                <w:noProof/>
              </w:rPr>
            </w:pPr>
            <w:r>
              <w:rPr>
                <w:noProof/>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65073E" w:rsidRDefault="000A0998">
            <w:pPr>
              <w:pStyle w:val="P68B1DB1-Normal39"/>
              <w:spacing w:after="0" w:line="240" w:lineRule="auto"/>
              <w:rPr>
                <w:rFonts w:eastAsia="Times New Roman" w:cs="Times New Roman"/>
                <w:noProof/>
              </w:rPr>
            </w:pPr>
            <w:r>
              <w:rPr>
                <w:noProof/>
              </w:rPr>
              <w:t xml:space="preserve">Laitteiden asennus/uusiminen/laajentaminen </w:t>
            </w:r>
          </w:p>
        </w:tc>
      </w:tr>
      <w:tr w:rsidR="0065073E" w14:paraId="016E50E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65073E" w:rsidRDefault="000A0998">
            <w:pPr>
              <w:pStyle w:val="P68B1DB1-Normal39"/>
              <w:spacing w:after="0" w:line="240" w:lineRule="auto"/>
              <w:rPr>
                <w:rFonts w:eastAsia="Times New Roman" w:cs="Times New Roman"/>
                <w:noProof/>
              </w:rPr>
            </w:pPr>
            <w:r>
              <w:rPr>
                <w:noProof/>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65073E" w:rsidRDefault="000A0998">
            <w:pPr>
              <w:pStyle w:val="P68B1DB1-Normal39"/>
              <w:spacing w:after="0" w:line="240" w:lineRule="auto"/>
              <w:rPr>
                <w:rFonts w:eastAsia="Times New Roman" w:cs="Times New Roman"/>
                <w:noProof/>
              </w:rPr>
            </w:pPr>
            <w:r>
              <w:rPr>
                <w:noProof/>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65073E" w:rsidRDefault="000A0998">
            <w:pPr>
              <w:pStyle w:val="P68B1DB1-Normal39"/>
              <w:spacing w:after="0" w:line="240" w:lineRule="auto"/>
              <w:rPr>
                <w:rFonts w:eastAsia="Times New Roman" w:cs="Times New Roman"/>
                <w:noProof/>
              </w:rPr>
            </w:pPr>
            <w:r>
              <w:rPr>
                <w:noProof/>
              </w:rPr>
              <w:t>Kansanterveyskampanjat ja -toimet</w:t>
            </w:r>
          </w:p>
        </w:tc>
      </w:tr>
      <w:tr w:rsidR="0065073E" w14:paraId="57FA99B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65073E" w:rsidRDefault="000A0998">
            <w:pPr>
              <w:pStyle w:val="P68B1DB1-Normal39"/>
              <w:spacing w:after="0" w:line="240" w:lineRule="auto"/>
              <w:rPr>
                <w:rFonts w:eastAsia="Times New Roman" w:cs="Times New Roman"/>
                <w:noProof/>
              </w:rPr>
            </w:pPr>
            <w:r>
              <w:rPr>
                <w:noProof/>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65073E" w:rsidRDefault="000A0998">
            <w:pPr>
              <w:pStyle w:val="P68B1DB1-Normal39"/>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65073E" w:rsidRDefault="000A0998">
            <w:pPr>
              <w:pStyle w:val="P68B1DB1-Normal39"/>
              <w:spacing w:after="0" w:line="240" w:lineRule="auto"/>
              <w:rPr>
                <w:rFonts w:eastAsia="Times New Roman" w:cs="Times New Roman"/>
                <w:noProof/>
              </w:rPr>
            </w:pPr>
            <w:r>
              <w:rPr>
                <w:noProof/>
              </w:rPr>
              <w:t xml:space="preserve">Jatkokoulutussuunnitelmien puitteissa koulutetut terveydenhuollon ammattilaiset </w:t>
            </w:r>
          </w:p>
        </w:tc>
      </w:tr>
      <w:tr w:rsidR="0065073E" w14:paraId="2E466A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65073E" w:rsidRDefault="000A0998">
            <w:pPr>
              <w:pStyle w:val="P68B1DB1-Normal39"/>
              <w:spacing w:after="0" w:line="240" w:lineRule="auto"/>
              <w:rPr>
                <w:rFonts w:eastAsia="Times New Roman" w:cs="Times New Roman"/>
                <w:noProof/>
              </w:rPr>
            </w:pPr>
            <w:r>
              <w:rPr>
                <w:noProof/>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65073E" w:rsidRDefault="000A0998">
            <w:pPr>
              <w:pStyle w:val="P68B1DB1-Normal39"/>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65073E" w:rsidRDefault="000A0998">
            <w:pPr>
              <w:pStyle w:val="P68B1DB1-Normal39"/>
              <w:spacing w:after="0" w:line="240" w:lineRule="auto"/>
              <w:rPr>
                <w:rFonts w:eastAsia="Times New Roman" w:cs="Times New Roman"/>
                <w:noProof/>
              </w:rPr>
            </w:pPr>
            <w:r>
              <w:rPr>
                <w:noProof/>
              </w:rPr>
              <w:t>VALTERM ED-järjestelmä ja -alusta terveysteknologian ja kansallisen terveydenhuoltojärjestelmän hyötyjen arviointia varten</w:t>
            </w:r>
          </w:p>
        </w:tc>
      </w:tr>
      <w:tr w:rsidR="0065073E" w14:paraId="3DD0F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65073E" w:rsidRDefault="000A0998">
            <w:pPr>
              <w:pStyle w:val="P68B1DB1-Normal39"/>
              <w:spacing w:after="0" w:line="240" w:lineRule="auto"/>
              <w:rPr>
                <w:rFonts w:eastAsia="Times New Roman" w:cs="Times New Roman"/>
                <w:noProof/>
              </w:rPr>
            </w:pPr>
            <w:r>
              <w:rPr>
                <w:noProof/>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65073E" w:rsidRDefault="000A0998">
            <w:pPr>
              <w:pStyle w:val="P68B1DB1-Normal39"/>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65073E" w:rsidRDefault="000A0998">
            <w:pPr>
              <w:pStyle w:val="P68B1DB1-Normal39"/>
              <w:spacing w:after="0" w:line="240" w:lineRule="auto"/>
              <w:rPr>
                <w:rFonts w:eastAsia="Times New Roman" w:cs="Times New Roman"/>
                <w:noProof/>
              </w:rPr>
            </w:pPr>
            <w:r>
              <w:rPr>
                <w:noProof/>
              </w:rPr>
              <w:t xml:space="preserve">Terveystietojärvi toiminnassa </w:t>
            </w:r>
          </w:p>
        </w:tc>
      </w:tr>
      <w:tr w:rsidR="0065073E" w14:paraId="1A979D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65073E" w:rsidRDefault="000A0998">
            <w:pPr>
              <w:pStyle w:val="P68B1DB1-Normal39"/>
              <w:spacing w:after="0" w:line="240" w:lineRule="auto"/>
              <w:rPr>
                <w:rFonts w:eastAsia="Times New Roman" w:cs="Times New Roman"/>
                <w:noProof/>
              </w:rPr>
            </w:pPr>
            <w:r>
              <w:rPr>
                <w:noProof/>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65073E" w:rsidRDefault="000A0998">
            <w:pPr>
              <w:pStyle w:val="P68B1DB1-Normal39"/>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65073E" w:rsidRDefault="000A0998">
            <w:pPr>
              <w:pStyle w:val="P68B1DB1-Normal39"/>
              <w:spacing w:after="0" w:line="240" w:lineRule="auto"/>
              <w:rPr>
                <w:rFonts w:eastAsia="Times New Roman" w:cs="Times New Roman"/>
                <w:noProof/>
              </w:rPr>
            </w:pPr>
            <w:r>
              <w:rPr>
                <w:noProof/>
              </w:rPr>
              <w:t>Kansalaisille suunnattu digitaalisia taitoja koskeva koulutus.</w:t>
            </w:r>
          </w:p>
        </w:tc>
      </w:tr>
      <w:tr w:rsidR="0065073E" w14:paraId="318F3A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65073E" w:rsidRDefault="000A0998">
            <w:pPr>
              <w:pStyle w:val="P68B1DB1-Normal39"/>
              <w:spacing w:after="0" w:line="240" w:lineRule="auto"/>
              <w:rPr>
                <w:rFonts w:eastAsia="Times New Roman" w:cs="Times New Roman"/>
                <w:noProof/>
              </w:rPr>
            </w:pPr>
            <w:r>
              <w:rPr>
                <w:noProof/>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65073E" w:rsidRDefault="000A0998">
            <w:pPr>
              <w:pStyle w:val="P68B1DB1-Normal39"/>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65073E" w:rsidRDefault="000A0998">
            <w:pPr>
              <w:pStyle w:val="P68B1DB1-Normal39"/>
              <w:spacing w:after="0" w:line="240" w:lineRule="auto"/>
              <w:rPr>
                <w:rFonts w:eastAsia="Times New Roman" w:cs="Times New Roman"/>
                <w:noProof/>
              </w:rPr>
            </w:pPr>
            <w:r>
              <w:rPr>
                <w:noProof/>
              </w:rPr>
              <w:t xml:space="preserve">Budjettituki varhaiskasvatuksen ensimmäisen kierroksen edistämiseksi </w:t>
            </w:r>
          </w:p>
        </w:tc>
      </w:tr>
      <w:tr w:rsidR="0065073E" w14:paraId="376B6D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65073E" w:rsidRDefault="000A0998">
            <w:pPr>
              <w:pStyle w:val="P68B1DB1-Normal39"/>
              <w:spacing w:after="0" w:line="240" w:lineRule="auto"/>
              <w:rPr>
                <w:rFonts w:eastAsia="Times New Roman" w:cs="Times New Roman"/>
                <w:noProof/>
              </w:rPr>
            </w:pPr>
            <w:r>
              <w:rPr>
                <w:noProof/>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65073E" w:rsidRDefault="000A0998">
            <w:pPr>
              <w:pStyle w:val="P68B1DB1-Normal39"/>
              <w:spacing w:after="0" w:line="240" w:lineRule="auto"/>
              <w:rPr>
                <w:rFonts w:eastAsia="Times New Roman" w:cs="Times New Roman"/>
                <w:noProof/>
              </w:rPr>
            </w:pPr>
            <w:r>
              <w:rPr>
                <w:noProof/>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65073E" w:rsidRDefault="000A0998">
            <w:pPr>
              <w:pStyle w:val="P68B1DB1-Normal39"/>
              <w:spacing w:after="0" w:line="240" w:lineRule="auto"/>
              <w:rPr>
                <w:rFonts w:eastAsia="Times New Roman" w:cs="Times New Roman"/>
                <w:noProof/>
              </w:rPr>
            </w:pPr>
            <w:r>
              <w:rPr>
                <w:noProof/>
              </w:rPr>
              <w:t>Apurahat ja apurahat tohtorintutkinnon suorittaneille opiskelijoille, apulaisprofessoreille ja tutkijoille</w:t>
            </w:r>
          </w:p>
        </w:tc>
      </w:tr>
      <w:tr w:rsidR="0065073E" w14:paraId="3C0DB4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65073E" w:rsidRDefault="000A0998">
            <w:pPr>
              <w:pStyle w:val="P68B1DB1-Normal39"/>
              <w:spacing w:after="0" w:line="240" w:lineRule="auto"/>
              <w:rPr>
                <w:rFonts w:eastAsia="Times New Roman" w:cs="Times New Roman"/>
                <w:noProof/>
              </w:rPr>
            </w:pPr>
            <w:r>
              <w:rPr>
                <w:noProof/>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65073E" w:rsidRDefault="000A0998">
            <w:pPr>
              <w:pStyle w:val="P68B1DB1-Normal39"/>
              <w:spacing w:after="0" w:line="240" w:lineRule="auto"/>
              <w:rPr>
                <w:rFonts w:eastAsia="Times New Roman" w:cs="Times New Roman"/>
                <w:noProof/>
              </w:rPr>
            </w:pPr>
            <w:r>
              <w:rPr>
                <w:noProof/>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65073E" w:rsidRDefault="000A0998">
            <w:pPr>
              <w:pStyle w:val="P68B1DB1-Normal39"/>
              <w:spacing w:after="0" w:line="240" w:lineRule="auto"/>
              <w:rPr>
                <w:rFonts w:eastAsia="Times New Roman" w:cs="Times New Roman"/>
                <w:noProof/>
              </w:rPr>
            </w:pPr>
            <w:r>
              <w:rPr>
                <w:noProof/>
              </w:rPr>
              <w:t xml:space="preserve">Yliopistojen digitaali-indeksin kasvu </w:t>
            </w:r>
          </w:p>
        </w:tc>
      </w:tr>
      <w:tr w:rsidR="0065073E" w14:paraId="431C5C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65073E" w:rsidRDefault="000A0998">
            <w:pPr>
              <w:pStyle w:val="P68B1DB1-Normal39"/>
              <w:spacing w:after="0" w:line="240" w:lineRule="auto"/>
              <w:rPr>
                <w:rFonts w:eastAsia="Times New Roman" w:cs="Times New Roman"/>
                <w:noProof/>
              </w:rPr>
            </w:pPr>
            <w:r>
              <w:rPr>
                <w:noProof/>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65073E" w:rsidRDefault="000A0998">
            <w:pPr>
              <w:pStyle w:val="P68B1DB1-Normal39"/>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65073E" w:rsidRDefault="000A0998">
            <w:pPr>
              <w:pStyle w:val="P68B1DB1-Normal39"/>
              <w:spacing w:after="0" w:line="240" w:lineRule="auto"/>
              <w:rPr>
                <w:rFonts w:eastAsia="Times New Roman" w:cs="Times New Roman"/>
                <w:noProof/>
              </w:rPr>
            </w:pPr>
            <w:r>
              <w:rPr>
                <w:noProof/>
              </w:rPr>
              <w:t>Maksuihin perustumattomien taloudellisten etuuksien järjestelmän uudelleenorganisointia ja yksinkertaistamista koskevan lainsäädännön voimaantulo</w:t>
            </w:r>
          </w:p>
        </w:tc>
      </w:tr>
      <w:tr w:rsidR="0065073E" w14:paraId="68C1CF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65073E" w:rsidRDefault="000A0998">
            <w:pPr>
              <w:pStyle w:val="P68B1DB1-Normal39"/>
              <w:spacing w:after="0" w:line="240" w:lineRule="auto"/>
              <w:rPr>
                <w:rFonts w:eastAsia="Times New Roman" w:cs="Times New Roman"/>
                <w:noProof/>
              </w:rPr>
            </w:pPr>
            <w:r>
              <w:rPr>
                <w:noProof/>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65073E" w:rsidRDefault="000A0998">
            <w:pPr>
              <w:pStyle w:val="P68B1DB1-Normal39"/>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65073E" w:rsidRDefault="000A0998">
            <w:pPr>
              <w:pStyle w:val="P68B1DB1-Normal39"/>
              <w:spacing w:after="0" w:line="240" w:lineRule="auto"/>
              <w:rPr>
                <w:rFonts w:eastAsia="Times New Roman" w:cs="Times New Roman"/>
                <w:noProof/>
              </w:rPr>
            </w:pPr>
            <w:r>
              <w:rPr>
                <w:noProof/>
              </w:rPr>
              <w:t>Erityisten teknologisten välineiden käyttöönotto sosiaalipalvelujen tieto- ja hallintajärjestelmien parantamiseksi.</w:t>
            </w:r>
          </w:p>
        </w:tc>
      </w:tr>
      <w:tr w:rsidR="0065073E" w14:paraId="4D2F185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65073E" w:rsidRDefault="000A0998">
            <w:pPr>
              <w:pStyle w:val="P68B1DB1-Normal39"/>
              <w:spacing w:after="0" w:line="240" w:lineRule="auto"/>
              <w:rPr>
                <w:rFonts w:eastAsia="Times New Roman" w:cs="Times New Roman"/>
                <w:noProof/>
              </w:rPr>
            </w:pPr>
            <w:r>
              <w:rPr>
                <w:noProof/>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65073E" w:rsidRDefault="000A0998">
            <w:pPr>
              <w:pStyle w:val="P68B1DB1-Normal39"/>
              <w:spacing w:after="0" w:line="240" w:lineRule="auto"/>
              <w:rPr>
                <w:rFonts w:eastAsia="Times New Roman" w:cs="Times New Roman"/>
                <w:noProof/>
              </w:rPr>
            </w:pPr>
            <w:r>
              <w:rPr>
                <w:noProof/>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65073E" w:rsidRDefault="000A0998">
            <w:pPr>
              <w:pStyle w:val="P68B1DB1-Normal39"/>
              <w:spacing w:after="0" w:line="240" w:lineRule="auto"/>
              <w:rPr>
                <w:rFonts w:eastAsia="Times New Roman" w:cs="Times New Roman"/>
                <w:noProof/>
              </w:rPr>
            </w:pPr>
            <w:r>
              <w:rPr>
                <w:noProof/>
              </w:rPr>
              <w:t>Todistus valtion julkisen työvoimapalvelun nykyaikaistamista koskevien sopimusten mukaisten palvelujen suorittamisesta</w:t>
            </w:r>
          </w:p>
        </w:tc>
      </w:tr>
      <w:tr w:rsidR="0065073E" w14:paraId="2B301B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65073E" w:rsidRDefault="000A0998">
            <w:pPr>
              <w:pStyle w:val="P68B1DB1-Normal39"/>
              <w:spacing w:after="0" w:line="240" w:lineRule="auto"/>
              <w:rPr>
                <w:rFonts w:eastAsia="Times New Roman" w:cs="Times New Roman"/>
                <w:noProof/>
              </w:rPr>
            </w:pPr>
            <w:r>
              <w:rPr>
                <w:noProof/>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65073E" w:rsidRDefault="000A0998">
            <w:pPr>
              <w:pStyle w:val="P68B1DB1-Normal39"/>
              <w:spacing w:after="0" w:line="240" w:lineRule="auto"/>
              <w:rPr>
                <w:rFonts w:eastAsia="Times New Roman" w:cs="Times New Roman"/>
                <w:noProof/>
              </w:rPr>
            </w:pPr>
            <w:r>
              <w:rPr>
                <w:noProof/>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65073E" w:rsidRDefault="000A0998">
            <w:pPr>
              <w:pStyle w:val="P68B1DB1-Normal39"/>
              <w:spacing w:after="0" w:line="240" w:lineRule="auto"/>
              <w:rPr>
                <w:rFonts w:eastAsia="Times New Roman" w:cs="Times New Roman"/>
                <w:noProof/>
              </w:rPr>
            </w:pPr>
            <w:r>
              <w:rPr>
                <w:noProof/>
              </w:rPr>
              <w:t>Heikossa asemassa oleville ryhmille, yrittäjyydelle ja mikroyrityksille suunnattuja alueellisia hankkeita on saatu päätökseen. Niissä on mukana vähintään 39000 työntekijää ja 64000 yritystä.</w:t>
            </w:r>
          </w:p>
        </w:tc>
      </w:tr>
      <w:tr w:rsidR="0065073E" w14:paraId="0767FC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65073E" w:rsidRDefault="000A0998">
            <w:pPr>
              <w:pStyle w:val="P68B1DB1-Normal39"/>
              <w:spacing w:after="0" w:line="240" w:lineRule="auto"/>
              <w:rPr>
                <w:rFonts w:eastAsia="Times New Roman" w:cs="Times New Roman"/>
                <w:noProof/>
              </w:rPr>
            </w:pPr>
            <w:r>
              <w:rPr>
                <w:noProof/>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65073E" w:rsidRDefault="000A0998">
            <w:pPr>
              <w:pStyle w:val="P68B1DB1-Normal39"/>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65073E" w:rsidRDefault="000A0998">
            <w:pPr>
              <w:pStyle w:val="P68B1DB1-Normal39"/>
              <w:spacing w:after="0" w:line="240" w:lineRule="auto"/>
              <w:rPr>
                <w:rFonts w:eastAsia="Times New Roman" w:cs="Times New Roman"/>
                <w:noProof/>
              </w:rPr>
            </w:pPr>
            <w:r>
              <w:rPr>
                <w:noProof/>
              </w:rPr>
              <w:t>Julkisten työvoimapalvelujen henkilöstön koulutustoimet</w:t>
            </w:r>
          </w:p>
        </w:tc>
      </w:tr>
      <w:tr w:rsidR="0065073E" w14:paraId="2AB848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65073E" w:rsidRDefault="000A0998">
            <w:pPr>
              <w:pStyle w:val="P68B1DB1-Normal39"/>
              <w:spacing w:after="0" w:line="240" w:lineRule="auto"/>
              <w:rPr>
                <w:rFonts w:eastAsia="Times New Roman" w:cs="Times New Roman"/>
                <w:noProof/>
              </w:rPr>
            </w:pPr>
            <w:r>
              <w:rPr>
                <w:noProof/>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65073E" w:rsidRDefault="000A0998">
            <w:pPr>
              <w:pStyle w:val="P68B1DB1-Normal39"/>
              <w:spacing w:after="0" w:line="240" w:lineRule="auto"/>
              <w:rPr>
                <w:rFonts w:eastAsia="Times New Roman" w:cs="Times New Roman"/>
                <w:noProof/>
              </w:rPr>
            </w:pPr>
            <w:r>
              <w:rPr>
                <w:noProof/>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65073E" w:rsidRDefault="000A0998">
            <w:pPr>
              <w:pStyle w:val="P68B1DB1-Normal39"/>
              <w:spacing w:after="0" w:line="240" w:lineRule="auto"/>
              <w:rPr>
                <w:rFonts w:eastAsia="Times New Roman" w:cs="Times New Roman"/>
                <w:noProof/>
              </w:rPr>
            </w:pPr>
            <w:r>
              <w:rPr>
                <w:noProof/>
              </w:rPr>
              <w:t>Tekijänoikeuden ja lähioikeuksien vahvistamista koskevien lainsäädäntö- ja sääntelytoimenpiteiden voimaantulo</w:t>
            </w:r>
          </w:p>
        </w:tc>
      </w:tr>
      <w:tr w:rsidR="0065073E" w14:paraId="1DC6B8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65073E" w:rsidRDefault="000A0998">
            <w:pPr>
              <w:pStyle w:val="P68B1DB1-Normal39"/>
              <w:spacing w:after="0" w:line="240" w:lineRule="auto"/>
              <w:rPr>
                <w:rFonts w:eastAsia="Times New Roman" w:cs="Times New Roman"/>
                <w:noProof/>
              </w:rPr>
            </w:pPr>
            <w:r>
              <w:rPr>
                <w:noProof/>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65073E" w:rsidRDefault="000A0998">
            <w:pPr>
              <w:pStyle w:val="P68B1DB1-Normal39"/>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65073E" w:rsidRDefault="000A0998">
            <w:pPr>
              <w:pStyle w:val="P68B1DB1-Normal39"/>
              <w:spacing w:after="0" w:line="240" w:lineRule="auto"/>
              <w:rPr>
                <w:rFonts w:eastAsia="Times New Roman" w:cs="Times New Roman"/>
                <w:noProof/>
              </w:rPr>
            </w:pPr>
            <w:r>
              <w:rPr>
                <w:noProof/>
              </w:rPr>
              <w:t xml:space="preserve">Kulttuuriteollisuuden kilpailukyvyn vahvistaminen </w:t>
            </w:r>
          </w:p>
        </w:tc>
      </w:tr>
      <w:tr w:rsidR="0065073E" w14:paraId="55BFAE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65073E" w:rsidRDefault="000A0998">
            <w:pPr>
              <w:pStyle w:val="P68B1DB1-Normal39"/>
              <w:spacing w:after="0" w:line="240" w:lineRule="auto"/>
              <w:rPr>
                <w:rFonts w:eastAsia="Times New Roman" w:cs="Times New Roman"/>
                <w:noProof/>
              </w:rPr>
            </w:pPr>
            <w:r>
              <w:rPr>
                <w:noProof/>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65073E" w:rsidRDefault="000A0998">
            <w:pPr>
              <w:pStyle w:val="P68B1DB1-Normal39"/>
              <w:spacing w:after="0" w:line="240" w:lineRule="auto"/>
              <w:rPr>
                <w:rFonts w:eastAsia="Times New Roman" w:cs="Times New Roman"/>
                <w:noProof/>
              </w:rPr>
            </w:pPr>
            <w:r>
              <w:rPr>
                <w:noProof/>
              </w:rPr>
              <w:t>Esittävän taiteen ja musiikkitaiteen infrastruktuurin nykyaikaistaminen ja kestävä hallinnointi</w:t>
            </w:r>
          </w:p>
        </w:tc>
      </w:tr>
      <w:tr w:rsidR="0065073E" w14:paraId="271FE2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65073E" w:rsidRDefault="000A0998">
            <w:pPr>
              <w:pStyle w:val="P68B1DB1-Normal39"/>
              <w:spacing w:after="0" w:line="240" w:lineRule="auto"/>
              <w:rPr>
                <w:rFonts w:eastAsia="Times New Roman" w:cs="Times New Roman"/>
                <w:noProof/>
              </w:rPr>
            </w:pPr>
            <w:r>
              <w:rPr>
                <w:noProof/>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65073E" w:rsidRDefault="000A0998">
            <w:pPr>
              <w:pStyle w:val="P68B1DB1-Normal39"/>
              <w:spacing w:after="0" w:line="240" w:lineRule="auto"/>
              <w:rPr>
                <w:rFonts w:eastAsia="Times New Roman" w:cs="Times New Roman"/>
                <w:noProof/>
              </w:rPr>
            </w:pPr>
            <w:r>
              <w:rPr>
                <w:noProof/>
              </w:rPr>
              <w:t>Kirjastojen sähköisten kirjojen lisenssit</w:t>
            </w:r>
          </w:p>
        </w:tc>
      </w:tr>
      <w:tr w:rsidR="0065073E" w14:paraId="3327BE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65073E" w:rsidRDefault="000A0998">
            <w:pPr>
              <w:pStyle w:val="P68B1DB1-Normal39"/>
              <w:spacing w:after="0" w:line="240" w:lineRule="auto"/>
              <w:rPr>
                <w:rFonts w:eastAsia="Times New Roman" w:cs="Times New Roman"/>
                <w:noProof/>
              </w:rPr>
            </w:pPr>
            <w:r>
              <w:rPr>
                <w:noProof/>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65073E" w:rsidRDefault="000A0998">
            <w:pPr>
              <w:pStyle w:val="P68B1DB1-Normal39"/>
              <w:spacing w:after="0" w:line="240" w:lineRule="auto"/>
              <w:rPr>
                <w:rFonts w:eastAsia="Times New Roman" w:cs="Times New Roman"/>
                <w:noProof/>
              </w:rPr>
            </w:pPr>
            <w:r>
              <w:rPr>
                <w:noProof/>
              </w:rPr>
              <w:t xml:space="preserve">Kulttuurialan ja luovien alojen aloitteiden edistäminen </w:t>
            </w:r>
          </w:p>
        </w:tc>
      </w:tr>
      <w:tr w:rsidR="0065073E" w14:paraId="02EDE7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65073E" w:rsidRDefault="000A0998">
            <w:pPr>
              <w:pStyle w:val="P68B1DB1-Normal39"/>
              <w:spacing w:after="0" w:line="240" w:lineRule="auto"/>
              <w:rPr>
                <w:rFonts w:eastAsia="Times New Roman" w:cs="Times New Roman"/>
                <w:noProof/>
              </w:rPr>
            </w:pPr>
            <w:r>
              <w:rPr>
                <w:noProof/>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65073E" w:rsidRDefault="000A0998">
            <w:pPr>
              <w:pStyle w:val="P68B1DB1-Normal39"/>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65073E" w:rsidRDefault="000A0998">
            <w:pPr>
              <w:pStyle w:val="P68B1DB1-Normal39"/>
              <w:spacing w:after="0" w:line="240" w:lineRule="auto"/>
              <w:rPr>
                <w:rFonts w:eastAsia="Times New Roman" w:cs="Times New Roman"/>
                <w:noProof/>
              </w:rPr>
            </w:pPr>
            <w:r>
              <w:rPr>
                <w:noProof/>
              </w:rPr>
              <w:t xml:space="preserve">Digitalisaation loppuun saattaminen ja tärkeimpien kulttuuripalvelujen edistäminen </w:t>
            </w:r>
          </w:p>
        </w:tc>
      </w:tr>
      <w:tr w:rsidR="0065073E" w14:paraId="1CF32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65073E" w:rsidRDefault="000A0998">
            <w:pPr>
              <w:pStyle w:val="P68B1DB1-Normal39"/>
              <w:spacing w:after="0" w:line="240" w:lineRule="auto"/>
              <w:rPr>
                <w:rFonts w:eastAsia="Times New Roman" w:cs="Times New Roman"/>
                <w:noProof/>
              </w:rPr>
            </w:pPr>
            <w:r>
              <w:rPr>
                <w:noProof/>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65073E" w:rsidRDefault="000A0998">
            <w:pPr>
              <w:pStyle w:val="P68B1DB1-Normal39"/>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65073E" w:rsidRDefault="000A0998">
            <w:pPr>
              <w:pStyle w:val="P68B1DB1-Normal39"/>
              <w:spacing w:after="0" w:line="240" w:lineRule="auto"/>
              <w:rPr>
                <w:rFonts w:eastAsia="Times New Roman" w:cs="Times New Roman"/>
                <w:noProof/>
              </w:rPr>
            </w:pPr>
            <w:r>
              <w:rPr>
                <w:noProof/>
              </w:rPr>
              <w:t xml:space="preserve">Bibliografisen perinnön digitalisoinnin loppuun saattaminen </w:t>
            </w:r>
          </w:p>
        </w:tc>
      </w:tr>
      <w:tr w:rsidR="0065073E" w14:paraId="0453C6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65073E" w:rsidRDefault="000A0998">
            <w:pPr>
              <w:pStyle w:val="P68B1DB1-Normal39"/>
              <w:spacing w:after="0" w:line="240" w:lineRule="auto"/>
              <w:rPr>
                <w:rFonts w:eastAsia="Times New Roman" w:cs="Times New Roman"/>
                <w:noProof/>
              </w:rPr>
            </w:pPr>
            <w:r>
              <w:rPr>
                <w:noProof/>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65073E" w:rsidRDefault="000A0998">
            <w:pPr>
              <w:pStyle w:val="P68B1DB1-Normal39"/>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65073E" w:rsidRDefault="000A0998">
            <w:pPr>
              <w:pStyle w:val="P68B1DB1-Normal39"/>
              <w:spacing w:after="0" w:line="240" w:lineRule="auto"/>
              <w:rPr>
                <w:rFonts w:eastAsia="Times New Roman" w:cs="Times New Roman"/>
                <w:noProof/>
              </w:rPr>
            </w:pPr>
            <w:r>
              <w:rPr>
                <w:noProof/>
              </w:rPr>
              <w:t xml:space="preserve"> Elokuvalain voimaantulo. </w:t>
            </w:r>
          </w:p>
        </w:tc>
      </w:tr>
      <w:tr w:rsidR="0065073E" w14:paraId="08128E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65073E" w:rsidRDefault="000A0998">
            <w:pPr>
              <w:pStyle w:val="P68B1DB1-Normal39"/>
              <w:spacing w:after="0" w:line="240" w:lineRule="auto"/>
              <w:rPr>
                <w:rFonts w:eastAsia="Times New Roman" w:cs="Times New Roman"/>
                <w:noProof/>
              </w:rPr>
            </w:pPr>
            <w:r>
              <w:rPr>
                <w:noProof/>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65073E" w:rsidRDefault="000A0998">
            <w:pPr>
              <w:pStyle w:val="P68B1DB1-Normal39"/>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65073E" w:rsidRDefault="000A0998">
            <w:pPr>
              <w:pStyle w:val="P68B1DB1-Normal39"/>
              <w:spacing w:after="0" w:line="240" w:lineRule="auto"/>
              <w:rPr>
                <w:rFonts w:eastAsia="Times New Roman" w:cs="Times New Roman"/>
                <w:noProof/>
              </w:rPr>
            </w:pPr>
            <w:r>
              <w:rPr>
                <w:noProof/>
              </w:rPr>
              <w:t>Audiovisuaalialan pk-yritysten tukeminen.</w:t>
            </w:r>
          </w:p>
        </w:tc>
      </w:tr>
      <w:tr w:rsidR="0065073E" w14:paraId="3D380C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65073E" w:rsidRDefault="000A0998">
            <w:pPr>
              <w:pStyle w:val="P68B1DB1-Normal39"/>
              <w:spacing w:after="0" w:line="240" w:lineRule="auto"/>
              <w:rPr>
                <w:rFonts w:eastAsia="Times New Roman" w:cs="Times New Roman"/>
                <w:noProof/>
              </w:rPr>
            </w:pPr>
            <w:r>
              <w:rPr>
                <w:noProof/>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65073E" w:rsidRDefault="000A0998">
            <w:pPr>
              <w:pStyle w:val="P68B1DB1-Normal39"/>
              <w:spacing w:after="0" w:line="240" w:lineRule="auto"/>
              <w:rPr>
                <w:rFonts w:eastAsia="Times New Roman" w:cs="Times New Roman"/>
                <w:noProof/>
              </w:rPr>
            </w:pPr>
            <w:r>
              <w:rPr>
                <w:noProof/>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65073E" w:rsidRDefault="000A0998">
            <w:pPr>
              <w:pStyle w:val="P68B1DB1-Normal39"/>
              <w:spacing w:after="0" w:line="240" w:lineRule="auto"/>
              <w:rPr>
                <w:rFonts w:eastAsia="Times New Roman" w:cs="Times New Roman"/>
                <w:noProof/>
              </w:rPr>
            </w:pPr>
            <w:r>
              <w:rPr>
                <w:noProof/>
              </w:rPr>
              <w:t xml:space="preserve">Tiettyjen urheiluammattien sääntelystä annetun lain voimaantulo </w:t>
            </w:r>
          </w:p>
        </w:tc>
      </w:tr>
      <w:tr w:rsidR="0065073E" w14:paraId="337BDD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65073E" w:rsidRDefault="000A0998">
            <w:pPr>
              <w:pStyle w:val="P68B1DB1-Normal39"/>
              <w:spacing w:after="0" w:line="240" w:lineRule="auto"/>
              <w:rPr>
                <w:rFonts w:eastAsia="Times New Roman" w:cs="Times New Roman"/>
                <w:noProof/>
              </w:rPr>
            </w:pPr>
            <w:r>
              <w:rPr>
                <w:noProof/>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65073E" w:rsidRDefault="000A0998">
            <w:pPr>
              <w:pStyle w:val="P68B1DB1-Normal39"/>
              <w:spacing w:after="0" w:line="240" w:lineRule="auto"/>
              <w:rPr>
                <w:rFonts w:eastAsia="Times New Roman" w:cs="Times New Roman"/>
                <w:noProof/>
              </w:rPr>
            </w:pPr>
            <w:r>
              <w:rPr>
                <w:noProof/>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65073E" w:rsidRDefault="000A0998">
            <w:pPr>
              <w:pStyle w:val="P68B1DB1-Normal39"/>
              <w:spacing w:after="0" w:line="240" w:lineRule="auto"/>
              <w:rPr>
                <w:rFonts w:eastAsia="Times New Roman" w:cs="Times New Roman"/>
                <w:noProof/>
              </w:rPr>
            </w:pPr>
            <w:r>
              <w:rPr>
                <w:noProof/>
              </w:rPr>
              <w:t>Kansallinen strategia urheilun edistämiseksi istuvan elämäntavan ja liikunnan puutteen torjumiseksi</w:t>
            </w:r>
          </w:p>
        </w:tc>
      </w:tr>
      <w:tr w:rsidR="0065073E" w14:paraId="63AE35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65073E" w:rsidRDefault="000A0998">
            <w:pPr>
              <w:pStyle w:val="P68B1DB1-Normal39"/>
              <w:spacing w:after="0" w:line="240" w:lineRule="auto"/>
              <w:rPr>
                <w:rFonts w:eastAsia="Times New Roman" w:cs="Times New Roman"/>
                <w:noProof/>
              </w:rPr>
            </w:pPr>
            <w:r>
              <w:rPr>
                <w:noProof/>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65073E" w:rsidRDefault="000A0998">
            <w:pPr>
              <w:pStyle w:val="P68B1DB1-Normal39"/>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65073E" w:rsidRDefault="000A0998">
            <w:pPr>
              <w:pStyle w:val="P68B1DB1-Normal39"/>
              <w:spacing w:after="0" w:line="240" w:lineRule="auto"/>
              <w:rPr>
                <w:rFonts w:eastAsia="Times New Roman" w:cs="Times New Roman"/>
                <w:noProof/>
              </w:rPr>
            </w:pPr>
            <w:r>
              <w:rPr>
                <w:noProof/>
              </w:rPr>
              <w:t xml:space="preserve">Urheilulääketieteen keskukset </w:t>
            </w:r>
          </w:p>
        </w:tc>
      </w:tr>
      <w:tr w:rsidR="0065073E" w14:paraId="4DC1DF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65073E" w:rsidRDefault="000A0998">
            <w:pPr>
              <w:pStyle w:val="P68B1DB1-Normal39"/>
              <w:spacing w:after="0" w:line="240" w:lineRule="auto"/>
              <w:rPr>
                <w:rFonts w:eastAsia="Times New Roman" w:cs="Times New Roman"/>
                <w:noProof/>
              </w:rPr>
            </w:pPr>
            <w:r>
              <w:rPr>
                <w:noProof/>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65073E" w:rsidRDefault="000A0998">
            <w:pPr>
              <w:pStyle w:val="P68B1DB1-Normal39"/>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65073E" w:rsidRDefault="000A0998">
            <w:pPr>
              <w:pStyle w:val="P68B1DB1-Normal39"/>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65073E" w:rsidRDefault="000A0998">
            <w:pPr>
              <w:pStyle w:val="P68B1DB1-Normal39"/>
              <w:spacing w:after="0" w:line="240" w:lineRule="auto"/>
              <w:rPr>
                <w:rFonts w:eastAsia="Times New Roman" w:cs="Times New Roman"/>
                <w:noProof/>
              </w:rPr>
            </w:pPr>
            <w:r>
              <w:rPr>
                <w:noProof/>
              </w:rPr>
              <w:t>Urheilun sosiaalisuunnitelman toimien loppuun saattaminen</w:t>
            </w:r>
          </w:p>
        </w:tc>
      </w:tr>
      <w:tr w:rsidR="0065073E" w14:paraId="47BA7F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65073E" w:rsidRDefault="000A0998">
            <w:pPr>
              <w:pStyle w:val="P68B1DB1-Normal39"/>
              <w:spacing w:after="0" w:line="240" w:lineRule="auto"/>
              <w:rPr>
                <w:rFonts w:eastAsia="Times New Roman" w:cs="Times New Roman"/>
                <w:noProof/>
              </w:rPr>
            </w:pPr>
            <w:r>
              <w:rPr>
                <w:noProof/>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65073E" w:rsidRDefault="000A0998">
            <w:pPr>
              <w:pStyle w:val="P68B1DB1-Normal39"/>
              <w:spacing w:after="0" w:line="240" w:lineRule="auto"/>
              <w:rPr>
                <w:rFonts w:eastAsia="Times New Roman" w:cs="Times New Roman"/>
                <w:noProof/>
              </w:rPr>
            </w:pPr>
            <w:r>
              <w:rPr>
                <w:noProof/>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65073E" w:rsidRDefault="000A0998">
            <w:pPr>
              <w:pStyle w:val="P68B1DB1-Normal39"/>
              <w:spacing w:after="0" w:line="240" w:lineRule="auto"/>
              <w:rPr>
                <w:rFonts w:eastAsia="Times New Roman" w:cs="Times New Roman"/>
                <w:noProof/>
              </w:rPr>
            </w:pPr>
            <w:r>
              <w:rPr>
                <w:noProof/>
              </w:rPr>
              <w:t>Neljän digitaalisen tukialustan toimittaminen</w:t>
            </w:r>
          </w:p>
        </w:tc>
      </w:tr>
      <w:tr w:rsidR="0065073E" w14:paraId="256ED7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65073E" w:rsidRDefault="000A0998">
            <w:pPr>
              <w:pStyle w:val="P68B1DB1-Normal39"/>
              <w:spacing w:after="0" w:line="240" w:lineRule="auto"/>
              <w:rPr>
                <w:rFonts w:eastAsia="Times New Roman" w:cs="Times New Roman"/>
                <w:noProof/>
              </w:rPr>
            </w:pPr>
            <w:r>
              <w:rPr>
                <w:noProof/>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65073E" w:rsidRDefault="000A0998">
            <w:pPr>
              <w:pStyle w:val="P68B1DB1-Normal39"/>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65073E" w:rsidRDefault="000A0998">
            <w:pPr>
              <w:pStyle w:val="P68B1DB1-Normal39"/>
              <w:spacing w:after="0" w:line="240" w:lineRule="auto"/>
              <w:rPr>
                <w:rFonts w:eastAsia="Times New Roman" w:cs="Times New Roman"/>
                <w:noProof/>
              </w:rPr>
            </w:pPr>
            <w:r>
              <w:rPr>
                <w:noProof/>
              </w:rPr>
              <w:t>Vihreän budjetoinnin yhdenmukaistamista koskeva kertomus</w:t>
            </w:r>
          </w:p>
        </w:tc>
      </w:tr>
      <w:tr w:rsidR="0065073E" w14:paraId="75490AE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65073E" w:rsidRDefault="000A0998">
            <w:pPr>
              <w:pStyle w:val="P68B1DB1-Normal39"/>
              <w:spacing w:after="0" w:line="240" w:lineRule="auto"/>
              <w:rPr>
                <w:rFonts w:eastAsia="Times New Roman" w:cs="Times New Roman"/>
                <w:noProof/>
              </w:rPr>
            </w:pPr>
            <w:r>
              <w:rPr>
                <w:noProof/>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65073E" w:rsidRDefault="000A0998">
            <w:pPr>
              <w:pStyle w:val="P68B1DB1-Normal39"/>
              <w:spacing w:after="0" w:line="240" w:lineRule="auto"/>
              <w:rPr>
                <w:rFonts w:eastAsia="Times New Roman" w:cs="Times New Roman"/>
                <w:noProof/>
              </w:rPr>
            </w:pPr>
            <w:r>
              <w:rPr>
                <w:noProof/>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65073E" w:rsidRDefault="000A0998">
            <w:pPr>
              <w:pStyle w:val="P68B1DB1-Normal39"/>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65073E" w:rsidRDefault="000A0998">
            <w:pPr>
              <w:pStyle w:val="P68B1DB1-Normal39"/>
              <w:spacing w:after="0" w:line="240" w:lineRule="auto"/>
              <w:rPr>
                <w:rFonts w:eastAsia="Times New Roman" w:cs="Times New Roman"/>
                <w:noProof/>
              </w:rPr>
            </w:pPr>
            <w:r>
              <w:rPr>
                <w:noProof/>
              </w:rPr>
              <w:t>Uudistus uusiutuvan energian tuotannon ja sähköverkkoinfrastruktuurin lupamenettelyjen parantamiseksi</w:t>
            </w:r>
          </w:p>
        </w:tc>
      </w:tr>
      <w:tr w:rsidR="0065073E" w14:paraId="197CC3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65073E" w:rsidRDefault="0065073E">
            <w:pPr>
              <w:spacing w:after="0" w:line="240" w:lineRule="auto"/>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65073E" w:rsidRDefault="000A0998">
            <w:pPr>
              <w:pStyle w:val="P68B1DB1-Normal38"/>
              <w:spacing w:after="0" w:line="240" w:lineRule="auto"/>
              <w:rPr>
                <w:rFonts w:eastAsia="Times New Roman" w:cs="Times New Roman"/>
                <w:noProof/>
              </w:rPr>
            </w:pPr>
            <w:r>
              <w:rPr>
                <w:noProof/>
              </w:rPr>
              <w:t>Maksuerän määrä</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65073E" w:rsidRDefault="000A0998">
            <w:pPr>
              <w:pStyle w:val="P68B1DB1-Normal38"/>
              <w:spacing w:after="0" w:line="240" w:lineRule="auto"/>
              <w:rPr>
                <w:rFonts w:eastAsia="Times New Roman" w:cs="Times New Roman"/>
                <w:noProof/>
              </w:rPr>
            </w:pPr>
            <w:r>
              <w:rPr>
                <w:noProof/>
              </w:rPr>
              <w:t>YHTEENSÄ 4076613963 EUROA</w:t>
            </w:r>
          </w:p>
        </w:tc>
      </w:tr>
    </w:tbl>
    <w:p w14:paraId="2A6E8E49" w14:textId="77777777" w:rsidR="0065073E" w:rsidRDefault="0065073E">
      <w:pPr>
        <w:spacing w:before="120" w:after="120" w:line="240" w:lineRule="auto"/>
        <w:jc w:val="both"/>
        <w:rPr>
          <w:rFonts w:ascii="Times New Roman" w:eastAsia="Calibri" w:hAnsi="Times New Roman" w:cs="Times New Roman"/>
          <w:noProof/>
          <w:sz w:val="20"/>
        </w:rPr>
      </w:pPr>
    </w:p>
    <w:p w14:paraId="2B82CF9F"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85"/>
          <w:headerReference w:type="default" r:id="rId686"/>
          <w:footerReference w:type="even" r:id="rId687"/>
          <w:footerReference w:type="default" r:id="rId688"/>
          <w:headerReference w:type="first" r:id="rId689"/>
          <w:footerReference w:type="first" r:id="rId690"/>
          <w:pgSz w:w="11907" w:h="16839"/>
          <w:pgMar w:top="1134" w:right="1134" w:bottom="1134" w:left="1134" w:header="567" w:footer="567" w:gutter="0"/>
          <w:cols w:space="720"/>
          <w:docGrid w:linePitch="360"/>
        </w:sectPr>
      </w:pPr>
    </w:p>
    <w:p w14:paraId="6E555F62"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Seitsemäs erä (tuki, jota ei makseta takaisin): </w:t>
      </w:r>
    </w:p>
    <w:tbl>
      <w:tblPr>
        <w:tblW w:w="9697" w:type="dxa"/>
        <w:tblInd w:w="113" w:type="dxa"/>
        <w:tblLook w:val="04A0" w:firstRow="1" w:lastRow="0" w:firstColumn="1" w:lastColumn="0" w:noHBand="0" w:noVBand="1"/>
      </w:tblPr>
      <w:tblGrid>
        <w:gridCol w:w="1244"/>
        <w:gridCol w:w="1379"/>
        <w:gridCol w:w="1701"/>
        <w:gridCol w:w="5418"/>
      </w:tblGrid>
      <w:tr w:rsidR="0065073E" w14:paraId="65CCA498" w14:textId="77777777">
        <w:trPr>
          <w:trHeight w:val="906"/>
          <w:tblHeader/>
        </w:trPr>
        <w:tc>
          <w:tcPr>
            <w:tcW w:w="13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91CC6"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611C09B"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16CAA2"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704" w:type="dxa"/>
            <w:vMerge w:val="restart"/>
            <w:tcBorders>
              <w:top w:val="single" w:sz="4" w:space="0" w:color="auto"/>
              <w:left w:val="nil"/>
              <w:bottom w:val="single" w:sz="4" w:space="0" w:color="auto"/>
              <w:right w:val="single" w:sz="4" w:space="0" w:color="auto"/>
            </w:tcBorders>
            <w:shd w:val="clear" w:color="auto" w:fill="BDD7EE"/>
            <w:vAlign w:val="center"/>
            <w:hideMark/>
          </w:tcPr>
          <w:p w14:paraId="7F6877E6"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274F07CF" w14:textId="77777777">
        <w:trPr>
          <w:trHeight w:val="50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6D346BD"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24DB39A"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9EFE700" w14:textId="77777777" w:rsidR="0065073E" w:rsidRDefault="0065073E">
            <w:pPr>
              <w:spacing w:after="0" w:line="240" w:lineRule="auto"/>
              <w:rPr>
                <w:rFonts w:ascii="Times New Roman" w:eastAsia="Times New Roman" w:hAnsi="Times New Roman" w:cs="Times New Roman"/>
                <w:b/>
                <w:noProof/>
                <w:sz w:val="20"/>
              </w:rPr>
            </w:pPr>
          </w:p>
        </w:tc>
        <w:tc>
          <w:tcPr>
            <w:tcW w:w="5704" w:type="dxa"/>
            <w:vMerge/>
            <w:tcBorders>
              <w:top w:val="single" w:sz="4" w:space="0" w:color="auto"/>
              <w:left w:val="single" w:sz="4" w:space="0" w:color="auto"/>
              <w:bottom w:val="single" w:sz="4" w:space="0" w:color="auto"/>
              <w:right w:val="single" w:sz="4" w:space="0" w:color="auto"/>
            </w:tcBorders>
            <w:vAlign w:val="center"/>
            <w:hideMark/>
          </w:tcPr>
          <w:p w14:paraId="237DAC7D" w14:textId="77777777" w:rsidR="0065073E" w:rsidRDefault="0065073E">
            <w:pPr>
              <w:spacing w:after="0" w:line="240" w:lineRule="auto"/>
              <w:rPr>
                <w:rFonts w:ascii="Times New Roman" w:eastAsia="Times New Roman" w:hAnsi="Times New Roman" w:cs="Times New Roman"/>
                <w:b/>
                <w:noProof/>
                <w:sz w:val="20"/>
              </w:rPr>
            </w:pPr>
          </w:p>
        </w:tc>
      </w:tr>
      <w:tr w:rsidR="0065073E" w14:paraId="2964FF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65073E" w:rsidRDefault="000A0998">
            <w:pPr>
              <w:pStyle w:val="P68B1DB1-Normal39"/>
              <w:spacing w:after="0" w:line="240" w:lineRule="auto"/>
              <w:jc w:val="center"/>
              <w:rPr>
                <w:rFonts w:eastAsia="Times New Roman" w:cs="Times New Roman"/>
                <w:noProof/>
              </w:rPr>
            </w:pPr>
            <w:r>
              <w:rPr>
                <w:noProof/>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65073E" w:rsidRDefault="000A0998">
            <w:pPr>
              <w:pStyle w:val="P68B1DB1-Normal39"/>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65073E" w:rsidRDefault="000A0998">
            <w:pPr>
              <w:pStyle w:val="P68B1DB1-Normal39"/>
              <w:spacing w:after="0" w:line="240" w:lineRule="auto"/>
              <w:rPr>
                <w:rFonts w:eastAsia="Times New Roman" w:cs="Times New Roman"/>
                <w:noProof/>
              </w:rPr>
            </w:pPr>
            <w:r>
              <w:rPr>
                <w:noProof/>
              </w:rPr>
              <w:t xml:space="preserve">Kestävää liikkuvuutta koskevan lain hyväksyminen </w:t>
            </w:r>
          </w:p>
        </w:tc>
      </w:tr>
      <w:tr w:rsidR="0065073E" w14:paraId="4241E1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65073E" w:rsidRDefault="000A0998">
            <w:pPr>
              <w:pStyle w:val="P68B1DB1-Normal39"/>
              <w:spacing w:after="0" w:line="240" w:lineRule="auto"/>
              <w:jc w:val="center"/>
              <w:rPr>
                <w:rFonts w:eastAsia="Times New Roman" w:cs="Times New Roman"/>
                <w:noProof/>
              </w:rPr>
            </w:pPr>
            <w:r>
              <w:rPr>
                <w:noProof/>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65073E" w:rsidRDefault="000A0998">
            <w:pPr>
              <w:pStyle w:val="P68B1DB1-Normal39"/>
              <w:spacing w:after="0" w:line="240" w:lineRule="auto"/>
              <w:rPr>
                <w:rFonts w:eastAsia="Times New Roman" w:cs="Times New Roman"/>
                <w:noProof/>
              </w:rPr>
            </w:pPr>
            <w:r>
              <w:rPr>
                <w:noProof/>
              </w:rPr>
              <w:t>Kestävän liikkuvuuden edistämiseen tähtääviin hankintoihin tai kuntien myöntämiin hankintoihin käytetyt määrärahat</w:t>
            </w:r>
          </w:p>
        </w:tc>
      </w:tr>
      <w:tr w:rsidR="0065073E" w14:paraId="4C0929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65073E" w:rsidRDefault="000A0998">
            <w:pPr>
              <w:pStyle w:val="P68B1DB1-Normal39"/>
              <w:spacing w:after="0" w:line="240" w:lineRule="auto"/>
              <w:jc w:val="center"/>
              <w:rPr>
                <w:rFonts w:eastAsia="Times New Roman" w:cs="Times New Roman"/>
                <w:noProof/>
              </w:rPr>
            </w:pPr>
            <w:r>
              <w:rPr>
                <w:noProof/>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65073E" w:rsidRDefault="000A0998">
            <w:pPr>
              <w:pStyle w:val="P68B1DB1-Normal39"/>
              <w:spacing w:after="0" w:line="240" w:lineRule="auto"/>
              <w:rPr>
                <w:rFonts w:eastAsia="Times New Roman" w:cs="Times New Roman"/>
                <w:noProof/>
              </w:rPr>
            </w:pPr>
            <w:r>
              <w:rPr>
                <w:noProof/>
              </w:rPr>
              <w:t>Palkinto hankkeille, joilla parannetaan uusia liikkumismuotoja valtion teillä</w:t>
            </w:r>
          </w:p>
        </w:tc>
      </w:tr>
      <w:tr w:rsidR="0065073E" w14:paraId="32BAE1C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65073E" w:rsidRDefault="000A0998">
            <w:pPr>
              <w:pStyle w:val="P68B1DB1-Normal39"/>
              <w:spacing w:after="0" w:line="240" w:lineRule="auto"/>
              <w:jc w:val="center"/>
              <w:rPr>
                <w:rFonts w:eastAsia="Times New Roman" w:cs="Times New Roman"/>
                <w:noProof/>
              </w:rPr>
            </w:pPr>
            <w:r>
              <w:rPr>
                <w:noProof/>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65073E" w:rsidRDefault="000A0998">
            <w:pPr>
              <w:pStyle w:val="P68B1DB1-Normal39"/>
              <w:spacing w:after="0" w:line="240" w:lineRule="auto"/>
              <w:rPr>
                <w:rFonts w:eastAsia="Times New Roman" w:cs="Times New Roman"/>
                <w:noProof/>
              </w:rPr>
            </w:pPr>
            <w:r>
              <w:rPr>
                <w:noProof/>
              </w:rPr>
              <w:t xml:space="preserve">Lyhyen matkan rautatieyhteyksiin tehtäviin investointeihin myönnetyt kumulatiiviset määrärahat </w:t>
            </w:r>
          </w:p>
        </w:tc>
      </w:tr>
      <w:tr w:rsidR="0065073E" w14:paraId="4C83CE9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65073E" w:rsidRDefault="000A0998">
            <w:pPr>
              <w:pStyle w:val="P68B1DB1-Normal39"/>
              <w:spacing w:after="0" w:line="240" w:lineRule="auto"/>
              <w:jc w:val="center"/>
              <w:rPr>
                <w:rFonts w:eastAsia="Times New Roman" w:cs="Times New Roman"/>
                <w:noProof/>
              </w:rPr>
            </w:pPr>
            <w:r>
              <w:rPr>
                <w:noProof/>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65073E" w:rsidRDefault="000A0998">
            <w:pPr>
              <w:pStyle w:val="P68B1DB1-Normal39"/>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65073E" w:rsidRDefault="000A0998">
            <w:pPr>
              <w:pStyle w:val="P68B1DB1-Normal39"/>
              <w:spacing w:after="0" w:line="240" w:lineRule="auto"/>
              <w:rPr>
                <w:rFonts w:eastAsia="Times New Roman" w:cs="Times New Roman"/>
                <w:noProof/>
              </w:rPr>
            </w:pPr>
            <w:r>
              <w:rPr>
                <w:noProof/>
              </w:rPr>
              <w:t>Asuinrakennusten perusparannustoimien tai tuen myöntämistä koskevien päätösten loppuun saattaminen asuntojen peruskorjaustoimien toteuttamiseen siten, että saavutetaan tai pyritään vähentämään primäärienergian kysyntää keskimäärin vähintään 30 prosentilla (vähintään 231000 toimea vähintään 160000 yksittäisessä asunnossa)</w:t>
            </w:r>
          </w:p>
        </w:tc>
      </w:tr>
      <w:tr w:rsidR="0065073E" w14:paraId="7C6C85C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65073E" w:rsidRDefault="000A0998">
            <w:pPr>
              <w:pStyle w:val="P68B1DB1-Normal39"/>
              <w:spacing w:after="0" w:line="240" w:lineRule="auto"/>
              <w:jc w:val="center"/>
              <w:rPr>
                <w:rFonts w:eastAsia="Times New Roman" w:cs="Times New Roman"/>
                <w:noProof/>
              </w:rPr>
            </w:pPr>
            <w:r>
              <w:rPr>
                <w:noProof/>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65073E" w:rsidRDefault="000A0998">
            <w:pPr>
              <w:pStyle w:val="P68B1DB1-Normal39"/>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65073E" w:rsidRDefault="000A0998">
            <w:pPr>
              <w:pStyle w:val="P68B1DB1-Normal39"/>
              <w:spacing w:after="0" w:line="240" w:lineRule="auto"/>
              <w:rPr>
                <w:rFonts w:eastAsia="Times New Roman" w:cs="Times New Roman"/>
                <w:noProof/>
              </w:rPr>
            </w:pPr>
            <w:r>
              <w:rPr>
                <w:noProof/>
              </w:rPr>
              <w:t>Julkisten rakennusten peruskorjausten loppuun saattaminen siten, että primäärienergian kysyntää vähennetään keskimäärin vähintään 30 prosenttia (vähintään 290 000 m²)</w:t>
            </w:r>
          </w:p>
        </w:tc>
      </w:tr>
      <w:tr w:rsidR="0065073E" w14:paraId="46F46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65073E" w:rsidRDefault="000A0998">
            <w:pPr>
              <w:pStyle w:val="P68B1DB1-Normal39"/>
              <w:spacing w:after="0" w:line="240" w:lineRule="auto"/>
              <w:jc w:val="center"/>
              <w:rPr>
                <w:rFonts w:eastAsia="Times New Roman" w:cs="Times New Roman"/>
                <w:noProof/>
              </w:rPr>
            </w:pPr>
            <w:r>
              <w:rPr>
                <w:noProof/>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65073E" w:rsidRDefault="000A0998">
            <w:pPr>
              <w:pStyle w:val="P68B1DB1-Normal39"/>
              <w:spacing w:after="0" w:line="240" w:lineRule="auto"/>
              <w:rPr>
                <w:rFonts w:eastAsia="Times New Roman" w:cs="Times New Roman"/>
                <w:noProof/>
              </w:rPr>
            </w:pPr>
            <w:r>
              <w:rPr>
                <w:noProof/>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65073E" w:rsidRDefault="000A0998">
            <w:pPr>
              <w:pStyle w:val="P68B1DB1-Normal39"/>
              <w:spacing w:after="0" w:line="240" w:lineRule="auto"/>
              <w:rPr>
                <w:rFonts w:eastAsia="Times New Roman" w:cs="Times New Roman"/>
                <w:noProof/>
              </w:rPr>
            </w:pPr>
            <w:r>
              <w:rPr>
                <w:noProof/>
              </w:rPr>
              <w:t>Paremmat puhdistus- ja desinfiointikeskukset ja kasvien lisäysaineiston tuotantokeskukset, joissa on vahvistettu koulutus- ja bioturvallisuusjärjestelmiä</w:t>
            </w:r>
          </w:p>
        </w:tc>
      </w:tr>
      <w:tr w:rsidR="0065073E" w14:paraId="1558A9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65073E" w:rsidRDefault="000A0998">
            <w:pPr>
              <w:pStyle w:val="P68B1DB1-Normal39"/>
              <w:spacing w:after="0" w:line="240" w:lineRule="auto"/>
              <w:jc w:val="center"/>
              <w:rPr>
                <w:rFonts w:eastAsia="Times New Roman" w:cs="Times New Roman"/>
                <w:noProof/>
              </w:rPr>
            </w:pPr>
            <w:r>
              <w:rPr>
                <w:noProof/>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65073E" w:rsidRDefault="000A0998">
            <w:pPr>
              <w:pStyle w:val="P68B1DB1-Normal39"/>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65073E" w:rsidRDefault="000A0998">
            <w:pPr>
              <w:pStyle w:val="P68B1DB1-Normal39"/>
              <w:spacing w:after="0" w:line="240" w:lineRule="auto"/>
              <w:rPr>
                <w:rFonts w:eastAsia="Times New Roman" w:cs="Times New Roman"/>
                <w:noProof/>
              </w:rPr>
            </w:pPr>
            <w:r>
              <w:rPr>
                <w:noProof/>
              </w:rPr>
              <w:t xml:space="preserve">TEN-T-ydinverkko: työskentelyn edistyminen </w:t>
            </w:r>
          </w:p>
        </w:tc>
      </w:tr>
      <w:tr w:rsidR="0065073E" w14:paraId="6C032F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65073E" w:rsidRDefault="000A0998">
            <w:pPr>
              <w:pStyle w:val="P68B1DB1-Normal39"/>
              <w:spacing w:after="0" w:line="240" w:lineRule="auto"/>
              <w:jc w:val="center"/>
              <w:rPr>
                <w:rFonts w:eastAsia="Times New Roman" w:cs="Times New Roman"/>
                <w:noProof/>
              </w:rPr>
            </w:pPr>
            <w:r>
              <w:rPr>
                <w:noProof/>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65073E" w:rsidRDefault="000A0998">
            <w:pPr>
              <w:pStyle w:val="P68B1DB1-Normal39"/>
              <w:spacing w:after="0" w:line="240" w:lineRule="auto"/>
              <w:rPr>
                <w:rFonts w:eastAsia="Times New Roman" w:cs="Times New Roman"/>
                <w:noProof/>
              </w:rPr>
            </w:pPr>
            <w:r>
              <w:rPr>
                <w:noProof/>
              </w:rPr>
              <w:t>TEN-T-ydinverkon ulkopuolinen verkko: rautatietöiden edistyminen</w:t>
            </w:r>
          </w:p>
        </w:tc>
      </w:tr>
      <w:tr w:rsidR="0065073E" w14:paraId="39542F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65073E" w:rsidRDefault="000A0998">
            <w:pPr>
              <w:pStyle w:val="P68B1DB1-Normal39"/>
              <w:spacing w:after="0" w:line="240" w:lineRule="auto"/>
              <w:jc w:val="center"/>
              <w:rPr>
                <w:rFonts w:eastAsia="Times New Roman" w:cs="Times New Roman"/>
                <w:noProof/>
              </w:rPr>
            </w:pPr>
            <w:r>
              <w:rPr>
                <w:noProof/>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65073E" w:rsidRDefault="000A0998">
            <w:pPr>
              <w:pStyle w:val="P68B1DB1-Normal39"/>
              <w:spacing w:after="0" w:line="240" w:lineRule="auto"/>
              <w:rPr>
                <w:rFonts w:eastAsia="Times New Roman" w:cs="Times New Roman"/>
                <w:noProof/>
              </w:rPr>
            </w:pPr>
            <w:r>
              <w:rPr>
                <w:noProof/>
              </w:rPr>
              <w:t>Yhtenäinen eurooppalainen ilmatila: myönnetty hanke ja edistyminen hankkeiden loppuun saattamisessa</w:t>
            </w:r>
          </w:p>
        </w:tc>
      </w:tr>
      <w:tr w:rsidR="0065073E" w14:paraId="03956C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65073E" w:rsidRDefault="000A0998">
            <w:pPr>
              <w:pStyle w:val="P68B1DB1-Normal39"/>
              <w:spacing w:after="0" w:line="240" w:lineRule="auto"/>
              <w:jc w:val="center"/>
              <w:rPr>
                <w:rFonts w:eastAsia="Times New Roman" w:cs="Times New Roman"/>
                <w:noProof/>
              </w:rPr>
            </w:pPr>
            <w:r>
              <w:rPr>
                <w:noProof/>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65073E" w:rsidRDefault="000A0998">
            <w:pPr>
              <w:pStyle w:val="P68B1DB1-Normal39"/>
              <w:spacing w:after="0" w:line="240" w:lineRule="auto"/>
              <w:rPr>
                <w:rFonts w:eastAsia="Times New Roman" w:cs="Times New Roman"/>
                <w:noProof/>
              </w:rPr>
            </w:pPr>
            <w:r>
              <w:rPr>
                <w:noProof/>
              </w:rPr>
              <w:t>Liikenne-, liikenne- ja kaupunkiagendan digitalisointi</w:t>
            </w:r>
          </w:p>
        </w:tc>
      </w:tr>
      <w:tr w:rsidR="0065073E" w14:paraId="73CD546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65073E" w:rsidRDefault="000A0998">
            <w:pPr>
              <w:pStyle w:val="P68B1DB1-Normal39"/>
              <w:spacing w:after="0" w:line="240" w:lineRule="auto"/>
              <w:jc w:val="center"/>
              <w:rPr>
                <w:rFonts w:eastAsia="Times New Roman" w:cs="Times New Roman"/>
                <w:noProof/>
              </w:rPr>
            </w:pPr>
            <w:r>
              <w:rPr>
                <w:noProof/>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65073E" w:rsidRDefault="000A0998">
            <w:pPr>
              <w:pStyle w:val="P68B1DB1-Normal39"/>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65073E" w:rsidRDefault="000A0998">
            <w:pPr>
              <w:pStyle w:val="P68B1DB1-Normal39"/>
              <w:spacing w:after="0" w:line="240" w:lineRule="auto"/>
              <w:rPr>
                <w:rFonts w:eastAsia="Times New Roman" w:cs="Times New Roman"/>
                <w:noProof/>
              </w:rPr>
            </w:pPr>
            <w:r>
              <w:rPr>
                <w:noProof/>
              </w:rPr>
              <w:t xml:space="preserve">Intermodaalisen infrastruktuurin ja logistiikan infrastruktuurin talousarvion toteuttaminen </w:t>
            </w:r>
          </w:p>
        </w:tc>
      </w:tr>
      <w:tr w:rsidR="0065073E" w14:paraId="236FAA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65073E" w:rsidRDefault="000A0998">
            <w:pPr>
              <w:pStyle w:val="P68B1DB1-Normal39"/>
              <w:spacing w:after="0" w:line="240" w:lineRule="auto"/>
              <w:jc w:val="center"/>
              <w:rPr>
                <w:rFonts w:eastAsia="Times New Roman" w:cs="Times New Roman"/>
                <w:noProof/>
              </w:rPr>
            </w:pPr>
            <w:r>
              <w:rPr>
                <w:noProof/>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65073E" w:rsidRDefault="000A0998">
            <w:pPr>
              <w:pStyle w:val="P68B1DB1-Normal39"/>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65073E" w:rsidRDefault="000A0998">
            <w:pPr>
              <w:pStyle w:val="P68B1DB1-Normal39"/>
              <w:spacing w:after="0" w:line="240" w:lineRule="auto"/>
              <w:rPr>
                <w:rFonts w:eastAsia="Times New Roman" w:cs="Times New Roman"/>
                <w:noProof/>
              </w:rPr>
            </w:pPr>
            <w:r>
              <w:rPr>
                <w:noProof/>
              </w:rPr>
              <w:t>Kestävä ja digitaalinen liikenne: töiden aloittaminen</w:t>
            </w:r>
          </w:p>
        </w:tc>
      </w:tr>
      <w:tr w:rsidR="0065073E" w14:paraId="1E9A01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65073E" w:rsidRDefault="000A0998">
            <w:pPr>
              <w:pStyle w:val="P68B1DB1-Normal39"/>
              <w:spacing w:after="0" w:line="240" w:lineRule="auto"/>
              <w:jc w:val="center"/>
              <w:rPr>
                <w:rFonts w:eastAsia="Times New Roman" w:cs="Times New Roman"/>
                <w:noProof/>
              </w:rPr>
            </w:pPr>
            <w:r>
              <w:rPr>
                <w:noProof/>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65073E" w:rsidRDefault="000A0998">
            <w:pPr>
              <w:pStyle w:val="P68B1DB1-Normal39"/>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65073E" w:rsidRDefault="000A0998">
            <w:pPr>
              <w:pStyle w:val="P68B1DB1-Normal39"/>
              <w:spacing w:after="0" w:line="240" w:lineRule="auto"/>
              <w:rPr>
                <w:rFonts w:eastAsia="Times New Roman" w:cs="Times New Roman"/>
                <w:noProof/>
              </w:rPr>
            </w:pPr>
            <w:r>
              <w:rPr>
                <w:noProof/>
              </w:rPr>
              <w:t>Energiaan liittyvien pilottihankkeiden loppuun saattaminen paikallisyhteisöissä</w:t>
            </w:r>
          </w:p>
        </w:tc>
      </w:tr>
      <w:tr w:rsidR="0065073E" w14:paraId="6F3B40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65073E" w:rsidRDefault="000A0998">
            <w:pPr>
              <w:pStyle w:val="P68B1DB1-Normal39"/>
              <w:spacing w:after="0" w:line="240" w:lineRule="auto"/>
              <w:jc w:val="center"/>
              <w:rPr>
                <w:rFonts w:eastAsia="Times New Roman" w:cs="Times New Roman"/>
                <w:noProof/>
              </w:rPr>
            </w:pPr>
            <w:r>
              <w:rPr>
                <w:noProof/>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65073E" w:rsidRDefault="000A0998">
            <w:pPr>
              <w:pStyle w:val="P68B1DB1-Normal39"/>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65073E" w:rsidRDefault="000A0998">
            <w:pPr>
              <w:pStyle w:val="P68B1DB1-Normal39"/>
              <w:spacing w:after="0" w:line="240" w:lineRule="auto"/>
              <w:rPr>
                <w:rFonts w:eastAsia="Times New Roman" w:cs="Times New Roman"/>
                <w:noProof/>
              </w:rPr>
            </w:pPr>
            <w:r>
              <w:rPr>
                <w:noProof/>
              </w:rPr>
              <w:t>Tuki ympäristöön, digitaaliseen ja sosiaaliseen infrastruktuuriin liittyville hankkeille</w:t>
            </w:r>
          </w:p>
        </w:tc>
      </w:tr>
      <w:tr w:rsidR="0065073E" w14:paraId="2615DC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65073E" w:rsidRDefault="000A0998">
            <w:pPr>
              <w:pStyle w:val="P68B1DB1-Normal39"/>
              <w:spacing w:after="0" w:line="240" w:lineRule="auto"/>
              <w:jc w:val="center"/>
              <w:rPr>
                <w:rFonts w:eastAsia="Times New Roman" w:cs="Times New Roman"/>
                <w:noProof/>
              </w:rPr>
            </w:pPr>
            <w:r>
              <w:rPr>
                <w:noProof/>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65073E" w:rsidRDefault="000A0998">
            <w:pPr>
              <w:pStyle w:val="P68B1DB1-Normal39"/>
              <w:spacing w:after="0" w:line="240" w:lineRule="auto"/>
              <w:rPr>
                <w:rFonts w:eastAsia="Times New Roman" w:cs="Times New Roman"/>
                <w:noProof/>
              </w:rPr>
            </w:pPr>
            <w:r>
              <w:rPr>
                <w:noProof/>
              </w:rPr>
              <w:t>Julkisen sektorin työllisyyden vakauttaminen</w:t>
            </w:r>
          </w:p>
        </w:tc>
      </w:tr>
      <w:tr w:rsidR="0065073E" w14:paraId="4197D8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65073E" w:rsidRDefault="000A0998">
            <w:pPr>
              <w:pStyle w:val="P68B1DB1-Normal39"/>
              <w:spacing w:after="0" w:line="240" w:lineRule="auto"/>
              <w:jc w:val="center"/>
              <w:rPr>
                <w:rFonts w:eastAsia="Times New Roman" w:cs="Times New Roman"/>
                <w:noProof/>
              </w:rPr>
            </w:pPr>
            <w:r>
              <w:rPr>
                <w:noProof/>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65073E" w:rsidRDefault="000A0998">
            <w:pPr>
              <w:pStyle w:val="P68B1DB1-Normal39"/>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65073E" w:rsidRDefault="000A0998">
            <w:pPr>
              <w:pStyle w:val="P68B1DB1-Normal39"/>
              <w:spacing w:after="0" w:line="240" w:lineRule="auto"/>
              <w:rPr>
                <w:rFonts w:eastAsia="Times New Roman" w:cs="Times New Roman"/>
                <w:noProof/>
              </w:rPr>
            </w:pPr>
            <w:r>
              <w:rPr>
                <w:noProof/>
              </w:rPr>
              <w:t xml:space="preserve">Laki eturyhmien toiminnan avoimuudesta ja lahjomattomuudesta </w:t>
            </w:r>
          </w:p>
        </w:tc>
      </w:tr>
      <w:tr w:rsidR="0065073E" w14:paraId="5F2BF6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65073E" w:rsidRDefault="000A0998">
            <w:pPr>
              <w:pStyle w:val="P68B1DB1-Normal39"/>
              <w:spacing w:after="0" w:line="240" w:lineRule="auto"/>
              <w:jc w:val="center"/>
              <w:rPr>
                <w:rFonts w:eastAsia="Times New Roman" w:cs="Times New Roman"/>
                <w:noProof/>
              </w:rPr>
            </w:pPr>
            <w:r>
              <w:rPr>
                <w:noProof/>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65073E" w:rsidRDefault="000A0998">
            <w:pPr>
              <w:pStyle w:val="P68B1DB1-Normal39"/>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65073E" w:rsidRDefault="000A0998">
            <w:pPr>
              <w:pStyle w:val="P68B1DB1-Normal39"/>
              <w:spacing w:after="0" w:line="240" w:lineRule="auto"/>
              <w:rPr>
                <w:rFonts w:eastAsia="Times New Roman" w:cs="Times New Roman"/>
                <w:noProof/>
              </w:rPr>
            </w:pPr>
            <w:r>
              <w:rPr>
                <w:noProof/>
              </w:rPr>
              <w:t>Organisatorisesta ja menettelyllisestä tehokkuudesta annetun lain voimaantulo</w:t>
            </w:r>
          </w:p>
        </w:tc>
      </w:tr>
      <w:tr w:rsidR="0065073E" w14:paraId="44B195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65073E" w:rsidRDefault="000A0998">
            <w:pPr>
              <w:pStyle w:val="P68B1DB1-Normal39"/>
              <w:spacing w:after="0" w:line="240" w:lineRule="auto"/>
              <w:jc w:val="center"/>
              <w:rPr>
                <w:rFonts w:eastAsia="Times New Roman" w:cs="Times New Roman"/>
                <w:noProof/>
              </w:rPr>
            </w:pPr>
            <w:r>
              <w:rPr>
                <w:noProof/>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65073E" w:rsidRDefault="000A0998">
            <w:pPr>
              <w:pStyle w:val="P68B1DB1-Normal39"/>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65073E" w:rsidRDefault="000A0998">
            <w:pPr>
              <w:pStyle w:val="P68B1DB1-Normal39"/>
              <w:spacing w:after="0" w:line="240" w:lineRule="auto"/>
              <w:rPr>
                <w:rFonts w:eastAsia="Times New Roman" w:cs="Times New Roman"/>
                <w:noProof/>
              </w:rPr>
            </w:pPr>
            <w:r>
              <w:rPr>
                <w:noProof/>
              </w:rPr>
              <w:t>Oikeutta puolustukseen koskevan lain voimaantulo</w:t>
            </w:r>
          </w:p>
        </w:tc>
      </w:tr>
      <w:tr w:rsidR="0065073E" w14:paraId="74BD08B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65073E" w:rsidRDefault="000A0998">
            <w:pPr>
              <w:pStyle w:val="P68B1DB1-Normal39"/>
              <w:spacing w:after="0" w:line="240" w:lineRule="auto"/>
              <w:jc w:val="center"/>
              <w:rPr>
                <w:rFonts w:eastAsia="Times New Roman" w:cs="Times New Roman"/>
                <w:noProof/>
              </w:rPr>
            </w:pPr>
            <w:r>
              <w:rPr>
                <w:noProof/>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65073E" w:rsidRDefault="000A0998">
            <w:pPr>
              <w:pStyle w:val="P68B1DB1-Normal39"/>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65073E" w:rsidRDefault="000A0998">
            <w:pPr>
              <w:pStyle w:val="P68B1DB1-Normal39"/>
              <w:spacing w:after="0" w:line="240" w:lineRule="auto"/>
              <w:rPr>
                <w:rFonts w:eastAsia="Times New Roman" w:cs="Times New Roman"/>
                <w:noProof/>
              </w:rPr>
            </w:pPr>
            <w:r>
              <w:rPr>
                <w:noProof/>
              </w:rPr>
              <w:t>Asiakaspalvelulain ja rahoitusasiakkaiden suojaamisesta vastaavan viranomaisen perustamisesta annetun lain voimaantulo</w:t>
            </w:r>
          </w:p>
        </w:tc>
      </w:tr>
      <w:tr w:rsidR="0065073E" w14:paraId="2A08DF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65073E" w:rsidRDefault="000A0998">
            <w:pPr>
              <w:pStyle w:val="P68B1DB1-Normal39"/>
              <w:spacing w:after="0" w:line="240" w:lineRule="auto"/>
              <w:jc w:val="center"/>
              <w:rPr>
                <w:rFonts w:eastAsia="Times New Roman" w:cs="Times New Roman"/>
                <w:noProof/>
              </w:rPr>
            </w:pPr>
            <w:r>
              <w:rPr>
                <w:noProof/>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65073E" w:rsidRDefault="000A0998">
            <w:pPr>
              <w:pStyle w:val="P68B1DB1-Normal39"/>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65073E" w:rsidRDefault="000A0998">
            <w:pPr>
              <w:pStyle w:val="P68B1DB1-Normal39"/>
              <w:spacing w:after="0" w:line="240" w:lineRule="auto"/>
              <w:rPr>
                <w:rFonts w:eastAsia="Times New Roman" w:cs="Times New Roman"/>
                <w:noProof/>
              </w:rPr>
            </w:pPr>
            <w:r>
              <w:rPr>
                <w:noProof/>
              </w:rPr>
              <w:t>Ajoneuvojen kunnostaminen julkishallinnossa</w:t>
            </w:r>
          </w:p>
        </w:tc>
      </w:tr>
      <w:tr w:rsidR="0065073E" w14:paraId="2DBCE7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65073E" w:rsidRDefault="000A0998">
            <w:pPr>
              <w:pStyle w:val="P68B1DB1-Normal39"/>
              <w:spacing w:after="0" w:line="240" w:lineRule="auto"/>
              <w:jc w:val="center"/>
              <w:rPr>
                <w:rFonts w:eastAsia="Times New Roman" w:cs="Times New Roman"/>
                <w:noProof/>
              </w:rPr>
            </w:pPr>
            <w:r>
              <w:rPr>
                <w:noProof/>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65073E" w:rsidRDefault="000A0998">
            <w:pPr>
              <w:pStyle w:val="P68B1DB1-Normal39"/>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65073E" w:rsidRDefault="000A0998">
            <w:pPr>
              <w:pStyle w:val="P68B1DB1-Normal39"/>
              <w:spacing w:after="0" w:line="240" w:lineRule="auto"/>
              <w:rPr>
                <w:rFonts w:eastAsia="Times New Roman" w:cs="Times New Roman"/>
                <w:noProof/>
              </w:rPr>
            </w:pPr>
            <w:r>
              <w:rPr>
                <w:noProof/>
              </w:rPr>
              <w:t>Julkisten rakennusten energiaperuskorjaus (140 000 m²)</w:t>
            </w:r>
          </w:p>
        </w:tc>
      </w:tr>
      <w:tr w:rsidR="0065073E" w14:paraId="72B6ED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65073E" w:rsidRDefault="000A0998">
            <w:pPr>
              <w:pStyle w:val="P68B1DB1-Normal39"/>
              <w:spacing w:after="0" w:line="240" w:lineRule="auto"/>
              <w:jc w:val="center"/>
              <w:rPr>
                <w:rFonts w:eastAsia="Times New Roman" w:cs="Times New Roman"/>
                <w:noProof/>
              </w:rPr>
            </w:pPr>
            <w:r>
              <w:rPr>
                <w:noProof/>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65073E" w:rsidRDefault="000A0998">
            <w:pPr>
              <w:pStyle w:val="P68B1DB1-Normal39"/>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65073E" w:rsidRDefault="000A0998">
            <w:pPr>
              <w:pStyle w:val="P68B1DB1-Normal39"/>
              <w:spacing w:after="0" w:line="240" w:lineRule="auto"/>
              <w:rPr>
                <w:rFonts w:eastAsia="Times New Roman" w:cs="Times New Roman"/>
                <w:noProof/>
              </w:rPr>
            </w:pPr>
            <w:r>
              <w:rPr>
                <w:noProof/>
              </w:rPr>
              <w:t xml:space="preserve">ERTES-ohjelman ja teollisuuden muutosta koskevien innovatiivisten hankkeiden talousarvion toteuttaminen </w:t>
            </w:r>
          </w:p>
        </w:tc>
      </w:tr>
      <w:tr w:rsidR="0065073E" w14:paraId="285904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65073E" w:rsidRDefault="000A0998">
            <w:pPr>
              <w:pStyle w:val="P68B1DB1-Normal39"/>
              <w:spacing w:after="0" w:line="240" w:lineRule="auto"/>
              <w:jc w:val="center"/>
              <w:rPr>
                <w:rFonts w:eastAsia="Times New Roman" w:cs="Times New Roman"/>
                <w:noProof/>
              </w:rPr>
            </w:pPr>
            <w:r>
              <w:rPr>
                <w:noProof/>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65073E" w:rsidRDefault="000A0998">
            <w:pPr>
              <w:pStyle w:val="P68B1DB1-Normal39"/>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65073E" w:rsidRDefault="000A0998">
            <w:pPr>
              <w:pStyle w:val="P68B1DB1-Normal39"/>
              <w:spacing w:after="0" w:line="240" w:lineRule="auto"/>
              <w:rPr>
                <w:rFonts w:eastAsia="Times New Roman" w:cs="Times New Roman"/>
                <w:noProof/>
              </w:rPr>
            </w:pPr>
            <w:r>
              <w:rPr>
                <w:noProof/>
              </w:rPr>
              <w:t>Jätealan koordinointikomission työryhmä, joka seuraa jätelainsäädännön noudattamista</w:t>
            </w:r>
          </w:p>
        </w:tc>
      </w:tr>
      <w:tr w:rsidR="0065073E" w14:paraId="3361C5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65073E" w:rsidRDefault="000A0998">
            <w:pPr>
              <w:pStyle w:val="P68B1DB1-Normal39"/>
              <w:spacing w:after="0" w:line="240" w:lineRule="auto"/>
              <w:jc w:val="center"/>
              <w:rPr>
                <w:rFonts w:eastAsia="Times New Roman" w:cs="Times New Roman"/>
                <w:noProof/>
              </w:rPr>
            </w:pPr>
            <w:r>
              <w:rPr>
                <w:noProof/>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65073E" w:rsidRDefault="000A0998">
            <w:pPr>
              <w:pStyle w:val="P68B1DB1-Normal39"/>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65073E" w:rsidRDefault="000A0998">
            <w:pPr>
              <w:pStyle w:val="P68B1DB1-Normal39"/>
              <w:spacing w:after="0" w:line="240" w:lineRule="auto"/>
              <w:rPr>
                <w:rFonts w:eastAsia="Times New Roman" w:cs="Times New Roman"/>
                <w:noProof/>
              </w:rPr>
            </w:pPr>
            <w:r>
              <w:rPr>
                <w:noProof/>
              </w:rPr>
              <w:t>Jätteiden täytäntöönpanohankkeiden toteuttamiseen tarkoitettujen avustusten jakaminen.</w:t>
            </w:r>
          </w:p>
        </w:tc>
      </w:tr>
      <w:tr w:rsidR="0065073E" w14:paraId="7B4A90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65073E" w:rsidRDefault="000A0998">
            <w:pPr>
              <w:pStyle w:val="P68B1DB1-Normal39"/>
              <w:spacing w:after="0" w:line="240" w:lineRule="auto"/>
              <w:jc w:val="center"/>
              <w:rPr>
                <w:rFonts w:eastAsia="Times New Roman" w:cs="Times New Roman"/>
                <w:noProof/>
              </w:rPr>
            </w:pPr>
            <w:r>
              <w:rPr>
                <w:noProof/>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65073E" w:rsidRDefault="000A0998">
            <w:pPr>
              <w:pStyle w:val="P68B1DB1-Normal39"/>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65073E" w:rsidRDefault="000A0998">
            <w:pPr>
              <w:pStyle w:val="P68B1DB1-Normal39"/>
              <w:spacing w:after="0" w:line="240" w:lineRule="auto"/>
              <w:rPr>
                <w:rFonts w:eastAsia="Times New Roman" w:cs="Times New Roman"/>
                <w:noProof/>
              </w:rPr>
            </w:pPr>
            <w:r>
              <w:rPr>
                <w:noProof/>
              </w:rPr>
              <w:t>Kiertotaloutta tukeva tukijärjestelmä: Tukijärjestelmän perustaminen</w:t>
            </w:r>
          </w:p>
        </w:tc>
      </w:tr>
      <w:tr w:rsidR="0065073E" w14:paraId="17C0FD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65073E" w:rsidRDefault="000A0998">
            <w:pPr>
              <w:pStyle w:val="P68B1DB1-Normal39"/>
              <w:spacing w:after="0" w:line="240" w:lineRule="auto"/>
              <w:jc w:val="center"/>
              <w:rPr>
                <w:rFonts w:eastAsia="Times New Roman" w:cs="Times New Roman"/>
                <w:noProof/>
              </w:rPr>
            </w:pPr>
            <w:r>
              <w:rPr>
                <w:noProof/>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65073E" w:rsidRDefault="000A0998">
            <w:pPr>
              <w:pStyle w:val="P68B1DB1-Normal39"/>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65073E" w:rsidRDefault="000A0998">
            <w:pPr>
              <w:pStyle w:val="P68B1DB1-Normal39"/>
              <w:spacing w:after="0" w:line="240" w:lineRule="auto"/>
              <w:rPr>
                <w:rFonts w:eastAsia="Times New Roman" w:cs="Times New Roman"/>
                <w:noProof/>
              </w:rPr>
            </w:pPr>
            <w:r>
              <w:rPr>
                <w:noProof/>
              </w:rPr>
              <w:t>Kiertotaloutta tukeva tukijärjestelmä: Ministeriö on saanut investoinnin päätökseen </w:t>
            </w:r>
          </w:p>
        </w:tc>
      </w:tr>
      <w:tr w:rsidR="0065073E" w14:paraId="5B68DA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65073E" w:rsidRDefault="000A0998">
            <w:pPr>
              <w:pStyle w:val="P68B1DB1-Normal39"/>
              <w:spacing w:after="0" w:line="240" w:lineRule="auto"/>
              <w:jc w:val="center"/>
              <w:rPr>
                <w:rFonts w:eastAsia="Times New Roman" w:cs="Times New Roman"/>
                <w:noProof/>
              </w:rPr>
            </w:pPr>
            <w:r>
              <w:rPr>
                <w:noProof/>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65073E" w:rsidRDefault="000A0998">
            <w:pPr>
              <w:pStyle w:val="P68B1DB1-Normal39"/>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65073E" w:rsidRDefault="000A0998">
            <w:pPr>
              <w:pStyle w:val="P68B1DB1-Normal39"/>
              <w:spacing w:after="0" w:line="240" w:lineRule="auto"/>
              <w:rPr>
                <w:rFonts w:eastAsia="Times New Roman" w:cs="Times New Roman"/>
                <w:noProof/>
              </w:rPr>
            </w:pPr>
            <w:r>
              <w:rPr>
                <w:noProof/>
              </w:rPr>
              <w:t>Sähköajoneuvoalan tukijärjestelmä (avustukset): Ministeriö on saanut investoinnin päätökseen</w:t>
            </w:r>
          </w:p>
        </w:tc>
      </w:tr>
      <w:tr w:rsidR="0065073E" w14:paraId="330F2B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65073E" w:rsidRDefault="000A0998">
            <w:pPr>
              <w:pStyle w:val="P68B1DB1-Normal39"/>
              <w:spacing w:after="0" w:line="240" w:lineRule="auto"/>
              <w:jc w:val="center"/>
              <w:rPr>
                <w:rFonts w:eastAsia="Times New Roman" w:cs="Times New Roman"/>
                <w:noProof/>
              </w:rPr>
            </w:pPr>
            <w:r>
              <w:rPr>
                <w:noProof/>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65073E" w:rsidRDefault="000A0998">
            <w:pPr>
              <w:pStyle w:val="P68B1DB1-Normal39"/>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65073E" w:rsidRDefault="000A0998">
            <w:pPr>
              <w:pStyle w:val="P68B1DB1-Normal39"/>
              <w:spacing w:after="0" w:line="240" w:lineRule="auto"/>
              <w:rPr>
                <w:rFonts w:eastAsia="Times New Roman" w:cs="Times New Roman"/>
                <w:noProof/>
              </w:rPr>
            </w:pPr>
            <w:r>
              <w:rPr>
                <w:noProof/>
              </w:rPr>
              <w:t>Sähköajoneuvoalan tukijärjestelmä (avustukset) Tukijärjestelmän perustaminen</w:t>
            </w:r>
          </w:p>
        </w:tc>
      </w:tr>
      <w:tr w:rsidR="0065073E" w14:paraId="753422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65073E" w:rsidRDefault="000A0998">
            <w:pPr>
              <w:pStyle w:val="P68B1DB1-Normal39"/>
              <w:spacing w:after="0" w:line="240" w:lineRule="auto"/>
              <w:jc w:val="center"/>
              <w:rPr>
                <w:rFonts w:eastAsia="Times New Roman" w:cs="Times New Roman"/>
                <w:noProof/>
              </w:rPr>
            </w:pPr>
            <w:r>
              <w:rPr>
                <w:noProof/>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65073E" w:rsidRDefault="000A0998">
            <w:pPr>
              <w:pStyle w:val="P68B1DB1-Normal39"/>
              <w:spacing w:after="0" w:line="240" w:lineRule="auto"/>
              <w:rPr>
                <w:rFonts w:eastAsia="Times New Roman" w:cs="Times New Roman"/>
                <w:noProof/>
              </w:rPr>
            </w:pPr>
            <w:r>
              <w:rPr>
                <w:noProof/>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65073E" w:rsidRDefault="000A0998">
            <w:pPr>
              <w:pStyle w:val="P68B1DB1-Normal39"/>
              <w:spacing w:after="0" w:line="240" w:lineRule="auto"/>
              <w:rPr>
                <w:rFonts w:eastAsia="Times New Roman" w:cs="Times New Roman"/>
                <w:noProof/>
              </w:rPr>
            </w:pPr>
            <w:r>
              <w:rPr>
                <w:noProof/>
              </w:rPr>
              <w:t>Toimenpiteet pk-yritysten rahoituksensaannin parantamiseksi muuttamalla 17. maaliskuuta 2023 annettua lakia 6/2023.</w:t>
            </w:r>
          </w:p>
        </w:tc>
      </w:tr>
      <w:tr w:rsidR="0065073E" w14:paraId="049603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65073E" w:rsidRDefault="000A0998">
            <w:pPr>
              <w:pStyle w:val="P68B1DB1-Normal39"/>
              <w:spacing w:after="0" w:line="240" w:lineRule="auto"/>
              <w:jc w:val="center"/>
              <w:rPr>
                <w:rFonts w:eastAsia="Times New Roman" w:cs="Times New Roman"/>
                <w:noProof/>
              </w:rPr>
            </w:pPr>
            <w:r>
              <w:rPr>
                <w:noProof/>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65073E" w:rsidRDefault="000A0998">
            <w:pPr>
              <w:pStyle w:val="P68B1DB1-Normal39"/>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65073E" w:rsidRDefault="000A0998">
            <w:pPr>
              <w:pStyle w:val="P68B1DB1-Normal39"/>
              <w:spacing w:after="0" w:line="240" w:lineRule="auto"/>
              <w:rPr>
                <w:rFonts w:eastAsia="Times New Roman" w:cs="Times New Roman"/>
                <w:noProof/>
              </w:rPr>
            </w:pPr>
            <w:r>
              <w:rPr>
                <w:noProof/>
              </w:rPr>
              <w:t>Yrittäjät tai pk-yritykset, jotka hyötyvät yrittäjäekosysteemiä edistävistä toimenpiteistä</w:t>
            </w:r>
          </w:p>
        </w:tc>
      </w:tr>
      <w:tr w:rsidR="0065073E" w14:paraId="22DD66F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65073E" w:rsidRDefault="000A0998">
            <w:pPr>
              <w:pStyle w:val="P68B1DB1-Normal39"/>
              <w:spacing w:after="0" w:line="240" w:lineRule="auto"/>
              <w:jc w:val="center"/>
              <w:rPr>
                <w:rFonts w:eastAsia="Times New Roman" w:cs="Times New Roman"/>
                <w:noProof/>
              </w:rPr>
            </w:pPr>
            <w:r>
              <w:rPr>
                <w:noProof/>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65073E" w:rsidRDefault="000A0998">
            <w:pPr>
              <w:pStyle w:val="P68B1DB1-Normal39"/>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65073E" w:rsidRDefault="000A0998">
            <w:pPr>
              <w:pStyle w:val="P68B1DB1-Normal39"/>
              <w:spacing w:after="0" w:line="240" w:lineRule="auto"/>
              <w:rPr>
                <w:rFonts w:eastAsia="Times New Roman" w:cs="Times New Roman"/>
                <w:noProof/>
              </w:rPr>
            </w:pPr>
            <w:r>
              <w:rPr>
                <w:noProof/>
              </w:rPr>
              <w:t>Muut toimet tiedonlevitys, viestintä ja rahoitus</w:t>
            </w:r>
          </w:p>
        </w:tc>
      </w:tr>
      <w:tr w:rsidR="0065073E" w14:paraId="0116F9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65073E" w:rsidRDefault="000A0998">
            <w:pPr>
              <w:pStyle w:val="P68B1DB1-Normal39"/>
              <w:spacing w:after="0" w:line="240" w:lineRule="auto"/>
              <w:jc w:val="center"/>
              <w:rPr>
                <w:rFonts w:eastAsia="Times New Roman" w:cs="Times New Roman"/>
                <w:noProof/>
              </w:rPr>
            </w:pPr>
            <w:r>
              <w:rPr>
                <w:noProof/>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65073E" w:rsidRDefault="000A0998">
            <w:pPr>
              <w:pStyle w:val="P68B1DB1-Normal39"/>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65073E" w:rsidRDefault="000A0998">
            <w:pPr>
              <w:pStyle w:val="P68B1DB1-Normal39"/>
              <w:spacing w:after="0" w:line="240" w:lineRule="auto"/>
              <w:rPr>
                <w:rFonts w:eastAsia="Times New Roman" w:cs="Times New Roman"/>
                <w:noProof/>
              </w:rPr>
            </w:pPr>
            <w:r>
              <w:rPr>
                <w:noProof/>
              </w:rPr>
              <w:t>Pk-yritykset, joita tuetaan ohjelmasta ”Pk-yritysten kasvua edistävät taidot”</w:t>
            </w:r>
          </w:p>
        </w:tc>
      </w:tr>
      <w:tr w:rsidR="0065073E" w14:paraId="229C2A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65073E" w:rsidRDefault="000A0998">
            <w:pPr>
              <w:pStyle w:val="P68B1DB1-Normal39"/>
              <w:spacing w:after="0" w:line="240" w:lineRule="auto"/>
              <w:jc w:val="center"/>
              <w:rPr>
                <w:rFonts w:eastAsia="Times New Roman" w:cs="Times New Roman"/>
                <w:noProof/>
              </w:rPr>
            </w:pPr>
            <w:r>
              <w:rPr>
                <w:noProof/>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65073E" w:rsidRDefault="000A0998">
            <w:pPr>
              <w:pStyle w:val="P68B1DB1-Normal39"/>
              <w:spacing w:after="0" w:line="240" w:lineRule="auto"/>
              <w:rPr>
                <w:rFonts w:eastAsia="Times New Roman" w:cs="Times New Roman"/>
                <w:noProof/>
              </w:rPr>
            </w:pPr>
            <w:r>
              <w:rPr>
                <w:noProof/>
              </w:rPr>
              <w:t>Digitaalinen välineistö -ohjelmasta tuetut pk-yritykset</w:t>
            </w:r>
          </w:p>
        </w:tc>
      </w:tr>
      <w:tr w:rsidR="0065073E" w14:paraId="3058F70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65073E" w:rsidRDefault="000A0998">
            <w:pPr>
              <w:pStyle w:val="P68B1DB1-Normal39"/>
              <w:spacing w:after="0" w:line="240" w:lineRule="auto"/>
              <w:jc w:val="center"/>
              <w:rPr>
                <w:rFonts w:eastAsia="Times New Roman" w:cs="Times New Roman"/>
                <w:noProof/>
              </w:rPr>
            </w:pPr>
            <w:r>
              <w:rPr>
                <w:noProof/>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65073E" w:rsidRDefault="000A0998">
            <w:pPr>
              <w:pStyle w:val="P68B1DB1-Normal39"/>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65073E" w:rsidRDefault="000A0998">
            <w:pPr>
              <w:pStyle w:val="P68B1DB1-Normal39"/>
              <w:spacing w:after="0" w:line="240" w:lineRule="auto"/>
              <w:rPr>
                <w:rFonts w:eastAsia="Times New Roman" w:cs="Times New Roman"/>
                <w:noProof/>
              </w:rPr>
            </w:pPr>
            <w:r>
              <w:rPr>
                <w:noProof/>
              </w:rPr>
              <w:t>Kuntamarkkinoiden tai kauppa-alueiden nykyaikaistamistoimet</w:t>
            </w:r>
          </w:p>
        </w:tc>
      </w:tr>
      <w:tr w:rsidR="0065073E" w14:paraId="64E44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65073E" w:rsidRDefault="000A0998">
            <w:pPr>
              <w:pStyle w:val="P68B1DB1-Normal39"/>
              <w:spacing w:after="0" w:line="240" w:lineRule="auto"/>
              <w:jc w:val="center"/>
              <w:rPr>
                <w:rFonts w:eastAsia="Times New Roman" w:cs="Times New Roman"/>
                <w:noProof/>
              </w:rPr>
            </w:pPr>
            <w:r>
              <w:rPr>
                <w:noProof/>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65073E" w:rsidRDefault="000A0998">
            <w:pPr>
              <w:pStyle w:val="P68B1DB1-Normal39"/>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65073E" w:rsidRDefault="000A0998">
            <w:pPr>
              <w:pStyle w:val="P68B1DB1-Normal39"/>
              <w:spacing w:after="0" w:line="240" w:lineRule="auto"/>
              <w:rPr>
                <w:rFonts w:eastAsia="Times New Roman" w:cs="Times New Roman"/>
                <w:noProof/>
              </w:rPr>
            </w:pPr>
            <w:r>
              <w:rPr>
                <w:noProof/>
              </w:rPr>
              <w:t>Markkinainfrastruktuurin nykyaikaistaminen pienissä kunnissa</w:t>
            </w:r>
          </w:p>
        </w:tc>
      </w:tr>
      <w:tr w:rsidR="0065073E" w14:paraId="26BEA0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65073E" w:rsidRDefault="000A0998">
            <w:pPr>
              <w:pStyle w:val="P68B1DB1-Normal39"/>
              <w:spacing w:after="0" w:line="240" w:lineRule="auto"/>
              <w:jc w:val="center"/>
              <w:rPr>
                <w:rFonts w:eastAsia="Times New Roman" w:cs="Times New Roman"/>
                <w:noProof/>
              </w:rPr>
            </w:pPr>
            <w:r>
              <w:rPr>
                <w:noProof/>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65073E" w:rsidRDefault="000A0998">
            <w:pPr>
              <w:pStyle w:val="P68B1DB1-Normal39"/>
              <w:spacing w:after="0" w:line="240" w:lineRule="auto"/>
              <w:rPr>
                <w:rFonts w:eastAsia="Times New Roman" w:cs="Times New Roman"/>
                <w:noProof/>
              </w:rPr>
            </w:pPr>
            <w:r>
              <w:rPr>
                <w:noProof/>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65073E" w:rsidRDefault="000A0998">
            <w:pPr>
              <w:pStyle w:val="P68B1DB1-Normal39"/>
              <w:spacing w:after="0" w:line="240" w:lineRule="auto"/>
              <w:rPr>
                <w:rFonts w:eastAsia="Times New Roman" w:cs="Times New Roman"/>
                <w:noProof/>
              </w:rPr>
            </w:pPr>
            <w:r>
              <w:rPr>
                <w:noProof/>
              </w:rPr>
              <w:t>Yritykset, jotka osallistuvat kansainvälistymistä tukeviin hankkeisiin</w:t>
            </w:r>
          </w:p>
        </w:tc>
      </w:tr>
      <w:tr w:rsidR="0065073E" w14:paraId="77AB901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65073E" w:rsidRDefault="000A0998">
            <w:pPr>
              <w:pStyle w:val="P68B1DB1-Normal39"/>
              <w:spacing w:after="0" w:line="240" w:lineRule="auto"/>
              <w:jc w:val="center"/>
              <w:rPr>
                <w:rFonts w:eastAsia="Times New Roman" w:cs="Times New Roman"/>
                <w:noProof/>
              </w:rPr>
            </w:pPr>
            <w:r>
              <w:rPr>
                <w:noProof/>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65073E" w:rsidRDefault="000A0998">
            <w:pPr>
              <w:pStyle w:val="P68B1DB1-Normal39"/>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65073E" w:rsidRDefault="000A0998">
            <w:pPr>
              <w:pStyle w:val="P68B1DB1-Normal39"/>
              <w:spacing w:after="0" w:line="240" w:lineRule="auto"/>
              <w:rPr>
                <w:rFonts w:eastAsia="Times New Roman" w:cs="Times New Roman"/>
                <w:noProof/>
              </w:rPr>
            </w:pPr>
            <w:r>
              <w:rPr>
                <w:noProof/>
              </w:rPr>
              <w:t>Matkailun kestävyyttä matkakohteessa edistävien suunnitelmien loppuun saattaminen</w:t>
            </w:r>
          </w:p>
        </w:tc>
      </w:tr>
      <w:tr w:rsidR="0065073E" w14:paraId="713A70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65073E" w:rsidRDefault="000A0998">
            <w:pPr>
              <w:pStyle w:val="P68B1DB1-Normal39"/>
              <w:spacing w:after="0" w:line="240" w:lineRule="auto"/>
              <w:jc w:val="center"/>
              <w:rPr>
                <w:rFonts w:eastAsia="Times New Roman" w:cs="Times New Roman"/>
                <w:noProof/>
              </w:rPr>
            </w:pPr>
            <w:r>
              <w:rPr>
                <w:noProof/>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65073E" w:rsidRDefault="000A0998">
            <w:pPr>
              <w:pStyle w:val="P68B1DB1-Normal39"/>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65073E" w:rsidRDefault="000A0998">
            <w:pPr>
              <w:pStyle w:val="P68B1DB1-Normal39"/>
              <w:spacing w:after="0" w:line="240" w:lineRule="auto"/>
              <w:rPr>
                <w:rFonts w:eastAsia="Times New Roman" w:cs="Times New Roman"/>
                <w:noProof/>
              </w:rPr>
            </w:pPr>
            <w:r>
              <w:rPr>
                <w:noProof/>
              </w:rPr>
              <w:t>Hankkeet, jotka on suunnattu kaupallisille alueille alueilla, joilla on suuri turistinen maahantulo</w:t>
            </w:r>
          </w:p>
        </w:tc>
      </w:tr>
      <w:tr w:rsidR="0065073E" w14:paraId="5F56413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65073E" w:rsidRDefault="000A0998">
            <w:pPr>
              <w:pStyle w:val="P68B1DB1-Normal39"/>
              <w:spacing w:after="0" w:line="240" w:lineRule="auto"/>
              <w:jc w:val="center"/>
              <w:rPr>
                <w:rFonts w:eastAsia="Times New Roman" w:cs="Times New Roman"/>
                <w:noProof/>
              </w:rPr>
            </w:pPr>
            <w:r>
              <w:rPr>
                <w:noProof/>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65073E" w:rsidRDefault="000A0998">
            <w:pPr>
              <w:pStyle w:val="P68B1DB1-Normal39"/>
              <w:spacing w:after="0" w:line="240" w:lineRule="auto"/>
              <w:rPr>
                <w:rFonts w:eastAsia="Times New Roman" w:cs="Times New Roman"/>
                <w:noProof/>
              </w:rPr>
            </w:pPr>
            <w:r>
              <w:rPr>
                <w:noProof/>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65073E" w:rsidRDefault="000A0998">
            <w:pPr>
              <w:pStyle w:val="P68B1DB1-Normal39"/>
              <w:spacing w:after="0" w:line="240" w:lineRule="auto"/>
              <w:rPr>
                <w:rFonts w:eastAsia="Times New Roman" w:cs="Times New Roman"/>
                <w:noProof/>
              </w:rPr>
            </w:pPr>
            <w:r>
              <w:rPr>
                <w:noProof/>
              </w:rPr>
              <w:t xml:space="preserve">Yhteyksien parantaminen keskeisissä keskuksissa ja sektoreilla </w:t>
            </w:r>
          </w:p>
        </w:tc>
      </w:tr>
      <w:tr w:rsidR="0065073E" w14:paraId="370324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65073E" w:rsidRDefault="000A0998">
            <w:pPr>
              <w:pStyle w:val="P68B1DB1-Normal39"/>
              <w:spacing w:after="0" w:line="240" w:lineRule="auto"/>
              <w:jc w:val="center"/>
              <w:rPr>
                <w:rFonts w:eastAsia="Times New Roman" w:cs="Times New Roman"/>
                <w:noProof/>
              </w:rPr>
            </w:pPr>
            <w:r>
              <w:rPr>
                <w:noProof/>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65073E" w:rsidRDefault="000A0998">
            <w:pPr>
              <w:pStyle w:val="P68B1DB1-Normal39"/>
              <w:spacing w:after="0" w:line="240" w:lineRule="auto"/>
              <w:rPr>
                <w:rFonts w:eastAsia="Times New Roman" w:cs="Times New Roman"/>
                <w:noProof/>
              </w:rPr>
            </w:pPr>
            <w:r>
              <w:rPr>
                <w:noProof/>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65073E" w:rsidRDefault="000A0998">
            <w:pPr>
              <w:pStyle w:val="P68B1DB1-Normal39"/>
              <w:spacing w:after="0" w:line="240" w:lineRule="auto"/>
              <w:rPr>
                <w:rFonts w:eastAsia="Times New Roman" w:cs="Times New Roman"/>
                <w:noProof/>
              </w:rPr>
            </w:pPr>
            <w:r>
              <w:rPr>
                <w:noProof/>
              </w:rPr>
              <w:t xml:space="preserve">Yhteenliitettävyyssetelit pk-yrityksille ja haavoittuvassa asemassa oleville ryhmille </w:t>
            </w:r>
          </w:p>
        </w:tc>
      </w:tr>
      <w:tr w:rsidR="0065073E" w14:paraId="5EEFD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65073E" w:rsidRDefault="000A0998">
            <w:pPr>
              <w:pStyle w:val="P68B1DB1-Normal39"/>
              <w:spacing w:after="0" w:line="240" w:lineRule="auto"/>
              <w:jc w:val="center"/>
              <w:rPr>
                <w:rFonts w:eastAsia="Times New Roman" w:cs="Times New Roman"/>
                <w:noProof/>
              </w:rPr>
            </w:pPr>
            <w:r>
              <w:rPr>
                <w:noProof/>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65073E" w:rsidRDefault="000A0998">
            <w:pPr>
              <w:pStyle w:val="P68B1DB1-Normal39"/>
              <w:spacing w:after="0" w:line="240" w:lineRule="auto"/>
              <w:rPr>
                <w:rFonts w:eastAsia="Times New Roman" w:cs="Times New Roman"/>
                <w:noProof/>
              </w:rPr>
            </w:pPr>
            <w:r>
              <w:rPr>
                <w:noProof/>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65073E" w:rsidRDefault="000A0998">
            <w:pPr>
              <w:pStyle w:val="P68B1DB1-Normal39"/>
              <w:spacing w:after="0" w:line="240" w:lineRule="auto"/>
              <w:rPr>
                <w:rFonts w:eastAsia="Times New Roman" w:cs="Times New Roman"/>
                <w:noProof/>
              </w:rPr>
            </w:pPr>
            <w:r>
              <w:rPr>
                <w:noProof/>
              </w:rPr>
              <w:t>Rakennusten televiestintäinfrastruktuurin mukauttaminen</w:t>
            </w:r>
          </w:p>
        </w:tc>
      </w:tr>
      <w:tr w:rsidR="0065073E" w14:paraId="5E4A97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65073E" w:rsidRDefault="000A0998">
            <w:pPr>
              <w:pStyle w:val="P68B1DB1-Normal39"/>
              <w:spacing w:after="0" w:line="240" w:lineRule="auto"/>
              <w:jc w:val="center"/>
              <w:rPr>
                <w:rFonts w:eastAsia="Times New Roman" w:cs="Times New Roman"/>
                <w:noProof/>
              </w:rPr>
            </w:pPr>
            <w:r>
              <w:rPr>
                <w:noProof/>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65073E" w:rsidRDefault="000A0998">
            <w:pPr>
              <w:pStyle w:val="P68B1DB1-Normal39"/>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65073E" w:rsidRDefault="000A0998">
            <w:pPr>
              <w:pStyle w:val="P68B1DB1-Normal39"/>
              <w:spacing w:after="0" w:line="240" w:lineRule="auto"/>
              <w:rPr>
                <w:rFonts w:eastAsia="Times New Roman" w:cs="Times New Roman"/>
                <w:noProof/>
              </w:rPr>
            </w:pPr>
            <w:r>
              <w:rPr>
                <w:noProof/>
              </w:rPr>
              <w:t>Rajatylittävän digitaalisen infrastruktuurin parantaminen: palkinto</w:t>
            </w:r>
          </w:p>
        </w:tc>
      </w:tr>
      <w:tr w:rsidR="0065073E" w14:paraId="4A8693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65073E" w:rsidRDefault="000A0998">
            <w:pPr>
              <w:pStyle w:val="P68B1DB1-Normal39"/>
              <w:spacing w:after="0" w:line="240" w:lineRule="auto"/>
              <w:jc w:val="center"/>
              <w:rPr>
                <w:rFonts w:eastAsia="Times New Roman" w:cs="Times New Roman"/>
                <w:noProof/>
              </w:rPr>
            </w:pPr>
            <w:r>
              <w:rPr>
                <w:noProof/>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65073E" w:rsidRDefault="000A0998">
            <w:pPr>
              <w:pStyle w:val="P68B1DB1-Normal39"/>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65073E" w:rsidRDefault="000A0998">
            <w:pPr>
              <w:pStyle w:val="P68B1DB1-Normal39"/>
              <w:spacing w:after="0" w:line="240" w:lineRule="auto"/>
              <w:rPr>
                <w:rFonts w:eastAsia="Times New Roman" w:cs="Times New Roman"/>
                <w:noProof/>
              </w:rPr>
            </w:pPr>
            <w:r>
              <w:rPr>
                <w:noProof/>
              </w:rPr>
              <w:t>5G-teknologian käyttöönotto: palkinto</w:t>
            </w:r>
          </w:p>
        </w:tc>
      </w:tr>
      <w:tr w:rsidR="0065073E" w14:paraId="649C10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65073E" w:rsidRDefault="000A0998">
            <w:pPr>
              <w:pStyle w:val="P68B1DB1-Normal39"/>
              <w:spacing w:after="0" w:line="240" w:lineRule="auto"/>
              <w:jc w:val="center"/>
              <w:rPr>
                <w:rFonts w:eastAsia="Times New Roman" w:cs="Times New Roman"/>
                <w:noProof/>
              </w:rPr>
            </w:pPr>
            <w:r>
              <w:rPr>
                <w:noProof/>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65073E" w:rsidRDefault="000A0998">
            <w:pPr>
              <w:pStyle w:val="P68B1DB1-Normal39"/>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65073E" w:rsidRDefault="000A0998">
            <w:pPr>
              <w:pStyle w:val="P68B1DB1-Normal39"/>
              <w:spacing w:after="0" w:line="240" w:lineRule="auto"/>
              <w:rPr>
                <w:rFonts w:eastAsia="Times New Roman" w:cs="Times New Roman"/>
                <w:noProof/>
              </w:rPr>
            </w:pPr>
            <w:r>
              <w:rPr>
                <w:noProof/>
              </w:rPr>
              <w:t>Sääntelyn testiympäristöt ja Espanjan tekoälyvalvontavirasto (AESIA)</w:t>
            </w:r>
          </w:p>
        </w:tc>
      </w:tr>
      <w:tr w:rsidR="0065073E" w14:paraId="6887505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65073E" w:rsidRDefault="000A0998">
            <w:pPr>
              <w:pStyle w:val="P68B1DB1-Normal39"/>
              <w:spacing w:after="0" w:line="240" w:lineRule="auto"/>
              <w:jc w:val="center"/>
              <w:rPr>
                <w:rFonts w:eastAsia="Times New Roman" w:cs="Times New Roman"/>
                <w:noProof/>
              </w:rPr>
            </w:pPr>
            <w:r>
              <w:rPr>
                <w:noProof/>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65073E" w:rsidRDefault="000A0998">
            <w:pPr>
              <w:pStyle w:val="P68B1DB1-Normal39"/>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65073E" w:rsidRDefault="000A0998">
            <w:pPr>
              <w:pStyle w:val="P68B1DB1-Normal39"/>
              <w:spacing w:after="0" w:line="240" w:lineRule="auto"/>
              <w:rPr>
                <w:rFonts w:eastAsia="Times New Roman" w:cs="Times New Roman"/>
                <w:noProof/>
              </w:rPr>
            </w:pPr>
            <w:r>
              <w:rPr>
                <w:noProof/>
              </w:rPr>
              <w:t>Vähintään 35-prosenttisesti vihreään ja digitaaliseen siirtymään liittyvien T &amp; I-hankkeiden hyväksyminen</w:t>
            </w:r>
          </w:p>
        </w:tc>
      </w:tr>
      <w:tr w:rsidR="0065073E" w14:paraId="1944C8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65073E" w:rsidRDefault="000A0998">
            <w:pPr>
              <w:pStyle w:val="P68B1DB1-Normal39"/>
              <w:spacing w:after="0" w:line="240" w:lineRule="auto"/>
              <w:jc w:val="center"/>
              <w:rPr>
                <w:rFonts w:eastAsia="Times New Roman" w:cs="Times New Roman"/>
                <w:noProof/>
              </w:rPr>
            </w:pPr>
            <w:r>
              <w:rPr>
                <w:noProof/>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65073E" w:rsidRDefault="000A0998">
            <w:pPr>
              <w:pStyle w:val="P68B1DB1-Normal39"/>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65073E" w:rsidRDefault="000A0998">
            <w:pPr>
              <w:pStyle w:val="P68B1DB1-Normal39"/>
              <w:spacing w:after="0" w:line="240" w:lineRule="auto"/>
              <w:rPr>
                <w:rFonts w:eastAsia="Times New Roman" w:cs="Times New Roman"/>
                <w:noProof/>
              </w:rPr>
            </w:pPr>
            <w:r>
              <w:rPr>
                <w:noProof/>
              </w:rPr>
              <w:t xml:space="preserve">Tieteellisen tutkijan uran tukeminen apurahoilla ja avustuksilla </w:t>
            </w:r>
          </w:p>
        </w:tc>
      </w:tr>
      <w:tr w:rsidR="0065073E" w14:paraId="37C7F2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65073E" w:rsidRDefault="000A0998">
            <w:pPr>
              <w:pStyle w:val="P68B1DB1-Normal39"/>
              <w:spacing w:after="0" w:line="240" w:lineRule="auto"/>
              <w:jc w:val="center"/>
              <w:rPr>
                <w:rFonts w:eastAsia="Times New Roman" w:cs="Times New Roman"/>
                <w:noProof/>
              </w:rPr>
            </w:pPr>
            <w:r>
              <w:rPr>
                <w:noProof/>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65073E" w:rsidRDefault="000A0998">
            <w:pPr>
              <w:pStyle w:val="P68B1DB1-Normal39"/>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65073E" w:rsidRDefault="000A0998">
            <w:pPr>
              <w:pStyle w:val="P68B1DB1-Normal39"/>
              <w:spacing w:after="0" w:line="240" w:lineRule="auto"/>
              <w:rPr>
                <w:rFonts w:eastAsia="Times New Roman" w:cs="Times New Roman"/>
                <w:noProof/>
              </w:rPr>
            </w:pPr>
            <w:r>
              <w:rPr>
                <w:noProof/>
              </w:rPr>
              <w:t>Tuki nuorille teknologia-alan yrityksille, jotta ne voivat jatkaa liiketoimintasuunnitelmaansa.</w:t>
            </w:r>
          </w:p>
        </w:tc>
      </w:tr>
      <w:tr w:rsidR="0065073E" w14:paraId="16E558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65073E" w:rsidRDefault="000A0998">
            <w:pPr>
              <w:pStyle w:val="P68B1DB1-Normal39"/>
              <w:spacing w:after="0" w:line="240" w:lineRule="auto"/>
              <w:jc w:val="center"/>
              <w:rPr>
                <w:rFonts w:eastAsia="Times New Roman" w:cs="Times New Roman"/>
                <w:noProof/>
              </w:rPr>
            </w:pPr>
            <w:r>
              <w:rPr>
                <w:noProof/>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65073E" w:rsidRDefault="000A0998">
            <w:pPr>
              <w:pStyle w:val="P68B1DB1-Normal39"/>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65073E" w:rsidRDefault="000A0998">
            <w:pPr>
              <w:pStyle w:val="P68B1DB1-Normal39"/>
              <w:spacing w:after="0" w:line="240" w:lineRule="auto"/>
              <w:rPr>
                <w:rFonts w:eastAsia="Times New Roman" w:cs="Times New Roman"/>
                <w:noProof/>
              </w:rPr>
            </w:pPr>
            <w:r>
              <w:rPr>
                <w:noProof/>
              </w:rPr>
              <w:t>Tuki hankkeille, joilla vahvistetaan kansallisen terveydenhuoltojärjestelmän strategisia valmiuksia ja kansainvälistymistä, hankkeet, jotka liittyvät täsmälliseen yksilölliseen lääketieteen strategiaan ja joilla edistetään julkisen ja yksityisen sektorin investointivälinettä pitkälle kehitetyissä terapioissa.</w:t>
            </w:r>
          </w:p>
        </w:tc>
      </w:tr>
      <w:tr w:rsidR="0065073E" w14:paraId="4314A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65073E" w:rsidRDefault="000A0998">
            <w:pPr>
              <w:pStyle w:val="P68B1DB1-Normal39"/>
              <w:spacing w:after="0" w:line="240" w:lineRule="auto"/>
              <w:jc w:val="center"/>
              <w:rPr>
                <w:rFonts w:eastAsia="Times New Roman" w:cs="Times New Roman"/>
                <w:noProof/>
              </w:rPr>
            </w:pPr>
            <w:r>
              <w:rPr>
                <w:noProof/>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65073E" w:rsidRDefault="000A0998">
            <w:pPr>
              <w:pStyle w:val="P68B1DB1-Normal39"/>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65073E" w:rsidRDefault="000A0998">
            <w:pPr>
              <w:pStyle w:val="P68B1DB1-Normal39"/>
              <w:spacing w:after="0" w:line="240" w:lineRule="auto"/>
              <w:rPr>
                <w:rFonts w:eastAsia="Times New Roman" w:cs="Times New Roman"/>
                <w:noProof/>
              </w:rPr>
            </w:pPr>
            <w:r>
              <w:rPr>
                <w:noProof/>
              </w:rPr>
              <w:t xml:space="preserve">Ilmailu- ja avaruusalan T &amp; K &amp; I-pyyntöjen palkintojen julkaiseminen. </w:t>
            </w:r>
          </w:p>
        </w:tc>
      </w:tr>
      <w:tr w:rsidR="0065073E" w14:paraId="5C445A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65073E" w:rsidRDefault="000A0998">
            <w:pPr>
              <w:pStyle w:val="P68B1DB1-Normal39"/>
              <w:spacing w:after="0" w:line="240" w:lineRule="auto"/>
              <w:jc w:val="center"/>
              <w:rPr>
                <w:rFonts w:eastAsia="Times New Roman" w:cs="Times New Roman"/>
                <w:noProof/>
              </w:rPr>
            </w:pPr>
            <w:r>
              <w:rPr>
                <w:noProof/>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65073E" w:rsidRDefault="000A0998">
            <w:pPr>
              <w:pStyle w:val="P68B1DB1-Normal39"/>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65073E" w:rsidRDefault="000A0998">
            <w:pPr>
              <w:pStyle w:val="P68B1DB1-Normal39"/>
              <w:spacing w:after="0" w:line="240" w:lineRule="auto"/>
              <w:rPr>
                <w:rFonts w:eastAsia="Times New Roman" w:cs="Times New Roman"/>
                <w:noProof/>
              </w:rPr>
            </w:pPr>
            <w:r>
              <w:rPr>
                <w:noProof/>
              </w:rPr>
              <w:t>Digitaalisten valmiuksien parantamiseen tähtäävien toimien loppuun saattaminen</w:t>
            </w:r>
          </w:p>
        </w:tc>
      </w:tr>
      <w:tr w:rsidR="0065073E" w14:paraId="05B6EE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65073E" w:rsidRDefault="000A0998">
            <w:pPr>
              <w:pStyle w:val="P68B1DB1-Normal39"/>
              <w:spacing w:after="0" w:line="240" w:lineRule="auto"/>
              <w:jc w:val="center"/>
              <w:rPr>
                <w:rFonts w:eastAsia="Times New Roman" w:cs="Times New Roman"/>
                <w:noProof/>
              </w:rPr>
            </w:pPr>
            <w:r>
              <w:rPr>
                <w:noProof/>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65073E" w:rsidRDefault="000A0998">
            <w:pPr>
              <w:pStyle w:val="P68B1DB1-Normal39"/>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65073E" w:rsidRDefault="000A0998">
            <w:pPr>
              <w:pStyle w:val="P68B1DB1-Normal39"/>
              <w:spacing w:after="0" w:line="240" w:lineRule="auto"/>
              <w:rPr>
                <w:rFonts w:eastAsia="Times New Roman" w:cs="Times New Roman"/>
                <w:noProof/>
              </w:rPr>
            </w:pPr>
            <w:r>
              <w:rPr>
                <w:noProof/>
              </w:rPr>
              <w:t xml:space="preserve">Digitaalisten lahjakkuuksien apurahaohjelmat </w:t>
            </w:r>
          </w:p>
        </w:tc>
      </w:tr>
      <w:tr w:rsidR="0065073E" w14:paraId="7E40F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65073E" w:rsidRDefault="000A0998">
            <w:pPr>
              <w:pStyle w:val="P68B1DB1-Normal39"/>
              <w:spacing w:after="0" w:line="240" w:lineRule="auto"/>
              <w:jc w:val="center"/>
              <w:rPr>
                <w:rFonts w:eastAsia="Times New Roman" w:cs="Times New Roman"/>
                <w:noProof/>
              </w:rPr>
            </w:pPr>
            <w:r>
              <w:rPr>
                <w:noProof/>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65073E" w:rsidRDefault="000A0998">
            <w:pPr>
              <w:pStyle w:val="P68B1DB1-Normal39"/>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65073E" w:rsidRDefault="000A0998">
            <w:pPr>
              <w:pStyle w:val="P68B1DB1-Normal39"/>
              <w:spacing w:after="0" w:line="240" w:lineRule="auto"/>
              <w:rPr>
                <w:rFonts w:eastAsia="Times New Roman" w:cs="Times New Roman"/>
                <w:noProof/>
              </w:rPr>
            </w:pPr>
            <w:r>
              <w:rPr>
                <w:noProof/>
              </w:rPr>
              <w:t xml:space="preserve">Modulaarinen koulutus työssäkäyvien ja työttömien täydennys- ja uudelleenkoulutusta varten </w:t>
            </w:r>
          </w:p>
        </w:tc>
      </w:tr>
      <w:tr w:rsidR="0065073E" w14:paraId="5AAAB2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65073E" w:rsidRDefault="000A0998">
            <w:pPr>
              <w:pStyle w:val="P68B1DB1-Normal39"/>
              <w:spacing w:after="0" w:line="240" w:lineRule="auto"/>
              <w:jc w:val="center"/>
              <w:rPr>
                <w:rFonts w:eastAsia="Times New Roman" w:cs="Times New Roman"/>
                <w:noProof/>
              </w:rPr>
            </w:pPr>
            <w:r>
              <w:rPr>
                <w:noProof/>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65073E" w:rsidRDefault="000A0998">
            <w:pPr>
              <w:pStyle w:val="P68B1DB1-Normal39"/>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65073E" w:rsidRDefault="000A0998">
            <w:pPr>
              <w:pStyle w:val="P68B1DB1-Normal39"/>
              <w:spacing w:after="0" w:line="240" w:lineRule="auto"/>
              <w:rPr>
                <w:rFonts w:eastAsia="Times New Roman" w:cs="Times New Roman"/>
                <w:noProof/>
              </w:rPr>
            </w:pPr>
            <w:r>
              <w:rPr>
                <w:noProof/>
              </w:rPr>
              <w:t>Ammatillisen koulutuksen huippuosaamis- ja innovointikeskukset</w:t>
            </w:r>
          </w:p>
        </w:tc>
      </w:tr>
      <w:tr w:rsidR="0065073E" w14:paraId="7863A5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65073E" w:rsidRDefault="000A0998">
            <w:pPr>
              <w:pStyle w:val="P68B1DB1-Normal39"/>
              <w:spacing w:after="0" w:line="240" w:lineRule="auto"/>
              <w:jc w:val="center"/>
              <w:rPr>
                <w:rFonts w:eastAsia="Times New Roman" w:cs="Times New Roman"/>
                <w:noProof/>
              </w:rPr>
            </w:pPr>
            <w:r>
              <w:rPr>
                <w:noProof/>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65073E" w:rsidRDefault="000A0998">
            <w:pPr>
              <w:pStyle w:val="P68B1DB1-Normal39"/>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65073E" w:rsidRDefault="000A0998">
            <w:pPr>
              <w:pStyle w:val="P68B1DB1-Normal39"/>
              <w:spacing w:after="0" w:line="240" w:lineRule="auto"/>
              <w:rPr>
                <w:rFonts w:eastAsia="Times New Roman" w:cs="Times New Roman"/>
                <w:noProof/>
              </w:rPr>
            </w:pPr>
            <w:r>
              <w:rPr>
                <w:noProof/>
              </w:rPr>
              <w:t>”Yrittäjyyden” luokkahuoneiden luominen</w:t>
            </w:r>
          </w:p>
        </w:tc>
      </w:tr>
      <w:tr w:rsidR="0065073E" w14:paraId="34CC0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65073E" w:rsidRDefault="000A0998">
            <w:pPr>
              <w:pStyle w:val="P68B1DB1-Normal39"/>
              <w:spacing w:after="0" w:line="240" w:lineRule="auto"/>
              <w:jc w:val="center"/>
              <w:rPr>
                <w:rFonts w:eastAsia="Times New Roman" w:cs="Times New Roman"/>
                <w:noProof/>
              </w:rPr>
            </w:pPr>
            <w:r>
              <w:rPr>
                <w:noProof/>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65073E" w:rsidRDefault="000A0998">
            <w:pPr>
              <w:pStyle w:val="P68B1DB1-Normal39"/>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65073E" w:rsidRDefault="000A0998">
            <w:pPr>
              <w:pStyle w:val="P68B1DB1-Normal39"/>
              <w:spacing w:after="0" w:line="240" w:lineRule="auto"/>
              <w:rPr>
                <w:rFonts w:eastAsia="Times New Roman" w:cs="Times New Roman"/>
                <w:noProof/>
              </w:rPr>
            </w:pPr>
            <w:r>
              <w:rPr>
                <w:noProof/>
              </w:rPr>
              <w:t>Ammatillisen koulutuksen opettajien vihreän koulutuksen loppuun saattaminen</w:t>
            </w:r>
          </w:p>
        </w:tc>
      </w:tr>
      <w:tr w:rsidR="0065073E" w14:paraId="4F20B8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65073E" w:rsidRDefault="000A0998">
            <w:pPr>
              <w:pStyle w:val="P68B1DB1-Normal39"/>
              <w:spacing w:after="0" w:line="240" w:lineRule="auto"/>
              <w:jc w:val="center"/>
              <w:rPr>
                <w:rFonts w:eastAsia="Times New Roman" w:cs="Times New Roman"/>
                <w:noProof/>
              </w:rPr>
            </w:pPr>
            <w:r>
              <w:rPr>
                <w:noProof/>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65073E" w:rsidRDefault="000A0998">
            <w:pPr>
              <w:pStyle w:val="P68B1DB1-Normal39"/>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65073E" w:rsidRDefault="000A0998">
            <w:pPr>
              <w:pStyle w:val="P68B1DB1-Normal39"/>
              <w:spacing w:after="0" w:line="240" w:lineRule="auto"/>
              <w:rPr>
                <w:rFonts w:eastAsia="Times New Roman" w:cs="Times New Roman"/>
                <w:noProof/>
              </w:rPr>
            </w:pPr>
            <w:r>
              <w:rPr>
                <w:noProof/>
              </w:rPr>
              <w:t xml:space="preserve">Kaksikieliset ammatillisen koulutuksen jaksot </w:t>
            </w:r>
          </w:p>
        </w:tc>
      </w:tr>
      <w:tr w:rsidR="0065073E" w14:paraId="6478532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65073E" w:rsidRDefault="000A0998">
            <w:pPr>
              <w:pStyle w:val="P68B1DB1-Normal39"/>
              <w:spacing w:after="0" w:line="240" w:lineRule="auto"/>
              <w:jc w:val="center"/>
              <w:rPr>
                <w:rFonts w:eastAsia="Times New Roman" w:cs="Times New Roman"/>
                <w:noProof/>
              </w:rPr>
            </w:pPr>
            <w:r>
              <w:rPr>
                <w:noProof/>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65073E" w:rsidRDefault="000A0998">
            <w:pPr>
              <w:pStyle w:val="P68B1DB1-Normal39"/>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65073E" w:rsidRDefault="000A0998">
            <w:pPr>
              <w:pStyle w:val="P68B1DB1-Normal39"/>
              <w:spacing w:after="0" w:line="240" w:lineRule="auto"/>
              <w:rPr>
                <w:rFonts w:eastAsia="Times New Roman" w:cs="Times New Roman"/>
                <w:noProof/>
              </w:rPr>
            </w:pPr>
            <w:r>
              <w:rPr>
                <w:noProof/>
              </w:rPr>
              <w:t xml:space="preserve">Aineisto, joka opastaa ja tukee opettajia uuden opetussuunnitelman täytäntöönpanossa ja ammattilaisten koulutuksessa </w:t>
            </w:r>
          </w:p>
        </w:tc>
      </w:tr>
      <w:tr w:rsidR="0065073E" w14:paraId="7FA7B3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65073E" w:rsidRDefault="000A0998">
            <w:pPr>
              <w:pStyle w:val="P68B1DB1-Normal39"/>
              <w:spacing w:after="0" w:line="240" w:lineRule="auto"/>
              <w:jc w:val="center"/>
              <w:rPr>
                <w:rFonts w:eastAsia="Times New Roman" w:cs="Times New Roman"/>
                <w:noProof/>
              </w:rPr>
            </w:pPr>
            <w:r>
              <w:rPr>
                <w:noProof/>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65073E" w:rsidRDefault="000A0998">
            <w:pPr>
              <w:pStyle w:val="P68B1DB1-Normal39"/>
              <w:spacing w:after="0" w:line="240" w:lineRule="auto"/>
              <w:rPr>
                <w:rFonts w:eastAsia="Times New Roman" w:cs="Times New Roman"/>
                <w:noProof/>
              </w:rPr>
            </w:pPr>
            <w:r>
              <w:rPr>
                <w:noProof/>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65073E" w:rsidRDefault="000A0998">
            <w:pPr>
              <w:pStyle w:val="P68B1DB1-Normal39"/>
              <w:spacing w:after="0" w:line="240" w:lineRule="auto"/>
              <w:rPr>
                <w:rFonts w:eastAsia="Times New Roman" w:cs="Times New Roman"/>
                <w:noProof/>
              </w:rPr>
            </w:pPr>
            <w:r>
              <w:rPr>
                <w:noProof/>
              </w:rPr>
              <w:t xml:space="preserve">Tuki kouluille PROA±ohjelmasta </w:t>
            </w:r>
          </w:p>
        </w:tc>
      </w:tr>
      <w:tr w:rsidR="0065073E" w14:paraId="6E8AE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65073E" w:rsidRDefault="000A0998">
            <w:pPr>
              <w:pStyle w:val="P68B1DB1-Normal39"/>
              <w:spacing w:after="0" w:line="240" w:lineRule="auto"/>
              <w:jc w:val="center"/>
              <w:rPr>
                <w:rFonts w:eastAsia="Times New Roman" w:cs="Times New Roman"/>
                <w:noProof/>
              </w:rPr>
            </w:pPr>
            <w:r>
              <w:rPr>
                <w:noProof/>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65073E" w:rsidRDefault="000A0998">
            <w:pPr>
              <w:pStyle w:val="P68B1DB1-Normal39"/>
              <w:spacing w:after="0" w:line="240" w:lineRule="auto"/>
              <w:rPr>
                <w:rFonts w:eastAsia="Times New Roman" w:cs="Times New Roman"/>
                <w:noProof/>
              </w:rPr>
            </w:pPr>
            <w:r>
              <w:rPr>
                <w:noProof/>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65073E" w:rsidRDefault="000A0998">
            <w:pPr>
              <w:pStyle w:val="P68B1DB1-Normal39"/>
              <w:spacing w:after="0" w:line="240" w:lineRule="auto"/>
              <w:rPr>
                <w:rFonts w:eastAsia="Times New Roman" w:cs="Times New Roman"/>
                <w:noProof/>
              </w:rPr>
            </w:pPr>
            <w:r>
              <w:rPr>
                <w:noProof/>
              </w:rPr>
              <w:t xml:space="preserve">Haavoittuvassa asemassa olevien opiskelijoiden tuki- ja ohjausyksiköt </w:t>
            </w:r>
          </w:p>
        </w:tc>
      </w:tr>
      <w:tr w:rsidR="0065073E" w14:paraId="2A70EA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65073E" w:rsidRDefault="000A0998">
            <w:pPr>
              <w:pStyle w:val="P68B1DB1-Normal39"/>
              <w:spacing w:after="0" w:line="240" w:lineRule="auto"/>
              <w:jc w:val="center"/>
              <w:rPr>
                <w:rFonts w:eastAsia="Times New Roman" w:cs="Times New Roman"/>
                <w:noProof/>
              </w:rPr>
            </w:pPr>
            <w:r>
              <w:rPr>
                <w:noProof/>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65073E" w:rsidRDefault="000A0998">
            <w:pPr>
              <w:pStyle w:val="P68B1DB1-Normal39"/>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65073E" w:rsidRDefault="000A0998">
            <w:pPr>
              <w:pStyle w:val="P68B1DB1-Normal39"/>
              <w:spacing w:after="0" w:line="240" w:lineRule="auto"/>
              <w:rPr>
                <w:rFonts w:eastAsia="Times New Roman" w:cs="Times New Roman"/>
                <w:noProof/>
              </w:rPr>
            </w:pPr>
            <w:r>
              <w:rPr>
                <w:noProof/>
              </w:rPr>
              <w:t xml:space="preserve">Asunto-, muut kuin asuin- ja päivähoitopaikat.  </w:t>
            </w:r>
          </w:p>
        </w:tc>
      </w:tr>
      <w:tr w:rsidR="0065073E" w14:paraId="3A9D3B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65073E" w:rsidRDefault="000A0998">
            <w:pPr>
              <w:pStyle w:val="P68B1DB1-Normal39"/>
              <w:spacing w:after="0" w:line="240" w:lineRule="auto"/>
              <w:jc w:val="center"/>
              <w:rPr>
                <w:rFonts w:eastAsia="Times New Roman" w:cs="Times New Roman"/>
                <w:noProof/>
              </w:rPr>
            </w:pPr>
            <w:r>
              <w:rPr>
                <w:noProof/>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65073E" w:rsidRDefault="000A0998">
            <w:pPr>
              <w:pStyle w:val="P68B1DB1-Normal39"/>
              <w:spacing w:after="0" w:line="240" w:lineRule="auto"/>
              <w:rPr>
                <w:rFonts w:eastAsia="Times New Roman" w:cs="Times New Roman"/>
                <w:noProof/>
              </w:rPr>
            </w:pPr>
            <w:r>
              <w:rPr>
                <w:noProof/>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65073E" w:rsidRDefault="000A0998">
            <w:pPr>
              <w:pStyle w:val="P68B1DB1-Normal39"/>
              <w:spacing w:after="0" w:line="240" w:lineRule="auto"/>
              <w:rPr>
                <w:rFonts w:eastAsia="Times New Roman" w:cs="Times New Roman"/>
                <w:noProof/>
              </w:rPr>
            </w:pPr>
            <w:r>
              <w:rPr>
                <w:noProof/>
              </w:rPr>
              <w:t>Saavutettavuuden parantamista koskevat hankkeet</w:t>
            </w:r>
          </w:p>
        </w:tc>
      </w:tr>
      <w:tr w:rsidR="0065073E" w14:paraId="13176E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65073E" w:rsidRDefault="000A0998">
            <w:pPr>
              <w:pStyle w:val="P68B1DB1-Normal39"/>
              <w:spacing w:after="0" w:line="240" w:lineRule="auto"/>
              <w:jc w:val="center"/>
              <w:rPr>
                <w:rFonts w:eastAsia="Times New Roman" w:cs="Times New Roman"/>
                <w:noProof/>
              </w:rPr>
            </w:pPr>
            <w:r>
              <w:rPr>
                <w:noProof/>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65073E" w:rsidRDefault="000A0998">
            <w:pPr>
              <w:pStyle w:val="P68B1DB1-Normal39"/>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65073E" w:rsidRDefault="000A0998">
            <w:pPr>
              <w:pStyle w:val="P68B1DB1-Normal39"/>
              <w:spacing w:after="0" w:line="240" w:lineRule="auto"/>
              <w:rPr>
                <w:rFonts w:eastAsia="Times New Roman" w:cs="Times New Roman"/>
                <w:noProof/>
              </w:rPr>
            </w:pPr>
            <w:r>
              <w:rPr>
                <w:noProof/>
              </w:rPr>
              <w:t>Seksuaalisen väkivallan uhreille tarkoitetut keskukset.</w:t>
            </w:r>
          </w:p>
        </w:tc>
      </w:tr>
      <w:tr w:rsidR="0065073E" w14:paraId="13BA8C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65073E" w:rsidRDefault="000A0998">
            <w:pPr>
              <w:pStyle w:val="P68B1DB1-Normal39"/>
              <w:spacing w:after="0" w:line="240" w:lineRule="auto"/>
              <w:jc w:val="center"/>
              <w:rPr>
                <w:rFonts w:eastAsia="Times New Roman" w:cs="Times New Roman"/>
                <w:noProof/>
              </w:rPr>
            </w:pPr>
            <w:r>
              <w:rPr>
                <w:noProof/>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65073E" w:rsidRDefault="000A0998">
            <w:pPr>
              <w:pStyle w:val="P68B1DB1-Normal39"/>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65073E" w:rsidRDefault="000A0998">
            <w:pPr>
              <w:pStyle w:val="P68B1DB1-Normal39"/>
              <w:spacing w:after="0" w:line="240" w:lineRule="auto"/>
              <w:rPr>
                <w:rFonts w:eastAsia="Times New Roman" w:cs="Times New Roman"/>
                <w:noProof/>
              </w:rPr>
            </w:pPr>
            <w:r>
              <w:rPr>
                <w:noProof/>
              </w:rPr>
              <w:t>Julkiset neuvonta-, yrittäjyys-, tuki- ja innovointikeskukset uusia työpaikkoja varten ovat täysin toimintakykyisiä.</w:t>
            </w:r>
          </w:p>
        </w:tc>
      </w:tr>
      <w:tr w:rsidR="0065073E" w14:paraId="38B1B1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65073E" w:rsidRDefault="000A0998">
            <w:pPr>
              <w:pStyle w:val="P68B1DB1-Normal39"/>
              <w:spacing w:after="0" w:line="240" w:lineRule="auto"/>
              <w:jc w:val="center"/>
              <w:rPr>
                <w:rFonts w:eastAsia="Times New Roman" w:cs="Times New Roman"/>
                <w:noProof/>
              </w:rPr>
            </w:pPr>
            <w:r>
              <w:rPr>
                <w:noProof/>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65073E" w:rsidRDefault="000A0998">
            <w:pPr>
              <w:pStyle w:val="P68B1DB1-Normal39"/>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65073E" w:rsidRDefault="000A0998">
            <w:pPr>
              <w:pStyle w:val="P68B1DB1-Normal39"/>
              <w:spacing w:after="0" w:line="240" w:lineRule="auto"/>
              <w:rPr>
                <w:rFonts w:eastAsia="Times New Roman" w:cs="Times New Roman"/>
                <w:noProof/>
              </w:rPr>
            </w:pPr>
            <w:r>
              <w:rPr>
                <w:noProof/>
              </w:rPr>
              <w:t>Arviointi vähimmäistulojärjestelmien kattavuuden, tehokkuuden ja onnistumisen arvioimiseksi</w:t>
            </w:r>
          </w:p>
        </w:tc>
      </w:tr>
      <w:tr w:rsidR="0065073E" w14:paraId="168043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65073E" w:rsidRDefault="000A0998">
            <w:pPr>
              <w:pStyle w:val="P68B1DB1-Normal39"/>
              <w:spacing w:after="0" w:line="240" w:lineRule="auto"/>
              <w:jc w:val="center"/>
              <w:rPr>
                <w:rFonts w:eastAsia="Times New Roman" w:cs="Times New Roman"/>
                <w:noProof/>
              </w:rPr>
            </w:pPr>
            <w:r>
              <w:rPr>
                <w:noProof/>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65073E" w:rsidRDefault="000A0998">
            <w:pPr>
              <w:pStyle w:val="P68B1DB1-Normal39"/>
              <w:spacing w:after="0" w:line="240" w:lineRule="auto"/>
              <w:rPr>
                <w:rFonts w:eastAsia="Times New Roman" w:cs="Times New Roman"/>
                <w:noProof/>
              </w:rPr>
            </w:pPr>
            <w:r>
              <w:rPr>
                <w:noProof/>
              </w:rPr>
              <w:t>Kirjastojen kirjaostot</w:t>
            </w:r>
          </w:p>
        </w:tc>
      </w:tr>
      <w:tr w:rsidR="0065073E" w14:paraId="755A2D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65073E" w:rsidRDefault="000A0998">
            <w:pPr>
              <w:pStyle w:val="P68B1DB1-Normal39"/>
              <w:spacing w:after="0" w:line="240" w:lineRule="auto"/>
              <w:jc w:val="center"/>
              <w:rPr>
                <w:rFonts w:eastAsia="Times New Roman" w:cs="Times New Roman"/>
                <w:noProof/>
              </w:rPr>
            </w:pPr>
            <w:r>
              <w:rPr>
                <w:noProof/>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65073E" w:rsidRDefault="000A0998">
            <w:pPr>
              <w:pStyle w:val="P68B1DB1-Normal39"/>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65073E" w:rsidRDefault="000A0998">
            <w:pPr>
              <w:pStyle w:val="P68B1DB1-Normal39"/>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65073E" w:rsidRDefault="000A0998">
            <w:pPr>
              <w:pStyle w:val="P68B1DB1-Normal39"/>
              <w:spacing w:after="0" w:line="240" w:lineRule="auto"/>
              <w:rPr>
                <w:rFonts w:eastAsia="Times New Roman" w:cs="Times New Roman"/>
                <w:noProof/>
              </w:rPr>
            </w:pPr>
            <w:r>
              <w:rPr>
                <w:noProof/>
              </w:rPr>
              <w:t>Audiovisuaalialan pk-yrityksiä tukevien hankkeiden loppuun saattaminen</w:t>
            </w:r>
          </w:p>
        </w:tc>
      </w:tr>
      <w:tr w:rsidR="0065073E" w14:paraId="407FDE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65073E" w:rsidRDefault="000A0998">
            <w:pPr>
              <w:pStyle w:val="P68B1DB1-Normal39"/>
              <w:spacing w:after="0" w:line="240" w:lineRule="auto"/>
              <w:jc w:val="center"/>
              <w:rPr>
                <w:rFonts w:eastAsia="Times New Roman" w:cs="Times New Roman"/>
                <w:noProof/>
              </w:rPr>
            </w:pPr>
            <w:r>
              <w:rPr>
                <w:noProof/>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65073E" w:rsidRDefault="000A0998">
            <w:pPr>
              <w:pStyle w:val="P68B1DB1-Normal39"/>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65073E" w:rsidRDefault="000A0998">
            <w:pPr>
              <w:pStyle w:val="P68B1DB1-Normal39"/>
              <w:spacing w:after="0" w:line="240" w:lineRule="auto"/>
              <w:rPr>
                <w:rFonts w:eastAsia="Times New Roman" w:cs="Times New Roman"/>
                <w:noProof/>
              </w:rPr>
            </w:pPr>
            <w:r>
              <w:rPr>
                <w:noProof/>
              </w:rPr>
              <w:t>Uusiutuvan vedyn tukijärjestelmä: Ministeriö on saanut investoinnin päätökseen</w:t>
            </w:r>
          </w:p>
        </w:tc>
      </w:tr>
      <w:tr w:rsidR="0065073E" w14:paraId="04184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65073E" w:rsidRDefault="000A0998">
            <w:pPr>
              <w:pStyle w:val="P68B1DB1-Normal39"/>
              <w:spacing w:after="0" w:line="240" w:lineRule="auto"/>
              <w:jc w:val="center"/>
              <w:rPr>
                <w:rFonts w:eastAsia="Times New Roman" w:cs="Times New Roman"/>
                <w:noProof/>
              </w:rPr>
            </w:pPr>
            <w:r>
              <w:rPr>
                <w:noProof/>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65073E" w:rsidRDefault="000A0998">
            <w:pPr>
              <w:pStyle w:val="P68B1DB1-Normal39"/>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65073E" w:rsidRDefault="000A0998">
            <w:pPr>
              <w:pStyle w:val="P68B1DB1-Normal39"/>
              <w:spacing w:after="0" w:line="240" w:lineRule="auto"/>
              <w:rPr>
                <w:rFonts w:eastAsia="Times New Roman" w:cs="Times New Roman"/>
                <w:noProof/>
              </w:rPr>
            </w:pPr>
            <w:r>
              <w:rPr>
                <w:noProof/>
              </w:rPr>
              <w:t>Uusiutuvan vedyn tukijärjestelmä: Järjestelmän perustaminen</w:t>
            </w:r>
          </w:p>
        </w:tc>
      </w:tr>
      <w:tr w:rsidR="0065073E" w14:paraId="2D659B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65073E" w:rsidRDefault="000A0998">
            <w:pPr>
              <w:pStyle w:val="P68B1DB1-Normal39"/>
              <w:spacing w:after="0" w:line="240" w:lineRule="auto"/>
              <w:jc w:val="center"/>
              <w:rPr>
                <w:rFonts w:eastAsia="Times New Roman" w:cs="Times New Roman"/>
                <w:noProof/>
              </w:rPr>
            </w:pPr>
            <w:r>
              <w:rPr>
                <w:noProof/>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65073E" w:rsidRDefault="000A0998">
            <w:pPr>
              <w:pStyle w:val="P68B1DB1-Normal39"/>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65073E" w:rsidRDefault="000A0998">
            <w:pPr>
              <w:pStyle w:val="P68B1DB1-Normal39"/>
              <w:spacing w:after="0" w:line="240" w:lineRule="auto"/>
              <w:rPr>
                <w:rFonts w:eastAsia="Times New Roman" w:cs="Times New Roman"/>
                <w:noProof/>
              </w:rPr>
            </w:pPr>
            <w:r>
              <w:rPr>
                <w:noProof/>
              </w:rPr>
              <w:t>Arvoketjun tukijärjestelmä: Ministeriö on saanut investoinnin päätökseen</w:t>
            </w:r>
          </w:p>
        </w:tc>
      </w:tr>
      <w:tr w:rsidR="0065073E" w14:paraId="4AB30B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65073E" w:rsidRDefault="000A0998">
            <w:pPr>
              <w:pStyle w:val="P68B1DB1-Normal39"/>
              <w:spacing w:after="0" w:line="240" w:lineRule="auto"/>
              <w:jc w:val="center"/>
              <w:rPr>
                <w:rFonts w:eastAsia="Times New Roman" w:cs="Times New Roman"/>
                <w:noProof/>
              </w:rPr>
            </w:pPr>
            <w:r>
              <w:rPr>
                <w:noProof/>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65073E" w:rsidRDefault="000A0998">
            <w:pPr>
              <w:pStyle w:val="P68B1DB1-Normal39"/>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65073E" w:rsidRDefault="000A0998">
            <w:pPr>
              <w:pStyle w:val="P68B1DB1-Normal39"/>
              <w:spacing w:after="0" w:line="240" w:lineRule="auto"/>
              <w:rPr>
                <w:rFonts w:eastAsia="Times New Roman" w:cs="Times New Roman"/>
                <w:noProof/>
              </w:rPr>
            </w:pPr>
            <w:r>
              <w:rPr>
                <w:noProof/>
              </w:rPr>
              <w:t>Arvoketjun tukijärjestelmä: Järjestelmän perustaminen</w:t>
            </w:r>
          </w:p>
        </w:tc>
      </w:tr>
      <w:tr w:rsidR="0065073E" w14:paraId="55E81A3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65073E" w:rsidRDefault="000A0998">
            <w:pPr>
              <w:pStyle w:val="P68B1DB1-Normal39"/>
              <w:spacing w:after="0" w:line="240" w:lineRule="auto"/>
              <w:jc w:val="center"/>
              <w:rPr>
                <w:rFonts w:eastAsia="Times New Roman" w:cs="Times New Roman"/>
                <w:noProof/>
              </w:rPr>
            </w:pPr>
            <w:r>
              <w:rPr>
                <w:noProof/>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65073E" w:rsidRDefault="000A0998">
            <w:pPr>
              <w:pStyle w:val="P68B1DB1-Normal39"/>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65073E" w:rsidRDefault="000A0998">
            <w:pPr>
              <w:pStyle w:val="P68B1DB1-Normal39"/>
              <w:spacing w:after="0" w:line="240" w:lineRule="auto"/>
              <w:rPr>
                <w:rFonts w:eastAsia="Times New Roman" w:cs="Times New Roman"/>
                <w:noProof/>
              </w:rPr>
            </w:pPr>
            <w:r>
              <w:rPr>
                <w:noProof/>
              </w:rPr>
              <w:t>Sähkönsiirtohankkeiden valintaperusteiden julkaiseminen</w:t>
            </w:r>
          </w:p>
        </w:tc>
      </w:tr>
      <w:tr w:rsidR="0065073E" w14:paraId="3CC80E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65073E" w:rsidRDefault="000A0998">
            <w:pPr>
              <w:pStyle w:val="P68B1DB1-Normal39"/>
              <w:spacing w:after="0" w:line="240" w:lineRule="auto"/>
              <w:jc w:val="center"/>
              <w:rPr>
                <w:rFonts w:eastAsia="Times New Roman" w:cs="Times New Roman"/>
                <w:noProof/>
              </w:rPr>
            </w:pPr>
            <w:r>
              <w:rPr>
                <w:noProof/>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65073E" w:rsidRDefault="000A0998">
            <w:pPr>
              <w:pStyle w:val="P68B1DB1-Normal39"/>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65073E" w:rsidRDefault="000A0998">
            <w:pPr>
              <w:pStyle w:val="P68B1DB1-Normal39"/>
              <w:spacing w:after="0" w:line="240" w:lineRule="auto"/>
              <w:rPr>
                <w:rFonts w:eastAsia="Times New Roman" w:cs="Times New Roman"/>
                <w:noProof/>
              </w:rPr>
            </w:pPr>
            <w:r>
              <w:rPr>
                <w:noProof/>
              </w:rPr>
              <w:t>Tuettujen sähkönsiirtohankkeiden luettelon hyväksyminen</w:t>
            </w:r>
          </w:p>
        </w:tc>
      </w:tr>
      <w:tr w:rsidR="0065073E" w14:paraId="55C0087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65073E" w:rsidRDefault="000A0998">
            <w:pPr>
              <w:pStyle w:val="P68B1DB1-Normal39"/>
              <w:spacing w:after="0" w:line="240" w:lineRule="auto"/>
              <w:jc w:val="center"/>
              <w:rPr>
                <w:rFonts w:eastAsia="Times New Roman" w:cs="Times New Roman"/>
                <w:noProof/>
              </w:rPr>
            </w:pPr>
            <w:r>
              <w:rPr>
                <w:noProof/>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65073E" w:rsidRDefault="000A0998">
            <w:pPr>
              <w:pStyle w:val="P68B1DB1-Normal39"/>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65073E" w:rsidRDefault="000A0998">
            <w:pPr>
              <w:pStyle w:val="P68B1DB1-Normal39"/>
              <w:spacing w:after="0" w:line="240" w:lineRule="auto"/>
              <w:rPr>
                <w:rFonts w:eastAsia="Times New Roman" w:cs="Times New Roman"/>
                <w:noProof/>
              </w:rPr>
            </w:pPr>
            <w:r>
              <w:rPr>
                <w:noProof/>
              </w:rPr>
              <w:t xml:space="preserve">Teollisuuden hiilestä irtautumista koskevan tuen myöntämistä koskevien ehdotuspyyntöjen ja sääntöjen julkaiseminen ja yritysten hiilestä irtautumiseen kannustavan rahaston täytäntöönpanoa koskevan tutkimuksen loppuun saattaminen (erosopimus) </w:t>
            </w:r>
          </w:p>
        </w:tc>
      </w:tr>
      <w:tr w:rsidR="0065073E" w14:paraId="3F0B14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65073E" w:rsidRDefault="000A0998">
            <w:pPr>
              <w:pStyle w:val="P68B1DB1-Normal39"/>
              <w:spacing w:after="0" w:line="240" w:lineRule="auto"/>
              <w:jc w:val="center"/>
              <w:rPr>
                <w:rFonts w:eastAsia="Times New Roman" w:cs="Times New Roman"/>
                <w:noProof/>
              </w:rPr>
            </w:pPr>
            <w:r>
              <w:rPr>
                <w:noProof/>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65073E" w:rsidRDefault="000A0998">
            <w:pPr>
              <w:pStyle w:val="P68B1DB1-Normal39"/>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65073E" w:rsidRDefault="000A0998">
            <w:pPr>
              <w:pStyle w:val="P68B1DB1-Normal39"/>
              <w:spacing w:after="0" w:line="240" w:lineRule="auto"/>
              <w:rPr>
                <w:rFonts w:eastAsia="Times New Roman" w:cs="Times New Roman"/>
                <w:noProof/>
              </w:rPr>
            </w:pPr>
            <w:r>
              <w:rPr>
                <w:noProof/>
              </w:rPr>
              <w:t xml:space="preserve">Hiilestä irtautumista koskeville hankkeille myönnettävien palkintojen julkaiseminen </w:t>
            </w:r>
          </w:p>
        </w:tc>
      </w:tr>
      <w:tr w:rsidR="0065073E" w14:paraId="0C27A44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65073E" w:rsidRDefault="000A0998">
            <w:pPr>
              <w:pStyle w:val="P68B1DB1-Normal39"/>
              <w:spacing w:after="0" w:line="240" w:lineRule="auto"/>
              <w:jc w:val="center"/>
              <w:rPr>
                <w:rFonts w:eastAsia="Times New Roman" w:cs="Times New Roman"/>
                <w:noProof/>
              </w:rPr>
            </w:pPr>
            <w:r>
              <w:rPr>
                <w:noProof/>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65073E" w:rsidRDefault="000A0998">
            <w:pPr>
              <w:pStyle w:val="P68B1DB1-Normal39"/>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64AB79A7" w:rsidR="0065073E" w:rsidRDefault="000A0998">
            <w:pPr>
              <w:pStyle w:val="P68B1DB1-Normal39"/>
              <w:spacing w:after="0" w:line="240" w:lineRule="auto"/>
              <w:rPr>
                <w:rFonts w:eastAsia="Times New Roman" w:cs="Times New Roman"/>
                <w:noProof/>
              </w:rPr>
            </w:pPr>
            <w:r>
              <w:rPr>
                <w:noProof/>
              </w:rPr>
              <w:t>Teollisuuden hiilestä irtautumista koskeva tukijärjestelmä: SEPIDESin muuttaminen julkiseksi yritykseksi</w:t>
            </w:r>
          </w:p>
        </w:tc>
      </w:tr>
      <w:tr w:rsidR="0065073E" w14:paraId="2E0A9E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65073E" w:rsidRDefault="000A0998">
            <w:pPr>
              <w:pStyle w:val="P68B1DB1-Normal39"/>
              <w:spacing w:after="0" w:line="240" w:lineRule="auto"/>
              <w:jc w:val="center"/>
              <w:rPr>
                <w:rFonts w:eastAsia="Times New Roman" w:cs="Times New Roman"/>
                <w:noProof/>
              </w:rPr>
            </w:pPr>
            <w:r>
              <w:rPr>
                <w:noProof/>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65073E" w:rsidRDefault="000A0998">
            <w:pPr>
              <w:pStyle w:val="P68B1DB1-Normal39"/>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65073E" w:rsidRDefault="000A0998">
            <w:pPr>
              <w:pStyle w:val="P68B1DB1-Normal39"/>
              <w:spacing w:after="0" w:line="240" w:lineRule="auto"/>
              <w:rPr>
                <w:rFonts w:eastAsia="Times New Roman" w:cs="Times New Roman"/>
                <w:noProof/>
              </w:rPr>
            </w:pPr>
            <w:r>
              <w:rPr>
                <w:noProof/>
              </w:rPr>
              <w:t>Teollisuuden hiilestä irtautumista koskeva tukijärjestelmä: Ministeriö on saanut investoinnin päätökseen</w:t>
            </w:r>
          </w:p>
        </w:tc>
      </w:tr>
      <w:tr w:rsidR="0065073E" w14:paraId="388A29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65073E" w:rsidRDefault="000A0998">
            <w:pPr>
              <w:pStyle w:val="P68B1DB1-Normal39"/>
              <w:spacing w:after="0" w:line="240" w:lineRule="auto"/>
              <w:jc w:val="center"/>
              <w:rPr>
                <w:rFonts w:eastAsia="Times New Roman" w:cs="Times New Roman"/>
                <w:noProof/>
              </w:rPr>
            </w:pPr>
            <w:r>
              <w:rPr>
                <w:noProof/>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65073E" w:rsidRDefault="000A0998">
            <w:pPr>
              <w:pStyle w:val="P68B1DB1-Normal39"/>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65073E" w:rsidRDefault="000A0998">
            <w:pPr>
              <w:pStyle w:val="P68B1DB1-Normal39"/>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65073E" w:rsidRDefault="000A0998">
            <w:pPr>
              <w:pStyle w:val="P68B1DB1-Normal39"/>
              <w:spacing w:after="0" w:line="240" w:lineRule="auto"/>
              <w:rPr>
                <w:rFonts w:eastAsia="Times New Roman" w:cs="Times New Roman"/>
                <w:noProof/>
              </w:rPr>
            </w:pPr>
            <w:r>
              <w:rPr>
                <w:noProof/>
              </w:rPr>
              <w:t>Teollisuuden hiilestä irtautumista koskeva tukijärjestelmä: Järjestelmän perustaminen</w:t>
            </w:r>
          </w:p>
        </w:tc>
      </w:tr>
      <w:tr w:rsidR="0065073E" w14:paraId="406E9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65073E" w:rsidRDefault="000A0998">
            <w:pPr>
              <w:pStyle w:val="P68B1DB1-Normal38"/>
              <w:spacing w:after="0" w:line="240" w:lineRule="auto"/>
              <w:rPr>
                <w:rFonts w:eastAsia="Times New Roman" w:cs="Times New Roman"/>
                <w:noProof/>
              </w:rPr>
            </w:pPr>
            <w:r>
              <w:rPr>
                <w:noProof/>
              </w:rPr>
              <w:t>Maksuerän määrä</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65073E" w:rsidRDefault="000A0998">
            <w:pPr>
              <w:pStyle w:val="P68B1DB1-Normal38"/>
              <w:spacing w:after="0" w:line="240" w:lineRule="auto"/>
              <w:rPr>
                <w:rFonts w:eastAsia="Times New Roman" w:cs="Times New Roman"/>
                <w:noProof/>
              </w:rPr>
            </w:pPr>
            <w:r>
              <w:rPr>
                <w:noProof/>
              </w:rPr>
              <w:t>YHTEENSÄ 10261710743 EUROA</w:t>
            </w:r>
          </w:p>
        </w:tc>
      </w:tr>
    </w:tbl>
    <w:p w14:paraId="2A4D388A" w14:textId="77777777" w:rsidR="0065073E" w:rsidRDefault="0065073E">
      <w:pPr>
        <w:spacing w:before="120" w:after="120" w:line="240" w:lineRule="auto"/>
        <w:jc w:val="both"/>
        <w:rPr>
          <w:rFonts w:ascii="Times New Roman" w:eastAsia="Calibri" w:hAnsi="Times New Roman" w:cs="Times New Roman"/>
          <w:noProof/>
          <w:sz w:val="24"/>
        </w:rPr>
      </w:pPr>
    </w:p>
    <w:p w14:paraId="6F7EC66B"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Kahdeksas erä (tuki, jota ei makseta takaisin): </w:t>
      </w:r>
    </w:p>
    <w:tbl>
      <w:tblPr>
        <w:tblW w:w="9663" w:type="dxa"/>
        <w:tblInd w:w="113" w:type="dxa"/>
        <w:tblLook w:val="04A0" w:firstRow="1" w:lastRow="0" w:firstColumn="1" w:lastColumn="0" w:noHBand="0" w:noVBand="1"/>
      </w:tblPr>
      <w:tblGrid>
        <w:gridCol w:w="1247"/>
        <w:gridCol w:w="1383"/>
        <w:gridCol w:w="1707"/>
        <w:gridCol w:w="5405"/>
      </w:tblGrid>
      <w:tr w:rsidR="0065073E" w14:paraId="37E5C586"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2D2586A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65073E" w:rsidRDefault="0065073E">
            <w:pPr>
              <w:spacing w:after="0" w:line="240" w:lineRule="auto"/>
              <w:rPr>
                <w:rFonts w:ascii="Times New Roman" w:eastAsia="Times New Roman" w:hAnsi="Times New Roman" w:cs="Times New Roman"/>
                <w:b/>
                <w:noProof/>
                <w:sz w:val="20"/>
              </w:rPr>
            </w:pPr>
          </w:p>
        </w:tc>
      </w:tr>
      <w:tr w:rsidR="0065073E" w14:paraId="1B2C90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65073E" w:rsidRDefault="000A0998">
            <w:pPr>
              <w:pStyle w:val="P68B1DB1-Normal39"/>
              <w:spacing w:after="0" w:line="240" w:lineRule="auto"/>
              <w:jc w:val="center"/>
              <w:rPr>
                <w:rFonts w:eastAsia="Times New Roman" w:cs="Times New Roman"/>
                <w:noProof/>
              </w:rPr>
            </w:pPr>
            <w:r>
              <w:rPr>
                <w:noProof/>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65073E" w:rsidRDefault="000A0998">
            <w:pPr>
              <w:pStyle w:val="P68B1DB1-Normal39"/>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65073E" w:rsidRDefault="000A0998">
            <w:pPr>
              <w:pStyle w:val="P68B1DB1-Normal39"/>
              <w:spacing w:after="0" w:line="240" w:lineRule="auto"/>
              <w:rPr>
                <w:rFonts w:eastAsia="Times New Roman" w:cs="Times New Roman"/>
                <w:noProof/>
              </w:rPr>
            </w:pPr>
            <w:r>
              <w:rPr>
                <w:noProof/>
              </w:rPr>
              <w:t>Bioturvallisuustason 3 laboratorion ja kansallisen kasvinterveyslaboratorion rakentamisen loppuun saattaminen.</w:t>
            </w:r>
          </w:p>
        </w:tc>
      </w:tr>
      <w:tr w:rsidR="0065073E" w14:paraId="620768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65073E" w:rsidRDefault="000A0998">
            <w:pPr>
              <w:pStyle w:val="P68B1DB1-Normal39"/>
              <w:spacing w:after="0" w:line="240" w:lineRule="auto"/>
              <w:jc w:val="center"/>
              <w:rPr>
                <w:rFonts w:eastAsia="Times New Roman" w:cs="Times New Roman"/>
                <w:noProof/>
              </w:rPr>
            </w:pPr>
            <w:r>
              <w:rPr>
                <w:noProof/>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65073E" w:rsidRDefault="000A0998">
            <w:pPr>
              <w:pStyle w:val="P68B1DB1-Normal39"/>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65073E" w:rsidRDefault="000A0998">
            <w:pPr>
              <w:pStyle w:val="P68B1DB1-Normal39"/>
              <w:spacing w:after="0" w:line="240" w:lineRule="auto"/>
              <w:rPr>
                <w:rFonts w:eastAsia="Times New Roman" w:cs="Times New Roman"/>
                <w:noProof/>
              </w:rPr>
            </w:pPr>
            <w:r>
              <w:rPr>
                <w:noProof/>
              </w:rPr>
              <w:t xml:space="preserve">Pohjavesikerroksista otetun veden määrän väheneminen </w:t>
            </w:r>
          </w:p>
        </w:tc>
      </w:tr>
      <w:tr w:rsidR="0065073E" w14:paraId="4E4F04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65073E" w:rsidRDefault="000A0998">
            <w:pPr>
              <w:pStyle w:val="P68B1DB1-Normal39"/>
              <w:spacing w:after="0" w:line="240" w:lineRule="auto"/>
              <w:jc w:val="center"/>
              <w:rPr>
                <w:rFonts w:eastAsia="Times New Roman" w:cs="Times New Roman"/>
                <w:noProof/>
              </w:rPr>
            </w:pPr>
            <w:r>
              <w:rPr>
                <w:noProof/>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65073E" w:rsidRDefault="000A0998">
            <w:pPr>
              <w:pStyle w:val="P68B1DB1-Normal39"/>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65073E" w:rsidRDefault="000A0998">
            <w:pPr>
              <w:pStyle w:val="P68B1DB1-Normal39"/>
              <w:spacing w:after="0" w:line="240" w:lineRule="auto"/>
              <w:rPr>
                <w:rFonts w:eastAsia="Times New Roman" w:cs="Times New Roman"/>
                <w:noProof/>
              </w:rPr>
            </w:pPr>
            <w:r>
              <w:rPr>
                <w:noProof/>
              </w:rPr>
              <w:t>Alue- ja paikallishallinnon sekä aluepolitiikasta ja julkishallinnosta vastaavan ministeriön digitalisaatiota tukevien hankkeiden myöntäminen</w:t>
            </w:r>
          </w:p>
        </w:tc>
      </w:tr>
      <w:tr w:rsidR="0065073E" w14:paraId="23190C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65073E" w:rsidRDefault="000A0998">
            <w:pPr>
              <w:pStyle w:val="P68B1DB1-Normal39"/>
              <w:spacing w:after="0" w:line="240" w:lineRule="auto"/>
              <w:jc w:val="center"/>
              <w:rPr>
                <w:rFonts w:eastAsia="Times New Roman" w:cs="Times New Roman"/>
                <w:noProof/>
              </w:rPr>
            </w:pPr>
            <w:r>
              <w:rPr>
                <w:noProof/>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65073E" w:rsidRDefault="000A0998">
            <w:pPr>
              <w:pStyle w:val="P68B1DB1-Normal39"/>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65073E" w:rsidRDefault="000A0998">
            <w:pPr>
              <w:pStyle w:val="P68B1DB1-Normal39"/>
              <w:spacing w:after="0" w:line="240" w:lineRule="auto"/>
              <w:rPr>
                <w:rFonts w:eastAsia="Times New Roman" w:cs="Times New Roman"/>
                <w:noProof/>
              </w:rPr>
            </w:pPr>
            <w:r>
              <w:rPr>
                <w:noProof/>
              </w:rPr>
              <w:t xml:space="preserve">PERTE-SIRU. Puolijohteiden arvoketjun vahvistaminen. </w:t>
            </w:r>
          </w:p>
        </w:tc>
      </w:tr>
      <w:tr w:rsidR="0065073E" w14:paraId="079D113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65073E" w:rsidRDefault="000A0998">
            <w:pPr>
              <w:pStyle w:val="P68B1DB1-Normal39"/>
              <w:spacing w:after="0" w:line="240" w:lineRule="auto"/>
              <w:jc w:val="center"/>
              <w:rPr>
                <w:rFonts w:eastAsia="Times New Roman" w:cs="Times New Roman"/>
                <w:noProof/>
              </w:rPr>
            </w:pPr>
            <w:r>
              <w:rPr>
                <w:noProof/>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65073E" w:rsidRDefault="000A0998">
            <w:pPr>
              <w:pStyle w:val="P68B1DB1-Normal39"/>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65073E" w:rsidRDefault="000A0998">
            <w:pPr>
              <w:pStyle w:val="P68B1DB1-Normal39"/>
              <w:spacing w:after="0" w:line="240" w:lineRule="auto"/>
              <w:rPr>
                <w:rFonts w:eastAsia="Times New Roman" w:cs="Times New Roman"/>
                <w:noProof/>
              </w:rPr>
            </w:pPr>
            <w:r>
              <w:rPr>
                <w:noProof/>
              </w:rPr>
              <w:t>Matkailualan älykkäitä matkakohteita käsittelevän foorumin käynnistäminen.</w:t>
            </w:r>
          </w:p>
        </w:tc>
      </w:tr>
      <w:tr w:rsidR="0065073E" w14:paraId="28B0EC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65073E" w:rsidRDefault="000A0998">
            <w:pPr>
              <w:pStyle w:val="P68B1DB1-Normal39"/>
              <w:spacing w:after="0" w:line="240" w:lineRule="auto"/>
              <w:jc w:val="center"/>
              <w:rPr>
                <w:rFonts w:eastAsia="Times New Roman" w:cs="Times New Roman"/>
                <w:noProof/>
              </w:rPr>
            </w:pPr>
            <w:r>
              <w:rPr>
                <w:noProof/>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65073E" w:rsidRDefault="000A0998">
            <w:pPr>
              <w:pStyle w:val="P68B1DB1-Normal39"/>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65073E" w:rsidRDefault="000A0998">
            <w:pPr>
              <w:pStyle w:val="P68B1DB1-Normal39"/>
              <w:spacing w:after="0" w:line="240" w:lineRule="auto"/>
              <w:rPr>
                <w:rFonts w:eastAsia="Times New Roman" w:cs="Times New Roman"/>
                <w:noProof/>
              </w:rPr>
            </w:pPr>
            <w:r>
              <w:rPr>
                <w:noProof/>
              </w:rPr>
              <w:t>Tekoälyyn ja muihin mahdollistaviin teknologioihin liittyvien innovatiivisten teknologiapohjaisten hankkeiden tuensaajat</w:t>
            </w:r>
          </w:p>
        </w:tc>
      </w:tr>
      <w:tr w:rsidR="0065073E" w14:paraId="694246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65073E" w:rsidRDefault="000A0998">
            <w:pPr>
              <w:pStyle w:val="P68B1DB1-Normal39"/>
              <w:spacing w:after="0" w:line="240" w:lineRule="auto"/>
              <w:jc w:val="center"/>
              <w:rPr>
                <w:rFonts w:eastAsia="Times New Roman" w:cs="Times New Roman"/>
                <w:noProof/>
              </w:rPr>
            </w:pPr>
            <w:r>
              <w:rPr>
                <w:noProof/>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65073E" w:rsidRDefault="000A0998">
            <w:pPr>
              <w:pStyle w:val="P68B1DB1-Normal39"/>
              <w:spacing w:after="0" w:line="240" w:lineRule="auto"/>
              <w:rPr>
                <w:rFonts w:eastAsia="Times New Roman" w:cs="Times New Roman"/>
                <w:noProof/>
              </w:rPr>
            </w:pPr>
            <w:r>
              <w:rPr>
                <w:noProof/>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65073E" w:rsidRDefault="000A0998">
            <w:pPr>
              <w:pStyle w:val="P68B1DB1-Normal39"/>
              <w:spacing w:after="0" w:line="240" w:lineRule="auto"/>
              <w:rPr>
                <w:rFonts w:eastAsia="Times New Roman" w:cs="Times New Roman"/>
                <w:noProof/>
              </w:rPr>
            </w:pPr>
            <w:r>
              <w:rPr>
                <w:noProof/>
              </w:rPr>
              <w:t>Edunsaajat saarialueiden ulkopuolisilla alueilla, jotka ovat saaneet päätökseen hankkeet, joilla parannetaan niiden kilpailukykyä ja kykyä sopeutua kansainvälisten markkinoiden muutoksiin</w:t>
            </w:r>
          </w:p>
        </w:tc>
      </w:tr>
      <w:tr w:rsidR="0065073E" w14:paraId="7CF46D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65073E" w:rsidRDefault="000A0998">
            <w:pPr>
              <w:pStyle w:val="P68B1DB1-Normal39"/>
              <w:spacing w:after="0" w:line="240" w:lineRule="auto"/>
              <w:jc w:val="center"/>
              <w:rPr>
                <w:rFonts w:eastAsia="Times New Roman" w:cs="Times New Roman"/>
                <w:noProof/>
              </w:rPr>
            </w:pPr>
            <w:r>
              <w:rPr>
                <w:noProof/>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65073E" w:rsidRDefault="000A0998">
            <w:pPr>
              <w:pStyle w:val="P68B1DB1-Normal39"/>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65073E" w:rsidRDefault="000A0998">
            <w:pPr>
              <w:pStyle w:val="P68B1DB1-Normal39"/>
              <w:spacing w:after="0" w:line="240" w:lineRule="auto"/>
              <w:rPr>
                <w:rFonts w:eastAsia="Times New Roman" w:cs="Times New Roman"/>
                <w:noProof/>
              </w:rPr>
            </w:pPr>
            <w:r>
              <w:rPr>
                <w:noProof/>
              </w:rPr>
              <w:t xml:space="preserve">Matkailustrategian mukaisesti toimitetut matkailutuotteet </w:t>
            </w:r>
          </w:p>
        </w:tc>
      </w:tr>
      <w:tr w:rsidR="0065073E" w14:paraId="6E47BC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65073E" w:rsidRDefault="000A0998">
            <w:pPr>
              <w:pStyle w:val="P68B1DB1-Normal39"/>
              <w:spacing w:after="0" w:line="240" w:lineRule="auto"/>
              <w:jc w:val="center"/>
              <w:rPr>
                <w:rFonts w:eastAsia="Times New Roman" w:cs="Times New Roman"/>
                <w:noProof/>
              </w:rPr>
            </w:pPr>
            <w:r>
              <w:rPr>
                <w:noProof/>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65073E" w:rsidRDefault="000A0998">
            <w:pPr>
              <w:pStyle w:val="P68B1DB1-Normal39"/>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65073E" w:rsidRDefault="000A0998">
            <w:pPr>
              <w:pStyle w:val="P68B1DB1-Normal39"/>
              <w:spacing w:after="0" w:line="240" w:lineRule="auto"/>
              <w:rPr>
                <w:rFonts w:eastAsia="Times New Roman" w:cs="Times New Roman"/>
                <w:noProof/>
              </w:rPr>
            </w:pPr>
            <w:r>
              <w:rPr>
                <w:noProof/>
              </w:rPr>
              <w:t>Matkailuliikkeet, jotka vähentävät vuotuista jätettään tai energiankulutustaan</w:t>
            </w:r>
          </w:p>
        </w:tc>
      </w:tr>
      <w:tr w:rsidR="0065073E" w14:paraId="00F702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65073E" w:rsidRDefault="000A0998">
            <w:pPr>
              <w:pStyle w:val="P68B1DB1-Normal39"/>
              <w:spacing w:after="0" w:line="240" w:lineRule="auto"/>
              <w:jc w:val="center"/>
              <w:rPr>
                <w:rFonts w:eastAsia="Times New Roman" w:cs="Times New Roman"/>
                <w:noProof/>
              </w:rPr>
            </w:pPr>
            <w:r>
              <w:rPr>
                <w:noProof/>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65073E" w:rsidRDefault="000A0998">
            <w:pPr>
              <w:pStyle w:val="P68B1DB1-Normal39"/>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65073E" w:rsidRDefault="000A0998">
            <w:pPr>
              <w:pStyle w:val="P68B1DB1-Normal39"/>
              <w:spacing w:after="0" w:line="240" w:lineRule="auto"/>
              <w:rPr>
                <w:rFonts w:eastAsia="Times New Roman" w:cs="Times New Roman"/>
                <w:noProof/>
              </w:rPr>
            </w:pPr>
            <w:r>
              <w:rPr>
                <w:noProof/>
              </w:rPr>
              <w:t>PERTE-SIRU. Tieteellisten valmiuksien, suunnittelun ja innovatiivisen valmistuksen vahvistaminen: palkinto</w:t>
            </w:r>
          </w:p>
        </w:tc>
      </w:tr>
      <w:tr w:rsidR="0065073E" w14:paraId="4F27E4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65073E" w:rsidRDefault="000A0998">
            <w:pPr>
              <w:pStyle w:val="P68B1DB1-Normal39"/>
              <w:spacing w:after="0" w:line="240" w:lineRule="auto"/>
              <w:jc w:val="center"/>
              <w:rPr>
                <w:rFonts w:eastAsia="Times New Roman" w:cs="Times New Roman"/>
                <w:noProof/>
              </w:rPr>
            </w:pPr>
            <w:r>
              <w:rPr>
                <w:noProof/>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65073E" w:rsidRDefault="000A0998">
            <w:pPr>
              <w:pStyle w:val="P68B1DB1-Normal39"/>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65073E" w:rsidRDefault="000A0998">
            <w:pPr>
              <w:pStyle w:val="P68B1DB1-Normal39"/>
              <w:spacing w:after="0" w:line="240" w:lineRule="auto"/>
              <w:rPr>
                <w:rFonts w:eastAsia="Times New Roman" w:cs="Times New Roman"/>
                <w:noProof/>
              </w:rPr>
            </w:pPr>
            <w:r>
              <w:rPr>
                <w:noProof/>
              </w:rPr>
              <w:t xml:space="preserve">Etähoitopalvelut itsenäisyys- ja hoitojärjestelmässä (SAAD) </w:t>
            </w:r>
          </w:p>
        </w:tc>
      </w:tr>
      <w:tr w:rsidR="0065073E" w14:paraId="2BD085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65073E" w:rsidRDefault="000A0998">
            <w:pPr>
              <w:pStyle w:val="P68B1DB1-Normal39"/>
              <w:spacing w:after="0" w:line="240" w:lineRule="auto"/>
              <w:jc w:val="center"/>
              <w:rPr>
                <w:rFonts w:eastAsia="Times New Roman" w:cs="Times New Roman"/>
                <w:noProof/>
              </w:rPr>
            </w:pPr>
            <w:r>
              <w:rPr>
                <w:noProof/>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65073E" w:rsidRDefault="000A0998">
            <w:pPr>
              <w:pStyle w:val="P68B1DB1-Normal39"/>
              <w:spacing w:after="0" w:line="240" w:lineRule="auto"/>
              <w:rPr>
                <w:rFonts w:eastAsia="Times New Roman" w:cs="Times New Roman"/>
                <w:noProof/>
              </w:rPr>
            </w:pPr>
            <w:r>
              <w:rPr>
                <w:noProof/>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65073E" w:rsidRDefault="000A0998">
            <w:pPr>
              <w:pStyle w:val="P68B1DB1-Normal39"/>
              <w:spacing w:after="0" w:line="240" w:lineRule="auto"/>
              <w:rPr>
                <w:rFonts w:eastAsia="Times New Roman" w:cs="Times New Roman"/>
                <w:noProof/>
              </w:rPr>
            </w:pPr>
            <w:r>
              <w:rPr>
                <w:noProof/>
              </w:rPr>
              <w:t>Yhteisötalouden hankkeet saatettu päätökseen</w:t>
            </w:r>
          </w:p>
        </w:tc>
      </w:tr>
      <w:tr w:rsidR="0065073E" w14:paraId="26AB80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65073E" w:rsidRDefault="000A0998">
            <w:pPr>
              <w:pStyle w:val="P68B1DB1-Normal39"/>
              <w:spacing w:after="0" w:line="240" w:lineRule="auto"/>
              <w:jc w:val="center"/>
              <w:rPr>
                <w:rFonts w:eastAsia="Times New Roman" w:cs="Times New Roman"/>
                <w:noProof/>
              </w:rPr>
            </w:pPr>
            <w:r>
              <w:rPr>
                <w:noProof/>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65073E" w:rsidRDefault="000A0998">
            <w:pPr>
              <w:pStyle w:val="P68B1DB1-Normal39"/>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65073E" w:rsidRDefault="000A0998">
            <w:pPr>
              <w:pStyle w:val="P68B1DB1-Normal39"/>
              <w:spacing w:after="0" w:line="240" w:lineRule="auto"/>
              <w:rPr>
                <w:rFonts w:eastAsia="Times New Roman" w:cs="Times New Roman"/>
                <w:noProof/>
              </w:rPr>
            </w:pPr>
            <w:r>
              <w:rPr>
                <w:noProof/>
              </w:rPr>
              <w:t xml:space="preserve">Uusiutuvan vedyn tukijärjestelmä: Lopullisten edunsaajien kanssa allekirjoitetut oikeudelliset sopimukset tai lopulliset myöntämispäätökset julkaistu (I) </w:t>
            </w:r>
          </w:p>
        </w:tc>
      </w:tr>
      <w:tr w:rsidR="0065073E" w14:paraId="3EAB09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65073E" w:rsidRDefault="000A0998">
            <w:pPr>
              <w:pStyle w:val="P68B1DB1-Normal39"/>
              <w:spacing w:after="0" w:line="240" w:lineRule="auto"/>
              <w:jc w:val="center"/>
              <w:rPr>
                <w:rFonts w:eastAsia="Times New Roman" w:cs="Times New Roman"/>
                <w:noProof/>
              </w:rPr>
            </w:pPr>
            <w:r>
              <w:rPr>
                <w:noProof/>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65073E" w:rsidRDefault="000A0998">
            <w:pPr>
              <w:pStyle w:val="P68B1DB1-Normal39"/>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65073E" w:rsidRDefault="000A0998">
            <w:pPr>
              <w:pStyle w:val="P68B1DB1-Normal39"/>
              <w:spacing w:after="0" w:line="240" w:lineRule="auto"/>
              <w:rPr>
                <w:rFonts w:eastAsia="Times New Roman" w:cs="Times New Roman"/>
                <w:noProof/>
              </w:rPr>
            </w:pPr>
            <w:r>
              <w:rPr>
                <w:noProof/>
              </w:rPr>
              <w:t>Arvoketjun tukijärjestelmä: Lopullisten edunsaajien kanssa allekirjoitetut oikeudelliset sopimukset tai lopulliset myöntämispäätökset julkaistu (I)</w:t>
            </w:r>
          </w:p>
        </w:tc>
      </w:tr>
      <w:tr w:rsidR="0065073E" w14:paraId="59EB8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65073E" w:rsidRDefault="000A0998">
            <w:pPr>
              <w:pStyle w:val="P68B1DB1-Normal38"/>
              <w:spacing w:after="0" w:line="240" w:lineRule="auto"/>
              <w:rPr>
                <w:rFonts w:eastAsia="Times New Roman" w:cs="Times New Roman"/>
                <w:noProof/>
              </w:rPr>
            </w:pPr>
            <w:r>
              <w:rPr>
                <w:noProof/>
              </w:rPr>
              <w:t>YHTEENSÄ 573787087 EUROA</w:t>
            </w:r>
          </w:p>
        </w:tc>
      </w:tr>
    </w:tbl>
    <w:p w14:paraId="718EA2A7" w14:textId="77777777" w:rsidR="0065073E" w:rsidRDefault="0065073E">
      <w:pPr>
        <w:spacing w:before="120" w:after="120" w:line="240" w:lineRule="auto"/>
        <w:jc w:val="both"/>
        <w:rPr>
          <w:rFonts w:ascii="Times New Roman" w:eastAsia="Calibri" w:hAnsi="Times New Roman" w:cs="Times New Roman"/>
          <w:noProof/>
          <w:sz w:val="24"/>
        </w:rPr>
      </w:pPr>
    </w:p>
    <w:p w14:paraId="0802D0D7"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Yhdeksäs erä (tuki, jota ei makseta takaisin): </w:t>
      </w:r>
    </w:p>
    <w:tbl>
      <w:tblPr>
        <w:tblW w:w="9605" w:type="dxa"/>
        <w:tblInd w:w="113" w:type="dxa"/>
        <w:tblLook w:val="04A0" w:firstRow="1" w:lastRow="0" w:firstColumn="1" w:lastColumn="0" w:noHBand="0" w:noVBand="1"/>
      </w:tblPr>
      <w:tblGrid>
        <w:gridCol w:w="1253"/>
        <w:gridCol w:w="1391"/>
        <w:gridCol w:w="1716"/>
        <w:gridCol w:w="5382"/>
      </w:tblGrid>
      <w:tr w:rsidR="0065073E" w14:paraId="5CE0D0D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2D9C987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65073E" w:rsidRDefault="0065073E">
            <w:pPr>
              <w:spacing w:after="0" w:line="240" w:lineRule="auto"/>
              <w:rPr>
                <w:rFonts w:ascii="Times New Roman" w:eastAsia="Times New Roman" w:hAnsi="Times New Roman" w:cs="Times New Roman"/>
                <w:b/>
                <w:noProof/>
                <w:sz w:val="20"/>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65073E" w:rsidRDefault="0065073E">
            <w:pPr>
              <w:spacing w:after="0" w:line="240" w:lineRule="auto"/>
              <w:rPr>
                <w:rFonts w:ascii="Times New Roman" w:eastAsia="Times New Roman" w:hAnsi="Times New Roman" w:cs="Times New Roman"/>
                <w:b/>
                <w:noProof/>
                <w:sz w:val="20"/>
              </w:rPr>
            </w:pPr>
          </w:p>
        </w:tc>
      </w:tr>
      <w:tr w:rsidR="0065073E" w14:paraId="120AD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65073E" w:rsidRDefault="000A0998">
            <w:pPr>
              <w:pStyle w:val="P68B1DB1-Normal39"/>
              <w:spacing w:after="0" w:line="240" w:lineRule="auto"/>
              <w:jc w:val="center"/>
              <w:rPr>
                <w:rFonts w:eastAsia="Times New Roman" w:cs="Times New Roman"/>
                <w:noProof/>
              </w:rPr>
            </w:pPr>
            <w:r>
              <w:rPr>
                <w:noProof/>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65073E" w:rsidRDefault="000A0998">
            <w:pPr>
              <w:pStyle w:val="P68B1DB1-Normal39"/>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65073E" w:rsidRDefault="000A0998">
            <w:pPr>
              <w:pStyle w:val="P68B1DB1-Normal39"/>
              <w:spacing w:after="0" w:line="240" w:lineRule="auto"/>
              <w:rPr>
                <w:rFonts w:eastAsia="Times New Roman" w:cs="Times New Roman"/>
                <w:noProof/>
              </w:rPr>
            </w:pPr>
            <w:r>
              <w:rPr>
                <w:noProof/>
              </w:rPr>
              <w:t xml:space="preserve">Ohjelmistosovelluksen kehittäminen liikenneinfrastruktuuri-investointien kustannus-hyötyanalyysin toteuttamiseksi </w:t>
            </w:r>
          </w:p>
        </w:tc>
      </w:tr>
      <w:tr w:rsidR="0065073E" w14:paraId="3C80F1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65073E" w:rsidRDefault="000A0998">
            <w:pPr>
              <w:pStyle w:val="P68B1DB1-Normal39"/>
              <w:spacing w:after="0" w:line="240" w:lineRule="auto"/>
              <w:jc w:val="center"/>
              <w:rPr>
                <w:rFonts w:eastAsia="Times New Roman" w:cs="Times New Roman"/>
                <w:noProof/>
              </w:rPr>
            </w:pPr>
            <w:r>
              <w:rPr>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65073E" w:rsidRDefault="000A0998">
            <w:pPr>
              <w:pStyle w:val="P68B1DB1-Normal39"/>
              <w:spacing w:after="0" w:line="240" w:lineRule="auto"/>
              <w:rPr>
                <w:rFonts w:eastAsia="Times New Roman" w:cs="Times New Roman"/>
                <w:noProof/>
              </w:rPr>
            </w:pPr>
            <w:r>
              <w:rPr>
                <w:noProof/>
              </w:rPr>
              <w:t>Kestävän liikkuvuuden edistämiseksi päätökseen saatetut hankkeet, myös kaupunki- ja suurkaupunkialueilla</w:t>
            </w:r>
          </w:p>
        </w:tc>
      </w:tr>
      <w:tr w:rsidR="0065073E" w14:paraId="443B56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65073E" w:rsidRDefault="000A0998">
            <w:pPr>
              <w:pStyle w:val="P68B1DB1-Normal39"/>
              <w:spacing w:after="0" w:line="240" w:lineRule="auto"/>
              <w:jc w:val="center"/>
              <w:rPr>
                <w:rFonts w:eastAsia="Times New Roman" w:cs="Times New Roman"/>
                <w:noProof/>
              </w:rPr>
            </w:pPr>
            <w:r>
              <w:rPr>
                <w:noProof/>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65073E" w:rsidRDefault="000A0998">
            <w:pPr>
              <w:pStyle w:val="P68B1DB1-Normal39"/>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65073E" w:rsidRDefault="000A0998">
            <w:pPr>
              <w:pStyle w:val="P68B1DB1-Normal39"/>
              <w:spacing w:after="0" w:line="240" w:lineRule="auto"/>
              <w:rPr>
                <w:rFonts w:eastAsia="Times New Roman" w:cs="Times New Roman"/>
                <w:noProof/>
              </w:rPr>
            </w:pPr>
            <w:r>
              <w:rPr>
                <w:noProof/>
              </w:rPr>
              <w:t>Kaupunkialueiden valtion teitä on parannettu uusien liikkumismuotojen edistämiseksi</w:t>
            </w:r>
          </w:p>
        </w:tc>
      </w:tr>
      <w:tr w:rsidR="0065073E" w14:paraId="79C6A18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65073E" w:rsidRDefault="000A0998">
            <w:pPr>
              <w:pStyle w:val="P68B1DB1-Normal39"/>
              <w:spacing w:after="0" w:line="240" w:lineRule="auto"/>
              <w:jc w:val="center"/>
              <w:rPr>
                <w:rFonts w:eastAsia="Times New Roman" w:cs="Times New Roman"/>
                <w:noProof/>
              </w:rPr>
            </w:pPr>
            <w:r>
              <w:rPr>
                <w:noProof/>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65073E" w:rsidRDefault="000A0998">
            <w:pPr>
              <w:pStyle w:val="P68B1DB1-Normal39"/>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65073E" w:rsidRDefault="000A0998">
            <w:pPr>
              <w:pStyle w:val="P68B1DB1-Normal39"/>
              <w:spacing w:after="0" w:line="240" w:lineRule="auto"/>
              <w:rPr>
                <w:rFonts w:eastAsia="Times New Roman" w:cs="Times New Roman"/>
                <w:noProof/>
              </w:rPr>
            </w:pPr>
            <w:r>
              <w:rPr>
                <w:noProof/>
              </w:rPr>
              <w:t>Sähköajoneuvot ja latauspisteet otettu käyttöön</w:t>
            </w:r>
          </w:p>
        </w:tc>
      </w:tr>
      <w:tr w:rsidR="0065073E" w14:paraId="54C957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65073E" w:rsidRDefault="000A0998">
            <w:pPr>
              <w:pStyle w:val="P68B1DB1-Normal39"/>
              <w:spacing w:after="0" w:line="240" w:lineRule="auto"/>
              <w:jc w:val="center"/>
              <w:rPr>
                <w:rFonts w:eastAsia="Times New Roman" w:cs="Times New Roman"/>
                <w:noProof/>
              </w:rPr>
            </w:pPr>
            <w:r>
              <w:rPr>
                <w:noProof/>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65073E" w:rsidRDefault="000A0998">
            <w:pPr>
              <w:pStyle w:val="P68B1DB1-Normal39"/>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65073E" w:rsidRDefault="000A0998">
            <w:pPr>
              <w:pStyle w:val="P68B1DB1-Normal39"/>
              <w:spacing w:after="0" w:line="240" w:lineRule="auto"/>
              <w:rPr>
                <w:rFonts w:eastAsia="Times New Roman" w:cs="Times New Roman"/>
                <w:noProof/>
              </w:rPr>
            </w:pPr>
            <w:r>
              <w:rPr>
                <w:noProof/>
              </w:rPr>
              <w:t>Sähköistä liikkuvuutta edistävien innovatiivisten hankkeiden loppuun saattaminen</w:t>
            </w:r>
          </w:p>
        </w:tc>
      </w:tr>
      <w:tr w:rsidR="0065073E" w14:paraId="156FB5E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65073E" w:rsidRDefault="000A0998">
            <w:pPr>
              <w:pStyle w:val="P68B1DB1-Normal39"/>
              <w:spacing w:after="0" w:line="240" w:lineRule="auto"/>
              <w:jc w:val="center"/>
              <w:rPr>
                <w:rFonts w:eastAsia="Times New Roman" w:cs="Times New Roman"/>
                <w:noProof/>
              </w:rPr>
            </w:pPr>
            <w:r>
              <w:rPr>
                <w:noProof/>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65073E" w:rsidRDefault="000A0998">
            <w:pPr>
              <w:pStyle w:val="P68B1DB1-Normal39"/>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65073E" w:rsidRDefault="000A0998">
            <w:pPr>
              <w:pStyle w:val="P68B1DB1-Normal39"/>
              <w:spacing w:after="0" w:line="240" w:lineRule="auto"/>
              <w:rPr>
                <w:rFonts w:eastAsia="Times New Roman" w:cs="Times New Roman"/>
                <w:noProof/>
              </w:rPr>
            </w:pPr>
            <w:r>
              <w:rPr>
                <w:noProof/>
              </w:rPr>
              <w:t xml:space="preserve">Suojellut merialueet </w:t>
            </w:r>
          </w:p>
        </w:tc>
      </w:tr>
      <w:tr w:rsidR="0065073E" w14:paraId="265823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65073E" w:rsidRDefault="000A0998">
            <w:pPr>
              <w:pStyle w:val="P68B1DB1-Normal39"/>
              <w:spacing w:after="0" w:line="240" w:lineRule="auto"/>
              <w:jc w:val="center"/>
              <w:rPr>
                <w:rFonts w:eastAsia="Times New Roman" w:cs="Times New Roman"/>
                <w:noProof/>
              </w:rPr>
            </w:pPr>
            <w:r>
              <w:rPr>
                <w:noProof/>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65073E" w:rsidRDefault="000A0998">
            <w:pPr>
              <w:pStyle w:val="P68B1DB1-Normal39"/>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65073E" w:rsidRDefault="000A0998">
            <w:pPr>
              <w:pStyle w:val="P68B1DB1-Normal39"/>
              <w:spacing w:after="0" w:line="240" w:lineRule="auto"/>
              <w:rPr>
                <w:rFonts w:eastAsia="Times New Roman" w:cs="Times New Roman"/>
                <w:noProof/>
              </w:rPr>
            </w:pPr>
            <w:r>
              <w:rPr>
                <w:noProof/>
              </w:rPr>
              <w:t xml:space="preserve">Ekosysteemien ennallistamistoimet </w:t>
            </w:r>
          </w:p>
        </w:tc>
      </w:tr>
      <w:tr w:rsidR="0065073E" w14:paraId="70D7F4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65073E" w:rsidRDefault="000A0998">
            <w:pPr>
              <w:pStyle w:val="P68B1DB1-Normal39"/>
              <w:spacing w:after="0" w:line="240" w:lineRule="auto"/>
              <w:jc w:val="center"/>
              <w:rPr>
                <w:rFonts w:eastAsia="Times New Roman" w:cs="Times New Roman"/>
                <w:noProof/>
              </w:rPr>
            </w:pPr>
            <w:r>
              <w:rPr>
                <w:noProof/>
              </w:rPr>
              <w:t>81 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65073E" w:rsidRDefault="000A0998">
            <w:pPr>
              <w:pStyle w:val="P68B1DB1-Normal39"/>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65073E" w:rsidRDefault="000A0998">
            <w:pPr>
              <w:pStyle w:val="P68B1DB1-Normal39"/>
              <w:spacing w:after="0" w:line="240" w:lineRule="auto"/>
              <w:rPr>
                <w:rFonts w:eastAsia="Times New Roman" w:cs="Times New Roman"/>
                <w:noProof/>
              </w:rPr>
            </w:pPr>
            <w:r>
              <w:rPr>
                <w:noProof/>
              </w:rPr>
              <w:t>Huonontuneiden alueiden ja ekosysteemien ennallistaminen vähintään 145 kilometrin pituiselle rannikolle</w:t>
            </w:r>
          </w:p>
        </w:tc>
      </w:tr>
      <w:tr w:rsidR="0065073E" w14:paraId="584576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65073E" w:rsidRDefault="000A0998">
            <w:pPr>
              <w:pStyle w:val="P68B1DB1-Normal39"/>
              <w:spacing w:after="0" w:line="240" w:lineRule="auto"/>
              <w:jc w:val="center"/>
              <w:rPr>
                <w:rFonts w:eastAsia="Times New Roman" w:cs="Times New Roman"/>
                <w:noProof/>
              </w:rPr>
            </w:pPr>
            <w:r>
              <w:rPr>
                <w:noProof/>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65073E" w:rsidRDefault="000A0998">
            <w:pPr>
              <w:pStyle w:val="P68B1DB1-Normal39"/>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65073E" w:rsidRDefault="000A0998">
            <w:pPr>
              <w:pStyle w:val="P68B1DB1-Normal39"/>
              <w:spacing w:after="0" w:line="240" w:lineRule="auto"/>
              <w:rPr>
                <w:rFonts w:eastAsia="Times New Roman" w:cs="Times New Roman"/>
                <w:noProof/>
              </w:rPr>
            </w:pPr>
            <w:r>
              <w:rPr>
                <w:noProof/>
              </w:rPr>
              <w:t>Saarten energiasiirtymää tukevien hankkeiden loppuun saattaminen</w:t>
            </w:r>
          </w:p>
        </w:tc>
      </w:tr>
      <w:tr w:rsidR="0065073E" w14:paraId="6C041C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65073E" w:rsidRDefault="000A0998">
            <w:pPr>
              <w:pStyle w:val="P68B1DB1-Normal39"/>
              <w:spacing w:after="0" w:line="240" w:lineRule="auto"/>
              <w:jc w:val="center"/>
              <w:rPr>
                <w:rFonts w:eastAsia="Times New Roman" w:cs="Times New Roman"/>
                <w:noProof/>
              </w:rPr>
            </w:pPr>
            <w:r>
              <w:rPr>
                <w:noProof/>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65073E" w:rsidRDefault="000A0998">
            <w:pPr>
              <w:pStyle w:val="P68B1DB1-Normal39"/>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65073E" w:rsidRDefault="000A0998">
            <w:pPr>
              <w:pStyle w:val="P68B1DB1-Normal39"/>
              <w:spacing w:after="0" w:line="240" w:lineRule="auto"/>
              <w:rPr>
                <w:rFonts w:eastAsia="Times New Roman" w:cs="Times New Roman"/>
                <w:noProof/>
              </w:rPr>
            </w:pPr>
            <w:r>
              <w:rPr>
                <w:noProof/>
              </w:rPr>
              <w:t xml:space="preserve">Työttömien työnhakuneuvonta ja uudelleenkoulutus </w:t>
            </w:r>
          </w:p>
        </w:tc>
      </w:tr>
      <w:tr w:rsidR="0065073E" w14:paraId="53B761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65073E" w:rsidRDefault="000A0998">
            <w:pPr>
              <w:pStyle w:val="P68B1DB1-Normal39"/>
              <w:spacing w:after="0" w:line="240" w:lineRule="auto"/>
              <w:jc w:val="center"/>
              <w:rPr>
                <w:rFonts w:eastAsia="Times New Roman" w:cs="Times New Roman"/>
                <w:noProof/>
              </w:rPr>
            </w:pPr>
            <w:r>
              <w:rPr>
                <w:noProof/>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65073E" w:rsidRDefault="000A0998">
            <w:pPr>
              <w:pStyle w:val="P68B1DB1-Normal39"/>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65073E" w:rsidRDefault="000A0998">
            <w:pPr>
              <w:pStyle w:val="P68B1DB1-Normal39"/>
              <w:spacing w:after="0" w:line="240" w:lineRule="auto"/>
              <w:rPr>
                <w:rFonts w:eastAsia="Times New Roman" w:cs="Times New Roman"/>
                <w:noProof/>
              </w:rPr>
            </w:pPr>
            <w:r>
              <w:rPr>
                <w:noProof/>
              </w:rPr>
              <w:t>Investointihankkeet teollisuuslaitosten mukauttamiseksi vihreään vetyyn ja energian varastointiin.</w:t>
            </w:r>
          </w:p>
        </w:tc>
      </w:tr>
      <w:tr w:rsidR="0065073E" w14:paraId="3F6618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65073E" w:rsidRDefault="000A0998">
            <w:pPr>
              <w:pStyle w:val="P68B1DB1-Normal39"/>
              <w:spacing w:after="0" w:line="240" w:lineRule="auto"/>
              <w:jc w:val="center"/>
              <w:rPr>
                <w:rFonts w:eastAsia="Times New Roman" w:cs="Times New Roman"/>
                <w:noProof/>
              </w:rPr>
            </w:pPr>
            <w:r>
              <w:rPr>
                <w:noProof/>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65073E" w:rsidRDefault="000A0998">
            <w:pPr>
              <w:pStyle w:val="P68B1DB1-Normal39"/>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65073E" w:rsidRDefault="000A0998">
            <w:pPr>
              <w:pStyle w:val="P68B1DB1-Normal39"/>
              <w:spacing w:after="0" w:line="240" w:lineRule="auto"/>
              <w:rPr>
                <w:rFonts w:eastAsia="Times New Roman" w:cs="Times New Roman"/>
                <w:noProof/>
              </w:rPr>
            </w:pPr>
            <w:r>
              <w:rPr>
                <w:noProof/>
              </w:rPr>
              <w:t>Keskushallinnon digitalisaatiota tukevien hankkeiden loppuun saattaminen</w:t>
            </w:r>
          </w:p>
        </w:tc>
      </w:tr>
      <w:tr w:rsidR="0065073E" w14:paraId="1B35F4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65073E" w:rsidRDefault="000A0998">
            <w:pPr>
              <w:pStyle w:val="P68B1DB1-Normal39"/>
              <w:spacing w:after="0" w:line="240" w:lineRule="auto"/>
              <w:jc w:val="center"/>
              <w:rPr>
                <w:rFonts w:eastAsia="Times New Roman" w:cs="Times New Roman"/>
                <w:noProof/>
              </w:rPr>
            </w:pPr>
            <w:r>
              <w:rPr>
                <w:noProof/>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65073E" w:rsidRDefault="000A0998">
            <w:pPr>
              <w:pStyle w:val="P68B1DB1-Normal39"/>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65073E" w:rsidRDefault="000A0998">
            <w:pPr>
              <w:pStyle w:val="P68B1DB1-Normal39"/>
              <w:spacing w:after="0" w:line="240" w:lineRule="auto"/>
              <w:rPr>
                <w:rFonts w:eastAsia="Times New Roman" w:cs="Times New Roman"/>
                <w:noProof/>
              </w:rPr>
            </w:pPr>
            <w:r>
              <w:rPr>
                <w:noProof/>
              </w:rPr>
              <w:t>Julkishallinnon keskushallinnon digitalisaatiota edistäviä hankkeita tukevien hankkeiden loppuun saattaminen</w:t>
            </w:r>
          </w:p>
        </w:tc>
      </w:tr>
      <w:tr w:rsidR="0065073E" w14:paraId="0C2A75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65073E" w:rsidRDefault="000A0998">
            <w:pPr>
              <w:pStyle w:val="P68B1DB1-Normal39"/>
              <w:spacing w:after="0" w:line="240" w:lineRule="auto"/>
              <w:jc w:val="center"/>
              <w:rPr>
                <w:rFonts w:eastAsia="Times New Roman" w:cs="Times New Roman"/>
                <w:noProof/>
              </w:rPr>
            </w:pPr>
            <w:r>
              <w:rPr>
                <w:noProof/>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65073E" w:rsidRDefault="000A0998">
            <w:pPr>
              <w:pStyle w:val="P68B1DB1-Normal39"/>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65073E" w:rsidRDefault="000A0998">
            <w:pPr>
              <w:pStyle w:val="P68B1DB1-Normal39"/>
              <w:spacing w:after="0" w:line="240" w:lineRule="auto"/>
              <w:rPr>
                <w:rFonts w:eastAsia="Times New Roman" w:cs="Times New Roman"/>
                <w:noProof/>
              </w:rPr>
            </w:pPr>
            <w:r>
              <w:rPr>
                <w:noProof/>
              </w:rPr>
              <w:t>Toiseen kiertotalouspakettiin kuuluvien säädösten voimaantulo</w:t>
            </w:r>
          </w:p>
        </w:tc>
      </w:tr>
      <w:tr w:rsidR="0065073E" w14:paraId="267360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65073E" w:rsidRDefault="000A0998">
            <w:pPr>
              <w:pStyle w:val="P68B1DB1-Normal39"/>
              <w:spacing w:after="0" w:line="240" w:lineRule="auto"/>
              <w:jc w:val="center"/>
              <w:rPr>
                <w:rFonts w:eastAsia="Times New Roman" w:cs="Times New Roman"/>
                <w:noProof/>
              </w:rPr>
            </w:pPr>
            <w:r>
              <w:rPr>
                <w:noProof/>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65073E" w:rsidRDefault="000A0998">
            <w:pPr>
              <w:pStyle w:val="P68B1DB1-Normal39"/>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65073E" w:rsidRDefault="000A0998">
            <w:pPr>
              <w:pStyle w:val="P68B1DB1-Normal39"/>
              <w:spacing w:after="0" w:line="240" w:lineRule="auto"/>
              <w:rPr>
                <w:rFonts w:eastAsia="Times New Roman" w:cs="Times New Roman"/>
                <w:noProof/>
              </w:rPr>
            </w:pPr>
            <w:r>
              <w:rPr>
                <w:noProof/>
              </w:rPr>
              <w:t>Kiertotaloutta tukeva tukijärjestelmä: Lopullisten edunsaajien kanssa allekirjoitetut oikeudelliset sopimukset tai lopulliset myöntämispäätökset julkaistu</w:t>
            </w:r>
          </w:p>
        </w:tc>
      </w:tr>
      <w:tr w:rsidR="0065073E" w14:paraId="6DD267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65073E" w:rsidRDefault="000A0998">
            <w:pPr>
              <w:pStyle w:val="P68B1DB1-Normal39"/>
              <w:spacing w:after="0" w:line="240" w:lineRule="auto"/>
              <w:jc w:val="center"/>
              <w:rPr>
                <w:rFonts w:eastAsia="Times New Roman" w:cs="Times New Roman"/>
                <w:noProof/>
              </w:rPr>
            </w:pPr>
            <w:r>
              <w:rPr>
                <w:noProof/>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65073E" w:rsidRDefault="000A0998">
            <w:pPr>
              <w:pStyle w:val="P68B1DB1-Normal39"/>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65073E" w:rsidRDefault="000A0998">
            <w:pPr>
              <w:pStyle w:val="P68B1DB1-Normal39"/>
              <w:spacing w:after="0" w:line="240" w:lineRule="auto"/>
              <w:rPr>
                <w:rFonts w:eastAsia="Times New Roman" w:cs="Times New Roman"/>
                <w:noProof/>
              </w:rPr>
            </w:pPr>
            <w:r>
              <w:rPr>
                <w:noProof/>
              </w:rPr>
              <w:t>Kilpailun suojaamisesta annettuun lakiin ja sen asetuksiin tehtyjen muutosten voimaantulo</w:t>
            </w:r>
          </w:p>
        </w:tc>
      </w:tr>
      <w:tr w:rsidR="0065073E" w14:paraId="3D9270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65073E" w:rsidRDefault="000A0998">
            <w:pPr>
              <w:pStyle w:val="P68B1DB1-Normal39"/>
              <w:spacing w:after="0" w:line="240" w:lineRule="auto"/>
              <w:jc w:val="center"/>
              <w:rPr>
                <w:rFonts w:eastAsia="Times New Roman" w:cs="Times New Roman"/>
                <w:noProof/>
              </w:rPr>
            </w:pPr>
            <w:r>
              <w:rPr>
                <w:noProof/>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65073E" w:rsidRDefault="000A0998">
            <w:pPr>
              <w:pStyle w:val="P68B1DB1-Normal39"/>
              <w:spacing w:after="0" w:line="240" w:lineRule="auto"/>
              <w:rPr>
                <w:rFonts w:eastAsia="Times New Roman" w:cs="Times New Roman"/>
                <w:noProof/>
              </w:rPr>
            </w:pPr>
            <w:r>
              <w:rPr>
                <w:noProof/>
              </w:rPr>
              <w:t>Digitaalisen välineistön ohjelman loppuun saattaminen</w:t>
            </w:r>
          </w:p>
        </w:tc>
      </w:tr>
      <w:tr w:rsidR="0065073E" w14:paraId="240FC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65073E" w:rsidRDefault="000A0998">
            <w:pPr>
              <w:pStyle w:val="P68B1DB1-Normal39"/>
              <w:spacing w:after="0" w:line="240" w:lineRule="auto"/>
              <w:jc w:val="center"/>
              <w:rPr>
                <w:rFonts w:eastAsia="Times New Roman" w:cs="Times New Roman"/>
                <w:noProof/>
              </w:rPr>
            </w:pPr>
            <w:r>
              <w:rPr>
                <w:noProof/>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65073E" w:rsidRDefault="000A0998">
            <w:pPr>
              <w:pStyle w:val="P68B1DB1-Normal39"/>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65073E" w:rsidRDefault="000A0998">
            <w:pPr>
              <w:pStyle w:val="P68B1DB1-Normal39"/>
              <w:spacing w:after="0" w:line="240" w:lineRule="auto"/>
              <w:rPr>
                <w:rFonts w:eastAsia="Times New Roman" w:cs="Times New Roman"/>
                <w:noProof/>
              </w:rPr>
            </w:pPr>
            <w:r>
              <w:rPr>
                <w:noProof/>
              </w:rPr>
              <w:t>Pk-yritykset, jotka ovat toteuttaneet toimia digitaaliteknologian käytön lisäämiseksi (ei kuitenkaan digitaalinen välineistö)</w:t>
            </w:r>
          </w:p>
        </w:tc>
      </w:tr>
      <w:tr w:rsidR="0065073E" w14:paraId="0C39C88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65073E" w:rsidRDefault="000A0998">
            <w:pPr>
              <w:pStyle w:val="P68B1DB1-Normal39"/>
              <w:spacing w:after="0" w:line="240" w:lineRule="auto"/>
              <w:jc w:val="center"/>
              <w:rPr>
                <w:rFonts w:eastAsia="Times New Roman" w:cs="Times New Roman"/>
                <w:noProof/>
              </w:rPr>
            </w:pPr>
            <w:r>
              <w:rPr>
                <w:noProof/>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65073E" w:rsidRDefault="000A0998">
            <w:pPr>
              <w:pStyle w:val="P68B1DB1-Normal39"/>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65073E" w:rsidRDefault="000A0998">
            <w:pPr>
              <w:pStyle w:val="P68B1DB1-Normal39"/>
              <w:spacing w:after="0" w:line="240" w:lineRule="auto"/>
              <w:rPr>
                <w:rFonts w:eastAsia="Times New Roman" w:cs="Times New Roman"/>
                <w:noProof/>
              </w:rPr>
            </w:pPr>
            <w:r>
              <w:rPr>
                <w:noProof/>
              </w:rPr>
              <w:t>Ultranopean laajakaistan käyttöönotto: Hankkeen loppuun saattaminen</w:t>
            </w:r>
          </w:p>
        </w:tc>
      </w:tr>
      <w:tr w:rsidR="0065073E" w14:paraId="1112D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65073E" w:rsidRDefault="000A0998">
            <w:pPr>
              <w:pStyle w:val="P68B1DB1-Normal39"/>
              <w:spacing w:after="0" w:line="240" w:lineRule="auto"/>
              <w:jc w:val="center"/>
              <w:rPr>
                <w:rFonts w:eastAsia="Times New Roman" w:cs="Times New Roman"/>
                <w:noProof/>
              </w:rPr>
            </w:pPr>
            <w:r>
              <w:rPr>
                <w:noProof/>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65073E" w:rsidRDefault="000A0998">
            <w:pPr>
              <w:pStyle w:val="P68B1DB1-Normal39"/>
              <w:spacing w:after="0" w:line="240" w:lineRule="auto"/>
              <w:rPr>
                <w:rFonts w:eastAsia="Times New Roman" w:cs="Times New Roman"/>
                <w:noProof/>
              </w:rPr>
            </w:pPr>
            <w:r>
              <w:rPr>
                <w:noProof/>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65073E" w:rsidRDefault="000A0998">
            <w:pPr>
              <w:pStyle w:val="P68B1DB1-Normal39"/>
              <w:spacing w:after="0" w:line="240" w:lineRule="auto"/>
              <w:rPr>
                <w:rFonts w:eastAsia="Times New Roman" w:cs="Times New Roman"/>
                <w:noProof/>
              </w:rPr>
            </w:pPr>
            <w:r>
              <w:rPr>
                <w:noProof/>
              </w:rPr>
              <w:t>Kansanterveysalan seurantaverkoston tietojärjestelmä</w:t>
            </w:r>
          </w:p>
        </w:tc>
      </w:tr>
      <w:tr w:rsidR="0065073E" w14:paraId="3DD39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65073E" w:rsidRDefault="000A0998">
            <w:pPr>
              <w:pStyle w:val="P68B1DB1-Normal39"/>
              <w:spacing w:after="0" w:line="240" w:lineRule="auto"/>
              <w:jc w:val="center"/>
              <w:rPr>
                <w:rFonts w:eastAsia="Times New Roman" w:cs="Times New Roman"/>
                <w:noProof/>
              </w:rPr>
            </w:pPr>
            <w:r>
              <w:rPr>
                <w:noProof/>
              </w:rPr>
              <w:t>466 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65073E" w:rsidRDefault="000A0998">
            <w:pPr>
              <w:pStyle w:val="P68B1DB1-Normal39"/>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65073E" w:rsidRDefault="000A0998">
            <w:pPr>
              <w:pStyle w:val="P68B1DB1-Normal39"/>
              <w:spacing w:after="0" w:line="240" w:lineRule="auto"/>
              <w:rPr>
                <w:rFonts w:eastAsia="Times New Roman" w:cs="Times New Roman"/>
                <w:noProof/>
              </w:rPr>
            </w:pPr>
            <w:r>
              <w:rPr>
                <w:noProof/>
              </w:rPr>
              <w:t>Massadatankäsittelyhankkeet</w:t>
            </w:r>
          </w:p>
        </w:tc>
      </w:tr>
      <w:tr w:rsidR="0065073E" w14:paraId="4FE0AA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65073E" w:rsidRDefault="000A0998">
            <w:pPr>
              <w:pStyle w:val="P68B1DB1-Normal39"/>
              <w:spacing w:after="0" w:line="240" w:lineRule="auto"/>
              <w:jc w:val="center"/>
              <w:rPr>
                <w:rFonts w:eastAsia="Times New Roman" w:cs="Times New Roman"/>
                <w:noProof/>
              </w:rPr>
            </w:pPr>
            <w:r>
              <w:rPr>
                <w:noProof/>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65073E" w:rsidRDefault="000A0998">
            <w:pPr>
              <w:pStyle w:val="P68B1DB1-Normal39"/>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65073E" w:rsidRDefault="000A0998">
            <w:pPr>
              <w:pStyle w:val="P68B1DB1-Normal39"/>
              <w:spacing w:after="0" w:line="240" w:lineRule="auto"/>
              <w:rPr>
                <w:rFonts w:eastAsia="Times New Roman" w:cs="Times New Roman"/>
                <w:noProof/>
              </w:rPr>
            </w:pPr>
            <w:r>
              <w:rPr>
                <w:noProof/>
              </w:rPr>
              <w:t>Koulutuksen digitalisaatiota koskevien toimien loppuun saattaminen</w:t>
            </w:r>
          </w:p>
        </w:tc>
      </w:tr>
      <w:tr w:rsidR="0065073E" w14:paraId="3C8703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65073E" w:rsidRDefault="000A0998">
            <w:pPr>
              <w:pStyle w:val="P68B1DB1-Normal39"/>
              <w:spacing w:after="0" w:line="240" w:lineRule="auto"/>
              <w:jc w:val="center"/>
              <w:rPr>
                <w:rFonts w:eastAsia="Times New Roman" w:cs="Times New Roman"/>
                <w:noProof/>
              </w:rPr>
            </w:pPr>
            <w:r>
              <w:rPr>
                <w:noProof/>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65073E" w:rsidRDefault="000A0998">
            <w:pPr>
              <w:pStyle w:val="P68B1DB1-Normal39"/>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65073E" w:rsidRDefault="000A0998">
            <w:pPr>
              <w:pStyle w:val="P68B1DB1-Normal39"/>
              <w:spacing w:after="0" w:line="240" w:lineRule="auto"/>
              <w:rPr>
                <w:rFonts w:eastAsia="Times New Roman" w:cs="Times New Roman"/>
                <w:noProof/>
              </w:rPr>
            </w:pPr>
            <w:r>
              <w:rPr>
                <w:noProof/>
              </w:rPr>
              <w:t>Verkkoon liitettyjen digitaalisten laitteiden tarjoaminen julkisissa ja julkisesti tuetuissa kouluissa ”digitaalisen kuilun” umpeen kuromiseksi ja vähintään 240000 luokkahuoneen varustamiseksi</w:t>
            </w:r>
          </w:p>
        </w:tc>
      </w:tr>
      <w:tr w:rsidR="0065073E" w14:paraId="7D093C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65073E" w:rsidRDefault="000A0998">
            <w:pPr>
              <w:pStyle w:val="P68B1DB1-Normal39"/>
              <w:spacing w:after="0" w:line="240" w:lineRule="auto"/>
              <w:jc w:val="center"/>
              <w:rPr>
                <w:rFonts w:eastAsia="Times New Roman" w:cs="Times New Roman"/>
                <w:noProof/>
              </w:rPr>
            </w:pPr>
            <w:r>
              <w:rPr>
                <w:noProof/>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65073E" w:rsidRDefault="000A0998">
            <w:pPr>
              <w:pStyle w:val="P68B1DB1-Normal39"/>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65073E" w:rsidRDefault="000A0998">
            <w:pPr>
              <w:pStyle w:val="P68B1DB1-Normal39"/>
              <w:spacing w:after="0" w:line="240" w:lineRule="auto"/>
              <w:rPr>
                <w:rFonts w:eastAsia="Times New Roman" w:cs="Times New Roman"/>
                <w:noProof/>
              </w:rPr>
            </w:pPr>
            <w:r>
              <w:rPr>
                <w:noProof/>
              </w:rPr>
              <w:t>Tietotekniikka-alan ammattilaisten koulutus</w:t>
            </w:r>
          </w:p>
        </w:tc>
      </w:tr>
      <w:tr w:rsidR="0065073E" w14:paraId="5A6389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65073E" w:rsidRDefault="000A0998">
            <w:pPr>
              <w:pStyle w:val="P68B1DB1-Normal39"/>
              <w:spacing w:after="0" w:line="240" w:lineRule="auto"/>
              <w:jc w:val="center"/>
              <w:rPr>
                <w:rFonts w:eastAsia="Times New Roman" w:cs="Times New Roman"/>
                <w:noProof/>
              </w:rPr>
            </w:pPr>
            <w:r>
              <w:rPr>
                <w:noProof/>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65073E" w:rsidRDefault="000A0998">
            <w:pPr>
              <w:pStyle w:val="P68B1DB1-Normal39"/>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65073E" w:rsidRDefault="000A0998">
            <w:pPr>
              <w:pStyle w:val="P68B1DB1-Normal39"/>
              <w:spacing w:after="0" w:line="240" w:lineRule="auto"/>
              <w:rPr>
                <w:rFonts w:eastAsia="Times New Roman" w:cs="Times New Roman"/>
                <w:noProof/>
              </w:rPr>
            </w:pPr>
            <w:r>
              <w:rPr>
                <w:noProof/>
              </w:rPr>
              <w:t xml:space="preserve">Kansallisen ammattipätevyyden luettelon uudet pätevyysyksiköt </w:t>
            </w:r>
          </w:p>
        </w:tc>
      </w:tr>
      <w:tr w:rsidR="0065073E" w14:paraId="06F7D6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65073E" w:rsidRDefault="000A0998">
            <w:pPr>
              <w:pStyle w:val="P68B1DB1-Normal39"/>
              <w:spacing w:after="0" w:line="240" w:lineRule="auto"/>
              <w:jc w:val="center"/>
              <w:rPr>
                <w:rFonts w:eastAsia="Times New Roman" w:cs="Times New Roman"/>
                <w:noProof/>
              </w:rPr>
            </w:pPr>
            <w:r>
              <w:rPr>
                <w:noProof/>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65073E" w:rsidRDefault="000A0998">
            <w:pPr>
              <w:pStyle w:val="P68B1DB1-Normal39"/>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65073E" w:rsidRDefault="000A0998">
            <w:pPr>
              <w:pStyle w:val="P68B1DB1-Normal39"/>
              <w:spacing w:after="0" w:line="240" w:lineRule="auto"/>
              <w:rPr>
                <w:rFonts w:eastAsia="Times New Roman" w:cs="Times New Roman"/>
                <w:noProof/>
              </w:rPr>
            </w:pPr>
            <w:r>
              <w:rPr>
                <w:noProof/>
              </w:rPr>
              <w:t>Luokkahuoneiden muuntaminen soveltavan teknologian tiloiksi</w:t>
            </w:r>
          </w:p>
        </w:tc>
      </w:tr>
      <w:tr w:rsidR="0065073E" w14:paraId="504ADD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65073E" w:rsidRDefault="000A0998">
            <w:pPr>
              <w:pStyle w:val="P68B1DB1-Normal39"/>
              <w:spacing w:after="0" w:line="240" w:lineRule="auto"/>
              <w:jc w:val="center"/>
              <w:rPr>
                <w:rFonts w:eastAsia="Times New Roman" w:cs="Times New Roman"/>
                <w:noProof/>
              </w:rPr>
            </w:pPr>
            <w:r>
              <w:rPr>
                <w:noProof/>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65073E" w:rsidRDefault="000A0998">
            <w:pPr>
              <w:pStyle w:val="P68B1DB1-Normal39"/>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65073E" w:rsidRDefault="000A0998">
            <w:pPr>
              <w:pStyle w:val="P68B1DB1-Normal39"/>
              <w:spacing w:after="0" w:line="240" w:lineRule="auto"/>
              <w:rPr>
                <w:rFonts w:eastAsia="Times New Roman" w:cs="Times New Roman"/>
                <w:noProof/>
              </w:rPr>
            </w:pPr>
            <w:r>
              <w:rPr>
                <w:noProof/>
              </w:rPr>
              <w:t>Uudet ammatillisen koulutuksen paikat verrattuna vuoden 2020 loppuun</w:t>
            </w:r>
          </w:p>
        </w:tc>
      </w:tr>
      <w:tr w:rsidR="0065073E" w14:paraId="1EBEA7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65073E" w:rsidRDefault="000A0998">
            <w:pPr>
              <w:pStyle w:val="P68B1DB1-Normal39"/>
              <w:spacing w:after="0" w:line="240" w:lineRule="auto"/>
              <w:jc w:val="center"/>
              <w:rPr>
                <w:rFonts w:eastAsia="Times New Roman" w:cs="Times New Roman"/>
                <w:noProof/>
              </w:rPr>
            </w:pPr>
            <w:r>
              <w:rPr>
                <w:noProof/>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65073E" w:rsidRDefault="000A0998">
            <w:pPr>
              <w:pStyle w:val="P68B1DB1-Normal39"/>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65073E" w:rsidRDefault="000A0998">
            <w:pPr>
              <w:pStyle w:val="P68B1DB1-Normal39"/>
              <w:spacing w:after="0" w:line="240" w:lineRule="auto"/>
              <w:rPr>
                <w:rFonts w:eastAsia="Times New Roman" w:cs="Times New Roman"/>
                <w:noProof/>
              </w:rPr>
            </w:pPr>
            <w:r>
              <w:rPr>
                <w:noProof/>
              </w:rPr>
              <w:t xml:space="preserve">Uusia paikkoja varhaiskasvatuksen ensimmäiselle kierrokselle </w:t>
            </w:r>
          </w:p>
        </w:tc>
      </w:tr>
      <w:tr w:rsidR="0065073E" w14:paraId="2F5D86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65073E" w:rsidRDefault="000A0998">
            <w:pPr>
              <w:pStyle w:val="P68B1DB1-Normal39"/>
              <w:spacing w:after="0" w:line="240" w:lineRule="auto"/>
              <w:jc w:val="center"/>
              <w:rPr>
                <w:rFonts w:eastAsia="Times New Roman" w:cs="Times New Roman"/>
                <w:noProof/>
              </w:rPr>
            </w:pPr>
            <w:r>
              <w:rPr>
                <w:noProof/>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65073E" w:rsidRDefault="000A0998">
            <w:pPr>
              <w:pStyle w:val="P68B1DB1-Normal39"/>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65073E" w:rsidRDefault="000A0998">
            <w:pPr>
              <w:pStyle w:val="P68B1DB1-Normal39"/>
              <w:spacing w:after="0" w:line="240" w:lineRule="auto"/>
              <w:rPr>
                <w:rFonts w:eastAsia="Times New Roman" w:cs="Times New Roman"/>
                <w:noProof/>
              </w:rPr>
            </w:pPr>
            <w:r>
              <w:rPr>
                <w:noProof/>
              </w:rPr>
              <w:t xml:space="preserve">Sosiaalipalvelujen teknologista muutosta sekä asuin- ja sijaisperheiden infrastruktuurin ja palvelujen nykyaikaistamista koskevien hankkeiden loppuun saattaminen </w:t>
            </w:r>
          </w:p>
        </w:tc>
      </w:tr>
      <w:tr w:rsidR="0065073E" w14:paraId="5AAF8C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65073E" w:rsidRDefault="000A0998">
            <w:pPr>
              <w:pStyle w:val="P68B1DB1-Normal39"/>
              <w:spacing w:after="0" w:line="240" w:lineRule="auto"/>
              <w:jc w:val="center"/>
              <w:rPr>
                <w:rFonts w:eastAsia="Times New Roman" w:cs="Times New Roman"/>
                <w:noProof/>
              </w:rPr>
            </w:pPr>
            <w:r>
              <w:rPr>
                <w:noProof/>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65073E" w:rsidRDefault="000A0998">
            <w:pPr>
              <w:pStyle w:val="P68B1DB1-Normal39"/>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65073E" w:rsidRDefault="000A0998">
            <w:pPr>
              <w:pStyle w:val="P68B1DB1-Normal39"/>
              <w:spacing w:after="0" w:line="240" w:lineRule="auto"/>
              <w:rPr>
                <w:rFonts w:eastAsia="Times New Roman" w:cs="Times New Roman"/>
                <w:noProof/>
              </w:rPr>
            </w:pPr>
            <w:r>
              <w:rPr>
                <w:noProof/>
              </w:rPr>
              <w:t>Pilottihankkeiden toteuttaminen</w:t>
            </w:r>
          </w:p>
        </w:tc>
      </w:tr>
      <w:tr w:rsidR="0065073E" w14:paraId="7D1282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65073E" w:rsidRDefault="000A0998">
            <w:pPr>
              <w:pStyle w:val="P68B1DB1-Normal39"/>
              <w:spacing w:after="0" w:line="240" w:lineRule="auto"/>
              <w:jc w:val="center"/>
              <w:rPr>
                <w:rFonts w:eastAsia="Times New Roman" w:cs="Times New Roman"/>
                <w:noProof/>
              </w:rPr>
            </w:pPr>
            <w:r>
              <w:rPr>
                <w:noProof/>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65073E" w:rsidRDefault="000A0998">
            <w:pPr>
              <w:pStyle w:val="P68B1DB1-Normal39"/>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65073E" w:rsidRDefault="000A0998">
            <w:pPr>
              <w:pStyle w:val="P68B1DB1-Normal39"/>
              <w:spacing w:after="0" w:line="240" w:lineRule="auto"/>
              <w:rPr>
                <w:rFonts w:eastAsia="Times New Roman" w:cs="Times New Roman"/>
                <w:noProof/>
              </w:rPr>
            </w:pPr>
            <w:r>
              <w:rPr>
                <w:noProof/>
              </w:rPr>
              <w:t>Investoinnit puhelin- ja verkkopalveluihin naisiin kohdistuvan väkivallan uhrien tukemiseksi</w:t>
            </w:r>
          </w:p>
        </w:tc>
      </w:tr>
      <w:tr w:rsidR="0065073E" w14:paraId="406432F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65073E" w:rsidRDefault="000A0998">
            <w:pPr>
              <w:pStyle w:val="P68B1DB1-Normal39"/>
              <w:spacing w:after="0" w:line="240" w:lineRule="auto"/>
              <w:jc w:val="center"/>
              <w:rPr>
                <w:rFonts w:eastAsia="Times New Roman" w:cs="Times New Roman"/>
                <w:noProof/>
              </w:rPr>
            </w:pPr>
            <w:r>
              <w:rPr>
                <w:noProof/>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65073E" w:rsidRDefault="000A0998">
            <w:pPr>
              <w:pStyle w:val="P68B1DB1-Normal39"/>
              <w:spacing w:after="0" w:line="240" w:lineRule="auto"/>
              <w:rPr>
                <w:rFonts w:eastAsia="Times New Roman" w:cs="Times New Roman"/>
                <w:noProof/>
              </w:rPr>
            </w:pPr>
            <w:r>
              <w:rPr>
                <w:noProof/>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65073E" w:rsidRDefault="000A0998">
            <w:pPr>
              <w:pStyle w:val="P68B1DB1-Normal39"/>
              <w:spacing w:after="0" w:line="240" w:lineRule="auto"/>
              <w:rPr>
                <w:rFonts w:eastAsia="Times New Roman" w:cs="Times New Roman"/>
                <w:noProof/>
              </w:rPr>
            </w:pPr>
            <w:r>
              <w:rPr>
                <w:noProof/>
              </w:rPr>
              <w:t xml:space="preserve">Nuoret, jotka ovat saattaneet päätökseen nuoriso-ohjelmat. </w:t>
            </w:r>
          </w:p>
        </w:tc>
      </w:tr>
      <w:tr w:rsidR="0065073E" w14:paraId="17BB2E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65073E" w:rsidRDefault="000A0998">
            <w:pPr>
              <w:pStyle w:val="P68B1DB1-Normal39"/>
              <w:spacing w:after="0" w:line="240" w:lineRule="auto"/>
              <w:jc w:val="center"/>
              <w:rPr>
                <w:rFonts w:eastAsia="Times New Roman" w:cs="Times New Roman"/>
                <w:noProof/>
              </w:rPr>
            </w:pPr>
            <w:r>
              <w:rPr>
                <w:noProof/>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65073E" w:rsidRDefault="000A0998">
            <w:pPr>
              <w:pStyle w:val="P68B1DB1-Normal39"/>
              <w:spacing w:after="0" w:line="240" w:lineRule="auto"/>
              <w:rPr>
                <w:rFonts w:eastAsia="Times New Roman" w:cs="Times New Roman"/>
                <w:noProof/>
              </w:rPr>
            </w:pPr>
            <w:r>
              <w:rPr>
                <w:noProof/>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65073E" w:rsidRDefault="000A0998">
            <w:pPr>
              <w:pStyle w:val="P68B1DB1-Normal39"/>
              <w:spacing w:after="0" w:line="240" w:lineRule="auto"/>
              <w:rPr>
                <w:rFonts w:eastAsia="Times New Roman" w:cs="Times New Roman"/>
                <w:noProof/>
              </w:rPr>
            </w:pPr>
            <w:r>
              <w:rPr>
                <w:noProof/>
              </w:rPr>
              <w:t>Empleo Mujer-, maaseutu- ja kaupunkialueita sekä sukupuoleen perustuvan väkivallan ja ihmiskaupan uhreja koskevan ohjelman loppuun saaneet ihmiset</w:t>
            </w:r>
          </w:p>
        </w:tc>
      </w:tr>
      <w:tr w:rsidR="0065073E" w14:paraId="10C7A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65073E" w:rsidRDefault="000A0998">
            <w:pPr>
              <w:pStyle w:val="P68B1DB1-Normal39"/>
              <w:spacing w:after="0" w:line="240" w:lineRule="auto"/>
              <w:jc w:val="center"/>
              <w:rPr>
                <w:rFonts w:eastAsia="Times New Roman" w:cs="Times New Roman"/>
                <w:noProof/>
              </w:rPr>
            </w:pPr>
            <w:r>
              <w:rPr>
                <w:noProof/>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65073E" w:rsidRDefault="000A0998">
            <w:pPr>
              <w:pStyle w:val="P68B1DB1-Normal39"/>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65073E" w:rsidRDefault="000A0998">
            <w:pPr>
              <w:pStyle w:val="P68B1DB1-Normal39"/>
              <w:spacing w:after="0" w:line="240" w:lineRule="auto"/>
              <w:rPr>
                <w:rFonts w:eastAsia="Times New Roman" w:cs="Times New Roman"/>
                <w:noProof/>
              </w:rPr>
            </w:pPr>
            <w:r>
              <w:rPr>
                <w:noProof/>
              </w:rPr>
              <w:t>Henkilöt, jotka ovat suorittaneet koulutusohjelmia digitaalisen, ekologisen ja tuottavan muutoksen edellyttämien taitojen hankkimiseksi</w:t>
            </w:r>
          </w:p>
        </w:tc>
      </w:tr>
      <w:tr w:rsidR="0065073E" w14:paraId="229C56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65073E" w:rsidRDefault="000A0998">
            <w:pPr>
              <w:pStyle w:val="P68B1DB1-Normal39"/>
              <w:spacing w:after="0" w:line="240" w:lineRule="auto"/>
              <w:jc w:val="center"/>
              <w:rPr>
                <w:rFonts w:eastAsia="Times New Roman" w:cs="Times New Roman"/>
                <w:noProof/>
              </w:rPr>
            </w:pPr>
            <w:r>
              <w:rPr>
                <w:noProof/>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65073E" w:rsidRDefault="000A0998">
            <w:pPr>
              <w:pStyle w:val="P68B1DB1-Normal39"/>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65073E" w:rsidRDefault="000A0998">
            <w:pPr>
              <w:pStyle w:val="P68B1DB1-Normal39"/>
              <w:spacing w:after="0" w:line="240" w:lineRule="auto"/>
              <w:rPr>
                <w:rFonts w:eastAsia="Times New Roman" w:cs="Times New Roman"/>
                <w:noProof/>
              </w:rPr>
            </w:pPr>
            <w:r>
              <w:rPr>
                <w:noProof/>
              </w:rPr>
              <w:t>Osaamistarpeiden havaitseminen tutkimusohjelman avulla</w:t>
            </w:r>
          </w:p>
        </w:tc>
      </w:tr>
      <w:tr w:rsidR="0065073E" w14:paraId="38ACC6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65073E" w:rsidRDefault="000A0998">
            <w:pPr>
              <w:pStyle w:val="P68B1DB1-Normal39"/>
              <w:spacing w:after="0" w:line="240" w:lineRule="auto"/>
              <w:jc w:val="center"/>
              <w:rPr>
                <w:rFonts w:eastAsia="Times New Roman" w:cs="Times New Roman"/>
                <w:noProof/>
              </w:rPr>
            </w:pPr>
            <w:r>
              <w:rPr>
                <w:noProof/>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65073E" w:rsidRDefault="000A0998">
            <w:pPr>
              <w:pStyle w:val="P68B1DB1-Normal39"/>
              <w:spacing w:after="0" w:line="240" w:lineRule="auto"/>
              <w:rPr>
                <w:rFonts w:eastAsia="Times New Roman" w:cs="Times New Roman"/>
                <w:noProof/>
              </w:rPr>
            </w:pPr>
            <w:r>
              <w:rPr>
                <w:noProof/>
              </w:rPr>
              <w:t>Espanjan kulttuuriperinnön säilyttäminen, ennallistaminen ja vaaliminen</w:t>
            </w:r>
          </w:p>
        </w:tc>
      </w:tr>
      <w:tr w:rsidR="0065073E" w14:paraId="1F8BAF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65073E" w:rsidRDefault="000A0998">
            <w:pPr>
              <w:pStyle w:val="P68B1DB1-Normal39"/>
              <w:spacing w:after="0" w:line="240" w:lineRule="auto"/>
              <w:jc w:val="center"/>
              <w:rPr>
                <w:rFonts w:eastAsia="Times New Roman" w:cs="Times New Roman"/>
                <w:noProof/>
              </w:rPr>
            </w:pPr>
            <w:r>
              <w:rPr>
                <w:noProof/>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65073E" w:rsidRDefault="000A0998">
            <w:pPr>
              <w:pStyle w:val="P68B1DB1-Normal39"/>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65073E" w:rsidRDefault="000A0998">
            <w:pPr>
              <w:pStyle w:val="P68B1DB1-Normal39"/>
              <w:spacing w:after="0" w:line="240" w:lineRule="auto"/>
              <w:rPr>
                <w:rFonts w:eastAsia="Times New Roman" w:cs="Times New Roman"/>
                <w:noProof/>
              </w:rPr>
            </w:pPr>
            <w:r>
              <w:rPr>
                <w:noProof/>
              </w:rPr>
              <w:t>Urheilualan digitalisointi</w:t>
            </w:r>
          </w:p>
        </w:tc>
      </w:tr>
      <w:tr w:rsidR="0065073E" w14:paraId="4E96EB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65073E" w:rsidRDefault="000A0998">
            <w:pPr>
              <w:pStyle w:val="P68B1DB1-Normal39"/>
              <w:spacing w:after="0" w:line="240" w:lineRule="auto"/>
              <w:jc w:val="center"/>
              <w:rPr>
                <w:rFonts w:eastAsia="Times New Roman" w:cs="Times New Roman"/>
                <w:noProof/>
              </w:rPr>
            </w:pPr>
            <w:r>
              <w:rPr>
                <w:noProof/>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65073E" w:rsidRDefault="000A0998">
            <w:pPr>
              <w:pStyle w:val="P68B1DB1-Normal39"/>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65073E" w:rsidRDefault="000A0998">
            <w:pPr>
              <w:pStyle w:val="P68B1DB1-Normal39"/>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65073E" w:rsidRDefault="000A0998">
            <w:pPr>
              <w:pStyle w:val="P68B1DB1-Normal39"/>
              <w:spacing w:after="0" w:line="240" w:lineRule="auto"/>
              <w:rPr>
                <w:rFonts w:eastAsia="Times New Roman" w:cs="Times New Roman"/>
                <w:noProof/>
              </w:rPr>
            </w:pPr>
            <w:r>
              <w:rPr>
                <w:noProof/>
              </w:rPr>
              <w:t>Tietotekniikkahankkeiden loppuun saattaminen korkean suorituskyvyn keskuksissa ja antidopinghallinnossa</w:t>
            </w:r>
          </w:p>
        </w:tc>
      </w:tr>
      <w:tr w:rsidR="0065073E" w14:paraId="08473BC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65073E" w:rsidRDefault="000A0998">
            <w:pPr>
              <w:pStyle w:val="P68B1DB1-Normal39"/>
              <w:spacing w:after="0" w:line="240" w:lineRule="auto"/>
              <w:jc w:val="center"/>
              <w:rPr>
                <w:rFonts w:eastAsia="Times New Roman" w:cs="Times New Roman"/>
                <w:noProof/>
              </w:rPr>
            </w:pPr>
            <w:r>
              <w:rPr>
                <w:noProof/>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65073E" w:rsidRDefault="000A0998">
            <w:pPr>
              <w:pStyle w:val="P68B1DB1-Normal39"/>
              <w:spacing w:after="0" w:line="240" w:lineRule="auto"/>
              <w:rPr>
                <w:rFonts w:eastAsia="Times New Roman" w:cs="Times New Roman"/>
                <w:noProof/>
              </w:rPr>
            </w:pPr>
            <w:r>
              <w:rPr>
                <w:noProof/>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65073E" w:rsidRDefault="000A0998">
            <w:pPr>
              <w:pStyle w:val="P68B1DB1-Normal39"/>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65073E" w:rsidRDefault="000A0998">
            <w:pPr>
              <w:pStyle w:val="P68B1DB1-Normal39"/>
              <w:spacing w:after="0" w:line="240" w:lineRule="auto"/>
              <w:rPr>
                <w:rFonts w:eastAsia="Times New Roman" w:cs="Times New Roman"/>
                <w:noProof/>
              </w:rPr>
            </w:pPr>
            <w:r>
              <w:rPr>
                <w:noProof/>
              </w:rPr>
              <w:t xml:space="preserve">Urheilu- ja urheilulaitosten teknisten keskusten kunnostaminen ja parantaminen </w:t>
            </w:r>
          </w:p>
        </w:tc>
      </w:tr>
      <w:tr w:rsidR="0065073E" w14:paraId="67CC6D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65073E" w:rsidRDefault="000A0998">
            <w:pPr>
              <w:pStyle w:val="P68B1DB1-Normal38"/>
              <w:spacing w:after="0" w:line="240" w:lineRule="auto"/>
              <w:rPr>
                <w:rFonts w:eastAsia="Times New Roman" w:cs="Times New Roman"/>
                <w:noProof/>
              </w:rPr>
            </w:pPr>
            <w:r>
              <w:rPr>
                <w:noProof/>
              </w:rPr>
              <w:t>Maksuerän määrä</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65073E" w:rsidRDefault="000A0998">
            <w:pPr>
              <w:pStyle w:val="P68B1DB1-Normal38"/>
              <w:spacing w:after="0" w:line="240" w:lineRule="auto"/>
              <w:rPr>
                <w:rFonts w:eastAsia="Times New Roman" w:cs="Times New Roman"/>
                <w:noProof/>
              </w:rPr>
            </w:pPr>
            <w:r>
              <w:rPr>
                <w:noProof/>
              </w:rPr>
              <w:t>YHTEENSÄ 5633854130 EUROA</w:t>
            </w:r>
          </w:p>
        </w:tc>
      </w:tr>
    </w:tbl>
    <w:p w14:paraId="16B1E38C" w14:textId="77777777" w:rsidR="0065073E" w:rsidRDefault="0065073E">
      <w:pPr>
        <w:spacing w:before="120" w:after="120" w:line="240" w:lineRule="auto"/>
        <w:jc w:val="both"/>
        <w:rPr>
          <w:rFonts w:ascii="Times New Roman" w:eastAsia="Calibri" w:hAnsi="Times New Roman" w:cs="Times New Roman"/>
          <w:noProof/>
          <w:sz w:val="24"/>
        </w:rPr>
      </w:pPr>
    </w:p>
    <w:p w14:paraId="417320EA"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Kymmenes erä (tuki, jota ei makseta takaisin): </w:t>
      </w:r>
    </w:p>
    <w:tbl>
      <w:tblPr>
        <w:tblW w:w="9600" w:type="dxa"/>
        <w:tblInd w:w="113" w:type="dxa"/>
        <w:tblLook w:val="04A0" w:firstRow="1" w:lastRow="0" w:firstColumn="1" w:lastColumn="0" w:noHBand="0" w:noVBand="1"/>
      </w:tblPr>
      <w:tblGrid>
        <w:gridCol w:w="1254"/>
        <w:gridCol w:w="1391"/>
        <w:gridCol w:w="1717"/>
        <w:gridCol w:w="5380"/>
      </w:tblGrid>
      <w:tr w:rsidR="0065073E" w14:paraId="67D015E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33ADD356"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65073E" w:rsidRDefault="0065073E">
            <w:pPr>
              <w:spacing w:after="0" w:line="240" w:lineRule="auto"/>
              <w:rPr>
                <w:rFonts w:ascii="Times New Roman" w:eastAsia="Times New Roman" w:hAnsi="Times New Roman" w:cs="Times New Roman"/>
                <w:b/>
                <w:noProof/>
                <w:sz w:val="20"/>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65073E" w:rsidRDefault="0065073E">
            <w:pPr>
              <w:spacing w:after="0" w:line="240" w:lineRule="auto"/>
              <w:rPr>
                <w:rFonts w:ascii="Times New Roman" w:eastAsia="Times New Roman" w:hAnsi="Times New Roman" w:cs="Times New Roman"/>
                <w:b/>
                <w:noProof/>
                <w:sz w:val="20"/>
              </w:rPr>
            </w:pPr>
          </w:p>
        </w:tc>
      </w:tr>
      <w:tr w:rsidR="0065073E" w14:paraId="129755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65073E" w:rsidRDefault="000A0998">
            <w:pPr>
              <w:pStyle w:val="P68B1DB1-Normal39"/>
              <w:spacing w:after="0" w:line="240" w:lineRule="auto"/>
              <w:jc w:val="center"/>
              <w:rPr>
                <w:rFonts w:eastAsia="Times New Roman" w:cs="Times New Roman"/>
                <w:noProof/>
              </w:rPr>
            </w:pPr>
            <w:r>
              <w:rPr>
                <w:noProof/>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65073E" w:rsidRDefault="000A0998">
            <w:pPr>
              <w:pStyle w:val="P68B1DB1-Normal39"/>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65073E" w:rsidRDefault="000A0998">
            <w:pPr>
              <w:pStyle w:val="P68B1DB1-Normal39"/>
              <w:spacing w:after="0" w:line="240" w:lineRule="auto"/>
              <w:rPr>
                <w:rFonts w:eastAsia="Times New Roman" w:cs="Times New Roman"/>
                <w:noProof/>
              </w:rPr>
            </w:pPr>
            <w:r>
              <w:rPr>
                <w:noProof/>
              </w:rPr>
              <w:t>Testiympäristötoimisto</w:t>
            </w:r>
          </w:p>
        </w:tc>
      </w:tr>
      <w:tr w:rsidR="0065073E" w14:paraId="31B210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65073E" w:rsidRDefault="000A0998">
            <w:pPr>
              <w:pStyle w:val="P68B1DB1-Normal39"/>
              <w:spacing w:after="0" w:line="240" w:lineRule="auto"/>
              <w:jc w:val="center"/>
              <w:rPr>
                <w:rFonts w:eastAsia="Times New Roman" w:cs="Times New Roman"/>
                <w:noProof/>
              </w:rPr>
            </w:pPr>
            <w:r>
              <w:rPr>
                <w:noProof/>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65073E" w:rsidRDefault="000A0998">
            <w:pPr>
              <w:pStyle w:val="P68B1DB1-Normal39"/>
              <w:spacing w:after="0" w:line="240" w:lineRule="auto"/>
              <w:rPr>
                <w:rFonts w:eastAsia="Times New Roman" w:cs="Times New Roman"/>
                <w:noProof/>
              </w:rPr>
            </w:pPr>
            <w:r>
              <w:rPr>
                <w:noProof/>
              </w:rPr>
              <w:t xml:space="preserve">Lyhyen matkan radat (Cercanías), jotka on kunnostettu </w:t>
            </w:r>
          </w:p>
        </w:tc>
      </w:tr>
      <w:tr w:rsidR="0065073E" w14:paraId="0E8D62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65073E" w:rsidRDefault="000A0998">
            <w:pPr>
              <w:pStyle w:val="P68B1DB1-Normal39"/>
              <w:spacing w:after="0" w:line="240" w:lineRule="auto"/>
              <w:jc w:val="center"/>
              <w:rPr>
                <w:rFonts w:eastAsia="Times New Roman" w:cs="Times New Roman"/>
                <w:noProof/>
              </w:rPr>
            </w:pPr>
            <w:r>
              <w:rPr>
                <w:noProof/>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65073E" w:rsidRDefault="000A0998">
            <w:pPr>
              <w:pStyle w:val="P68B1DB1-Normal39"/>
              <w:spacing w:after="0" w:line="240" w:lineRule="auto"/>
              <w:rPr>
                <w:rFonts w:eastAsia="Times New Roman" w:cs="Times New Roman"/>
                <w:noProof/>
              </w:rPr>
            </w:pPr>
            <w:r>
              <w:rPr>
                <w:noProof/>
              </w:rPr>
              <w:t xml:space="preserve">Asemat paranevat digitalisaation myötä </w:t>
            </w:r>
          </w:p>
        </w:tc>
      </w:tr>
      <w:tr w:rsidR="0065073E" w14:paraId="46EA26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65073E" w:rsidRDefault="000A0998">
            <w:pPr>
              <w:pStyle w:val="P68B1DB1-Normal39"/>
              <w:spacing w:after="0" w:line="240" w:lineRule="auto"/>
              <w:jc w:val="center"/>
              <w:rPr>
                <w:rFonts w:eastAsia="Times New Roman" w:cs="Times New Roman"/>
                <w:noProof/>
              </w:rPr>
            </w:pPr>
            <w:r>
              <w:rPr>
                <w:noProof/>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65073E" w:rsidRDefault="000A0998">
            <w:pPr>
              <w:pStyle w:val="P68B1DB1-Normal39"/>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65073E" w:rsidRDefault="000A0998">
            <w:pPr>
              <w:pStyle w:val="P68B1DB1-Normal39"/>
              <w:spacing w:after="0" w:line="240" w:lineRule="auto"/>
              <w:rPr>
                <w:rFonts w:eastAsia="Times New Roman" w:cs="Times New Roman"/>
                <w:noProof/>
              </w:rPr>
            </w:pPr>
            <w:r>
              <w:rPr>
                <w:noProof/>
              </w:rPr>
              <w:t xml:space="preserve">Parannetut Cercanías-asemat </w:t>
            </w:r>
          </w:p>
        </w:tc>
      </w:tr>
      <w:tr w:rsidR="0065073E" w14:paraId="666848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65073E" w:rsidRDefault="000A0998">
            <w:pPr>
              <w:pStyle w:val="P68B1DB1-Normal39"/>
              <w:spacing w:after="0" w:line="240" w:lineRule="auto"/>
              <w:jc w:val="center"/>
              <w:rPr>
                <w:rFonts w:eastAsia="Times New Roman" w:cs="Times New Roman"/>
                <w:noProof/>
              </w:rPr>
            </w:pPr>
            <w:r>
              <w:rPr>
                <w:noProof/>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65073E" w:rsidRDefault="000A0998">
            <w:pPr>
              <w:pStyle w:val="P68B1DB1-Normal39"/>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65073E" w:rsidRDefault="000A0998">
            <w:pPr>
              <w:pStyle w:val="P68B1DB1-Normal39"/>
              <w:spacing w:after="0" w:line="240" w:lineRule="auto"/>
              <w:rPr>
                <w:rFonts w:eastAsia="Times New Roman" w:cs="Times New Roman"/>
                <w:noProof/>
              </w:rPr>
            </w:pPr>
            <w:r>
              <w:rPr>
                <w:noProof/>
              </w:rPr>
              <w:t>Maa-ala alueilla tai asuinalueilla, joita uudistetaan, hehtaareina, ja primäärienergian kysyntä on vähentynyt keskimäärin vähintään 30 prosenttia</w:t>
            </w:r>
          </w:p>
        </w:tc>
      </w:tr>
      <w:tr w:rsidR="0065073E" w14:paraId="5C825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65073E" w:rsidRDefault="000A0998">
            <w:pPr>
              <w:pStyle w:val="P68B1DB1-Normal39"/>
              <w:spacing w:after="0" w:line="240" w:lineRule="auto"/>
              <w:jc w:val="center"/>
              <w:rPr>
                <w:rFonts w:eastAsia="Times New Roman" w:cs="Times New Roman"/>
                <w:noProof/>
              </w:rPr>
            </w:pPr>
            <w:r>
              <w:rPr>
                <w:noProof/>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65073E" w:rsidRDefault="000A0998">
            <w:pPr>
              <w:pStyle w:val="P68B1DB1-Normal39"/>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65073E" w:rsidRDefault="000A0998">
            <w:pPr>
              <w:pStyle w:val="P68B1DB1-Normal39"/>
              <w:spacing w:after="0" w:line="240" w:lineRule="auto"/>
              <w:rPr>
                <w:rFonts w:eastAsia="Times New Roman" w:cs="Times New Roman"/>
                <w:noProof/>
              </w:rPr>
            </w:pPr>
            <w:r>
              <w:rPr>
                <w:noProof/>
              </w:rPr>
              <w:t xml:space="preserve">Asuntojen perusparannustoimien loppuun saattaminen siten, että primäärienergian kysyntää vähennetään keskimäärin vähintään 30 prosenttia (vähintään 410000 toimea vähintään 285000 yksittäisessä asunnossa) </w:t>
            </w:r>
          </w:p>
        </w:tc>
      </w:tr>
      <w:tr w:rsidR="0065073E" w14:paraId="5080237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65073E" w:rsidRDefault="000A0998">
            <w:pPr>
              <w:pStyle w:val="P68B1DB1-Normal39"/>
              <w:spacing w:after="0" w:line="240" w:lineRule="auto"/>
              <w:jc w:val="center"/>
              <w:rPr>
                <w:rFonts w:eastAsia="Times New Roman" w:cs="Times New Roman"/>
                <w:noProof/>
              </w:rPr>
            </w:pPr>
            <w:r>
              <w:rPr>
                <w:noProof/>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65073E" w:rsidRDefault="000A0998">
            <w:pPr>
              <w:pStyle w:val="P68B1DB1-Normal39"/>
              <w:spacing w:after="0" w:line="240" w:lineRule="auto"/>
              <w:rPr>
                <w:rFonts w:eastAsia="Times New Roman" w:cs="Times New Roman"/>
                <w:noProof/>
              </w:rPr>
            </w:pPr>
            <w:r>
              <w:rPr>
                <w:noProof/>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65073E" w:rsidRDefault="000A0998">
            <w:pPr>
              <w:pStyle w:val="P68B1DB1-Normal39"/>
              <w:spacing w:after="0" w:line="240" w:lineRule="auto"/>
              <w:rPr>
                <w:rFonts w:eastAsia="Times New Roman" w:cs="Times New Roman"/>
                <w:noProof/>
              </w:rPr>
            </w:pPr>
            <w:r>
              <w:rPr>
                <w:noProof/>
              </w:rPr>
              <w:t>Uudet asunnot, jotka on rakennettu sosiaalista vuokrausta varten tai kohtuulliseen hintaan energiatehokkuuskriteerien mukaisesti</w:t>
            </w:r>
          </w:p>
        </w:tc>
      </w:tr>
      <w:tr w:rsidR="0065073E" w14:paraId="71D0F1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65073E" w:rsidRDefault="000A0998">
            <w:pPr>
              <w:pStyle w:val="P68B1DB1-Normal39"/>
              <w:spacing w:after="0" w:line="240" w:lineRule="auto"/>
              <w:jc w:val="center"/>
              <w:rPr>
                <w:rFonts w:eastAsia="Times New Roman" w:cs="Times New Roman"/>
                <w:noProof/>
              </w:rPr>
            </w:pPr>
            <w:r>
              <w:rPr>
                <w:noProof/>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65073E" w:rsidRDefault="000A0998">
            <w:pPr>
              <w:pStyle w:val="P68B1DB1-Normal39"/>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65073E" w:rsidRDefault="000A0998">
            <w:pPr>
              <w:pStyle w:val="P68B1DB1-Normal39"/>
              <w:spacing w:after="0" w:line="240" w:lineRule="auto"/>
              <w:rPr>
                <w:rFonts w:eastAsia="Times New Roman" w:cs="Times New Roman"/>
                <w:noProof/>
              </w:rPr>
            </w:pPr>
            <w:r>
              <w:rPr>
                <w:noProof/>
              </w:rPr>
              <w:t xml:space="preserve">Asuinasuntojen ja muiden kuin asuinrakennusten peruskorjausten loppuun saattaminen siten, että primäärienergian kysyntä vähenee keskimäärin vähintään 30 prosenttia </w:t>
            </w:r>
          </w:p>
        </w:tc>
      </w:tr>
      <w:tr w:rsidR="0065073E" w14:paraId="787189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65073E" w:rsidRDefault="000A0998">
            <w:pPr>
              <w:pStyle w:val="P68B1DB1-Normal39"/>
              <w:spacing w:after="0" w:line="240" w:lineRule="auto"/>
              <w:jc w:val="center"/>
              <w:rPr>
                <w:rFonts w:eastAsia="Times New Roman" w:cs="Times New Roman"/>
                <w:noProof/>
              </w:rPr>
            </w:pPr>
            <w:r>
              <w:rPr>
                <w:noProof/>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65073E" w:rsidRDefault="000A0998">
            <w:pPr>
              <w:pStyle w:val="P68B1DB1-Normal39"/>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65073E" w:rsidRDefault="000A0998">
            <w:pPr>
              <w:pStyle w:val="P68B1DB1-Normal39"/>
              <w:spacing w:after="0" w:line="240" w:lineRule="auto"/>
              <w:rPr>
                <w:rFonts w:eastAsia="Times New Roman" w:cs="Times New Roman"/>
                <w:noProof/>
              </w:rPr>
            </w:pPr>
            <w:r>
              <w:rPr>
                <w:noProof/>
              </w:rPr>
              <w:t xml:space="preserve">Asuinasuntojen ja muiden kuin asuinrakennusten peruskorjaus kunnissa, joissa on alle 5000 asukasta, ja saavutetaan keskimäärin vähintään 30 prosentin vähennys primäärienergian kysynnässä </w:t>
            </w:r>
          </w:p>
        </w:tc>
      </w:tr>
      <w:tr w:rsidR="0065073E" w14:paraId="1E5FC7B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65073E" w:rsidRDefault="000A0998">
            <w:pPr>
              <w:pStyle w:val="P68B1DB1-Normal39"/>
              <w:spacing w:after="0" w:line="240" w:lineRule="auto"/>
              <w:jc w:val="center"/>
              <w:rPr>
                <w:rFonts w:eastAsia="Times New Roman" w:cs="Times New Roman"/>
                <w:noProof/>
              </w:rPr>
            </w:pPr>
            <w:r>
              <w:rPr>
                <w:noProof/>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65073E" w:rsidRDefault="000A0998">
            <w:pPr>
              <w:pStyle w:val="P68B1DB1-Normal39"/>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65073E" w:rsidRDefault="000A0998">
            <w:pPr>
              <w:pStyle w:val="P68B1DB1-Normal39"/>
              <w:spacing w:after="0" w:line="240" w:lineRule="auto"/>
              <w:rPr>
                <w:rFonts w:eastAsia="Times New Roman" w:cs="Times New Roman"/>
                <w:noProof/>
              </w:rPr>
            </w:pPr>
            <w:r>
              <w:rPr>
                <w:noProof/>
              </w:rPr>
              <w:t xml:space="preserve">Puhtaan energian hankkeet alle 5000 asukkaan kunnissa </w:t>
            </w:r>
          </w:p>
        </w:tc>
      </w:tr>
      <w:tr w:rsidR="0065073E" w14:paraId="31DA8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65073E" w:rsidRDefault="000A0998">
            <w:pPr>
              <w:pStyle w:val="P68B1DB1-Normal39"/>
              <w:spacing w:after="0" w:line="240" w:lineRule="auto"/>
              <w:jc w:val="center"/>
              <w:rPr>
                <w:rFonts w:eastAsia="Times New Roman" w:cs="Times New Roman"/>
                <w:noProof/>
              </w:rPr>
            </w:pPr>
            <w:r>
              <w:rPr>
                <w:noProof/>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65073E" w:rsidRDefault="000A0998">
            <w:pPr>
              <w:pStyle w:val="P68B1DB1-Normal39"/>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65073E" w:rsidRDefault="000A0998">
            <w:pPr>
              <w:pStyle w:val="P68B1DB1-Normal39"/>
              <w:spacing w:after="0" w:line="240" w:lineRule="auto"/>
              <w:rPr>
                <w:rFonts w:eastAsia="Times New Roman" w:cs="Times New Roman"/>
                <w:noProof/>
              </w:rPr>
            </w:pPr>
            <w:r>
              <w:rPr>
                <w:noProof/>
              </w:rPr>
              <w:t xml:space="preserve">Julkisten rakennusten peruskorjausten loppuun saattaminen siten, että primäärienergian kysyntää vähennetään keskimäärin vähintään 30 prosenttia (vähintään 1 230 000 m²) </w:t>
            </w:r>
          </w:p>
        </w:tc>
      </w:tr>
      <w:tr w:rsidR="0065073E" w14:paraId="7B54D3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65073E" w:rsidRDefault="000A0998">
            <w:pPr>
              <w:pStyle w:val="P68B1DB1-Normal39"/>
              <w:spacing w:after="0" w:line="240" w:lineRule="auto"/>
              <w:jc w:val="center"/>
              <w:rPr>
                <w:rFonts w:eastAsia="Times New Roman" w:cs="Times New Roman"/>
                <w:noProof/>
              </w:rPr>
            </w:pPr>
            <w:r>
              <w:rPr>
                <w:noProof/>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65073E" w:rsidRDefault="000A0998">
            <w:pPr>
              <w:pStyle w:val="P68B1DB1-Normal39"/>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65073E" w:rsidRDefault="000A0998">
            <w:pPr>
              <w:pStyle w:val="P68B1DB1-Normal39"/>
              <w:spacing w:after="0" w:line="240" w:lineRule="auto"/>
              <w:rPr>
                <w:rFonts w:eastAsia="Times New Roman" w:cs="Times New Roman"/>
                <w:noProof/>
              </w:rPr>
            </w:pPr>
            <w:r>
              <w:rPr>
                <w:noProof/>
              </w:rPr>
              <w:t>Kalastuslain ja kalastuksen valvonta-, tarkastus- ja seuraamusjärjestelmien nykyaikaistamista koskevan lain tarkistaminen tulee voimaan.</w:t>
            </w:r>
          </w:p>
        </w:tc>
      </w:tr>
      <w:tr w:rsidR="0065073E" w14:paraId="6BC531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65073E" w:rsidRDefault="000A0998">
            <w:pPr>
              <w:pStyle w:val="P68B1DB1-Normal39"/>
              <w:spacing w:after="0" w:line="240" w:lineRule="auto"/>
              <w:jc w:val="center"/>
              <w:rPr>
                <w:rFonts w:eastAsia="Times New Roman" w:cs="Times New Roman"/>
                <w:noProof/>
              </w:rPr>
            </w:pPr>
            <w:r>
              <w:rPr>
                <w:noProof/>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65073E" w:rsidRDefault="000A0998">
            <w:pPr>
              <w:pStyle w:val="P68B1DB1-Normal39"/>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65073E" w:rsidRDefault="000A0998">
            <w:pPr>
              <w:pStyle w:val="P68B1DB1-Normal39"/>
              <w:spacing w:after="0" w:line="240" w:lineRule="auto"/>
              <w:rPr>
                <w:rFonts w:eastAsia="Times New Roman" w:cs="Times New Roman"/>
                <w:noProof/>
              </w:rPr>
            </w:pPr>
            <w:r>
              <w:rPr>
                <w:noProof/>
              </w:rPr>
              <w:t xml:space="preserve">Kastelujärjestelmien nykyaikaistaminen vedensäästön ja energiatehokkuuden osalta  </w:t>
            </w:r>
          </w:p>
        </w:tc>
      </w:tr>
      <w:tr w:rsidR="0065073E" w14:paraId="33CF03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65073E" w:rsidRDefault="000A0998">
            <w:pPr>
              <w:pStyle w:val="P68B1DB1-Normal39"/>
              <w:spacing w:after="0" w:line="240" w:lineRule="auto"/>
              <w:jc w:val="center"/>
              <w:rPr>
                <w:rFonts w:eastAsia="Times New Roman" w:cs="Times New Roman"/>
                <w:noProof/>
              </w:rPr>
            </w:pPr>
            <w:r>
              <w:rPr>
                <w:noProof/>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65073E" w:rsidRDefault="000A0998">
            <w:pPr>
              <w:pStyle w:val="P68B1DB1-Normal39"/>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65073E" w:rsidRDefault="000A0998">
            <w:pPr>
              <w:pStyle w:val="P68B1DB1-Normal39"/>
              <w:spacing w:after="0" w:line="240" w:lineRule="auto"/>
              <w:rPr>
                <w:rFonts w:eastAsia="Times New Roman" w:cs="Times New Roman"/>
                <w:noProof/>
              </w:rPr>
            </w:pPr>
            <w:r>
              <w:rPr>
                <w:noProof/>
              </w:rPr>
              <w:t xml:space="preserve">Bioturvallisuustason 3 eläintilojen rakentamisen loppuun saattaminen. </w:t>
            </w:r>
          </w:p>
        </w:tc>
      </w:tr>
      <w:tr w:rsidR="0065073E" w14:paraId="7599FF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65073E" w:rsidRDefault="000A0998">
            <w:pPr>
              <w:pStyle w:val="P68B1DB1-Normal39"/>
              <w:spacing w:after="0" w:line="240" w:lineRule="auto"/>
              <w:jc w:val="center"/>
              <w:rPr>
                <w:rFonts w:eastAsia="Times New Roman" w:cs="Times New Roman"/>
                <w:noProof/>
              </w:rPr>
            </w:pPr>
            <w:r>
              <w:rPr>
                <w:noProof/>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65073E" w:rsidRDefault="000A0998">
            <w:pPr>
              <w:pStyle w:val="P68B1DB1-Normal39"/>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65073E" w:rsidRDefault="000A0998">
            <w:pPr>
              <w:pStyle w:val="P68B1DB1-Normal39"/>
              <w:spacing w:after="0" w:line="240" w:lineRule="auto"/>
              <w:rPr>
                <w:rFonts w:eastAsia="Times New Roman" w:cs="Times New Roman"/>
                <w:noProof/>
              </w:rPr>
            </w:pPr>
            <w:r>
              <w:rPr>
                <w:noProof/>
              </w:rPr>
              <w:t xml:space="preserve">Täsmäviljelyä, energiatehokkuutta, kiertotaloutta ja uusiutuvan energian käyttöä koskevat loppuun saatetut hankkeet  </w:t>
            </w:r>
          </w:p>
        </w:tc>
      </w:tr>
      <w:tr w:rsidR="0065073E" w14:paraId="51B0F8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65073E" w:rsidRDefault="000A0998">
            <w:pPr>
              <w:pStyle w:val="P68B1DB1-Normal39"/>
              <w:spacing w:after="0" w:line="240" w:lineRule="auto"/>
              <w:jc w:val="center"/>
              <w:rPr>
                <w:rFonts w:eastAsia="Times New Roman" w:cs="Times New Roman"/>
                <w:noProof/>
              </w:rPr>
            </w:pPr>
            <w:r>
              <w:rPr>
                <w:noProof/>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65073E" w:rsidRDefault="000A0998">
            <w:pPr>
              <w:pStyle w:val="P68B1DB1-Normal39"/>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65073E" w:rsidRDefault="000A0998">
            <w:pPr>
              <w:pStyle w:val="P68B1DB1-Normal39"/>
              <w:spacing w:after="0" w:line="240" w:lineRule="auto"/>
              <w:rPr>
                <w:rFonts w:eastAsia="Times New Roman" w:cs="Times New Roman"/>
                <w:noProof/>
              </w:rPr>
            </w:pPr>
            <w:r>
              <w:rPr>
                <w:noProof/>
              </w:rPr>
              <w:t>Luonnon monimuotoisuutta koskevan tietämyksen seuranta- ja hallintajärjestelmän loppuun saattaminen ja käyttöönotto</w:t>
            </w:r>
          </w:p>
        </w:tc>
      </w:tr>
      <w:tr w:rsidR="0065073E" w14:paraId="5753D9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65073E" w:rsidRDefault="000A0998">
            <w:pPr>
              <w:pStyle w:val="P68B1DB1-Normal39"/>
              <w:spacing w:after="0" w:line="240" w:lineRule="auto"/>
              <w:jc w:val="center"/>
              <w:rPr>
                <w:rFonts w:eastAsia="Times New Roman" w:cs="Times New Roman"/>
                <w:noProof/>
              </w:rPr>
            </w:pPr>
            <w:r>
              <w:rPr>
                <w:noProof/>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65073E" w:rsidRDefault="000A0998">
            <w:pPr>
              <w:pStyle w:val="P68B1DB1-Normal39"/>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65073E" w:rsidRDefault="000A0998">
            <w:pPr>
              <w:pStyle w:val="P68B1DB1-Normal39"/>
              <w:spacing w:after="0" w:line="240" w:lineRule="auto"/>
              <w:rPr>
                <w:rFonts w:eastAsia="Times New Roman" w:cs="Times New Roman"/>
                <w:noProof/>
              </w:rPr>
            </w:pPr>
            <w:r>
              <w:rPr>
                <w:noProof/>
              </w:rPr>
              <w:t>Biologisen monimuotoisuuden säilyttämistoimet</w:t>
            </w:r>
          </w:p>
        </w:tc>
      </w:tr>
      <w:tr w:rsidR="0065073E" w14:paraId="4C952A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65073E" w:rsidRDefault="000A0998">
            <w:pPr>
              <w:pStyle w:val="P68B1DB1-Normal39"/>
              <w:spacing w:after="0" w:line="240" w:lineRule="auto"/>
              <w:jc w:val="center"/>
              <w:rPr>
                <w:rFonts w:eastAsia="Times New Roman" w:cs="Times New Roman"/>
                <w:noProof/>
              </w:rPr>
            </w:pPr>
            <w:r>
              <w:rPr>
                <w:noProof/>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65073E" w:rsidRDefault="000A0998">
            <w:pPr>
              <w:pStyle w:val="P68B1DB1-Normal39"/>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65073E" w:rsidRDefault="000A0998">
            <w:pPr>
              <w:pStyle w:val="P68B1DB1-Normal39"/>
              <w:spacing w:after="0" w:line="240" w:lineRule="auto"/>
              <w:rPr>
                <w:rFonts w:eastAsia="Times New Roman" w:cs="Times New Roman"/>
                <w:noProof/>
              </w:rPr>
            </w:pPr>
            <w:r>
              <w:rPr>
                <w:noProof/>
              </w:rPr>
              <w:t>Entisten kaivosalueiden kunnostamisen loppuun saattaminen (vähintään 30 entistä kaivosaluetta)</w:t>
            </w:r>
          </w:p>
        </w:tc>
      </w:tr>
      <w:tr w:rsidR="0065073E" w14:paraId="378A15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65073E" w:rsidRDefault="000A0998">
            <w:pPr>
              <w:pStyle w:val="P68B1DB1-Normal39"/>
              <w:spacing w:after="0" w:line="240" w:lineRule="auto"/>
              <w:jc w:val="center"/>
              <w:rPr>
                <w:rFonts w:eastAsia="Times New Roman" w:cs="Times New Roman"/>
                <w:noProof/>
              </w:rPr>
            </w:pPr>
            <w:r>
              <w:rPr>
                <w:noProof/>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65073E" w:rsidRDefault="000A0998">
            <w:pPr>
              <w:pStyle w:val="P68B1DB1-Normal39"/>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65073E" w:rsidRDefault="000A0998">
            <w:pPr>
              <w:pStyle w:val="P68B1DB1-Normal39"/>
              <w:spacing w:after="0" w:line="240" w:lineRule="auto"/>
              <w:rPr>
                <w:rFonts w:eastAsia="Times New Roman" w:cs="Times New Roman"/>
                <w:noProof/>
              </w:rPr>
            </w:pPr>
            <w:r>
              <w:rPr>
                <w:noProof/>
              </w:rPr>
              <w:t>Kestävää metsänhoitoa koskevat toimet (II osa)</w:t>
            </w:r>
          </w:p>
        </w:tc>
      </w:tr>
      <w:tr w:rsidR="0065073E" w14:paraId="56F0C5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65073E" w:rsidRDefault="000A0998">
            <w:pPr>
              <w:pStyle w:val="P68B1DB1-Normal39"/>
              <w:spacing w:after="0" w:line="240" w:lineRule="auto"/>
              <w:jc w:val="center"/>
              <w:rPr>
                <w:rFonts w:eastAsia="Times New Roman" w:cs="Times New Roman"/>
                <w:noProof/>
              </w:rPr>
            </w:pPr>
            <w:r>
              <w:rPr>
                <w:noProof/>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65073E" w:rsidRDefault="000A0998">
            <w:pPr>
              <w:pStyle w:val="P68B1DB1-Normal39"/>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65073E" w:rsidRDefault="000A0998">
            <w:pPr>
              <w:pStyle w:val="P68B1DB1-Normal39"/>
              <w:spacing w:after="0" w:line="240" w:lineRule="auto"/>
              <w:rPr>
                <w:rFonts w:eastAsia="Times New Roman" w:cs="Times New Roman"/>
                <w:noProof/>
              </w:rPr>
            </w:pPr>
            <w:r>
              <w:rPr>
                <w:noProof/>
              </w:rPr>
              <w:t>Vesivarojen tuntemusta ja käyttöä parantavien välineiden käyttöönotto sekä sademäärien ja muiden säätietojen seuranta</w:t>
            </w:r>
          </w:p>
        </w:tc>
      </w:tr>
      <w:tr w:rsidR="0065073E" w14:paraId="1B19C0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65073E" w:rsidRDefault="000A0998">
            <w:pPr>
              <w:pStyle w:val="P68B1DB1-Normal39"/>
              <w:spacing w:after="0" w:line="240" w:lineRule="auto"/>
              <w:jc w:val="center"/>
              <w:rPr>
                <w:rFonts w:eastAsia="Times New Roman" w:cs="Times New Roman"/>
                <w:noProof/>
              </w:rPr>
            </w:pPr>
            <w:r>
              <w:rPr>
                <w:noProof/>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65073E" w:rsidRDefault="000A0998">
            <w:pPr>
              <w:pStyle w:val="P68B1DB1-Normal39"/>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65073E" w:rsidRDefault="000A0998">
            <w:pPr>
              <w:pStyle w:val="P68B1DB1-Normal39"/>
              <w:spacing w:after="0" w:line="240" w:lineRule="auto"/>
              <w:rPr>
                <w:rFonts w:eastAsia="Times New Roman" w:cs="Times New Roman"/>
                <w:noProof/>
              </w:rPr>
            </w:pPr>
            <w:r>
              <w:rPr>
                <w:noProof/>
              </w:rPr>
              <w:t>Paremmat veden ja jäteveden käsittelyinfrastruktuurit</w:t>
            </w:r>
          </w:p>
        </w:tc>
      </w:tr>
      <w:tr w:rsidR="0065073E" w14:paraId="30CAA2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65073E" w:rsidRDefault="000A0998">
            <w:pPr>
              <w:pStyle w:val="P68B1DB1-Normal39"/>
              <w:spacing w:after="0" w:line="240" w:lineRule="auto"/>
              <w:jc w:val="center"/>
              <w:rPr>
                <w:rFonts w:eastAsia="Times New Roman" w:cs="Times New Roman"/>
                <w:noProof/>
              </w:rPr>
            </w:pPr>
            <w:r>
              <w:rPr>
                <w:noProof/>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65073E" w:rsidRDefault="000A0998">
            <w:pPr>
              <w:pStyle w:val="P68B1DB1-Normal39"/>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65073E" w:rsidRDefault="000A0998">
            <w:pPr>
              <w:pStyle w:val="P68B1DB1-Normal39"/>
              <w:spacing w:after="0" w:line="240" w:lineRule="auto"/>
              <w:rPr>
                <w:rFonts w:eastAsia="Times New Roman" w:cs="Times New Roman"/>
                <w:noProof/>
              </w:rPr>
            </w:pPr>
            <w:r>
              <w:rPr>
                <w:noProof/>
              </w:rPr>
              <w:t xml:space="preserve">Paremmat veden ja jäteveden käsittelyinfrastruktuurit </w:t>
            </w:r>
          </w:p>
        </w:tc>
      </w:tr>
      <w:tr w:rsidR="0065073E" w14:paraId="03AE29D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65073E" w:rsidRDefault="000A0998">
            <w:pPr>
              <w:pStyle w:val="P68B1DB1-Normal39"/>
              <w:spacing w:after="0" w:line="240" w:lineRule="auto"/>
              <w:jc w:val="center"/>
              <w:rPr>
                <w:rFonts w:eastAsia="Times New Roman" w:cs="Times New Roman"/>
                <w:noProof/>
              </w:rPr>
            </w:pPr>
            <w:r>
              <w:rPr>
                <w:noProof/>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65073E" w:rsidRDefault="000A0998">
            <w:pPr>
              <w:pStyle w:val="P68B1DB1-Normal39"/>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65073E" w:rsidRDefault="000A0998">
            <w:pPr>
              <w:pStyle w:val="P68B1DB1-Normal39"/>
              <w:spacing w:after="0" w:line="240" w:lineRule="auto"/>
              <w:rPr>
                <w:rFonts w:eastAsia="Times New Roman" w:cs="Times New Roman"/>
                <w:noProof/>
              </w:rPr>
            </w:pPr>
            <w:r>
              <w:rPr>
                <w:noProof/>
              </w:rPr>
              <w:t>Aurinkosähkön toimitus suolanpoistolaitoksille ja sen jakelu</w:t>
            </w:r>
          </w:p>
        </w:tc>
      </w:tr>
      <w:tr w:rsidR="0065073E" w14:paraId="0379519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65073E" w:rsidRDefault="000A0998">
            <w:pPr>
              <w:pStyle w:val="P68B1DB1-Normal39"/>
              <w:spacing w:after="0" w:line="240" w:lineRule="auto"/>
              <w:jc w:val="center"/>
              <w:rPr>
                <w:rFonts w:eastAsia="Times New Roman" w:cs="Times New Roman"/>
                <w:noProof/>
              </w:rPr>
            </w:pPr>
            <w:r>
              <w:rPr>
                <w:noProof/>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65073E" w:rsidRDefault="000A0998">
            <w:pPr>
              <w:pStyle w:val="P68B1DB1-Normal39"/>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65073E" w:rsidRDefault="000A0998">
            <w:pPr>
              <w:pStyle w:val="P68B1DB1-Normal39"/>
              <w:spacing w:after="0" w:line="240" w:lineRule="auto"/>
              <w:rPr>
                <w:rFonts w:eastAsia="Times New Roman" w:cs="Times New Roman"/>
                <w:noProof/>
              </w:rPr>
            </w:pPr>
            <w:r>
              <w:rPr>
                <w:noProof/>
              </w:rPr>
              <w:t>PERTE-järjestelmää koskevat toimet veden käyttäjien digitalisaatiota varten</w:t>
            </w:r>
          </w:p>
        </w:tc>
      </w:tr>
      <w:tr w:rsidR="0065073E" w14:paraId="1551400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65073E" w:rsidRDefault="000A0998">
            <w:pPr>
              <w:pStyle w:val="P68B1DB1-Normal39"/>
              <w:spacing w:after="0" w:line="240" w:lineRule="auto"/>
              <w:jc w:val="center"/>
              <w:rPr>
                <w:rFonts w:eastAsia="Times New Roman" w:cs="Times New Roman"/>
                <w:noProof/>
              </w:rPr>
            </w:pPr>
            <w:r>
              <w:rPr>
                <w:noProof/>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65073E" w:rsidRDefault="000A0998">
            <w:pPr>
              <w:pStyle w:val="P68B1DB1-Normal39"/>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65073E" w:rsidRDefault="000A0998">
            <w:pPr>
              <w:pStyle w:val="P68B1DB1-Normal39"/>
              <w:spacing w:after="0" w:line="240" w:lineRule="auto"/>
              <w:rPr>
                <w:rFonts w:eastAsia="Times New Roman" w:cs="Times New Roman"/>
                <w:noProof/>
              </w:rPr>
            </w:pPr>
            <w:r>
              <w:rPr>
                <w:noProof/>
              </w:rPr>
              <w:t xml:space="preserve">TEN-T-ydinverkko: töiden loppuun saattaminen </w:t>
            </w:r>
          </w:p>
        </w:tc>
      </w:tr>
      <w:tr w:rsidR="0065073E" w14:paraId="75F70A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65073E" w:rsidRDefault="000A0998">
            <w:pPr>
              <w:pStyle w:val="P68B1DB1-Normal39"/>
              <w:spacing w:after="0" w:line="240" w:lineRule="auto"/>
              <w:jc w:val="center"/>
              <w:rPr>
                <w:rFonts w:eastAsia="Times New Roman" w:cs="Times New Roman"/>
                <w:noProof/>
              </w:rPr>
            </w:pPr>
            <w:r>
              <w:rPr>
                <w:noProof/>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65073E" w:rsidRDefault="000A0998">
            <w:pPr>
              <w:pStyle w:val="P68B1DB1-Normal39"/>
              <w:spacing w:after="0" w:line="240" w:lineRule="auto"/>
              <w:rPr>
                <w:rFonts w:eastAsia="Times New Roman" w:cs="Times New Roman"/>
                <w:noProof/>
              </w:rPr>
            </w:pPr>
            <w:r>
              <w:rPr>
                <w:noProof/>
              </w:rPr>
              <w:t xml:space="preserve">Uudet tai parannetut TEN-T-verkot, muut työt </w:t>
            </w:r>
          </w:p>
        </w:tc>
      </w:tr>
      <w:tr w:rsidR="0065073E" w14:paraId="352D39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65073E" w:rsidRDefault="000A0998">
            <w:pPr>
              <w:pStyle w:val="P68B1DB1-Normal39"/>
              <w:spacing w:after="0" w:line="240" w:lineRule="auto"/>
              <w:jc w:val="center"/>
              <w:rPr>
                <w:rFonts w:eastAsia="Times New Roman" w:cs="Times New Roman"/>
                <w:noProof/>
              </w:rPr>
            </w:pPr>
            <w:r>
              <w:rPr>
                <w:noProof/>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65073E" w:rsidRDefault="000A0998">
            <w:pPr>
              <w:pStyle w:val="P68B1DB1-Normal39"/>
              <w:spacing w:after="0" w:line="240" w:lineRule="auto"/>
              <w:rPr>
                <w:rFonts w:eastAsia="Times New Roman" w:cs="Times New Roman"/>
                <w:noProof/>
              </w:rPr>
            </w:pPr>
            <w:r>
              <w:rPr>
                <w:noProof/>
              </w:rPr>
              <w:t>Yhtenäinen eurooppalainen ilmatila: hankkeen loppuun saattaminen</w:t>
            </w:r>
          </w:p>
        </w:tc>
      </w:tr>
      <w:tr w:rsidR="0065073E" w14:paraId="4F4625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65073E" w:rsidRDefault="000A0998">
            <w:pPr>
              <w:pStyle w:val="P68B1DB1-Normal39"/>
              <w:spacing w:after="0" w:line="240" w:lineRule="auto"/>
              <w:jc w:val="center"/>
              <w:rPr>
                <w:rFonts w:eastAsia="Times New Roman" w:cs="Times New Roman"/>
                <w:noProof/>
              </w:rPr>
            </w:pPr>
            <w:r>
              <w:rPr>
                <w:noProof/>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65073E" w:rsidRDefault="000A0998">
            <w:pPr>
              <w:pStyle w:val="P68B1DB1-Normal39"/>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65073E" w:rsidRDefault="000A0998">
            <w:pPr>
              <w:pStyle w:val="P68B1DB1-Normal39"/>
              <w:spacing w:after="0" w:line="240" w:lineRule="auto"/>
              <w:rPr>
                <w:rFonts w:eastAsia="Times New Roman" w:cs="Times New Roman"/>
                <w:noProof/>
              </w:rPr>
            </w:pPr>
            <w:r>
              <w:rPr>
                <w:noProof/>
              </w:rPr>
              <w:t xml:space="preserve">Nykyiseen sääntelyyn mukautettu valtion tieverkko </w:t>
            </w:r>
          </w:p>
        </w:tc>
      </w:tr>
      <w:tr w:rsidR="0065073E" w14:paraId="3675B5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65073E" w:rsidRDefault="000A0998">
            <w:pPr>
              <w:pStyle w:val="P68B1DB1-Normal39"/>
              <w:spacing w:after="0" w:line="240" w:lineRule="auto"/>
              <w:jc w:val="center"/>
              <w:rPr>
                <w:rFonts w:eastAsia="Times New Roman" w:cs="Times New Roman"/>
                <w:noProof/>
              </w:rPr>
            </w:pPr>
            <w:r>
              <w:rPr>
                <w:noProof/>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65073E" w:rsidRDefault="000A0998">
            <w:pPr>
              <w:pStyle w:val="P68B1DB1-Normal39"/>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65073E" w:rsidRDefault="000A0998">
            <w:pPr>
              <w:pStyle w:val="P68B1DB1-Normal39"/>
              <w:spacing w:after="0" w:line="240" w:lineRule="auto"/>
              <w:rPr>
                <w:rFonts w:eastAsia="Times New Roman" w:cs="Times New Roman"/>
                <w:noProof/>
              </w:rPr>
            </w:pPr>
            <w:r>
              <w:rPr>
                <w:noProof/>
              </w:rPr>
              <w:t xml:space="preserve">Intermodaalinen ja logistinen infrastruktuuri  </w:t>
            </w:r>
          </w:p>
        </w:tc>
      </w:tr>
      <w:tr w:rsidR="0065073E" w14:paraId="1ACC4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65073E" w:rsidRDefault="000A0998">
            <w:pPr>
              <w:pStyle w:val="P68B1DB1-Normal39"/>
              <w:spacing w:after="0" w:line="240" w:lineRule="auto"/>
              <w:jc w:val="center"/>
              <w:rPr>
                <w:rFonts w:eastAsia="Times New Roman" w:cs="Times New Roman"/>
                <w:noProof/>
              </w:rPr>
            </w:pPr>
            <w:r>
              <w:rPr>
                <w:noProof/>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65073E" w:rsidRDefault="000A0998">
            <w:pPr>
              <w:pStyle w:val="P68B1DB1-Normal39"/>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65073E" w:rsidRDefault="000A0998">
            <w:pPr>
              <w:pStyle w:val="P68B1DB1-Normal39"/>
              <w:spacing w:after="0" w:line="240" w:lineRule="auto"/>
              <w:rPr>
                <w:rFonts w:eastAsia="Times New Roman" w:cs="Times New Roman"/>
                <w:noProof/>
              </w:rPr>
            </w:pPr>
            <w:r>
              <w:rPr>
                <w:noProof/>
              </w:rPr>
              <w:t xml:space="preserve">Rautateiden esteettömyyttä ja satamien kestävyyttä koskevien hankkeiden loppuun saattaminen </w:t>
            </w:r>
          </w:p>
        </w:tc>
      </w:tr>
      <w:tr w:rsidR="0065073E" w14:paraId="62C2EF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65073E" w:rsidRDefault="000A0998">
            <w:pPr>
              <w:pStyle w:val="P68B1DB1-Normal39"/>
              <w:spacing w:after="0" w:line="240" w:lineRule="auto"/>
              <w:jc w:val="center"/>
              <w:rPr>
                <w:rFonts w:eastAsia="Times New Roman" w:cs="Times New Roman"/>
                <w:noProof/>
              </w:rPr>
            </w:pPr>
            <w:r>
              <w:rPr>
                <w:noProof/>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65073E" w:rsidRDefault="000A0998">
            <w:pPr>
              <w:pStyle w:val="P68B1DB1-Normal39"/>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65073E" w:rsidRDefault="000A0998">
            <w:pPr>
              <w:pStyle w:val="P68B1DB1-Normal39"/>
              <w:spacing w:after="0" w:line="240" w:lineRule="auto"/>
              <w:rPr>
                <w:rFonts w:eastAsia="Times New Roman" w:cs="Times New Roman"/>
                <w:noProof/>
              </w:rPr>
            </w:pPr>
            <w:r>
              <w:rPr>
                <w:noProof/>
              </w:rPr>
              <w:t>Kestävä ja digitaalinen liikenne: töiden loppuun saattaminen</w:t>
            </w:r>
          </w:p>
        </w:tc>
      </w:tr>
      <w:tr w:rsidR="0065073E" w14:paraId="00A47A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65073E" w:rsidRDefault="000A0998">
            <w:pPr>
              <w:pStyle w:val="P68B1DB1-Normal39"/>
              <w:spacing w:after="0" w:line="240" w:lineRule="auto"/>
              <w:jc w:val="center"/>
              <w:rPr>
                <w:rFonts w:eastAsia="Times New Roman" w:cs="Times New Roman"/>
                <w:noProof/>
              </w:rPr>
            </w:pPr>
            <w:r>
              <w:rPr>
                <w:noProof/>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65073E" w:rsidRDefault="000A0998">
            <w:pPr>
              <w:pStyle w:val="P68B1DB1-Normal39"/>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65073E" w:rsidRDefault="000A0998">
            <w:pPr>
              <w:pStyle w:val="P68B1DB1-Normal39"/>
              <w:spacing w:after="0" w:line="240" w:lineRule="auto"/>
              <w:rPr>
                <w:rFonts w:eastAsia="Times New Roman" w:cs="Times New Roman"/>
                <w:noProof/>
              </w:rPr>
            </w:pPr>
            <w:r>
              <w:rPr>
                <w:noProof/>
              </w:rPr>
              <w:t>Innovatiivisen tai lisäarvoa tuottavan uusiutuvan energian tuotantokapasiteetin lisääminen</w:t>
            </w:r>
          </w:p>
        </w:tc>
      </w:tr>
      <w:tr w:rsidR="0065073E" w14:paraId="7C9458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65073E" w:rsidRDefault="000A0998">
            <w:pPr>
              <w:pStyle w:val="P68B1DB1-Normal39"/>
              <w:spacing w:after="0" w:line="240" w:lineRule="auto"/>
              <w:jc w:val="center"/>
              <w:rPr>
                <w:rFonts w:eastAsia="Times New Roman" w:cs="Times New Roman"/>
                <w:noProof/>
              </w:rPr>
            </w:pPr>
            <w:r>
              <w:rPr>
                <w:noProof/>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65073E" w:rsidRDefault="000A0998">
            <w:pPr>
              <w:pStyle w:val="P68B1DB1-Normal39"/>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65073E" w:rsidRDefault="000A0998">
            <w:pPr>
              <w:pStyle w:val="P68B1DB1-Normal39"/>
              <w:spacing w:after="0" w:line="240" w:lineRule="auto"/>
              <w:rPr>
                <w:rFonts w:eastAsia="Times New Roman" w:cs="Times New Roman"/>
                <w:noProof/>
              </w:rPr>
            </w:pPr>
            <w:r>
              <w:rPr>
                <w:noProof/>
              </w:rPr>
              <w:t>Uusiutuvan energian tuotantokapasiteetin lisääminen saarilla</w:t>
            </w:r>
          </w:p>
        </w:tc>
      </w:tr>
      <w:tr w:rsidR="0065073E" w14:paraId="614DCF1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65073E" w:rsidRDefault="000A0998">
            <w:pPr>
              <w:pStyle w:val="P68B1DB1-Normal39"/>
              <w:spacing w:after="0" w:line="240" w:lineRule="auto"/>
              <w:jc w:val="center"/>
              <w:rPr>
                <w:rFonts w:eastAsia="Times New Roman" w:cs="Times New Roman"/>
                <w:noProof/>
              </w:rPr>
            </w:pPr>
            <w:r>
              <w:rPr>
                <w:noProof/>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65073E" w:rsidRDefault="000A0998">
            <w:pPr>
              <w:pStyle w:val="P68B1DB1-Normal39"/>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65073E" w:rsidRDefault="000A0998">
            <w:pPr>
              <w:pStyle w:val="P68B1DB1-Normal39"/>
              <w:spacing w:after="0" w:line="240" w:lineRule="auto"/>
              <w:rPr>
                <w:rFonts w:eastAsia="Times New Roman" w:cs="Times New Roman"/>
                <w:noProof/>
              </w:rPr>
            </w:pPr>
            <w:r>
              <w:rPr>
                <w:noProof/>
              </w:rPr>
              <w:t xml:space="preserve">Innovatiiviset varastointihankkeet toiminnassa </w:t>
            </w:r>
          </w:p>
        </w:tc>
      </w:tr>
      <w:tr w:rsidR="0065073E" w14:paraId="08AD8C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65073E" w:rsidRDefault="000A0998">
            <w:pPr>
              <w:pStyle w:val="P68B1DB1-Normal39"/>
              <w:spacing w:after="0" w:line="240" w:lineRule="auto"/>
              <w:jc w:val="center"/>
              <w:rPr>
                <w:rFonts w:eastAsia="Times New Roman" w:cs="Times New Roman"/>
                <w:noProof/>
              </w:rPr>
            </w:pPr>
            <w:r>
              <w:rPr>
                <w:noProof/>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65073E" w:rsidRDefault="000A0998">
            <w:pPr>
              <w:pStyle w:val="P68B1DB1-Normal39"/>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65073E" w:rsidRDefault="000A0998">
            <w:pPr>
              <w:pStyle w:val="P68B1DB1-Normal39"/>
              <w:spacing w:after="0" w:line="240" w:lineRule="auto"/>
              <w:rPr>
                <w:rFonts w:eastAsia="Times New Roman" w:cs="Times New Roman"/>
                <w:noProof/>
              </w:rPr>
            </w:pPr>
            <w:r>
              <w:rPr>
                <w:noProof/>
              </w:rPr>
              <w:t>Sallittu elektrolyysilaitteiston kapasiteetti</w:t>
            </w:r>
          </w:p>
        </w:tc>
      </w:tr>
      <w:tr w:rsidR="0065073E" w14:paraId="315D87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65073E" w:rsidRDefault="000A0998">
            <w:pPr>
              <w:pStyle w:val="P68B1DB1-Normal39"/>
              <w:spacing w:after="0" w:line="240" w:lineRule="auto"/>
              <w:jc w:val="center"/>
              <w:rPr>
                <w:rFonts w:eastAsia="Times New Roman" w:cs="Times New Roman"/>
                <w:noProof/>
              </w:rPr>
            </w:pPr>
            <w:r>
              <w:rPr>
                <w:noProof/>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65073E" w:rsidRDefault="000A0998">
            <w:pPr>
              <w:pStyle w:val="P68B1DB1-Normal39"/>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65073E" w:rsidRDefault="000A0998">
            <w:pPr>
              <w:pStyle w:val="P68B1DB1-Normal39"/>
              <w:spacing w:after="0" w:line="240" w:lineRule="auto"/>
              <w:rPr>
                <w:rFonts w:eastAsia="Times New Roman" w:cs="Times New Roman"/>
                <w:noProof/>
              </w:rPr>
            </w:pPr>
            <w:r>
              <w:rPr>
                <w:noProof/>
              </w:rPr>
              <w:t>Kunnostettu maa-alue suljetuissa hiilikaivoksissa tai voimalaitosten vieressä olevilla alueilla.</w:t>
            </w:r>
          </w:p>
        </w:tc>
      </w:tr>
      <w:tr w:rsidR="0065073E" w14:paraId="19FA120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65073E" w:rsidRDefault="000A0998">
            <w:pPr>
              <w:pStyle w:val="P68B1DB1-Normal39"/>
              <w:spacing w:after="0" w:line="240" w:lineRule="auto"/>
              <w:jc w:val="center"/>
              <w:rPr>
                <w:rFonts w:eastAsia="Times New Roman" w:cs="Times New Roman"/>
                <w:noProof/>
              </w:rPr>
            </w:pPr>
            <w:r>
              <w:rPr>
                <w:noProof/>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65073E" w:rsidRDefault="000A0998">
            <w:pPr>
              <w:pStyle w:val="P68B1DB1-Normal39"/>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65073E" w:rsidRDefault="000A0998">
            <w:pPr>
              <w:pStyle w:val="P68B1DB1-Normal39"/>
              <w:spacing w:after="0" w:line="240" w:lineRule="auto"/>
              <w:rPr>
                <w:rFonts w:eastAsia="Times New Roman" w:cs="Times New Roman"/>
                <w:noProof/>
              </w:rPr>
            </w:pPr>
            <w:r>
              <w:rPr>
                <w:noProof/>
              </w:rPr>
              <w:t>Kaikkien alue- ja paikallishallinnon sekä aluepolitiikasta ja julkishallinnosta vastaavan ministeriön digitalisaatiota tukevien hankkeiden loppuun saattaminen</w:t>
            </w:r>
          </w:p>
        </w:tc>
      </w:tr>
      <w:tr w:rsidR="0065073E" w14:paraId="1DB647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65073E" w:rsidRDefault="000A0998">
            <w:pPr>
              <w:pStyle w:val="P68B1DB1-Normal39"/>
              <w:spacing w:after="0" w:line="240" w:lineRule="auto"/>
              <w:jc w:val="center"/>
              <w:rPr>
                <w:rFonts w:eastAsia="Times New Roman" w:cs="Times New Roman"/>
                <w:noProof/>
              </w:rPr>
            </w:pPr>
            <w:r>
              <w:rPr>
                <w:noProof/>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65073E" w:rsidRDefault="000A0998">
            <w:pPr>
              <w:pStyle w:val="P68B1DB1-Normal39"/>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65073E" w:rsidRDefault="000A0998">
            <w:pPr>
              <w:pStyle w:val="P68B1DB1-Normal39"/>
              <w:spacing w:after="0" w:line="240" w:lineRule="auto"/>
              <w:rPr>
                <w:rFonts w:eastAsia="Times New Roman" w:cs="Times New Roman"/>
                <w:noProof/>
              </w:rPr>
            </w:pPr>
            <w:r>
              <w:rPr>
                <w:noProof/>
              </w:rPr>
              <w:t>Henkilökohtainen digitaalinen hoitosuunnitelma toteutettu</w:t>
            </w:r>
          </w:p>
        </w:tc>
      </w:tr>
      <w:tr w:rsidR="0065073E" w14:paraId="7CBB5F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65073E" w:rsidRDefault="000A0998">
            <w:pPr>
              <w:pStyle w:val="P68B1DB1-Normal39"/>
              <w:spacing w:after="0" w:line="240" w:lineRule="auto"/>
              <w:jc w:val="center"/>
              <w:rPr>
                <w:rFonts w:eastAsia="Times New Roman" w:cs="Times New Roman"/>
                <w:noProof/>
              </w:rPr>
            </w:pPr>
            <w:r>
              <w:rPr>
                <w:noProof/>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65073E" w:rsidRDefault="000A0998">
            <w:pPr>
              <w:pStyle w:val="P68B1DB1-Normal39"/>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65073E" w:rsidRDefault="000A0998">
            <w:pPr>
              <w:pStyle w:val="P68B1DB1-Normal39"/>
              <w:spacing w:after="0" w:line="240" w:lineRule="auto"/>
              <w:rPr>
                <w:rFonts w:eastAsia="Times New Roman" w:cs="Times New Roman"/>
                <w:noProof/>
              </w:rPr>
            </w:pPr>
            <w:r>
              <w:rPr>
                <w:noProof/>
              </w:rPr>
              <w:t>Julkisten rakennusten energiaperuskorjaukset (1 050 000 m²)</w:t>
            </w:r>
          </w:p>
        </w:tc>
      </w:tr>
      <w:tr w:rsidR="0065073E" w14:paraId="3AEC4A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65073E" w:rsidRDefault="000A0998">
            <w:pPr>
              <w:pStyle w:val="P68B1DB1-Normal39"/>
              <w:spacing w:after="0" w:line="240" w:lineRule="auto"/>
              <w:jc w:val="center"/>
              <w:rPr>
                <w:rFonts w:eastAsia="Times New Roman" w:cs="Times New Roman"/>
                <w:noProof/>
              </w:rPr>
            </w:pPr>
            <w:r>
              <w:rPr>
                <w:noProof/>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65073E" w:rsidRDefault="000A0998">
            <w:pPr>
              <w:pStyle w:val="P68B1DB1-Normal39"/>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65073E" w:rsidRDefault="000A0998">
            <w:pPr>
              <w:pStyle w:val="P68B1DB1-Normal39"/>
              <w:spacing w:after="0" w:line="240" w:lineRule="auto"/>
              <w:rPr>
                <w:rFonts w:eastAsia="Times New Roman" w:cs="Times New Roman"/>
                <w:noProof/>
              </w:rPr>
            </w:pPr>
            <w:r>
              <w:rPr>
                <w:noProof/>
              </w:rPr>
              <w:t>Aurinkosähköjärjestelmien tai muiden uusiutuvien energialähteiden käyttöönotto keskushallinnon laitoksissa</w:t>
            </w:r>
          </w:p>
        </w:tc>
      </w:tr>
      <w:tr w:rsidR="0065073E" w14:paraId="342E7C5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65073E" w:rsidRDefault="000A0998">
            <w:pPr>
              <w:pStyle w:val="P68B1DB1-Normal39"/>
              <w:spacing w:after="0" w:line="240" w:lineRule="auto"/>
              <w:jc w:val="center"/>
              <w:rPr>
                <w:rFonts w:eastAsia="Times New Roman" w:cs="Times New Roman"/>
                <w:noProof/>
              </w:rPr>
            </w:pPr>
            <w:r>
              <w:rPr>
                <w:noProof/>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65073E" w:rsidRDefault="000A0998">
            <w:pPr>
              <w:pStyle w:val="P68B1DB1-Normal39"/>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65073E" w:rsidRDefault="000A0998">
            <w:pPr>
              <w:pStyle w:val="P68B1DB1-Normal39"/>
              <w:spacing w:after="0" w:line="240" w:lineRule="auto"/>
              <w:rPr>
                <w:rFonts w:eastAsia="Times New Roman" w:cs="Times New Roman"/>
                <w:noProof/>
              </w:rPr>
            </w:pPr>
            <w:r>
              <w:rPr>
                <w:noProof/>
              </w:rPr>
              <w:t xml:space="preserve">Koulutettu julkishallinnon henkilöstö </w:t>
            </w:r>
          </w:p>
        </w:tc>
      </w:tr>
      <w:tr w:rsidR="0065073E" w14:paraId="6DDE5F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65073E" w:rsidRDefault="000A0998">
            <w:pPr>
              <w:pStyle w:val="P68B1DB1-Normal39"/>
              <w:spacing w:after="0" w:line="240" w:lineRule="auto"/>
              <w:jc w:val="center"/>
              <w:rPr>
                <w:rFonts w:eastAsia="Times New Roman" w:cs="Times New Roman"/>
                <w:noProof/>
              </w:rPr>
            </w:pPr>
            <w:r>
              <w:rPr>
                <w:noProof/>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65073E" w:rsidRDefault="000A0998">
            <w:pPr>
              <w:pStyle w:val="P68B1DB1-Normal39"/>
              <w:spacing w:after="0" w:line="240" w:lineRule="auto"/>
              <w:rPr>
                <w:rFonts w:eastAsia="Times New Roman" w:cs="Times New Roman"/>
                <w:noProof/>
              </w:rPr>
            </w:pPr>
            <w:r>
              <w:rPr>
                <w:noProof/>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65073E" w:rsidRDefault="000A0998">
            <w:pPr>
              <w:pStyle w:val="P68B1DB1-Normal39"/>
              <w:spacing w:after="0" w:line="240" w:lineRule="auto"/>
              <w:rPr>
                <w:rFonts w:eastAsia="Times New Roman" w:cs="Times New Roman"/>
                <w:noProof/>
              </w:rPr>
            </w:pPr>
            <w:r>
              <w:rPr>
                <w:noProof/>
              </w:rPr>
              <w:t>Korkean lisäarvon alakohtaiset ja yhteentoimivat data-avaruudet</w:t>
            </w:r>
          </w:p>
        </w:tc>
      </w:tr>
      <w:tr w:rsidR="0065073E" w14:paraId="335403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65073E" w:rsidRDefault="000A0998">
            <w:pPr>
              <w:pStyle w:val="P68B1DB1-Normal39"/>
              <w:spacing w:after="0" w:line="240" w:lineRule="auto"/>
              <w:jc w:val="center"/>
              <w:rPr>
                <w:rFonts w:eastAsia="Times New Roman" w:cs="Times New Roman"/>
                <w:noProof/>
              </w:rPr>
            </w:pPr>
            <w:r>
              <w:rPr>
                <w:noProof/>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65073E" w:rsidRDefault="000A0998">
            <w:pPr>
              <w:pStyle w:val="P68B1DB1-Normal39"/>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65073E" w:rsidRDefault="000A0998">
            <w:pPr>
              <w:pStyle w:val="P68B1DB1-Normal39"/>
              <w:spacing w:after="0" w:line="240" w:lineRule="auto"/>
              <w:rPr>
                <w:rFonts w:eastAsia="Times New Roman" w:cs="Times New Roman"/>
                <w:noProof/>
              </w:rPr>
            </w:pPr>
            <w:r>
              <w:rPr>
                <w:noProof/>
              </w:rPr>
              <w:t>PERTE-hankkeiden ja teollisuuden muutosta koskevien innovatiivisten hankkeiden loppuun saattaminen</w:t>
            </w:r>
          </w:p>
        </w:tc>
      </w:tr>
      <w:tr w:rsidR="0065073E" w14:paraId="587C2F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65073E" w:rsidRDefault="000A0998">
            <w:pPr>
              <w:pStyle w:val="P68B1DB1-Normal39"/>
              <w:spacing w:after="0" w:line="240" w:lineRule="auto"/>
              <w:jc w:val="center"/>
              <w:rPr>
                <w:rFonts w:eastAsia="Times New Roman" w:cs="Times New Roman"/>
                <w:noProof/>
              </w:rPr>
            </w:pPr>
            <w:r>
              <w:rPr>
                <w:noProof/>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65073E" w:rsidRDefault="000A0998">
            <w:pPr>
              <w:pStyle w:val="P68B1DB1-Normal39"/>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65073E" w:rsidRDefault="000A0998">
            <w:pPr>
              <w:pStyle w:val="P68B1DB1-Normal39"/>
              <w:spacing w:after="0" w:line="240" w:lineRule="auto"/>
              <w:rPr>
                <w:rFonts w:eastAsia="Times New Roman" w:cs="Times New Roman"/>
                <w:noProof/>
              </w:rPr>
            </w:pPr>
            <w:r>
              <w:rPr>
                <w:noProof/>
              </w:rPr>
              <w:t>Erilliskerätyn yhdyskuntajätteen lisääminen</w:t>
            </w:r>
          </w:p>
        </w:tc>
      </w:tr>
      <w:tr w:rsidR="0065073E" w14:paraId="678335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65073E" w:rsidRDefault="000A0998">
            <w:pPr>
              <w:pStyle w:val="P68B1DB1-Normal39"/>
              <w:spacing w:after="0" w:line="240" w:lineRule="auto"/>
              <w:jc w:val="center"/>
              <w:rPr>
                <w:rFonts w:eastAsia="Times New Roman" w:cs="Times New Roman"/>
                <w:noProof/>
              </w:rPr>
            </w:pPr>
            <w:r>
              <w:rPr>
                <w:noProof/>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65073E" w:rsidRDefault="000A0998">
            <w:pPr>
              <w:pStyle w:val="P68B1DB1-Normal39"/>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65073E" w:rsidRDefault="000A0998">
            <w:pPr>
              <w:pStyle w:val="P68B1DB1-Normal39"/>
              <w:spacing w:after="0" w:line="240" w:lineRule="auto"/>
              <w:rPr>
                <w:rFonts w:eastAsia="Times New Roman" w:cs="Times New Roman"/>
                <w:noProof/>
              </w:rPr>
            </w:pPr>
            <w:r>
              <w:rPr>
                <w:noProof/>
              </w:rPr>
              <w:t>Jätehuoltohankkeiden loppuun saattaminen</w:t>
            </w:r>
          </w:p>
        </w:tc>
      </w:tr>
      <w:tr w:rsidR="0065073E" w14:paraId="300F47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65073E" w:rsidRDefault="000A0998">
            <w:pPr>
              <w:pStyle w:val="P68B1DB1-Normal39"/>
              <w:spacing w:after="0" w:line="240" w:lineRule="auto"/>
              <w:jc w:val="center"/>
              <w:rPr>
                <w:rFonts w:eastAsia="Times New Roman" w:cs="Times New Roman"/>
                <w:noProof/>
              </w:rPr>
            </w:pPr>
            <w:r>
              <w:rPr>
                <w:noProof/>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65073E" w:rsidRDefault="000A0998">
            <w:pPr>
              <w:pStyle w:val="P68B1DB1-Normal39"/>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65073E" w:rsidRDefault="000A0998">
            <w:pPr>
              <w:pStyle w:val="P68B1DB1-Normal39"/>
              <w:spacing w:after="0" w:line="240" w:lineRule="auto"/>
              <w:rPr>
                <w:rFonts w:eastAsia="Times New Roman" w:cs="Times New Roman"/>
                <w:noProof/>
              </w:rPr>
            </w:pPr>
            <w:r>
              <w:rPr>
                <w:noProof/>
              </w:rPr>
              <w:t xml:space="preserve">PERTE-SIRU. Puolijohteiden arvoketjun vahvistaminen (II).   </w:t>
            </w:r>
          </w:p>
        </w:tc>
      </w:tr>
      <w:tr w:rsidR="0065073E" w14:paraId="00397E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65073E" w:rsidRDefault="000A0998">
            <w:pPr>
              <w:pStyle w:val="P68B1DB1-Normal39"/>
              <w:spacing w:after="0" w:line="240" w:lineRule="auto"/>
              <w:jc w:val="center"/>
              <w:rPr>
                <w:rFonts w:eastAsia="Times New Roman" w:cs="Times New Roman"/>
                <w:noProof/>
              </w:rPr>
            </w:pPr>
            <w:r>
              <w:rPr>
                <w:noProof/>
              </w:rPr>
              <w:t>448 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65073E" w:rsidRDefault="000A0998">
            <w:pPr>
              <w:pStyle w:val="P68B1DB1-Normal39"/>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65073E" w:rsidRDefault="000A0998">
            <w:pPr>
              <w:pStyle w:val="P68B1DB1-Normal39"/>
              <w:spacing w:after="0" w:line="240" w:lineRule="auto"/>
              <w:rPr>
                <w:rFonts w:eastAsia="Times New Roman" w:cs="Times New Roman"/>
                <w:noProof/>
              </w:rPr>
            </w:pPr>
            <w:r>
              <w:rPr>
                <w:noProof/>
              </w:rPr>
              <w:t>Sähköajoneuvoalan tukijärjestelmä (avustukset): Lopullisten edunsaajien kanssa allekirjoitetut oikeudelliset sopimukset tai lopulliset myöntämispäätökset julkaistu</w:t>
            </w:r>
          </w:p>
        </w:tc>
      </w:tr>
      <w:tr w:rsidR="0065073E" w14:paraId="48438A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65073E" w:rsidRDefault="000A0998">
            <w:pPr>
              <w:pStyle w:val="P68B1DB1-Normal39"/>
              <w:spacing w:after="0" w:line="240" w:lineRule="auto"/>
              <w:jc w:val="center"/>
              <w:rPr>
                <w:rFonts w:eastAsia="Times New Roman" w:cs="Times New Roman"/>
                <w:noProof/>
              </w:rPr>
            </w:pPr>
            <w:r>
              <w:rPr>
                <w:noProof/>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65073E" w:rsidRDefault="000A0998">
            <w:pPr>
              <w:pStyle w:val="P68B1DB1-Normal39"/>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65073E" w:rsidRDefault="000A0998">
            <w:pPr>
              <w:pStyle w:val="P68B1DB1-Normal39"/>
              <w:spacing w:after="0" w:line="240" w:lineRule="auto"/>
              <w:rPr>
                <w:rFonts w:eastAsia="Times New Roman" w:cs="Times New Roman"/>
                <w:noProof/>
              </w:rPr>
            </w:pPr>
            <w:r>
              <w:rPr>
                <w:noProof/>
              </w:rPr>
              <w:t xml:space="preserve">Matkailukohteiden kestävyyttä edistävien hankkeiden loppuun saattaminen </w:t>
            </w:r>
          </w:p>
        </w:tc>
      </w:tr>
      <w:tr w:rsidR="0065073E" w14:paraId="333BC2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65073E" w:rsidRDefault="000A0998">
            <w:pPr>
              <w:pStyle w:val="P68B1DB1-Normal39"/>
              <w:spacing w:after="0" w:line="240" w:lineRule="auto"/>
              <w:jc w:val="center"/>
              <w:rPr>
                <w:rFonts w:eastAsia="Times New Roman" w:cs="Times New Roman"/>
                <w:noProof/>
              </w:rPr>
            </w:pPr>
            <w:r>
              <w:rPr>
                <w:noProof/>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65073E" w:rsidRDefault="000A0998">
            <w:pPr>
              <w:pStyle w:val="P68B1DB1-Normal39"/>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65073E" w:rsidRDefault="000A0998">
            <w:pPr>
              <w:pStyle w:val="P68B1DB1-Normal39"/>
              <w:spacing w:after="0" w:line="240" w:lineRule="auto"/>
              <w:rPr>
                <w:rFonts w:eastAsia="Times New Roman" w:cs="Times New Roman"/>
                <w:noProof/>
              </w:rPr>
            </w:pPr>
            <w:r>
              <w:rPr>
                <w:noProof/>
              </w:rPr>
              <w:t>Historiallisten kulttuuriperintökohteiden elvyttämishankkeet, joissa käytetään nykyistä tai tulevaa matkailua</w:t>
            </w:r>
          </w:p>
        </w:tc>
      </w:tr>
      <w:tr w:rsidR="0065073E" w14:paraId="2D556B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65073E" w:rsidRDefault="000A0998">
            <w:pPr>
              <w:pStyle w:val="P68B1DB1-Normal39"/>
              <w:spacing w:after="0" w:line="240" w:lineRule="auto"/>
              <w:jc w:val="center"/>
              <w:rPr>
                <w:rFonts w:eastAsia="Times New Roman" w:cs="Times New Roman"/>
                <w:noProof/>
              </w:rPr>
            </w:pPr>
            <w:r>
              <w:rPr>
                <w:noProof/>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65073E" w:rsidRDefault="000A0998">
            <w:pPr>
              <w:pStyle w:val="P68B1DB1-Normal39"/>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65073E" w:rsidRDefault="000A0998">
            <w:pPr>
              <w:pStyle w:val="P68B1DB1-Normal39"/>
              <w:spacing w:after="0" w:line="240" w:lineRule="auto"/>
              <w:rPr>
                <w:rFonts w:eastAsia="Times New Roman" w:cs="Times New Roman"/>
                <w:noProof/>
              </w:rPr>
            </w:pPr>
            <w:r>
              <w:rPr>
                <w:noProof/>
              </w:rPr>
              <w:t>Rajatylittävän digitaalisen infrastruktuurin parantaminen: hankkeen loppuun saattaminen</w:t>
            </w:r>
          </w:p>
        </w:tc>
      </w:tr>
      <w:tr w:rsidR="0065073E" w14:paraId="50EC3F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65073E" w:rsidRDefault="000A0998">
            <w:pPr>
              <w:pStyle w:val="P68B1DB1-Normal39"/>
              <w:spacing w:after="0" w:line="240" w:lineRule="auto"/>
              <w:jc w:val="center"/>
              <w:rPr>
                <w:rFonts w:eastAsia="Times New Roman" w:cs="Times New Roman"/>
                <w:noProof/>
              </w:rPr>
            </w:pPr>
            <w:r>
              <w:rPr>
                <w:noProof/>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65073E" w:rsidRDefault="000A0998">
            <w:pPr>
              <w:pStyle w:val="P68B1DB1-Normal39"/>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65073E" w:rsidRDefault="000A0998">
            <w:pPr>
              <w:pStyle w:val="P68B1DB1-Normal39"/>
              <w:spacing w:after="0" w:line="240" w:lineRule="auto"/>
              <w:rPr>
                <w:rFonts w:eastAsia="Times New Roman" w:cs="Times New Roman"/>
                <w:noProof/>
              </w:rPr>
            </w:pPr>
            <w:r>
              <w:rPr>
                <w:noProof/>
              </w:rPr>
              <w:t>5G-teknologian käyttöönotto: Hankkeen loppuun saattaminen</w:t>
            </w:r>
          </w:p>
        </w:tc>
      </w:tr>
      <w:tr w:rsidR="0065073E" w14:paraId="0F8474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65073E" w:rsidRDefault="000A0998">
            <w:pPr>
              <w:pStyle w:val="P68B1DB1-Normal39"/>
              <w:spacing w:after="0" w:line="240" w:lineRule="auto"/>
              <w:jc w:val="center"/>
              <w:rPr>
                <w:rFonts w:eastAsia="Times New Roman" w:cs="Times New Roman"/>
                <w:noProof/>
              </w:rPr>
            </w:pPr>
            <w:r>
              <w:rPr>
                <w:noProof/>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65073E" w:rsidRDefault="000A0998">
            <w:pPr>
              <w:pStyle w:val="P68B1DB1-Normal39"/>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65073E" w:rsidRDefault="000A0998">
            <w:pPr>
              <w:pStyle w:val="P68B1DB1-Normal39"/>
              <w:spacing w:after="0" w:line="240" w:lineRule="auto"/>
              <w:rPr>
                <w:rFonts w:eastAsia="Times New Roman" w:cs="Times New Roman"/>
                <w:noProof/>
              </w:rPr>
            </w:pPr>
            <w:r>
              <w:rPr>
                <w:noProof/>
              </w:rPr>
              <w:t>Kansallisen kyberturvallisuusalan tukiohjelman, maailmanlaajuisen turvallisuusinnovaatio-ohjelman ja niihin liittyvien toimien hankkeiden loppuun saattaminen.</w:t>
            </w:r>
          </w:p>
        </w:tc>
      </w:tr>
      <w:tr w:rsidR="0065073E" w14:paraId="22AFB1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65073E" w:rsidRDefault="000A0998">
            <w:pPr>
              <w:pStyle w:val="P68B1DB1-Normal39"/>
              <w:spacing w:after="0" w:line="240" w:lineRule="auto"/>
              <w:jc w:val="center"/>
              <w:rPr>
                <w:rFonts w:eastAsia="Times New Roman" w:cs="Times New Roman"/>
                <w:noProof/>
              </w:rPr>
            </w:pPr>
            <w:r>
              <w:rPr>
                <w:noProof/>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65073E" w:rsidRDefault="000A0998">
            <w:pPr>
              <w:pStyle w:val="P68B1DB1-Normal39"/>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65073E" w:rsidRDefault="000A0998">
            <w:pPr>
              <w:pStyle w:val="P68B1DB1-Normal39"/>
              <w:spacing w:after="0" w:line="240" w:lineRule="auto"/>
              <w:rPr>
                <w:rFonts w:eastAsia="Times New Roman" w:cs="Times New Roman"/>
                <w:noProof/>
              </w:rPr>
            </w:pPr>
            <w:r>
              <w:rPr>
                <w:noProof/>
              </w:rPr>
              <w:t>PERTE-SIRU. Tieteellisten valmiuksien, suunnittelun ja innovatiivisen valmistuksen vahvistaminen: maksut.</w:t>
            </w:r>
          </w:p>
        </w:tc>
      </w:tr>
      <w:tr w:rsidR="0065073E" w14:paraId="45C82A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65073E" w:rsidRDefault="000A0998">
            <w:pPr>
              <w:pStyle w:val="P68B1DB1-Normal39"/>
              <w:spacing w:after="0" w:line="240" w:lineRule="auto"/>
              <w:jc w:val="center"/>
              <w:rPr>
                <w:rFonts w:eastAsia="Times New Roman" w:cs="Times New Roman"/>
                <w:noProof/>
              </w:rPr>
            </w:pPr>
            <w:r>
              <w:rPr>
                <w:noProof/>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65073E" w:rsidRDefault="000A0998">
            <w:pPr>
              <w:pStyle w:val="P68B1DB1-Normal39"/>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65073E" w:rsidRDefault="000A0998">
            <w:pPr>
              <w:pStyle w:val="P68B1DB1-Normal39"/>
              <w:spacing w:after="0" w:line="240" w:lineRule="auto"/>
              <w:rPr>
                <w:rFonts w:eastAsia="Times New Roman" w:cs="Times New Roman"/>
                <w:noProof/>
              </w:rPr>
            </w:pPr>
            <w:r>
              <w:rPr>
                <w:noProof/>
              </w:rPr>
              <w:t>PERTE-SIRU. Puheenjohtajat ja mikroelektroniikan osaaminen</w:t>
            </w:r>
          </w:p>
        </w:tc>
      </w:tr>
      <w:tr w:rsidR="0065073E" w14:paraId="6825F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65073E" w:rsidRDefault="000A0998">
            <w:pPr>
              <w:pStyle w:val="P68B1DB1-Normal39"/>
              <w:spacing w:after="0" w:line="240" w:lineRule="auto"/>
              <w:jc w:val="center"/>
              <w:rPr>
                <w:rFonts w:eastAsia="Times New Roman" w:cs="Times New Roman"/>
                <w:noProof/>
              </w:rPr>
            </w:pPr>
            <w:r>
              <w:rPr>
                <w:noProof/>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65073E" w:rsidRDefault="000A0998">
            <w:pPr>
              <w:pStyle w:val="P68B1DB1-Normal39"/>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65073E" w:rsidRDefault="000A0998">
            <w:pPr>
              <w:pStyle w:val="P68B1DB1-Normal39"/>
              <w:spacing w:after="0" w:line="240" w:lineRule="auto"/>
              <w:rPr>
                <w:rFonts w:eastAsia="Times New Roman" w:cs="Times New Roman"/>
                <w:noProof/>
              </w:rPr>
            </w:pPr>
            <w:r>
              <w:rPr>
                <w:noProof/>
              </w:rPr>
              <w:t xml:space="preserve">Maakohtaiset vierailut </w:t>
            </w:r>
          </w:p>
        </w:tc>
      </w:tr>
      <w:tr w:rsidR="0065073E" w14:paraId="1615B51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65073E" w:rsidRDefault="000A0998">
            <w:pPr>
              <w:pStyle w:val="P68B1DB1-Normal39"/>
              <w:spacing w:after="0" w:line="240" w:lineRule="auto"/>
              <w:jc w:val="center"/>
              <w:rPr>
                <w:rFonts w:eastAsia="Times New Roman" w:cs="Times New Roman"/>
                <w:noProof/>
              </w:rPr>
            </w:pPr>
            <w:r>
              <w:rPr>
                <w:noProof/>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65073E" w:rsidRDefault="000A0998">
            <w:pPr>
              <w:pStyle w:val="P68B1DB1-Normal39"/>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65073E" w:rsidRDefault="000A0998">
            <w:pPr>
              <w:pStyle w:val="P68B1DB1-Normal39"/>
              <w:spacing w:after="0" w:line="240" w:lineRule="auto"/>
              <w:rPr>
                <w:rFonts w:eastAsia="Times New Roman" w:cs="Times New Roman"/>
                <w:noProof/>
              </w:rPr>
            </w:pPr>
            <w:r>
              <w:rPr>
                <w:noProof/>
              </w:rPr>
              <w:t xml:space="preserve">Tekoälyä koskevien hankkeiden loppuun saattaminen </w:t>
            </w:r>
          </w:p>
        </w:tc>
      </w:tr>
      <w:tr w:rsidR="0065073E" w14:paraId="031A7A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65073E" w:rsidRDefault="000A0998">
            <w:pPr>
              <w:pStyle w:val="P68B1DB1-Normal39"/>
              <w:spacing w:after="0" w:line="240" w:lineRule="auto"/>
              <w:jc w:val="center"/>
              <w:rPr>
                <w:rFonts w:eastAsia="Times New Roman" w:cs="Times New Roman"/>
                <w:noProof/>
              </w:rPr>
            </w:pPr>
            <w:r>
              <w:rPr>
                <w:noProof/>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65073E" w:rsidRDefault="000A0998">
            <w:pPr>
              <w:pStyle w:val="P68B1DB1-Normal39"/>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65073E" w:rsidRDefault="000A0998">
            <w:pPr>
              <w:pStyle w:val="P68B1DB1-Normal39"/>
              <w:spacing w:after="0" w:line="240" w:lineRule="auto"/>
              <w:rPr>
                <w:rFonts w:eastAsia="Times New Roman" w:cs="Times New Roman"/>
                <w:noProof/>
              </w:rPr>
            </w:pPr>
            <w:r>
              <w:rPr>
                <w:noProof/>
              </w:rPr>
              <w:t>PERTE-SIRU. Kvanttiekosysteemin vahvistaminen.</w:t>
            </w:r>
          </w:p>
        </w:tc>
      </w:tr>
      <w:tr w:rsidR="0065073E" w14:paraId="4563F5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65073E" w:rsidRDefault="000A0998">
            <w:pPr>
              <w:pStyle w:val="P68B1DB1-Normal39"/>
              <w:spacing w:after="0" w:line="240" w:lineRule="auto"/>
              <w:jc w:val="center"/>
              <w:rPr>
                <w:rFonts w:eastAsia="Times New Roman" w:cs="Times New Roman"/>
                <w:noProof/>
              </w:rPr>
            </w:pPr>
            <w:r>
              <w:rPr>
                <w:noProof/>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65073E" w:rsidRDefault="000A0998">
            <w:pPr>
              <w:pStyle w:val="P68B1DB1-Normal39"/>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65073E" w:rsidRDefault="000A0998">
            <w:pPr>
              <w:pStyle w:val="P68B1DB1-Normal39"/>
              <w:spacing w:after="0" w:line="240" w:lineRule="auto"/>
              <w:rPr>
                <w:rFonts w:eastAsia="Times New Roman" w:cs="Times New Roman"/>
                <w:noProof/>
              </w:rPr>
            </w:pPr>
            <w:r>
              <w:rPr>
                <w:noProof/>
              </w:rPr>
              <w:t>Kaikkien Espanjan tiede-, teknologia- ja innovointijärjestelmän tieteellisiä infrastruktuureja ja valmiuksia parantavien hankkeiden loppuun saattaminen, mukaan lukien eurooppalaista ja kansainvälistä infrastruktuuria koskevat hankkeet.</w:t>
            </w:r>
          </w:p>
        </w:tc>
      </w:tr>
      <w:tr w:rsidR="0065073E" w14:paraId="28E085B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65073E" w:rsidRDefault="000A0998">
            <w:pPr>
              <w:pStyle w:val="P68B1DB1-Normal39"/>
              <w:spacing w:after="0" w:line="240" w:lineRule="auto"/>
              <w:jc w:val="center"/>
              <w:rPr>
                <w:rFonts w:eastAsia="Times New Roman" w:cs="Times New Roman"/>
                <w:noProof/>
              </w:rPr>
            </w:pPr>
            <w:r>
              <w:rPr>
                <w:noProof/>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65073E" w:rsidRDefault="000A0998">
            <w:pPr>
              <w:pStyle w:val="P68B1DB1-Normal39"/>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65073E" w:rsidRDefault="000A0998">
            <w:pPr>
              <w:pStyle w:val="P68B1DB1-Normal39"/>
              <w:spacing w:after="0" w:line="240" w:lineRule="auto"/>
              <w:rPr>
                <w:rFonts w:eastAsia="Times New Roman" w:cs="Times New Roman"/>
                <w:noProof/>
              </w:rPr>
            </w:pPr>
            <w:r>
              <w:rPr>
                <w:noProof/>
              </w:rPr>
              <w:t xml:space="preserve">Apurahojen ja apurahojen loppuun saattaminen Espanjan tieteellisen tutkijanuran tukemiseksi </w:t>
            </w:r>
          </w:p>
        </w:tc>
      </w:tr>
      <w:tr w:rsidR="0065073E" w14:paraId="63809B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65073E" w:rsidRDefault="000A0998">
            <w:pPr>
              <w:pStyle w:val="P68B1DB1-Normal39"/>
              <w:spacing w:after="0" w:line="240" w:lineRule="auto"/>
              <w:jc w:val="center"/>
              <w:rPr>
                <w:rFonts w:eastAsia="Times New Roman" w:cs="Times New Roman"/>
                <w:noProof/>
              </w:rPr>
            </w:pPr>
            <w:r>
              <w:rPr>
                <w:noProof/>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65073E" w:rsidRDefault="000A0998">
            <w:pPr>
              <w:pStyle w:val="P68B1DB1-Normal39"/>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65073E" w:rsidRDefault="000A0998">
            <w:pPr>
              <w:pStyle w:val="P68B1DB1-Normal39"/>
              <w:spacing w:after="0" w:line="240" w:lineRule="auto"/>
              <w:rPr>
                <w:rFonts w:eastAsia="Times New Roman" w:cs="Times New Roman"/>
                <w:noProof/>
              </w:rPr>
            </w:pPr>
            <w:r>
              <w:rPr>
                <w:noProof/>
              </w:rPr>
              <w:t>Teknologian siirtoa edistävien hankkeiden loppuun saattaminen ja innovatiivisten teknologioiden tutkimustulosten siirron tukeminen</w:t>
            </w:r>
          </w:p>
        </w:tc>
      </w:tr>
      <w:tr w:rsidR="0065073E" w14:paraId="2D131F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65073E" w:rsidRDefault="000A0998">
            <w:pPr>
              <w:pStyle w:val="P68B1DB1-Normal39"/>
              <w:spacing w:after="0" w:line="240" w:lineRule="auto"/>
              <w:jc w:val="center"/>
              <w:rPr>
                <w:rFonts w:eastAsia="Times New Roman" w:cs="Times New Roman"/>
                <w:noProof/>
              </w:rPr>
            </w:pPr>
            <w:r>
              <w:rPr>
                <w:noProof/>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65073E" w:rsidRDefault="000A0998">
            <w:pPr>
              <w:pStyle w:val="P68B1DB1-Normal39"/>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65073E" w:rsidRDefault="000A0998">
            <w:pPr>
              <w:pStyle w:val="P68B1DB1-Normal39"/>
              <w:spacing w:after="0" w:line="240" w:lineRule="auto"/>
              <w:rPr>
                <w:rFonts w:eastAsia="Times New Roman" w:cs="Times New Roman"/>
                <w:noProof/>
              </w:rPr>
            </w:pPr>
            <w:r>
              <w:rPr>
                <w:noProof/>
              </w:rPr>
              <w:t xml:space="preserve">Kaikkien terveydenhuoltoalan tutkimuksen kehittämisen ja innovoinnin vahvistamista koskevien hankkeiden loppuun saattaminen. </w:t>
            </w:r>
          </w:p>
        </w:tc>
      </w:tr>
      <w:tr w:rsidR="0065073E" w14:paraId="5CA654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65073E" w:rsidRDefault="000A0998">
            <w:pPr>
              <w:pStyle w:val="P68B1DB1-Normal39"/>
              <w:spacing w:after="0" w:line="240" w:lineRule="auto"/>
              <w:jc w:val="center"/>
              <w:rPr>
                <w:rFonts w:eastAsia="Times New Roman" w:cs="Times New Roman"/>
                <w:noProof/>
              </w:rPr>
            </w:pPr>
            <w:r>
              <w:rPr>
                <w:noProof/>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65073E" w:rsidRDefault="000A0998">
            <w:pPr>
              <w:pStyle w:val="P68B1DB1-Normal39"/>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65073E" w:rsidRDefault="000A0998">
            <w:pPr>
              <w:pStyle w:val="P68B1DB1-Normal39"/>
              <w:spacing w:after="0" w:line="240" w:lineRule="auto"/>
              <w:rPr>
                <w:rFonts w:eastAsia="Times New Roman" w:cs="Times New Roman"/>
                <w:noProof/>
              </w:rPr>
            </w:pPr>
            <w:r>
              <w:rPr>
                <w:noProof/>
              </w:rPr>
              <w:t xml:space="preserve">Varojen maksaminen PERTE Health -ohjelman t &amp; k-hankkeisiin  </w:t>
            </w:r>
          </w:p>
        </w:tc>
      </w:tr>
      <w:tr w:rsidR="0065073E" w14:paraId="6290EB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65073E" w:rsidRDefault="000A0998">
            <w:pPr>
              <w:pStyle w:val="P68B1DB1-Normal39"/>
              <w:spacing w:after="0" w:line="240" w:lineRule="auto"/>
              <w:jc w:val="center"/>
              <w:rPr>
                <w:rFonts w:eastAsia="Times New Roman" w:cs="Times New Roman"/>
                <w:noProof/>
              </w:rPr>
            </w:pPr>
            <w:r>
              <w:rPr>
                <w:noProof/>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65073E" w:rsidRDefault="000A0998">
            <w:pPr>
              <w:pStyle w:val="P68B1DB1-Normal39"/>
              <w:spacing w:after="0" w:line="240" w:lineRule="auto"/>
              <w:rPr>
                <w:rFonts w:eastAsia="Times New Roman" w:cs="Times New Roman"/>
                <w:noProof/>
              </w:rPr>
            </w:pPr>
            <w:r>
              <w:rPr>
                <w:noProof/>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65073E" w:rsidRDefault="000A0998">
            <w:pPr>
              <w:pStyle w:val="P68B1DB1-Normal39"/>
              <w:spacing w:after="0" w:line="240" w:lineRule="auto"/>
              <w:rPr>
                <w:rFonts w:eastAsia="Times New Roman" w:cs="Times New Roman"/>
                <w:noProof/>
              </w:rPr>
            </w:pPr>
            <w:r>
              <w:rPr>
                <w:noProof/>
              </w:rPr>
              <w:t xml:space="preserve">Energian varastoinnin tutkimus- ja kehittämiskeskus </w:t>
            </w:r>
          </w:p>
        </w:tc>
      </w:tr>
      <w:tr w:rsidR="0065073E" w14:paraId="2E344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65073E" w:rsidRDefault="000A0998">
            <w:pPr>
              <w:pStyle w:val="P68B1DB1-Normal39"/>
              <w:spacing w:after="0" w:line="240" w:lineRule="auto"/>
              <w:jc w:val="center"/>
              <w:rPr>
                <w:rFonts w:eastAsia="Times New Roman" w:cs="Times New Roman"/>
                <w:noProof/>
              </w:rPr>
            </w:pPr>
            <w:r>
              <w:rPr>
                <w:noProof/>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65073E" w:rsidRDefault="000A0998">
            <w:pPr>
              <w:pStyle w:val="P68B1DB1-Normal39"/>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65073E" w:rsidRDefault="000A0998">
            <w:pPr>
              <w:pStyle w:val="P68B1DB1-Normal39"/>
              <w:spacing w:after="0" w:line="240" w:lineRule="auto"/>
              <w:rPr>
                <w:rFonts w:eastAsia="Times New Roman" w:cs="Times New Roman"/>
                <w:noProof/>
              </w:rPr>
            </w:pPr>
            <w:r>
              <w:rPr>
                <w:noProof/>
              </w:rPr>
              <w:t xml:space="preserve">Ilmailu- ja avaruusalan T &amp; K &amp; Innovaatiohankkeiden loppuun saattaminen keskittyen vähäpäästöiseen ja päästöttömään </w:t>
            </w:r>
          </w:p>
        </w:tc>
      </w:tr>
      <w:tr w:rsidR="0065073E" w14:paraId="76B53D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65073E" w:rsidRDefault="000A0998">
            <w:pPr>
              <w:pStyle w:val="P68B1DB1-Normal39"/>
              <w:spacing w:after="0" w:line="240" w:lineRule="auto"/>
              <w:jc w:val="center"/>
              <w:rPr>
                <w:rFonts w:eastAsia="Times New Roman" w:cs="Times New Roman"/>
                <w:noProof/>
              </w:rPr>
            </w:pPr>
            <w:r>
              <w:rPr>
                <w:noProof/>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65073E" w:rsidRDefault="000A0998">
            <w:pPr>
              <w:pStyle w:val="P68B1DB1-Normal39"/>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65073E" w:rsidRDefault="000A0998">
            <w:pPr>
              <w:pStyle w:val="P68B1DB1-Normal39"/>
              <w:spacing w:after="0" w:line="240" w:lineRule="auto"/>
              <w:rPr>
                <w:rFonts w:eastAsia="Times New Roman" w:cs="Times New Roman"/>
                <w:noProof/>
              </w:rPr>
            </w:pPr>
            <w:r>
              <w:rPr>
                <w:noProof/>
              </w:rPr>
              <w:t>Varojen maksaminen ilmailu- ja avaruusalan PERTE-ohjelman hankkeisiin.</w:t>
            </w:r>
          </w:p>
        </w:tc>
      </w:tr>
      <w:tr w:rsidR="0065073E" w14:paraId="7A1649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65073E" w:rsidRDefault="000A0998">
            <w:pPr>
              <w:pStyle w:val="P68B1DB1-Normal39"/>
              <w:spacing w:after="0" w:line="240" w:lineRule="auto"/>
              <w:jc w:val="center"/>
              <w:rPr>
                <w:rFonts w:eastAsia="Times New Roman" w:cs="Times New Roman"/>
                <w:noProof/>
              </w:rPr>
            </w:pPr>
            <w:r>
              <w:rPr>
                <w:noProof/>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65073E" w:rsidRDefault="000A0998">
            <w:pPr>
              <w:pStyle w:val="P68B1DB1-Normal39"/>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65073E" w:rsidRDefault="000A0998">
            <w:pPr>
              <w:pStyle w:val="P68B1DB1-Normal39"/>
              <w:spacing w:after="0" w:line="240" w:lineRule="auto"/>
              <w:rPr>
                <w:rFonts w:eastAsia="Times New Roman" w:cs="Times New Roman"/>
                <w:noProof/>
              </w:rPr>
            </w:pPr>
            <w:r>
              <w:rPr>
                <w:noProof/>
              </w:rPr>
              <w:t>Terveydenhuollon ammattilaisten koulutus ja resurssit tiedon jakamiseksi</w:t>
            </w:r>
          </w:p>
        </w:tc>
      </w:tr>
      <w:tr w:rsidR="0065073E" w14:paraId="0DA0FD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65073E" w:rsidRDefault="000A0998">
            <w:pPr>
              <w:pStyle w:val="P68B1DB1-Normal39"/>
              <w:spacing w:after="0" w:line="240" w:lineRule="auto"/>
              <w:jc w:val="center"/>
              <w:rPr>
                <w:rFonts w:eastAsia="Times New Roman" w:cs="Times New Roman"/>
                <w:noProof/>
              </w:rPr>
            </w:pPr>
            <w:r>
              <w:rPr>
                <w:noProof/>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65073E" w:rsidRDefault="000A0998">
            <w:pPr>
              <w:pStyle w:val="P68B1DB1-Normal39"/>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65073E" w:rsidRDefault="000A0998">
            <w:pPr>
              <w:pStyle w:val="P68B1DB1-Normal39"/>
              <w:spacing w:after="0" w:line="240" w:lineRule="auto"/>
              <w:rPr>
                <w:rFonts w:eastAsia="Times New Roman" w:cs="Times New Roman"/>
                <w:noProof/>
              </w:rPr>
            </w:pPr>
            <w:r>
              <w:rPr>
                <w:noProof/>
              </w:rPr>
              <w:t>Suunnitelma lääkkeiden kulutuksen järkeistämiseksi ja kestävyyden edistämiseksi</w:t>
            </w:r>
          </w:p>
        </w:tc>
      </w:tr>
      <w:tr w:rsidR="0065073E" w14:paraId="33D78F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65073E" w:rsidRDefault="000A0998">
            <w:pPr>
              <w:pStyle w:val="P68B1DB1-Normal39"/>
              <w:spacing w:after="0" w:line="240" w:lineRule="auto"/>
              <w:jc w:val="center"/>
              <w:rPr>
                <w:rFonts w:eastAsia="Times New Roman" w:cs="Times New Roman"/>
                <w:noProof/>
              </w:rPr>
            </w:pPr>
            <w:r>
              <w:rPr>
                <w:noProof/>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65073E" w:rsidRDefault="000A0998">
            <w:pPr>
              <w:pStyle w:val="P68B1DB1-Normal39"/>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65073E" w:rsidRDefault="000A0998">
            <w:pPr>
              <w:pStyle w:val="P68B1DB1-Normal39"/>
              <w:spacing w:after="0" w:line="240" w:lineRule="auto"/>
              <w:rPr>
                <w:rFonts w:eastAsia="Times New Roman" w:cs="Times New Roman"/>
                <w:noProof/>
              </w:rPr>
            </w:pPr>
            <w:r>
              <w:rPr>
                <w:noProof/>
              </w:rPr>
              <w:t xml:space="preserve">Harvinaisia sairauksia sairastavien potilaiden terveydenhuollon parantamiseen tähtäävien hankkeiden loppuun saattaminen </w:t>
            </w:r>
          </w:p>
        </w:tc>
      </w:tr>
      <w:tr w:rsidR="0065073E" w14:paraId="329A60A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65073E" w:rsidRDefault="000A0998">
            <w:pPr>
              <w:pStyle w:val="P68B1DB1-Normal39"/>
              <w:spacing w:after="0" w:line="240" w:lineRule="auto"/>
              <w:jc w:val="center"/>
              <w:rPr>
                <w:rFonts w:eastAsia="Times New Roman" w:cs="Times New Roman"/>
                <w:noProof/>
              </w:rPr>
            </w:pPr>
            <w:r>
              <w:rPr>
                <w:noProof/>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65073E" w:rsidRDefault="000A0998">
            <w:pPr>
              <w:pStyle w:val="P68B1DB1-Normal39"/>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65073E" w:rsidRDefault="000A0998">
            <w:pPr>
              <w:pStyle w:val="P68B1DB1-Normal39"/>
              <w:spacing w:after="0" w:line="240" w:lineRule="auto"/>
              <w:rPr>
                <w:rFonts w:eastAsia="Times New Roman" w:cs="Times New Roman"/>
                <w:noProof/>
              </w:rPr>
            </w:pPr>
            <w:r>
              <w:rPr>
                <w:noProof/>
              </w:rPr>
              <w:t>Genomipalvelujen laajentaminen kansallisessa terveydenhuoltojärjestelmässä</w:t>
            </w:r>
          </w:p>
        </w:tc>
      </w:tr>
      <w:tr w:rsidR="0065073E" w14:paraId="576B56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65073E" w:rsidRDefault="000A0998">
            <w:pPr>
              <w:pStyle w:val="P68B1DB1-Normal39"/>
              <w:spacing w:after="0" w:line="240" w:lineRule="auto"/>
              <w:jc w:val="center"/>
              <w:rPr>
                <w:rFonts w:eastAsia="Times New Roman" w:cs="Times New Roman"/>
                <w:noProof/>
              </w:rPr>
            </w:pPr>
            <w:r>
              <w:rPr>
                <w:noProof/>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65073E" w:rsidRDefault="000A0998">
            <w:pPr>
              <w:pStyle w:val="P68B1DB1-Normal39"/>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65073E" w:rsidRDefault="000A0998">
            <w:pPr>
              <w:pStyle w:val="P68B1DB1-Normal39"/>
              <w:spacing w:after="0" w:line="240" w:lineRule="auto"/>
              <w:rPr>
                <w:rFonts w:eastAsia="Times New Roman" w:cs="Times New Roman"/>
                <w:noProof/>
              </w:rPr>
            </w:pPr>
            <w:r>
              <w:rPr>
                <w:noProof/>
              </w:rPr>
              <w:t>Kansalaisille suunnattu digitaalisia taitoja koskeva koulutus.</w:t>
            </w:r>
          </w:p>
        </w:tc>
      </w:tr>
      <w:tr w:rsidR="0065073E" w14:paraId="439E8C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65073E" w:rsidRDefault="000A0998">
            <w:pPr>
              <w:pStyle w:val="P68B1DB1-Normal39"/>
              <w:spacing w:after="0" w:line="240" w:lineRule="auto"/>
              <w:jc w:val="center"/>
              <w:rPr>
                <w:rFonts w:eastAsia="Times New Roman" w:cs="Times New Roman"/>
                <w:noProof/>
              </w:rPr>
            </w:pPr>
            <w:r>
              <w:rPr>
                <w:noProof/>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65073E" w:rsidRDefault="000A0998">
            <w:pPr>
              <w:pStyle w:val="P68B1DB1-Normal39"/>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65073E" w:rsidRDefault="000A0998">
            <w:pPr>
              <w:pStyle w:val="P68B1DB1-Normal39"/>
              <w:spacing w:after="0" w:line="240" w:lineRule="auto"/>
              <w:rPr>
                <w:rFonts w:eastAsia="Times New Roman" w:cs="Times New Roman"/>
                <w:noProof/>
              </w:rPr>
            </w:pPr>
            <w:r>
              <w:rPr>
                <w:noProof/>
              </w:rPr>
              <w:t>Digitaalinen koulutus työllistymistä varten</w:t>
            </w:r>
          </w:p>
        </w:tc>
      </w:tr>
      <w:tr w:rsidR="0065073E" w14:paraId="3EAD1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65073E" w:rsidRDefault="000A0998">
            <w:pPr>
              <w:pStyle w:val="P68B1DB1-Normal39"/>
              <w:spacing w:after="0" w:line="240" w:lineRule="auto"/>
              <w:jc w:val="center"/>
              <w:rPr>
                <w:rFonts w:eastAsia="Times New Roman" w:cs="Times New Roman"/>
                <w:noProof/>
              </w:rPr>
            </w:pPr>
            <w:r>
              <w:rPr>
                <w:noProof/>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65073E" w:rsidRDefault="000A0998">
            <w:pPr>
              <w:pStyle w:val="P68B1DB1-Normal39"/>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65073E" w:rsidRDefault="000A0998">
            <w:pPr>
              <w:pStyle w:val="P68B1DB1-Normal39"/>
              <w:spacing w:after="0" w:line="240" w:lineRule="auto"/>
              <w:rPr>
                <w:rFonts w:eastAsia="Times New Roman" w:cs="Times New Roman"/>
                <w:noProof/>
              </w:rPr>
            </w:pPr>
            <w:r>
              <w:rPr>
                <w:noProof/>
              </w:rPr>
              <w:t>Digitaalinen koulutus työympäristössä</w:t>
            </w:r>
          </w:p>
        </w:tc>
      </w:tr>
      <w:tr w:rsidR="0065073E" w14:paraId="5BC6DB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65073E" w:rsidRDefault="000A0998">
            <w:pPr>
              <w:pStyle w:val="P68B1DB1-Normal39"/>
              <w:spacing w:after="0" w:line="240" w:lineRule="auto"/>
              <w:jc w:val="center"/>
              <w:rPr>
                <w:rFonts w:eastAsia="Times New Roman" w:cs="Times New Roman"/>
                <w:noProof/>
              </w:rPr>
            </w:pPr>
            <w:r>
              <w:rPr>
                <w:noProof/>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65073E" w:rsidRDefault="000A0998">
            <w:pPr>
              <w:pStyle w:val="P68B1DB1-Normal39"/>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65073E" w:rsidRDefault="000A0998">
            <w:pPr>
              <w:pStyle w:val="P68B1DB1-Normal39"/>
              <w:spacing w:after="0" w:line="240" w:lineRule="auto"/>
              <w:rPr>
                <w:rFonts w:eastAsia="Times New Roman" w:cs="Times New Roman"/>
                <w:noProof/>
              </w:rPr>
            </w:pPr>
            <w:r>
              <w:rPr>
                <w:noProof/>
              </w:rPr>
              <w:t>Aikuisille myönnetyt yliopistojen pienet osaamiskokonaisuudet</w:t>
            </w:r>
          </w:p>
        </w:tc>
      </w:tr>
      <w:tr w:rsidR="0065073E" w14:paraId="5642E12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65073E" w:rsidRDefault="000A0998">
            <w:pPr>
              <w:pStyle w:val="P68B1DB1-Normal39"/>
              <w:spacing w:after="0" w:line="240" w:lineRule="auto"/>
              <w:jc w:val="center"/>
              <w:rPr>
                <w:rFonts w:eastAsia="Times New Roman" w:cs="Times New Roman"/>
                <w:noProof/>
              </w:rPr>
            </w:pPr>
            <w:r>
              <w:rPr>
                <w:noProof/>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65073E" w:rsidRDefault="000A0998">
            <w:pPr>
              <w:pStyle w:val="P68B1DB1-Normal39"/>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65073E" w:rsidRDefault="000A0998">
            <w:pPr>
              <w:pStyle w:val="P68B1DB1-Normal39"/>
              <w:spacing w:after="0" w:line="240" w:lineRule="auto"/>
              <w:rPr>
                <w:rFonts w:eastAsia="Times New Roman" w:cs="Times New Roman"/>
                <w:noProof/>
              </w:rPr>
            </w:pPr>
            <w:r>
              <w:rPr>
                <w:noProof/>
              </w:rPr>
              <w:t xml:space="preserve">Asunto-, muut kuin asuin- ja päivähoitopaikat.  </w:t>
            </w:r>
          </w:p>
        </w:tc>
      </w:tr>
      <w:tr w:rsidR="0065073E" w14:paraId="47C042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65073E" w:rsidRDefault="000A0998">
            <w:pPr>
              <w:pStyle w:val="P68B1DB1-Normal39"/>
              <w:spacing w:after="0" w:line="240" w:lineRule="auto"/>
              <w:jc w:val="center"/>
              <w:rPr>
                <w:rFonts w:eastAsia="Times New Roman" w:cs="Times New Roman"/>
                <w:noProof/>
              </w:rPr>
            </w:pPr>
            <w:r>
              <w:rPr>
                <w:noProof/>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65073E" w:rsidRDefault="000A0998">
            <w:pPr>
              <w:pStyle w:val="P68B1DB1-Normal39"/>
              <w:spacing w:after="0" w:line="240" w:lineRule="auto"/>
              <w:rPr>
                <w:rFonts w:eastAsia="Times New Roman" w:cs="Times New Roman"/>
                <w:noProof/>
              </w:rPr>
            </w:pPr>
            <w:r>
              <w:rPr>
                <w:noProof/>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65073E" w:rsidRDefault="000A0998">
            <w:pPr>
              <w:pStyle w:val="P68B1DB1-Normal39"/>
              <w:spacing w:after="0" w:line="240" w:lineRule="auto"/>
              <w:rPr>
                <w:rFonts w:eastAsia="Times New Roman" w:cs="Times New Roman"/>
                <w:noProof/>
              </w:rPr>
            </w:pPr>
            <w:r>
              <w:rPr>
                <w:noProof/>
              </w:rPr>
              <w:t xml:space="preserve">Muuttajien ja kansainvälistä suojelua hakevien vastaanottojärjestelmän kapasiteetti </w:t>
            </w:r>
          </w:p>
        </w:tc>
      </w:tr>
      <w:tr w:rsidR="0065073E" w14:paraId="76F5DFD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65073E" w:rsidRDefault="000A0998">
            <w:pPr>
              <w:pStyle w:val="P68B1DB1-Normal39"/>
              <w:spacing w:after="0" w:line="240" w:lineRule="auto"/>
              <w:jc w:val="center"/>
              <w:rPr>
                <w:rFonts w:eastAsia="Times New Roman" w:cs="Times New Roman"/>
                <w:noProof/>
              </w:rPr>
            </w:pPr>
            <w:r>
              <w:rPr>
                <w:noProof/>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65073E" w:rsidRDefault="000A0998">
            <w:pPr>
              <w:pStyle w:val="P68B1DB1-Normal39"/>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65073E" w:rsidRDefault="000A0998">
            <w:pPr>
              <w:pStyle w:val="P68B1DB1-Normal39"/>
              <w:spacing w:after="0" w:line="240" w:lineRule="auto"/>
              <w:rPr>
                <w:rFonts w:eastAsia="Times New Roman" w:cs="Times New Roman"/>
                <w:noProof/>
              </w:rPr>
            </w:pPr>
            <w:r>
              <w:rPr>
                <w:noProof/>
              </w:rPr>
              <w:t>Kulttuuriteollisuuden kilpailukyvyn vahvistamiseen tähtäävien aloitteiden ja hankkeiden loppuun saattaminen</w:t>
            </w:r>
          </w:p>
        </w:tc>
      </w:tr>
      <w:tr w:rsidR="0065073E" w14:paraId="38B006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65073E" w:rsidRDefault="000A0998">
            <w:pPr>
              <w:pStyle w:val="P68B1DB1-Normal39"/>
              <w:spacing w:after="0" w:line="240" w:lineRule="auto"/>
              <w:jc w:val="center"/>
              <w:rPr>
                <w:rFonts w:eastAsia="Times New Roman" w:cs="Times New Roman"/>
                <w:noProof/>
              </w:rPr>
            </w:pPr>
            <w:r>
              <w:rPr>
                <w:noProof/>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65073E" w:rsidRDefault="000A0998">
            <w:pPr>
              <w:pStyle w:val="P68B1DB1-Normal39"/>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65073E" w:rsidRDefault="000A0998">
            <w:pPr>
              <w:pStyle w:val="P68B1DB1-Normal39"/>
              <w:spacing w:after="0" w:line="240" w:lineRule="auto"/>
              <w:rPr>
                <w:rFonts w:eastAsia="Times New Roman" w:cs="Times New Roman"/>
                <w:noProof/>
              </w:rPr>
            </w:pPr>
            <w:r>
              <w:rPr>
                <w:noProof/>
              </w:rPr>
              <w:t>Espanjan kulttuuriperinnön säilyttäminen, restaurointi ja vaaliminen (Tabacalera)</w:t>
            </w:r>
          </w:p>
        </w:tc>
      </w:tr>
      <w:tr w:rsidR="0065073E" w14:paraId="58A402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65073E" w:rsidRDefault="000A0998">
            <w:pPr>
              <w:pStyle w:val="P68B1DB1-Normal39"/>
              <w:spacing w:after="0" w:line="240" w:lineRule="auto"/>
              <w:jc w:val="center"/>
              <w:rPr>
                <w:rFonts w:eastAsia="Times New Roman" w:cs="Times New Roman"/>
                <w:noProof/>
              </w:rPr>
            </w:pPr>
            <w:r>
              <w:rPr>
                <w:noProof/>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65073E" w:rsidRDefault="000A0998">
            <w:pPr>
              <w:pStyle w:val="P68B1DB1-Normal39"/>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65073E" w:rsidRDefault="000A0998">
            <w:pPr>
              <w:pStyle w:val="P68B1DB1-Normal39"/>
              <w:spacing w:after="0" w:line="240" w:lineRule="auto"/>
              <w:rPr>
                <w:rFonts w:eastAsia="Times New Roman" w:cs="Times New Roman"/>
                <w:noProof/>
              </w:rPr>
            </w:pPr>
            <w:r>
              <w:rPr>
                <w:noProof/>
              </w:rPr>
              <w:t>Investoinnit, joilla edistetään energian varastointia tai itse tapahtuvaa kulutusta, joka perustuu uusiutuvan energian tuotantoon tai mittarin takaiseen varastointiin</w:t>
            </w:r>
          </w:p>
        </w:tc>
      </w:tr>
      <w:tr w:rsidR="0065073E" w14:paraId="3A1B99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65073E" w:rsidRDefault="000A0998">
            <w:pPr>
              <w:pStyle w:val="P68B1DB1-Normal39"/>
              <w:spacing w:after="0" w:line="240" w:lineRule="auto"/>
              <w:jc w:val="center"/>
              <w:rPr>
                <w:rFonts w:eastAsia="Times New Roman" w:cs="Times New Roman"/>
                <w:noProof/>
              </w:rPr>
            </w:pPr>
            <w:r>
              <w:rPr>
                <w:noProof/>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65073E" w:rsidRDefault="000A0998">
            <w:pPr>
              <w:pStyle w:val="P68B1DB1-Normal39"/>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65073E" w:rsidRDefault="000A0998">
            <w:pPr>
              <w:pStyle w:val="P68B1DB1-Normal39"/>
              <w:spacing w:after="0" w:line="240" w:lineRule="auto"/>
              <w:rPr>
                <w:rFonts w:eastAsia="Times New Roman" w:cs="Times New Roman"/>
                <w:noProof/>
              </w:rPr>
            </w:pPr>
            <w:r>
              <w:rPr>
                <w:noProof/>
              </w:rPr>
              <w:t>Energiayhteisöjen toteuttamien aloitteiden lukumäärä</w:t>
            </w:r>
          </w:p>
        </w:tc>
      </w:tr>
      <w:tr w:rsidR="0065073E" w14:paraId="286213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65073E" w:rsidRDefault="000A0998">
            <w:pPr>
              <w:pStyle w:val="P68B1DB1-Normal39"/>
              <w:spacing w:after="0" w:line="240" w:lineRule="auto"/>
              <w:jc w:val="center"/>
              <w:rPr>
                <w:rFonts w:eastAsia="Times New Roman" w:cs="Times New Roman"/>
                <w:noProof/>
              </w:rPr>
            </w:pPr>
            <w:r>
              <w:rPr>
                <w:noProof/>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65073E" w:rsidRDefault="000A0998">
            <w:pPr>
              <w:pStyle w:val="P68B1DB1-Normal39"/>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65073E" w:rsidRDefault="000A0998">
            <w:pPr>
              <w:pStyle w:val="P68B1DB1-Normal39"/>
              <w:spacing w:after="0" w:line="240" w:lineRule="auto"/>
              <w:rPr>
                <w:rFonts w:eastAsia="Times New Roman" w:cs="Times New Roman"/>
                <w:noProof/>
              </w:rPr>
            </w:pPr>
            <w:r>
              <w:rPr>
                <w:noProof/>
              </w:rPr>
              <w:t>Uusiutuvan vedyn tukijärjestelmä: Lopullisten edunsaajien kanssa allekirjoitetut oikeudelliset sopimukset tai lopulliset myöntämispäätökset julkaistu (II)</w:t>
            </w:r>
          </w:p>
        </w:tc>
      </w:tr>
      <w:tr w:rsidR="0065073E" w14:paraId="68069B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65073E" w:rsidRDefault="000A0998">
            <w:pPr>
              <w:pStyle w:val="P68B1DB1-Normal39"/>
              <w:spacing w:after="0" w:line="240" w:lineRule="auto"/>
              <w:jc w:val="center"/>
              <w:rPr>
                <w:rFonts w:eastAsia="Times New Roman" w:cs="Times New Roman"/>
                <w:noProof/>
              </w:rPr>
            </w:pPr>
            <w:r>
              <w:rPr>
                <w:noProof/>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65073E" w:rsidRDefault="000A0998">
            <w:pPr>
              <w:pStyle w:val="P68B1DB1-Normal39"/>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65073E" w:rsidRDefault="000A0998">
            <w:pPr>
              <w:pStyle w:val="P68B1DB1-Normal39"/>
              <w:spacing w:after="0" w:line="240" w:lineRule="auto"/>
              <w:rPr>
                <w:rFonts w:eastAsia="Times New Roman" w:cs="Times New Roman"/>
                <w:noProof/>
              </w:rPr>
            </w:pPr>
            <w:r>
              <w:rPr>
                <w:noProof/>
              </w:rPr>
              <w:t>Arvoketjun tukijärjestelmä: Lopullisten edunsaajien kanssa allekirjoitetut oikeudelliset sopimukset tai lopulliset myöntämispäätökset julkaistu (II)</w:t>
            </w:r>
          </w:p>
        </w:tc>
      </w:tr>
      <w:tr w:rsidR="0065073E" w14:paraId="05809D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65073E" w:rsidRDefault="000A0998">
            <w:pPr>
              <w:pStyle w:val="P68B1DB1-Normal39"/>
              <w:spacing w:after="0" w:line="240" w:lineRule="auto"/>
              <w:jc w:val="center"/>
              <w:rPr>
                <w:rFonts w:eastAsia="Times New Roman" w:cs="Times New Roman"/>
                <w:noProof/>
              </w:rPr>
            </w:pPr>
            <w:r>
              <w:rPr>
                <w:noProof/>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65073E" w:rsidRDefault="000A0998">
            <w:pPr>
              <w:pStyle w:val="P68B1DB1-Normal39"/>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65073E" w:rsidRDefault="000A0998">
            <w:pPr>
              <w:pStyle w:val="P68B1DB1-Normal39"/>
              <w:spacing w:after="0" w:line="240" w:lineRule="auto"/>
              <w:rPr>
                <w:rFonts w:eastAsia="Times New Roman" w:cs="Times New Roman"/>
                <w:noProof/>
              </w:rPr>
            </w:pPr>
            <w:r>
              <w:rPr>
                <w:noProof/>
              </w:rPr>
              <w:t>Tuettujen sähkönsiirtohankkeiden loppuun saattaminen</w:t>
            </w:r>
          </w:p>
        </w:tc>
      </w:tr>
      <w:tr w:rsidR="0065073E" w14:paraId="5884615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65073E" w:rsidRDefault="000A0998">
            <w:pPr>
              <w:pStyle w:val="P68B1DB1-Normal39"/>
              <w:spacing w:after="0" w:line="240" w:lineRule="auto"/>
              <w:jc w:val="center"/>
              <w:rPr>
                <w:rFonts w:eastAsia="Times New Roman" w:cs="Times New Roman"/>
                <w:noProof/>
              </w:rPr>
            </w:pPr>
            <w:r>
              <w:rPr>
                <w:noProof/>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65073E" w:rsidRDefault="000A0998">
            <w:pPr>
              <w:pStyle w:val="P68B1DB1-Normal39"/>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65073E" w:rsidRDefault="000A0998">
            <w:pPr>
              <w:pStyle w:val="P68B1DB1-Normal39"/>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65073E" w:rsidRDefault="000A0998">
            <w:pPr>
              <w:pStyle w:val="P68B1DB1-Normal39"/>
              <w:spacing w:after="0" w:line="240" w:lineRule="auto"/>
              <w:rPr>
                <w:rFonts w:eastAsia="Times New Roman" w:cs="Times New Roman"/>
                <w:noProof/>
              </w:rPr>
            </w:pPr>
            <w:r>
              <w:rPr>
                <w:noProof/>
              </w:rPr>
              <w:t>Hiilestä irtautumista koskevien hankkeiden loppuun saattaminen</w:t>
            </w:r>
          </w:p>
        </w:tc>
      </w:tr>
      <w:tr w:rsidR="0065073E" w14:paraId="7C7B002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65073E" w:rsidRDefault="000A0998">
            <w:pPr>
              <w:pStyle w:val="P68B1DB1-Normal39"/>
              <w:spacing w:after="0" w:line="240" w:lineRule="auto"/>
              <w:jc w:val="center"/>
              <w:rPr>
                <w:rFonts w:eastAsia="Times New Roman" w:cs="Times New Roman"/>
                <w:noProof/>
              </w:rPr>
            </w:pPr>
            <w:r>
              <w:rPr>
                <w:noProof/>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65073E" w:rsidRDefault="000A0998">
            <w:pPr>
              <w:pStyle w:val="P68B1DB1-Normal39"/>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65073E" w:rsidRDefault="000A0998">
            <w:pPr>
              <w:pStyle w:val="P68B1DB1-Normal39"/>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65073E" w:rsidRDefault="000A0998">
            <w:pPr>
              <w:pStyle w:val="P68B1DB1-Normal39"/>
              <w:spacing w:after="0" w:line="240" w:lineRule="auto"/>
              <w:rPr>
                <w:rFonts w:eastAsia="Times New Roman" w:cs="Times New Roman"/>
                <w:noProof/>
              </w:rPr>
            </w:pPr>
            <w:r>
              <w:rPr>
                <w:noProof/>
              </w:rPr>
              <w:t>Teollisuuden hiilestä irtautumista koskeva tukijärjestelmä: Lopullisten edunsaajien kanssa allekirjoitetut oikeudelliset sopimukset tai lopulliset myöntämispäätökset julkaistu</w:t>
            </w:r>
          </w:p>
        </w:tc>
      </w:tr>
      <w:tr w:rsidR="0065073E" w14:paraId="651D1B6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65073E" w:rsidRDefault="000A0998">
            <w:pPr>
              <w:pStyle w:val="P68B1DB1-Normal38"/>
              <w:spacing w:after="0" w:line="240" w:lineRule="auto"/>
              <w:rPr>
                <w:rFonts w:eastAsia="Times New Roman" w:cs="Times New Roman"/>
                <w:noProof/>
              </w:rPr>
            </w:pPr>
            <w:r>
              <w:rPr>
                <w:noProof/>
              </w:rPr>
              <w:t>Maksuerän määrä</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65073E" w:rsidRDefault="000A0998">
            <w:pPr>
              <w:pStyle w:val="P68B1DB1-Normal38"/>
              <w:spacing w:after="0" w:line="240" w:lineRule="auto"/>
              <w:rPr>
                <w:rFonts w:eastAsia="Times New Roman" w:cs="Times New Roman"/>
                <w:noProof/>
              </w:rPr>
            </w:pPr>
            <w:r>
              <w:rPr>
                <w:noProof/>
              </w:rPr>
              <w:t>YHTEENSÄ 8017775948 EUROA</w:t>
            </w:r>
          </w:p>
        </w:tc>
      </w:tr>
    </w:tbl>
    <w:p w14:paraId="16D5F339" w14:textId="77777777" w:rsidR="0065073E" w:rsidRDefault="0065073E">
      <w:pPr>
        <w:spacing w:before="120" w:after="120" w:line="240" w:lineRule="auto"/>
        <w:jc w:val="both"/>
        <w:rPr>
          <w:rFonts w:ascii="Times New Roman" w:eastAsia="Calibri" w:hAnsi="Times New Roman" w:cs="Times New Roman"/>
          <w:noProof/>
          <w:sz w:val="24"/>
        </w:rPr>
      </w:pPr>
    </w:p>
    <w:p w14:paraId="0CA79CFD" w14:textId="30DF263D" w:rsidR="0065073E" w:rsidRDefault="000A0998">
      <w:pPr>
        <w:pStyle w:val="P68B1DB1-Normal36"/>
        <w:numPr>
          <w:ilvl w:val="0"/>
          <w:numId w:val="50"/>
        </w:numPr>
        <w:spacing w:before="120" w:after="120" w:line="240" w:lineRule="auto"/>
        <w:jc w:val="both"/>
        <w:rPr>
          <w:rFonts w:eastAsia="Calibri" w:cs="Times New Roman"/>
          <w:noProof/>
        </w:rPr>
      </w:pPr>
      <w:r>
        <w:rPr>
          <w:noProof/>
        </w:rPr>
        <w:t xml:space="preserve">Laina </w:t>
      </w:r>
    </w:p>
    <w:p w14:paraId="153E4591" w14:textId="78F92C86" w:rsidR="0065073E" w:rsidRDefault="000A0998">
      <w:pPr>
        <w:pStyle w:val="P68B1DB1-Normal4"/>
        <w:spacing w:before="120" w:after="120" w:line="240" w:lineRule="auto"/>
        <w:ind w:left="850"/>
        <w:jc w:val="both"/>
        <w:rPr>
          <w:rFonts w:eastAsia="Calibri" w:cs="Times New Roman"/>
          <w:noProof/>
        </w:rPr>
      </w:pPr>
      <w:r>
        <w:rPr>
          <w:noProof/>
        </w:rPr>
        <w:t>Edellä 2 a artiklan 2 kohdassa tarkoitetut erät järjestetään seuraavasti:</w:t>
      </w:r>
    </w:p>
    <w:p w14:paraId="37C02A2E"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Ensimmäinen erä (lainatuki): </w:t>
      </w:r>
    </w:p>
    <w:tbl>
      <w:tblPr>
        <w:tblW w:w="9663" w:type="dxa"/>
        <w:tblInd w:w="113" w:type="dxa"/>
        <w:tblLook w:val="04A0" w:firstRow="1" w:lastRow="0" w:firstColumn="1" w:lastColumn="0" w:noHBand="0" w:noVBand="1"/>
      </w:tblPr>
      <w:tblGrid>
        <w:gridCol w:w="1247"/>
        <w:gridCol w:w="1383"/>
        <w:gridCol w:w="1707"/>
        <w:gridCol w:w="5405"/>
      </w:tblGrid>
      <w:tr w:rsidR="0065073E" w14:paraId="69124C72"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0C3E33E9"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65073E" w:rsidRDefault="0065073E">
            <w:pPr>
              <w:spacing w:after="0" w:line="240" w:lineRule="auto"/>
              <w:rPr>
                <w:rFonts w:ascii="Times New Roman" w:eastAsia="Times New Roman" w:hAnsi="Times New Roman" w:cs="Times New Roman"/>
                <w:b/>
                <w:noProof/>
                <w:sz w:val="20"/>
              </w:rPr>
            </w:pPr>
          </w:p>
        </w:tc>
      </w:tr>
      <w:tr w:rsidR="0065073E" w14:paraId="7B3EA417" w14:textId="77777777">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65073E" w:rsidRDefault="000A0998">
            <w:pPr>
              <w:pStyle w:val="P68B1DB1-Normal39"/>
              <w:spacing w:after="0" w:line="240" w:lineRule="auto"/>
              <w:jc w:val="center"/>
              <w:rPr>
                <w:rFonts w:eastAsia="Times New Roman" w:cs="Times New Roman"/>
                <w:noProof/>
              </w:rPr>
            </w:pPr>
            <w:r>
              <w:rPr>
                <w:noProof/>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65073E" w:rsidRDefault="000A0998">
            <w:pPr>
              <w:pStyle w:val="P68B1DB1-Normal39"/>
              <w:spacing w:after="0" w:line="240" w:lineRule="auto"/>
              <w:rPr>
                <w:rFonts w:eastAsia="Times New Roman" w:cs="Times New Roman"/>
                <w:noProof/>
              </w:rPr>
            </w:pPr>
            <w:r>
              <w:rPr>
                <w:noProof/>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77777777" w:rsidR="0065073E" w:rsidRDefault="000A0998">
            <w:pPr>
              <w:pStyle w:val="P68B1DB1-Normal39"/>
              <w:spacing w:after="0" w:line="240" w:lineRule="auto"/>
              <w:rPr>
                <w:rFonts w:eastAsia="Times New Roman" w:cs="Times New Roman"/>
                <w:noProof/>
              </w:rPr>
            </w:pPr>
            <w:r>
              <w:rPr>
                <w:noProof/>
              </w:rPr>
              <w:t>Vähäpäästöisiä alueita koskevan kuninkaallisen asetuksen voimaantulo</w:t>
            </w:r>
          </w:p>
        </w:tc>
      </w:tr>
      <w:tr w:rsidR="0065073E" w14:paraId="780138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65073E" w:rsidRDefault="000A0998">
            <w:pPr>
              <w:pStyle w:val="P68B1DB1-Normal38"/>
              <w:spacing w:after="0" w:line="240" w:lineRule="auto"/>
              <w:rPr>
                <w:rFonts w:eastAsia="Times New Roman" w:cs="Times New Roman"/>
                <w:noProof/>
              </w:rPr>
            </w:pPr>
            <w:r>
              <w:rPr>
                <w:noProof/>
              </w:rPr>
              <w:t>YHTEENSÄ 528000381 EUROA</w:t>
            </w:r>
          </w:p>
        </w:tc>
      </w:tr>
    </w:tbl>
    <w:p w14:paraId="61DF7D93" w14:textId="77777777" w:rsidR="0065073E" w:rsidRDefault="0065073E">
      <w:pPr>
        <w:spacing w:before="120" w:after="120" w:line="240" w:lineRule="auto"/>
        <w:jc w:val="both"/>
        <w:rPr>
          <w:rFonts w:ascii="Times New Roman" w:eastAsia="Calibri" w:hAnsi="Times New Roman" w:cs="Times New Roman"/>
          <w:noProof/>
          <w:sz w:val="24"/>
        </w:rPr>
      </w:pPr>
    </w:p>
    <w:p w14:paraId="5463D0DD"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91"/>
          <w:headerReference w:type="default" r:id="rId692"/>
          <w:footerReference w:type="even" r:id="rId693"/>
          <w:footerReference w:type="default" r:id="rId694"/>
          <w:headerReference w:type="first" r:id="rId695"/>
          <w:footerReference w:type="first" r:id="rId696"/>
          <w:pgSz w:w="11907" w:h="16839"/>
          <w:pgMar w:top="1134" w:right="1134" w:bottom="1134" w:left="1134" w:header="567" w:footer="567" w:gutter="0"/>
          <w:cols w:space="720"/>
          <w:docGrid w:linePitch="360"/>
        </w:sectPr>
      </w:pPr>
    </w:p>
    <w:p w14:paraId="55E15C86"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Toinen erä (lainatuki): </w:t>
      </w:r>
    </w:p>
    <w:tbl>
      <w:tblPr>
        <w:tblW w:w="9663" w:type="dxa"/>
        <w:tblInd w:w="113" w:type="dxa"/>
        <w:tblLook w:val="04A0" w:firstRow="1" w:lastRow="0" w:firstColumn="1" w:lastColumn="0" w:noHBand="0" w:noVBand="1"/>
      </w:tblPr>
      <w:tblGrid>
        <w:gridCol w:w="1245"/>
        <w:gridCol w:w="1384"/>
        <w:gridCol w:w="1707"/>
        <w:gridCol w:w="5406"/>
      </w:tblGrid>
      <w:tr w:rsidR="0065073E" w14:paraId="070EFD94" w14:textId="77777777">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334484C5" w14:textId="77777777">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65073E" w:rsidRDefault="0065073E">
            <w:pPr>
              <w:spacing w:after="0" w:line="240" w:lineRule="auto"/>
              <w:rPr>
                <w:rFonts w:ascii="Times New Roman" w:eastAsia="Times New Roman" w:hAnsi="Times New Roman" w:cs="Times New Roman"/>
                <w:b/>
                <w:noProof/>
                <w:sz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65073E" w:rsidRDefault="0065073E">
            <w:pPr>
              <w:spacing w:after="0" w:line="240" w:lineRule="auto"/>
              <w:rPr>
                <w:rFonts w:ascii="Times New Roman" w:eastAsia="Times New Roman" w:hAnsi="Times New Roman" w:cs="Times New Roman"/>
                <w:b/>
                <w:noProof/>
                <w:sz w:val="20"/>
              </w:rPr>
            </w:pPr>
          </w:p>
        </w:tc>
      </w:tr>
      <w:tr w:rsidR="0065073E" w14:paraId="38EA10FF"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65073E" w:rsidRDefault="000A0998">
            <w:pPr>
              <w:pStyle w:val="P68B1DB1-Normal39"/>
              <w:spacing w:after="0" w:line="240" w:lineRule="auto"/>
              <w:jc w:val="center"/>
              <w:rPr>
                <w:rFonts w:eastAsia="Times New Roman" w:cs="Times New Roman"/>
                <w:noProof/>
              </w:rPr>
            </w:pPr>
            <w:r>
              <w:rPr>
                <w:noProof/>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65073E" w:rsidRDefault="000A0998">
            <w:pPr>
              <w:pStyle w:val="P68B1DB1-Normal39"/>
              <w:spacing w:after="0" w:line="240" w:lineRule="auto"/>
              <w:rPr>
                <w:rFonts w:eastAsia="Times New Roman" w:cs="Times New Roman"/>
                <w:noProof/>
              </w:rPr>
            </w:pPr>
            <w:r>
              <w:rPr>
                <w:noProof/>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65073E" w:rsidRDefault="000A0998">
            <w:pPr>
              <w:pStyle w:val="P68B1DB1-Normal39"/>
              <w:spacing w:after="0" w:line="240" w:lineRule="auto"/>
              <w:rPr>
                <w:rFonts w:eastAsia="Times New Roman" w:cs="Times New Roman"/>
                <w:noProof/>
              </w:rPr>
            </w:pPr>
            <w:r>
              <w:rPr>
                <w:noProof/>
              </w:rPr>
              <w:t>Täytäntöönpanosopimus</w:t>
            </w:r>
          </w:p>
        </w:tc>
      </w:tr>
      <w:tr w:rsidR="0065073E" w14:paraId="156E1DF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65073E" w:rsidRDefault="000A0998">
            <w:pPr>
              <w:pStyle w:val="P68B1DB1-Normal39"/>
              <w:spacing w:after="0" w:line="240" w:lineRule="auto"/>
              <w:jc w:val="center"/>
              <w:rPr>
                <w:rFonts w:eastAsia="Times New Roman" w:cs="Times New Roman"/>
                <w:noProof/>
              </w:rPr>
            </w:pPr>
            <w:r>
              <w:rPr>
                <w:noProof/>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65073E" w:rsidRDefault="000A0998">
            <w:pPr>
              <w:pStyle w:val="P68B1DB1-Normal39"/>
              <w:spacing w:after="0" w:line="240" w:lineRule="auto"/>
              <w:rPr>
                <w:rFonts w:eastAsia="Times New Roman" w:cs="Times New Roman"/>
                <w:noProof/>
              </w:rPr>
            </w:pPr>
            <w:r>
              <w:rPr>
                <w:noProof/>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65073E" w:rsidRDefault="000A0998">
            <w:pPr>
              <w:pStyle w:val="P68B1DB1-Normal39"/>
              <w:spacing w:after="0" w:line="240" w:lineRule="auto"/>
              <w:rPr>
                <w:rFonts w:eastAsia="Times New Roman" w:cs="Times New Roman"/>
                <w:noProof/>
              </w:rPr>
            </w:pPr>
            <w:r>
              <w:rPr>
                <w:noProof/>
              </w:rPr>
              <w:t>Maatalous-, kalastus- ja elintarvikeministeriön (MAPA) ja SEIASAn välisen kasteltujen alueiden parantamisen ja kestävyyden tukemista koskevan sopimuksen täytäntöönpano (III vaihe)</w:t>
            </w:r>
          </w:p>
        </w:tc>
      </w:tr>
      <w:tr w:rsidR="0065073E" w14:paraId="78F900D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65073E" w:rsidRDefault="000A0998">
            <w:pPr>
              <w:pStyle w:val="P68B1DB1-Normal39"/>
              <w:spacing w:after="0" w:line="240" w:lineRule="auto"/>
              <w:jc w:val="center"/>
              <w:rPr>
                <w:rFonts w:eastAsia="Times New Roman" w:cs="Times New Roman"/>
                <w:noProof/>
              </w:rPr>
            </w:pPr>
            <w:r>
              <w:rPr>
                <w:noProof/>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65073E" w:rsidRDefault="000A0998">
            <w:pPr>
              <w:pStyle w:val="P68B1DB1-Normal39"/>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65073E" w:rsidRDefault="000A0998">
            <w:pPr>
              <w:pStyle w:val="P68B1DB1-Normal39"/>
              <w:spacing w:after="0" w:line="240" w:lineRule="auto"/>
              <w:rPr>
                <w:rFonts w:eastAsia="Times New Roman" w:cs="Times New Roman"/>
                <w:noProof/>
              </w:rPr>
            </w:pPr>
            <w:r>
              <w:rPr>
                <w:noProof/>
              </w:rPr>
              <w:t>ICO:n kanssa tehty täytäntöönpanosopimus ICO:n vihreän linjan osalta</w:t>
            </w:r>
          </w:p>
        </w:tc>
      </w:tr>
      <w:tr w:rsidR="0065073E" w14:paraId="32F6F2C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65073E" w:rsidRDefault="000A0998">
            <w:pPr>
              <w:pStyle w:val="P68B1DB1-Normal39"/>
              <w:spacing w:after="0" w:line="240" w:lineRule="auto"/>
              <w:jc w:val="center"/>
              <w:rPr>
                <w:rFonts w:eastAsia="Times New Roman" w:cs="Times New Roman"/>
                <w:noProof/>
              </w:rPr>
            </w:pPr>
            <w:r>
              <w:rPr>
                <w:noProof/>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65073E" w:rsidRDefault="000A0998">
            <w:pPr>
              <w:pStyle w:val="P68B1DB1-Normal39"/>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65073E" w:rsidRDefault="000A0998">
            <w:pPr>
              <w:pStyle w:val="P68B1DB1-Normal39"/>
              <w:spacing w:after="0" w:line="240" w:lineRule="auto"/>
              <w:rPr>
                <w:rFonts w:eastAsia="Times New Roman" w:cs="Times New Roman"/>
                <w:noProof/>
              </w:rPr>
            </w:pPr>
            <w:r>
              <w:rPr>
                <w:noProof/>
              </w:rPr>
              <w:t xml:space="preserve">ICO Enterprises and Entrepreneurs Line -järjestelmää (mukaan lukien oman pääoman ehtoiset rahastot) koskeva täytäntöönpanosopimus </w:t>
            </w:r>
          </w:p>
        </w:tc>
      </w:tr>
      <w:tr w:rsidR="0065073E" w14:paraId="62DBFCE4"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65073E" w:rsidRDefault="000A0998">
            <w:pPr>
              <w:pStyle w:val="P68B1DB1-Normal39"/>
              <w:spacing w:after="0" w:line="240" w:lineRule="auto"/>
              <w:jc w:val="center"/>
              <w:rPr>
                <w:rFonts w:eastAsia="Times New Roman" w:cs="Times New Roman"/>
                <w:noProof/>
              </w:rPr>
            </w:pPr>
            <w:r>
              <w:rPr>
                <w:noProof/>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65073E" w:rsidRDefault="000A0998">
            <w:pPr>
              <w:pStyle w:val="P68B1DB1-Normal39"/>
              <w:spacing w:after="0" w:line="240" w:lineRule="auto"/>
              <w:rPr>
                <w:rFonts w:eastAsia="Times New Roman" w:cs="Times New Roman"/>
                <w:noProof/>
              </w:rPr>
            </w:pPr>
            <w:r>
              <w:rPr>
                <w:noProof/>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65073E" w:rsidRDefault="000A0998">
            <w:pPr>
              <w:pStyle w:val="P68B1DB1-Normal39"/>
              <w:spacing w:after="0" w:line="240" w:lineRule="auto"/>
              <w:rPr>
                <w:rFonts w:eastAsia="Times New Roman" w:cs="Times New Roman"/>
                <w:noProof/>
              </w:rPr>
            </w:pPr>
            <w:r>
              <w:rPr>
                <w:noProof/>
              </w:rPr>
              <w:t xml:space="preserve">Seuraava teknologiarahasto – täytäntöönpanosopimus toimintalinjan kanssa </w:t>
            </w:r>
          </w:p>
        </w:tc>
      </w:tr>
      <w:tr w:rsidR="0065073E" w14:paraId="3B3ADF4C"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65073E" w:rsidRDefault="000A0998">
            <w:pPr>
              <w:pStyle w:val="P68B1DB1-Normal39"/>
              <w:spacing w:after="0" w:line="240" w:lineRule="auto"/>
              <w:jc w:val="center"/>
              <w:rPr>
                <w:rFonts w:eastAsia="Times New Roman" w:cs="Times New Roman"/>
                <w:noProof/>
              </w:rPr>
            </w:pPr>
            <w:r>
              <w:rPr>
                <w:noProof/>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65073E" w:rsidRDefault="000A0998">
            <w:pPr>
              <w:pStyle w:val="P68B1DB1-Normal39"/>
              <w:spacing w:after="0" w:line="240" w:lineRule="auto"/>
              <w:rPr>
                <w:rFonts w:eastAsia="Times New Roman" w:cs="Times New Roman"/>
                <w:noProof/>
              </w:rPr>
            </w:pPr>
            <w:r>
              <w:rPr>
                <w:noProof/>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65073E" w:rsidRDefault="000A0998">
            <w:pPr>
              <w:pStyle w:val="P68B1DB1-Normal39"/>
              <w:spacing w:after="0" w:line="240" w:lineRule="auto"/>
              <w:rPr>
                <w:rFonts w:eastAsia="Times New Roman" w:cs="Times New Roman"/>
                <w:noProof/>
              </w:rPr>
            </w:pPr>
            <w:r>
              <w:rPr>
                <w:noProof/>
              </w:rPr>
              <w:t xml:space="preserve">Alueellinen selviytymiskyvyn rahasto: Täytäntöönpanosopimus </w:t>
            </w:r>
          </w:p>
        </w:tc>
      </w:tr>
      <w:tr w:rsidR="0065073E" w14:paraId="5BAD0CF1"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65073E" w:rsidRDefault="000A0998">
            <w:pPr>
              <w:pStyle w:val="P68B1DB1-Normal39"/>
              <w:spacing w:after="0" w:line="240" w:lineRule="auto"/>
              <w:jc w:val="center"/>
              <w:rPr>
                <w:rFonts w:eastAsia="Times New Roman" w:cs="Times New Roman"/>
                <w:noProof/>
              </w:rPr>
            </w:pPr>
            <w:r>
              <w:rPr>
                <w:noProof/>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65073E" w:rsidRDefault="000A0998">
            <w:pPr>
              <w:pStyle w:val="P68B1DB1-Normal39"/>
              <w:spacing w:after="0" w:line="240" w:lineRule="auto"/>
              <w:rPr>
                <w:rFonts w:eastAsia="Times New Roman" w:cs="Times New Roman"/>
                <w:noProof/>
              </w:rPr>
            </w:pPr>
            <w:r>
              <w:rPr>
                <w:noProof/>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65073E" w:rsidRDefault="000A0998">
            <w:pPr>
              <w:pStyle w:val="P68B1DB1-Normal39"/>
              <w:spacing w:after="0" w:line="240" w:lineRule="auto"/>
              <w:rPr>
                <w:rFonts w:eastAsia="Times New Roman" w:cs="Times New Roman"/>
                <w:noProof/>
              </w:rPr>
            </w:pPr>
            <w:r>
              <w:rPr>
                <w:noProof/>
              </w:rPr>
              <w:t>Sirujen rahoitusjärjestely: Rahoitusmekanismin virallinen hyväksyminen</w:t>
            </w:r>
          </w:p>
        </w:tc>
      </w:tr>
      <w:tr w:rsidR="0065073E" w14:paraId="32057403"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65073E" w:rsidRDefault="000A0998">
            <w:pPr>
              <w:pStyle w:val="P68B1DB1-Normal39"/>
              <w:spacing w:after="0" w:line="240" w:lineRule="auto"/>
              <w:jc w:val="center"/>
              <w:rPr>
                <w:rFonts w:eastAsia="Times New Roman" w:cs="Times New Roman"/>
                <w:noProof/>
              </w:rPr>
            </w:pPr>
            <w:r>
              <w:rPr>
                <w:noProof/>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65073E" w:rsidRDefault="000A0998">
            <w:pPr>
              <w:pStyle w:val="P68B1DB1-Normal39"/>
              <w:spacing w:after="0" w:line="240" w:lineRule="auto"/>
              <w:rPr>
                <w:rFonts w:eastAsia="Times New Roman" w:cs="Times New Roman"/>
                <w:noProof/>
              </w:rPr>
            </w:pPr>
            <w:r>
              <w:rPr>
                <w:noProof/>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65073E" w:rsidRDefault="000A0998">
            <w:pPr>
              <w:pStyle w:val="P68B1DB1-Normal39"/>
              <w:spacing w:after="0" w:line="240" w:lineRule="auto"/>
              <w:rPr>
                <w:rFonts w:eastAsia="Times New Roman" w:cs="Times New Roman"/>
                <w:noProof/>
              </w:rPr>
            </w:pPr>
            <w:r>
              <w:rPr>
                <w:noProof/>
              </w:rPr>
              <w:t xml:space="preserve">ICO:n audiovisuaalialan keskuksen rahasto: Täytäntöönpanosopimus </w:t>
            </w:r>
          </w:p>
        </w:tc>
      </w:tr>
      <w:tr w:rsidR="0065073E" w14:paraId="37E56C78"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65073E" w:rsidRDefault="0065073E">
            <w:pPr>
              <w:spacing w:after="0" w:line="240" w:lineRule="auto"/>
              <w:rPr>
                <w:rFonts w:ascii="Times New Roman" w:eastAsia="Times New Roman" w:hAnsi="Times New Roman" w:cs="Times New Roman"/>
                <w:noProof/>
                <w:sz w:val="20"/>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65073E" w:rsidRDefault="000A0998">
            <w:pPr>
              <w:pStyle w:val="P68B1DB1-Normal38"/>
              <w:spacing w:after="0" w:line="240" w:lineRule="auto"/>
              <w:rPr>
                <w:rFonts w:eastAsia="Times New Roman" w:cs="Times New Roman"/>
                <w:noProof/>
              </w:rPr>
            </w:pPr>
            <w:r>
              <w:rPr>
                <w:noProof/>
              </w:rPr>
              <w:t>YHTEENSÄ 14916010762 EUROA</w:t>
            </w:r>
          </w:p>
        </w:tc>
      </w:tr>
    </w:tbl>
    <w:p w14:paraId="07D30D6F" w14:textId="77777777" w:rsidR="0065073E" w:rsidRDefault="0065073E">
      <w:pPr>
        <w:spacing w:before="120" w:after="120" w:line="240" w:lineRule="auto"/>
        <w:jc w:val="both"/>
        <w:rPr>
          <w:rFonts w:ascii="Times New Roman" w:eastAsia="Calibri" w:hAnsi="Times New Roman" w:cs="Times New Roman"/>
          <w:noProof/>
          <w:sz w:val="24"/>
        </w:rPr>
      </w:pPr>
    </w:p>
    <w:p w14:paraId="46B70403" w14:textId="77777777"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Kolmas erä (lainatuki): </w:t>
      </w:r>
    </w:p>
    <w:tbl>
      <w:tblPr>
        <w:tblW w:w="9663" w:type="dxa"/>
        <w:tblInd w:w="113" w:type="dxa"/>
        <w:tblLook w:val="04A0" w:firstRow="1" w:lastRow="0" w:firstColumn="1" w:lastColumn="0" w:noHBand="0" w:noVBand="1"/>
      </w:tblPr>
      <w:tblGrid>
        <w:gridCol w:w="1247"/>
        <w:gridCol w:w="1383"/>
        <w:gridCol w:w="1707"/>
        <w:gridCol w:w="5405"/>
      </w:tblGrid>
      <w:tr w:rsidR="0065073E" w14:paraId="14C9FC28"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33AA8FF5"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65073E" w:rsidRDefault="0065073E">
            <w:pPr>
              <w:spacing w:after="0" w:line="240" w:lineRule="auto"/>
              <w:rPr>
                <w:rFonts w:ascii="Times New Roman" w:eastAsia="Times New Roman" w:hAnsi="Times New Roman" w:cs="Times New Roman"/>
                <w:b/>
                <w:noProof/>
                <w:sz w:val="20"/>
              </w:rPr>
            </w:pPr>
          </w:p>
        </w:tc>
      </w:tr>
      <w:tr w:rsidR="0065073E" w14:paraId="1AD617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65073E" w:rsidRDefault="000A0998">
            <w:pPr>
              <w:pStyle w:val="P68B1DB1-Normal39"/>
              <w:spacing w:after="0" w:line="240" w:lineRule="auto"/>
              <w:jc w:val="center"/>
              <w:rPr>
                <w:rFonts w:eastAsia="Times New Roman" w:cs="Times New Roman"/>
                <w:noProof/>
              </w:rPr>
            </w:pPr>
            <w:r>
              <w:rPr>
                <w:noProof/>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65073E" w:rsidRDefault="000A0998">
            <w:pPr>
              <w:pStyle w:val="P68B1DB1-Normal39"/>
              <w:spacing w:after="0" w:line="240" w:lineRule="auto"/>
              <w:rPr>
                <w:rFonts w:eastAsia="Times New Roman" w:cs="Times New Roman"/>
                <w:noProof/>
              </w:rPr>
            </w:pPr>
            <w:r>
              <w:rPr>
                <w:noProof/>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65073E" w:rsidRDefault="000A0998">
            <w:pPr>
              <w:pStyle w:val="P68B1DB1-Normal39"/>
              <w:spacing w:after="0" w:line="240" w:lineRule="auto"/>
              <w:rPr>
                <w:rFonts w:eastAsia="Times New Roman" w:cs="Times New Roman"/>
                <w:noProof/>
              </w:rPr>
            </w:pPr>
            <w:r>
              <w:rPr>
                <w:noProof/>
              </w:rPr>
              <w:t xml:space="preserve">Aavikoitumisen torjuntaa koskevan kansallisen strategian ja siihen liittyvän toimintasuunnitelman (2022–2026) hyväksyminen ja kollegiaalisten elinten perustaminen.  </w:t>
            </w:r>
          </w:p>
        </w:tc>
      </w:tr>
      <w:tr w:rsidR="0065073E" w14:paraId="76E401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65073E" w:rsidRDefault="000A0998">
            <w:pPr>
              <w:pStyle w:val="P68B1DB1-Normal39"/>
              <w:spacing w:after="0" w:line="240" w:lineRule="auto"/>
              <w:jc w:val="center"/>
              <w:rPr>
                <w:rFonts w:eastAsia="Times New Roman" w:cs="Times New Roman"/>
                <w:noProof/>
              </w:rPr>
            </w:pPr>
            <w:r>
              <w:rPr>
                <w:noProof/>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65073E" w:rsidRDefault="000A0998">
            <w:pPr>
              <w:pStyle w:val="P68B1DB1-Normal39"/>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65073E" w:rsidRDefault="000A0998">
            <w:pPr>
              <w:pStyle w:val="P68B1DB1-Normal39"/>
              <w:spacing w:after="0" w:line="240" w:lineRule="auto"/>
              <w:rPr>
                <w:rFonts w:eastAsia="Times New Roman" w:cs="Times New Roman"/>
                <w:noProof/>
              </w:rPr>
            </w:pPr>
            <w:r>
              <w:rPr>
                <w:noProof/>
              </w:rPr>
              <w:t>Energiatehokkuusstrategia</w:t>
            </w:r>
          </w:p>
        </w:tc>
      </w:tr>
      <w:tr w:rsidR="0065073E" w14:paraId="5A7F8A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65073E" w:rsidRDefault="000A0998">
            <w:pPr>
              <w:pStyle w:val="P68B1DB1-Normal39"/>
              <w:spacing w:after="0" w:line="240" w:lineRule="auto"/>
              <w:jc w:val="center"/>
              <w:rPr>
                <w:rFonts w:eastAsia="Times New Roman" w:cs="Times New Roman"/>
                <w:noProof/>
              </w:rPr>
            </w:pPr>
            <w:r>
              <w:rPr>
                <w:noProof/>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65073E" w:rsidRDefault="000A0998">
            <w:pPr>
              <w:pStyle w:val="P68B1DB1-Normal39"/>
              <w:spacing w:after="0" w:line="240" w:lineRule="auto"/>
              <w:rPr>
                <w:rFonts w:eastAsia="Times New Roman" w:cs="Times New Roman"/>
                <w:noProof/>
              </w:rPr>
            </w:pPr>
            <w:r>
              <w:rPr>
                <w:noProof/>
              </w:rPr>
              <w:t>Asetus turvallisuus- ja palautumisrahaston perustamisesta </w:t>
            </w:r>
          </w:p>
        </w:tc>
      </w:tr>
      <w:tr w:rsidR="0065073E" w14:paraId="73A55D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65073E" w:rsidRDefault="000A0998">
            <w:pPr>
              <w:pStyle w:val="P68B1DB1-Normal39"/>
              <w:spacing w:after="0" w:line="240" w:lineRule="auto"/>
              <w:jc w:val="center"/>
              <w:rPr>
                <w:rFonts w:eastAsia="Times New Roman" w:cs="Times New Roman"/>
                <w:noProof/>
              </w:rPr>
            </w:pPr>
            <w:r>
              <w:rPr>
                <w:noProof/>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65073E" w:rsidRDefault="000A0998">
            <w:pPr>
              <w:pStyle w:val="P68B1DB1-Normal39"/>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65073E" w:rsidRDefault="000A0998">
            <w:pPr>
              <w:pStyle w:val="P68B1DB1-Normal39"/>
              <w:spacing w:after="0" w:line="240" w:lineRule="auto"/>
              <w:rPr>
                <w:rFonts w:eastAsia="Times New Roman" w:cs="Times New Roman"/>
                <w:noProof/>
              </w:rPr>
            </w:pPr>
            <w:r>
              <w:rPr>
                <w:noProof/>
              </w:rPr>
              <w:t>Sähköautojen ja maatalouselintarvikkeiden (lainat) arvoketjuun liittyvien strategisten hankkeiden tukijärjestelmä: Ministeriö on saanut investoinnin päätökseen</w:t>
            </w:r>
          </w:p>
        </w:tc>
      </w:tr>
      <w:tr w:rsidR="0065073E" w14:paraId="038190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65073E" w:rsidRDefault="000A0998">
            <w:pPr>
              <w:pStyle w:val="P68B1DB1-Normal39"/>
              <w:spacing w:after="0" w:line="240" w:lineRule="auto"/>
              <w:jc w:val="center"/>
              <w:rPr>
                <w:rFonts w:eastAsia="Times New Roman" w:cs="Times New Roman"/>
                <w:noProof/>
              </w:rPr>
            </w:pPr>
            <w:r>
              <w:rPr>
                <w:noProof/>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65073E" w:rsidRDefault="000A0998">
            <w:pPr>
              <w:pStyle w:val="P68B1DB1-Normal39"/>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65073E" w:rsidRDefault="000A0998">
            <w:pPr>
              <w:pStyle w:val="P68B1DB1-Normal39"/>
              <w:spacing w:after="0" w:line="240" w:lineRule="auto"/>
              <w:rPr>
                <w:rFonts w:eastAsia="Times New Roman" w:cs="Times New Roman"/>
                <w:noProof/>
              </w:rPr>
            </w:pPr>
            <w:r>
              <w:rPr>
                <w:noProof/>
              </w:rPr>
              <w:t>Sähköautojen ja maatalouselintarvikkeiden (lainat) arvoketjuun liittyvien strategisten hankkeiden tukijärjestelmä: Järjestelmän perustaminen</w:t>
            </w:r>
          </w:p>
        </w:tc>
      </w:tr>
      <w:tr w:rsidR="0065073E" w14:paraId="266D0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65073E" w:rsidRDefault="000A0998">
            <w:pPr>
              <w:pStyle w:val="P68B1DB1-Normal39"/>
              <w:spacing w:after="0" w:line="240" w:lineRule="auto"/>
              <w:jc w:val="center"/>
              <w:rPr>
                <w:rFonts w:eastAsia="Times New Roman" w:cs="Times New Roman"/>
                <w:noProof/>
              </w:rPr>
            </w:pPr>
            <w:r>
              <w:rPr>
                <w:noProof/>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65073E" w:rsidRDefault="000A0998">
            <w:pPr>
              <w:pStyle w:val="P68B1DB1-Normal39"/>
              <w:spacing w:after="0" w:line="240" w:lineRule="auto"/>
              <w:rPr>
                <w:rFonts w:eastAsia="Times New Roman" w:cs="Times New Roman"/>
                <w:noProof/>
              </w:rPr>
            </w:pPr>
            <w:r>
              <w:rPr>
                <w:noProof/>
              </w:rPr>
              <w:t>ICO:n vihreä linja – lopullisten edunsaajien (mukaan lukien pääomarahastot) kanssa allekirjoitetut oikeudelliset sopimukset (I)</w:t>
            </w:r>
          </w:p>
        </w:tc>
      </w:tr>
      <w:tr w:rsidR="0065073E" w14:paraId="450537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65073E" w:rsidRDefault="000A0998">
            <w:pPr>
              <w:pStyle w:val="P68B1DB1-Normal39"/>
              <w:spacing w:after="0" w:line="240" w:lineRule="auto"/>
              <w:jc w:val="center"/>
              <w:rPr>
                <w:rFonts w:eastAsia="Times New Roman" w:cs="Times New Roman"/>
                <w:noProof/>
              </w:rPr>
            </w:pPr>
            <w:r>
              <w:rPr>
                <w:noProof/>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65073E" w:rsidRDefault="000A0998">
            <w:pPr>
              <w:pStyle w:val="P68B1DB1-Normal39"/>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65073E" w:rsidRDefault="000A0998">
            <w:pPr>
              <w:pStyle w:val="P68B1DB1-Normal39"/>
              <w:spacing w:after="0" w:line="240" w:lineRule="auto"/>
              <w:rPr>
                <w:rFonts w:eastAsia="Times New Roman" w:cs="Times New Roman"/>
                <w:noProof/>
              </w:rPr>
            </w:pPr>
            <w:r>
              <w:rPr>
                <w:noProof/>
              </w:rPr>
              <w:t>Foco – rahaston perustamista koskevat asetukset</w:t>
            </w:r>
          </w:p>
        </w:tc>
      </w:tr>
      <w:tr w:rsidR="0065073E" w14:paraId="2E61D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65073E" w:rsidRDefault="000A0998">
            <w:pPr>
              <w:pStyle w:val="P68B1DB1-Normal39"/>
              <w:spacing w:after="0" w:line="240" w:lineRule="auto"/>
              <w:jc w:val="center"/>
              <w:rPr>
                <w:rFonts w:eastAsia="Times New Roman" w:cs="Times New Roman"/>
                <w:noProof/>
              </w:rPr>
            </w:pPr>
            <w:r>
              <w:rPr>
                <w:noProof/>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65073E" w:rsidRDefault="000A0998">
            <w:pPr>
              <w:pStyle w:val="P68B1DB1-Normal39"/>
              <w:spacing w:after="0" w:line="240" w:lineRule="auto"/>
              <w:rPr>
                <w:rFonts w:eastAsia="Times New Roman" w:cs="Times New Roman"/>
                <w:noProof/>
              </w:rPr>
            </w:pPr>
            <w:r>
              <w:rPr>
                <w:noProof/>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65073E" w:rsidRDefault="000A0998">
            <w:pPr>
              <w:pStyle w:val="P68B1DB1-Normal39"/>
              <w:spacing w:after="0" w:line="240" w:lineRule="auto"/>
              <w:rPr>
                <w:rFonts w:eastAsia="Times New Roman" w:cs="Times New Roman"/>
                <w:noProof/>
              </w:rPr>
            </w:pPr>
            <w:r>
              <w:rPr>
                <w:noProof/>
              </w:rPr>
              <w:t>Strategisten yritysten vakavaraisuustukirahasto</w:t>
            </w:r>
          </w:p>
        </w:tc>
      </w:tr>
      <w:tr w:rsidR="0065073E" w14:paraId="62B608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65073E" w:rsidRDefault="000A0998">
            <w:pPr>
              <w:pStyle w:val="P68B1DB1-Normal39"/>
              <w:spacing w:after="0" w:line="240" w:lineRule="auto"/>
              <w:jc w:val="center"/>
              <w:rPr>
                <w:rFonts w:eastAsia="Times New Roman" w:cs="Times New Roman"/>
                <w:noProof/>
              </w:rPr>
            </w:pPr>
            <w:r>
              <w:rPr>
                <w:noProof/>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65073E" w:rsidRDefault="000A0998">
            <w:pPr>
              <w:pStyle w:val="P68B1DB1-Normal39"/>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65073E" w:rsidRDefault="000A0998">
            <w:pPr>
              <w:pStyle w:val="P68B1DB1-Normal39"/>
              <w:spacing w:after="0" w:line="240" w:lineRule="auto"/>
              <w:rPr>
                <w:rFonts w:eastAsia="Times New Roman" w:cs="Times New Roman"/>
                <w:noProof/>
              </w:rPr>
            </w:pPr>
            <w:r>
              <w:rPr>
                <w:noProof/>
              </w:rPr>
              <w:t>ENISAn yrittäjyys- ja pk-yritysrahasto – täytäntöönpanosopimus</w:t>
            </w:r>
          </w:p>
        </w:tc>
      </w:tr>
      <w:tr w:rsidR="0065073E" w14:paraId="7DA56D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65073E" w:rsidRDefault="000A0998">
            <w:pPr>
              <w:pStyle w:val="P68B1DB1-Normal39"/>
              <w:spacing w:after="0" w:line="240" w:lineRule="auto"/>
              <w:jc w:val="center"/>
              <w:rPr>
                <w:rFonts w:eastAsia="Times New Roman" w:cs="Times New Roman"/>
                <w:noProof/>
              </w:rPr>
            </w:pPr>
            <w:r>
              <w:rPr>
                <w:noProof/>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65073E" w:rsidRDefault="000A0998">
            <w:pPr>
              <w:pStyle w:val="P68B1DB1-Normal39"/>
              <w:spacing w:after="0" w:line="240" w:lineRule="auto"/>
              <w:rPr>
                <w:rFonts w:eastAsia="Times New Roman" w:cs="Times New Roman"/>
                <w:noProof/>
              </w:rPr>
            </w:pPr>
            <w:r>
              <w:rPr>
                <w:noProof/>
              </w:rPr>
              <w:t>Alueellinen selviytymiskyvyn rahasto – InvestEU: Espanjan hallituksen ja Euroopan komission välisen rahoitussopimuksen allekirjoittaminen</w:t>
            </w:r>
          </w:p>
        </w:tc>
      </w:tr>
      <w:tr w:rsidR="0065073E" w14:paraId="558145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65073E" w:rsidRDefault="000A0998">
            <w:pPr>
              <w:pStyle w:val="P68B1DB1-Normal39"/>
              <w:spacing w:after="0" w:line="240" w:lineRule="auto"/>
              <w:jc w:val="center"/>
              <w:rPr>
                <w:rFonts w:eastAsia="Times New Roman" w:cs="Times New Roman"/>
                <w:noProof/>
              </w:rPr>
            </w:pPr>
            <w:r>
              <w:rPr>
                <w:noProof/>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65073E" w:rsidRDefault="000A0998">
            <w:pPr>
              <w:pStyle w:val="P68B1DB1-Normal39"/>
              <w:spacing w:after="0" w:line="240" w:lineRule="auto"/>
              <w:rPr>
                <w:rFonts w:eastAsia="Times New Roman" w:cs="Times New Roman"/>
                <w:noProof/>
              </w:rPr>
            </w:pPr>
            <w:r>
              <w:rPr>
                <w:noProof/>
              </w:rPr>
              <w:t>Alueellinen elpymisrahasto – Muut budjettikohdat: Lopullisten edunsaajien (mukaan lukien pääomarahastot) kanssa allekirjoitetut oikeudelliset sopimukset (I)</w:t>
            </w:r>
          </w:p>
        </w:tc>
      </w:tr>
      <w:tr w:rsidR="0065073E" w14:paraId="17364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65073E" w:rsidRDefault="000A0998">
            <w:pPr>
              <w:pStyle w:val="P68B1DB1-Normal39"/>
              <w:spacing w:after="0" w:line="240" w:lineRule="auto"/>
              <w:jc w:val="center"/>
              <w:rPr>
                <w:rFonts w:eastAsia="Times New Roman" w:cs="Times New Roman"/>
                <w:noProof/>
              </w:rPr>
            </w:pPr>
            <w:r>
              <w:rPr>
                <w:noProof/>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65073E" w:rsidRDefault="000A0998">
            <w:pPr>
              <w:pStyle w:val="P68B1DB1-Normal39"/>
              <w:spacing w:after="0" w:line="240" w:lineRule="auto"/>
              <w:rPr>
                <w:rFonts w:eastAsia="Times New Roman" w:cs="Times New Roman"/>
                <w:noProof/>
              </w:rPr>
            </w:pPr>
            <w:r>
              <w:rPr>
                <w:noProof/>
              </w:rPr>
              <w:t>Alueellinen selviytymiskyvyn rahasto – suora julkinen linja: Lopullisten edunsaajien kanssa allekirjoitetut oikeudelliset sopimukset (I)</w:t>
            </w:r>
          </w:p>
        </w:tc>
      </w:tr>
      <w:tr w:rsidR="0065073E" w14:paraId="42BAD5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65073E" w:rsidRDefault="000A0998">
            <w:pPr>
              <w:pStyle w:val="P68B1DB1-Normal39"/>
              <w:spacing w:after="0" w:line="240" w:lineRule="auto"/>
              <w:jc w:val="center"/>
              <w:rPr>
                <w:rFonts w:eastAsia="Times New Roman" w:cs="Times New Roman"/>
                <w:noProof/>
              </w:rPr>
            </w:pPr>
            <w:r>
              <w:rPr>
                <w:noProof/>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65073E" w:rsidRDefault="000A0998">
            <w:pPr>
              <w:pStyle w:val="P68B1DB1-Normal39"/>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65073E" w:rsidRDefault="000A0998">
            <w:pPr>
              <w:pStyle w:val="P68B1DB1-Normal39"/>
              <w:spacing w:after="0" w:line="240" w:lineRule="auto"/>
              <w:rPr>
                <w:rFonts w:eastAsia="Times New Roman" w:cs="Times New Roman"/>
                <w:noProof/>
              </w:rPr>
            </w:pPr>
            <w:r>
              <w:rPr>
                <w:noProof/>
              </w:rPr>
              <w:t>Varojen sitominen lainoina terveys- ja avaruusalan sekä ilmailu- ja avaruusalan tukemiseen</w:t>
            </w:r>
          </w:p>
        </w:tc>
      </w:tr>
      <w:tr w:rsidR="0065073E" w14:paraId="250E927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65073E" w:rsidRDefault="000A0998">
            <w:pPr>
              <w:pStyle w:val="P68B1DB1-Normal39"/>
              <w:spacing w:after="0" w:line="240" w:lineRule="auto"/>
              <w:jc w:val="center"/>
              <w:rPr>
                <w:rFonts w:eastAsia="Times New Roman" w:cs="Times New Roman"/>
                <w:noProof/>
              </w:rPr>
            </w:pPr>
            <w:r>
              <w:rPr>
                <w:noProof/>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65073E" w:rsidRDefault="000A0998">
            <w:pPr>
              <w:pStyle w:val="P68B1DB1-Normal39"/>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65073E" w:rsidRDefault="000A0998">
            <w:pPr>
              <w:pStyle w:val="P68B1DB1-Normal39"/>
              <w:spacing w:after="0" w:line="240" w:lineRule="auto"/>
              <w:rPr>
                <w:rFonts w:eastAsia="Times New Roman" w:cs="Times New Roman"/>
                <w:noProof/>
              </w:rPr>
            </w:pPr>
            <w:r>
              <w:rPr>
                <w:noProof/>
              </w:rPr>
              <w:t>Sosiaalisten vaikutusten rahasto: Asetus tukivälineen perustamisesta</w:t>
            </w:r>
          </w:p>
        </w:tc>
      </w:tr>
      <w:tr w:rsidR="0065073E" w14:paraId="27ABB9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65073E" w:rsidRDefault="000A0998">
            <w:pPr>
              <w:pStyle w:val="P68B1DB1-Normal39"/>
              <w:spacing w:after="0" w:line="240" w:lineRule="auto"/>
              <w:jc w:val="center"/>
              <w:rPr>
                <w:rFonts w:eastAsia="Times New Roman" w:cs="Times New Roman"/>
                <w:noProof/>
              </w:rPr>
            </w:pPr>
            <w:r>
              <w:rPr>
                <w:noProof/>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65073E" w:rsidRDefault="000A0998">
            <w:pPr>
              <w:pStyle w:val="P68B1DB1-Normal39"/>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65073E" w:rsidRDefault="000A0998">
            <w:pPr>
              <w:pStyle w:val="P68B1DB1-Normal39"/>
              <w:spacing w:after="0" w:line="240" w:lineRule="auto"/>
              <w:rPr>
                <w:rFonts w:eastAsia="Times New Roman" w:cs="Times New Roman"/>
                <w:noProof/>
              </w:rPr>
            </w:pPr>
            <w:r>
              <w:rPr>
                <w:noProof/>
              </w:rPr>
              <w:t xml:space="preserve">Julkaistaan ehdotuspyynnöt ja säännöt, jotka koskevat tuen myöntämistä teollisuuden hiilestä irtautumiseen. </w:t>
            </w:r>
          </w:p>
        </w:tc>
      </w:tr>
      <w:tr w:rsidR="0065073E" w14:paraId="1FE21F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65073E" w:rsidRDefault="000A0998">
            <w:pPr>
              <w:pStyle w:val="P68B1DB1-Normal39"/>
              <w:spacing w:after="0" w:line="240" w:lineRule="auto"/>
              <w:jc w:val="center"/>
              <w:rPr>
                <w:rFonts w:eastAsia="Times New Roman" w:cs="Times New Roman"/>
                <w:noProof/>
              </w:rPr>
            </w:pPr>
            <w:r>
              <w:rPr>
                <w:noProof/>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65073E" w:rsidRDefault="000A0998">
            <w:pPr>
              <w:pStyle w:val="P68B1DB1-Normal39"/>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65073E" w:rsidRDefault="000A0998">
            <w:pPr>
              <w:pStyle w:val="P68B1DB1-Normal39"/>
              <w:spacing w:after="0" w:line="240" w:lineRule="auto"/>
              <w:rPr>
                <w:rFonts w:eastAsia="Times New Roman" w:cs="Times New Roman"/>
                <w:noProof/>
              </w:rPr>
            </w:pPr>
            <w:r>
              <w:rPr>
                <w:noProof/>
              </w:rPr>
              <w:t>Hiilestä irtautumista koskeville hankkeille myönnettävien palkintojen julkaiseminen</w:t>
            </w:r>
          </w:p>
        </w:tc>
      </w:tr>
      <w:tr w:rsidR="0065073E" w14:paraId="0CB343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65073E" w:rsidRDefault="000A0998">
            <w:pPr>
              <w:pStyle w:val="P68B1DB1-Normal39"/>
              <w:spacing w:after="0" w:line="240" w:lineRule="auto"/>
              <w:jc w:val="center"/>
              <w:rPr>
                <w:rFonts w:eastAsia="Times New Roman" w:cs="Times New Roman"/>
                <w:noProof/>
              </w:rPr>
            </w:pPr>
            <w:r>
              <w:rPr>
                <w:noProof/>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65073E" w:rsidRDefault="000A0998">
            <w:pPr>
              <w:pStyle w:val="P68B1DB1-Normal39"/>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65073E" w:rsidRDefault="000A0998">
            <w:pPr>
              <w:pStyle w:val="P68B1DB1-Normal39"/>
              <w:spacing w:after="0" w:line="240" w:lineRule="auto"/>
              <w:rPr>
                <w:rFonts w:eastAsia="Times New Roman" w:cs="Times New Roman"/>
                <w:noProof/>
              </w:rPr>
            </w:pPr>
            <w:r>
              <w:rPr>
                <w:noProof/>
              </w:rPr>
              <w:t>Teollisuuden hiilestä irtautumista koskeva tukijärjestelmä (lainat): Ministeriö on saanut investoinnin päätökseen</w:t>
            </w:r>
          </w:p>
        </w:tc>
      </w:tr>
      <w:tr w:rsidR="0065073E" w14:paraId="7326C1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65073E" w:rsidRDefault="000A0998">
            <w:pPr>
              <w:pStyle w:val="P68B1DB1-Normal39"/>
              <w:spacing w:after="0" w:line="240" w:lineRule="auto"/>
              <w:jc w:val="center"/>
              <w:rPr>
                <w:rFonts w:eastAsia="Times New Roman" w:cs="Times New Roman"/>
                <w:noProof/>
              </w:rPr>
            </w:pPr>
            <w:r>
              <w:rPr>
                <w:noProof/>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65073E" w:rsidRDefault="000A0998">
            <w:pPr>
              <w:pStyle w:val="P68B1DB1-Normal39"/>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65073E" w:rsidRDefault="000A0998">
            <w:pPr>
              <w:pStyle w:val="P68B1DB1-Normal39"/>
              <w:spacing w:after="0" w:line="240" w:lineRule="auto"/>
              <w:rPr>
                <w:rFonts w:eastAsia="Times New Roman" w:cs="Times New Roman"/>
                <w:noProof/>
              </w:rPr>
            </w:pPr>
            <w:r>
              <w:rPr>
                <w:noProof/>
              </w:rPr>
              <w:t>Lainajärjestelmän perustaminen</w:t>
            </w:r>
          </w:p>
        </w:tc>
      </w:tr>
      <w:tr w:rsidR="0065073E" w14:paraId="50229C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65073E" w:rsidRDefault="000A0998">
            <w:pPr>
              <w:pStyle w:val="P68B1DB1-Normal38"/>
              <w:spacing w:after="0" w:line="240" w:lineRule="auto"/>
              <w:rPr>
                <w:rFonts w:eastAsia="Times New Roman" w:cs="Times New Roman"/>
                <w:noProof/>
              </w:rPr>
            </w:pPr>
            <w:r>
              <w:rPr>
                <w:noProof/>
              </w:rPr>
              <w:t>16 632 012 000</w:t>
            </w:r>
          </w:p>
        </w:tc>
      </w:tr>
    </w:tbl>
    <w:p w14:paraId="2F080BC8" w14:textId="77777777" w:rsidR="0065073E" w:rsidRDefault="0065073E">
      <w:pPr>
        <w:spacing w:before="120" w:after="120" w:line="240" w:lineRule="auto"/>
        <w:jc w:val="both"/>
        <w:rPr>
          <w:rFonts w:ascii="Times New Roman" w:eastAsia="Calibri" w:hAnsi="Times New Roman" w:cs="Times New Roman"/>
          <w:noProof/>
          <w:sz w:val="24"/>
        </w:rPr>
      </w:pPr>
    </w:p>
    <w:p w14:paraId="62B8B28C" w14:textId="396FC8D8"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Neljäs erä (lainatuki): </w:t>
      </w:r>
    </w:p>
    <w:tbl>
      <w:tblPr>
        <w:tblW w:w="9663" w:type="dxa"/>
        <w:tblInd w:w="113" w:type="dxa"/>
        <w:tblLook w:val="04A0" w:firstRow="1" w:lastRow="0" w:firstColumn="1" w:lastColumn="0" w:noHBand="0" w:noVBand="1"/>
      </w:tblPr>
      <w:tblGrid>
        <w:gridCol w:w="1247"/>
        <w:gridCol w:w="1383"/>
        <w:gridCol w:w="1707"/>
        <w:gridCol w:w="5405"/>
      </w:tblGrid>
      <w:tr w:rsidR="0065073E" w14:paraId="52A73B5E"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36F11D1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65073E" w:rsidRDefault="0065073E">
            <w:pPr>
              <w:spacing w:after="0" w:line="240" w:lineRule="auto"/>
              <w:rPr>
                <w:rFonts w:ascii="Times New Roman" w:eastAsia="Times New Roman" w:hAnsi="Times New Roman" w:cs="Times New Roman"/>
                <w:b/>
                <w:noProof/>
                <w:sz w:val="20"/>
              </w:rPr>
            </w:pPr>
          </w:p>
        </w:tc>
      </w:tr>
      <w:tr w:rsidR="0065073E" w14:paraId="52775BE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65073E" w:rsidRDefault="000A0998">
            <w:pPr>
              <w:pStyle w:val="P68B1DB1-Normal39"/>
              <w:spacing w:after="0" w:line="240" w:lineRule="auto"/>
              <w:jc w:val="center"/>
              <w:rPr>
                <w:rFonts w:eastAsia="Times New Roman" w:cs="Times New Roman"/>
                <w:noProof/>
              </w:rPr>
            </w:pPr>
            <w:r>
              <w:rPr>
                <w:noProof/>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65073E" w:rsidRDefault="000A0998">
            <w:pPr>
              <w:pStyle w:val="P68B1DB1-Normal39"/>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65073E" w:rsidRDefault="000A0998">
            <w:pPr>
              <w:pStyle w:val="P68B1DB1-Normal39"/>
              <w:spacing w:after="0" w:line="240" w:lineRule="auto"/>
              <w:rPr>
                <w:rFonts w:eastAsia="Times New Roman" w:cs="Times New Roman"/>
                <w:noProof/>
              </w:rPr>
            </w:pPr>
            <w:r>
              <w:rPr>
                <w:noProof/>
              </w:rPr>
              <w:t xml:space="preserve">Maa- ja kaupunkialueiden kunnostamista koskevan lain konsolidoidun tekstin muutoksen voimaantulo </w:t>
            </w:r>
          </w:p>
        </w:tc>
      </w:tr>
      <w:tr w:rsidR="0065073E" w14:paraId="76C020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65073E" w:rsidRDefault="000A0998">
            <w:pPr>
              <w:pStyle w:val="P68B1DB1-Normal39"/>
              <w:spacing w:after="0" w:line="240" w:lineRule="auto"/>
              <w:jc w:val="center"/>
              <w:rPr>
                <w:rFonts w:eastAsia="Times New Roman" w:cs="Times New Roman"/>
                <w:noProof/>
              </w:rPr>
            </w:pPr>
            <w:r>
              <w:rPr>
                <w:noProof/>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65073E" w:rsidRDefault="000A0998">
            <w:pPr>
              <w:pStyle w:val="P68B1DB1-Normal39"/>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65073E" w:rsidRDefault="000A0998">
            <w:pPr>
              <w:pStyle w:val="P68B1DB1-Normal39"/>
              <w:spacing w:after="0" w:line="240" w:lineRule="auto"/>
              <w:rPr>
                <w:rFonts w:eastAsia="Times New Roman" w:cs="Times New Roman"/>
                <w:noProof/>
              </w:rPr>
            </w:pPr>
            <w:r>
              <w:rPr>
                <w:noProof/>
              </w:rPr>
              <w:t>Rakennuslupamenettelyjen yksinkertaistamista ja virtaviivaistamista koskevan parhaiden käytäntöjen oppaan julkaiseminen</w:t>
            </w:r>
          </w:p>
        </w:tc>
      </w:tr>
      <w:tr w:rsidR="0065073E" w14:paraId="22618B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65073E" w:rsidRDefault="000A0998">
            <w:pPr>
              <w:pStyle w:val="P68B1DB1-Normal39"/>
              <w:spacing w:after="0" w:line="240" w:lineRule="auto"/>
              <w:jc w:val="center"/>
              <w:rPr>
                <w:rFonts w:eastAsia="Times New Roman" w:cs="Times New Roman"/>
                <w:noProof/>
              </w:rPr>
            </w:pPr>
            <w:r>
              <w:rPr>
                <w:noProof/>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65073E" w:rsidRDefault="000A0998">
            <w:pPr>
              <w:pStyle w:val="P68B1DB1-Normal39"/>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65073E" w:rsidRDefault="000A0998">
            <w:pPr>
              <w:pStyle w:val="P68B1DB1-Normal39"/>
              <w:spacing w:after="0" w:line="240" w:lineRule="auto"/>
              <w:rPr>
                <w:rFonts w:eastAsia="Times New Roman" w:cs="Times New Roman"/>
                <w:noProof/>
              </w:rPr>
            </w:pPr>
            <w:r>
              <w:rPr>
                <w:noProof/>
              </w:rPr>
              <w:t>ICO:n lainajärjestely sosiaalisen asuntotuotannon edistämiseksi: Lopullisten edunsaajien kanssa allekirjoitetut oikeudelliset sopimukset (I)</w:t>
            </w:r>
          </w:p>
        </w:tc>
      </w:tr>
      <w:tr w:rsidR="0065073E" w14:paraId="55B516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65073E" w:rsidRDefault="000A0998">
            <w:pPr>
              <w:pStyle w:val="P68B1DB1-Normal39"/>
              <w:spacing w:after="0" w:line="240" w:lineRule="auto"/>
              <w:jc w:val="center"/>
              <w:rPr>
                <w:rFonts w:eastAsia="Times New Roman" w:cs="Times New Roman"/>
                <w:noProof/>
              </w:rPr>
            </w:pPr>
            <w:r>
              <w:rPr>
                <w:noProof/>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65073E" w:rsidRDefault="000A0998">
            <w:pPr>
              <w:pStyle w:val="P68B1DB1-Normal39"/>
              <w:spacing w:after="0" w:line="240" w:lineRule="auto"/>
              <w:rPr>
                <w:rFonts w:eastAsia="Times New Roman" w:cs="Times New Roman"/>
                <w:noProof/>
              </w:rPr>
            </w:pPr>
            <w:r>
              <w:rPr>
                <w:noProof/>
              </w:rPr>
              <w:t>Sellaisten hankkeiden myöntäminen, joilla vahvistetaan julkishallinnon kyberturvallisuusvalmiuksia kyberuhkien ehkäisemisen, suojelun, havaitsemisen ja niihin reagoimisen alalla (kyberturvallisuusohjelma)</w:t>
            </w:r>
          </w:p>
        </w:tc>
      </w:tr>
      <w:tr w:rsidR="0065073E" w14:paraId="058449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65073E" w:rsidRDefault="000A0998">
            <w:pPr>
              <w:pStyle w:val="P68B1DB1-Normal39"/>
              <w:spacing w:after="0" w:line="240" w:lineRule="auto"/>
              <w:jc w:val="center"/>
              <w:rPr>
                <w:rFonts w:eastAsia="Times New Roman" w:cs="Times New Roman"/>
                <w:noProof/>
              </w:rPr>
            </w:pPr>
            <w:r>
              <w:rPr>
                <w:noProof/>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65073E" w:rsidRDefault="000A0998">
            <w:pPr>
              <w:pStyle w:val="P68B1DB1-Normal39"/>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w:t>
            </w:r>
          </w:p>
        </w:tc>
      </w:tr>
      <w:tr w:rsidR="0065073E" w14:paraId="0FF83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65073E" w:rsidRDefault="000A0998">
            <w:pPr>
              <w:pStyle w:val="P68B1DB1-Normal39"/>
              <w:spacing w:after="0" w:line="240" w:lineRule="auto"/>
              <w:jc w:val="center"/>
              <w:rPr>
                <w:rFonts w:eastAsia="Times New Roman" w:cs="Times New Roman"/>
                <w:noProof/>
              </w:rPr>
            </w:pPr>
            <w:r>
              <w:rPr>
                <w:noProof/>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65073E" w:rsidRDefault="000A0998">
            <w:pPr>
              <w:pStyle w:val="P68B1DB1-Normal39"/>
              <w:spacing w:after="0" w:line="240" w:lineRule="auto"/>
              <w:rPr>
                <w:rFonts w:eastAsia="Times New Roman" w:cs="Times New Roman"/>
                <w:noProof/>
              </w:rPr>
            </w:pPr>
            <w:r>
              <w:rPr>
                <w:noProof/>
              </w:rPr>
              <w:t>ICO:n vihreä linja – lopullisten edunsaajien (mukaan lukien pääomarahastot) kanssa allekirjoitetut oikeudelliset sopimukset (II)</w:t>
            </w:r>
          </w:p>
        </w:tc>
      </w:tr>
      <w:tr w:rsidR="0065073E" w14:paraId="73D163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65073E" w:rsidRDefault="000A0998">
            <w:pPr>
              <w:pStyle w:val="P68B1DB1-Normal39"/>
              <w:spacing w:after="0" w:line="240" w:lineRule="auto"/>
              <w:jc w:val="center"/>
              <w:rPr>
                <w:rFonts w:eastAsia="Times New Roman" w:cs="Times New Roman"/>
                <w:noProof/>
              </w:rPr>
            </w:pPr>
            <w:r>
              <w:rPr>
                <w:noProof/>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65073E" w:rsidRDefault="000A0998">
            <w:pPr>
              <w:pStyle w:val="P68B1DB1-Normal39"/>
              <w:spacing w:after="0" w:line="240" w:lineRule="auto"/>
              <w:rPr>
                <w:rFonts w:eastAsia="Times New Roman" w:cs="Times New Roman"/>
                <w:noProof/>
              </w:rPr>
            </w:pPr>
            <w:r>
              <w:rPr>
                <w:noProof/>
              </w:rPr>
              <w:t>ICO Enterprises and Entrepreneurs Line – Lopullisten edunsaajien (mukaan lukien pääomarahastot) kanssa allekirjoitetut oikeudelliset sopimukset (I)</w:t>
            </w:r>
          </w:p>
        </w:tc>
      </w:tr>
      <w:tr w:rsidR="0065073E" w14:paraId="2BEFAD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65073E" w:rsidRDefault="000A0998">
            <w:pPr>
              <w:pStyle w:val="P68B1DB1-Normal39"/>
              <w:spacing w:after="0" w:line="240" w:lineRule="auto"/>
              <w:jc w:val="center"/>
              <w:rPr>
                <w:rFonts w:eastAsia="Times New Roman" w:cs="Times New Roman"/>
                <w:noProof/>
              </w:rPr>
            </w:pPr>
            <w:r>
              <w:rPr>
                <w:noProof/>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65073E" w:rsidRDefault="000A0998">
            <w:pPr>
              <w:pStyle w:val="P68B1DB1-Normal39"/>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65073E" w:rsidRDefault="000A0998">
            <w:pPr>
              <w:pStyle w:val="P68B1DB1-Normal39"/>
              <w:spacing w:after="0" w:line="240" w:lineRule="auto"/>
              <w:rPr>
                <w:rFonts w:eastAsia="Times New Roman" w:cs="Times New Roman"/>
                <w:noProof/>
              </w:rPr>
            </w:pPr>
            <w:r>
              <w:rPr>
                <w:noProof/>
              </w:rPr>
              <w:t>Seuraava teknologia – lopullisten edunsaajien ja pääomarahastojen kanssa allekirjoitetut oikeudelliset sopimukset (I)</w:t>
            </w:r>
          </w:p>
        </w:tc>
      </w:tr>
      <w:tr w:rsidR="0065073E" w14:paraId="5709ED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65073E" w:rsidRDefault="000A0998">
            <w:pPr>
              <w:pStyle w:val="P68B1DB1-Normal39"/>
              <w:spacing w:after="0" w:line="240" w:lineRule="auto"/>
              <w:jc w:val="center"/>
              <w:rPr>
                <w:rFonts w:eastAsia="Times New Roman" w:cs="Times New Roman"/>
                <w:noProof/>
              </w:rPr>
            </w:pPr>
            <w:r>
              <w:rPr>
                <w:noProof/>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65073E" w:rsidRDefault="000A0998">
            <w:pPr>
              <w:pStyle w:val="P68B1DB1-Normal39"/>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65073E" w:rsidRDefault="000A0998">
            <w:pPr>
              <w:pStyle w:val="P68B1DB1-Normal39"/>
              <w:spacing w:after="0" w:line="240" w:lineRule="auto"/>
              <w:rPr>
                <w:rFonts w:eastAsia="Times New Roman" w:cs="Times New Roman"/>
                <w:noProof/>
              </w:rPr>
            </w:pPr>
            <w:r>
              <w:rPr>
                <w:noProof/>
              </w:rPr>
              <w:t>Foco – Lopullisten edunsaajien (mukaan lukien pääomarahastot) kanssa allekirjoitetut oikeudelliset sopimukset (I)</w:t>
            </w:r>
          </w:p>
        </w:tc>
      </w:tr>
      <w:tr w:rsidR="0065073E" w14:paraId="435420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65073E" w:rsidRDefault="000A0998">
            <w:pPr>
              <w:pStyle w:val="P68B1DB1-Normal39"/>
              <w:spacing w:after="0" w:line="240" w:lineRule="auto"/>
              <w:jc w:val="center"/>
              <w:rPr>
                <w:rFonts w:eastAsia="Times New Roman" w:cs="Times New Roman"/>
                <w:noProof/>
              </w:rPr>
            </w:pPr>
            <w:r>
              <w:rPr>
                <w:noProof/>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65073E" w:rsidRDefault="000A0998">
            <w:pPr>
              <w:pStyle w:val="P68B1DB1-Normal39"/>
              <w:spacing w:after="0" w:line="240" w:lineRule="auto"/>
              <w:rPr>
                <w:rFonts w:eastAsia="Times New Roman" w:cs="Times New Roman"/>
                <w:noProof/>
              </w:rPr>
            </w:pPr>
            <w:r>
              <w:rPr>
                <w:noProof/>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65073E" w:rsidRDefault="000A0998">
            <w:pPr>
              <w:pStyle w:val="P68B1DB1-Normal39"/>
              <w:spacing w:after="0" w:line="240" w:lineRule="auto"/>
              <w:rPr>
                <w:rFonts w:eastAsia="Times New Roman" w:cs="Times New Roman"/>
                <w:noProof/>
              </w:rPr>
            </w:pPr>
            <w:r>
              <w:rPr>
                <w:noProof/>
              </w:rPr>
              <w:t>FONREC</w:t>
            </w:r>
          </w:p>
        </w:tc>
      </w:tr>
      <w:tr w:rsidR="0065073E" w14:paraId="0D7D95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65073E" w:rsidRDefault="000A0998">
            <w:pPr>
              <w:pStyle w:val="P68B1DB1-Normal39"/>
              <w:spacing w:after="0" w:line="240" w:lineRule="auto"/>
              <w:jc w:val="center"/>
              <w:rPr>
                <w:rFonts w:eastAsia="Times New Roman" w:cs="Times New Roman"/>
                <w:noProof/>
              </w:rPr>
            </w:pPr>
            <w:r>
              <w:rPr>
                <w:noProof/>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65073E" w:rsidRDefault="000A0998">
            <w:pPr>
              <w:pStyle w:val="P68B1DB1-Normal39"/>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65073E" w:rsidRDefault="000A0998">
            <w:pPr>
              <w:pStyle w:val="P68B1DB1-Normal39"/>
              <w:spacing w:after="0" w:line="240" w:lineRule="auto"/>
              <w:rPr>
                <w:rFonts w:eastAsia="Times New Roman" w:cs="Times New Roman"/>
                <w:noProof/>
              </w:rPr>
            </w:pPr>
            <w:r>
              <w:rPr>
                <w:noProof/>
              </w:rPr>
              <w:t>ENISAn yrittäjyys- ja pk-yritysrahasto – lopullisten edunsaajien kanssa allekirjoitetut oikeudelliset sopimukset</w:t>
            </w:r>
          </w:p>
        </w:tc>
      </w:tr>
      <w:tr w:rsidR="0065073E" w14:paraId="336C8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65073E" w:rsidRDefault="000A0998">
            <w:pPr>
              <w:pStyle w:val="P68B1DB1-Normal39"/>
              <w:spacing w:after="0" w:line="240" w:lineRule="auto"/>
              <w:jc w:val="center"/>
              <w:rPr>
                <w:rFonts w:eastAsia="Times New Roman" w:cs="Times New Roman"/>
                <w:noProof/>
              </w:rPr>
            </w:pPr>
            <w:r>
              <w:rPr>
                <w:noProof/>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65073E" w:rsidRDefault="000A0998">
            <w:pPr>
              <w:pStyle w:val="P68B1DB1-Normal39"/>
              <w:spacing w:after="0" w:line="240" w:lineRule="auto"/>
              <w:rPr>
                <w:rFonts w:eastAsia="Times New Roman" w:cs="Times New Roman"/>
                <w:noProof/>
              </w:rPr>
            </w:pPr>
            <w:r>
              <w:rPr>
                <w:noProof/>
              </w:rPr>
              <w:t>Alueellinen elpymisrahasto – Muut budjettikohdat: Lopullisten edunsaajien (mukaan lukien oman pääoman ehtoiset rahastot) kanssa allekirjoitetut oikeudelliset sopimukset (II)</w:t>
            </w:r>
          </w:p>
        </w:tc>
      </w:tr>
      <w:tr w:rsidR="0065073E" w14:paraId="76C523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65073E" w:rsidRDefault="000A0998">
            <w:pPr>
              <w:pStyle w:val="P68B1DB1-Normal39"/>
              <w:spacing w:after="0" w:line="240" w:lineRule="auto"/>
              <w:jc w:val="center"/>
              <w:rPr>
                <w:rFonts w:eastAsia="Times New Roman" w:cs="Times New Roman"/>
                <w:noProof/>
              </w:rPr>
            </w:pPr>
            <w:r>
              <w:rPr>
                <w:noProof/>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65073E" w:rsidRDefault="000A0998">
            <w:pPr>
              <w:pStyle w:val="P68B1DB1-Normal39"/>
              <w:spacing w:after="0" w:line="240" w:lineRule="auto"/>
              <w:rPr>
                <w:rFonts w:eastAsia="Times New Roman" w:cs="Times New Roman"/>
                <w:noProof/>
              </w:rPr>
            </w:pPr>
            <w:r>
              <w:rPr>
                <w:noProof/>
              </w:rPr>
              <w:t>Alueellinen selviytymiskyvyn rahasto – suora julkinen linja: Lopullisten edunsaajien kanssa allekirjoitetut oikeudelliset sopimukset (II)</w:t>
            </w:r>
          </w:p>
        </w:tc>
      </w:tr>
      <w:tr w:rsidR="0065073E" w14:paraId="11DBBF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65073E" w:rsidRDefault="000A0998">
            <w:pPr>
              <w:pStyle w:val="P68B1DB1-Normal39"/>
              <w:spacing w:after="0" w:line="240" w:lineRule="auto"/>
              <w:jc w:val="center"/>
              <w:rPr>
                <w:rFonts w:eastAsia="Times New Roman" w:cs="Times New Roman"/>
                <w:noProof/>
              </w:rPr>
            </w:pPr>
            <w:r>
              <w:rPr>
                <w:noProof/>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65073E" w:rsidRDefault="000A0998">
            <w:pPr>
              <w:pStyle w:val="P68B1DB1-Normal39"/>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65073E" w:rsidRDefault="000A0998">
            <w:pPr>
              <w:pStyle w:val="P68B1DB1-Normal39"/>
              <w:spacing w:after="0" w:line="240" w:lineRule="auto"/>
              <w:rPr>
                <w:rFonts w:eastAsia="Times New Roman" w:cs="Times New Roman"/>
                <w:noProof/>
              </w:rPr>
            </w:pPr>
            <w:r>
              <w:rPr>
                <w:noProof/>
              </w:rPr>
              <w:t>Sirujen rahoitusjärjestely: Lopullisten edunsaajien kanssa allekirjoitetut oikeudelliset sopimukset (I)</w:t>
            </w:r>
          </w:p>
        </w:tc>
      </w:tr>
      <w:tr w:rsidR="0065073E" w14:paraId="46B5BB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65073E" w:rsidRDefault="000A0998">
            <w:pPr>
              <w:pStyle w:val="P68B1DB1-Normal39"/>
              <w:spacing w:after="0" w:line="240" w:lineRule="auto"/>
              <w:jc w:val="center"/>
              <w:rPr>
                <w:rFonts w:eastAsia="Times New Roman" w:cs="Times New Roman"/>
                <w:noProof/>
              </w:rPr>
            </w:pPr>
            <w:r>
              <w:rPr>
                <w:noProof/>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65073E" w:rsidRDefault="000A0998">
            <w:pPr>
              <w:pStyle w:val="P68B1DB1-Normal39"/>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65073E" w:rsidRDefault="000A0998">
            <w:pPr>
              <w:pStyle w:val="P68B1DB1-Normal39"/>
              <w:spacing w:after="0" w:line="240" w:lineRule="auto"/>
              <w:rPr>
                <w:rFonts w:eastAsia="Times New Roman" w:cs="Times New Roman"/>
                <w:noProof/>
              </w:rPr>
            </w:pPr>
            <w:r>
              <w:rPr>
                <w:noProof/>
              </w:rPr>
              <w:t xml:space="preserve">ICO:n audiovisuaalialan keskuksen rahasto: Lopullisten edunsaajien (mukaan lukien oman pääoman ehtoiset rahastot) kanssa allekirjoitetut oikeudelliset rahoitussopimukset (I).  </w:t>
            </w:r>
          </w:p>
        </w:tc>
      </w:tr>
      <w:tr w:rsidR="0065073E" w14:paraId="7A6E7E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65073E" w:rsidRDefault="000A0998">
            <w:pPr>
              <w:pStyle w:val="P68B1DB1-Normal38"/>
              <w:spacing w:after="0" w:line="240" w:lineRule="auto"/>
              <w:rPr>
                <w:rFonts w:eastAsia="Times New Roman" w:cs="Times New Roman"/>
                <w:noProof/>
              </w:rPr>
            </w:pPr>
            <w:r>
              <w:rPr>
                <w:noProof/>
              </w:rPr>
              <w:t>YHTEENSÄ 18612013429 EUROA</w:t>
            </w:r>
          </w:p>
        </w:tc>
      </w:tr>
    </w:tbl>
    <w:p w14:paraId="453DEC58" w14:textId="77777777" w:rsidR="0065073E" w:rsidRDefault="0065073E">
      <w:pPr>
        <w:spacing w:before="120" w:after="120" w:line="240" w:lineRule="auto"/>
        <w:jc w:val="both"/>
        <w:rPr>
          <w:rFonts w:ascii="Times New Roman" w:eastAsia="Calibri" w:hAnsi="Times New Roman" w:cs="Times New Roman"/>
          <w:noProof/>
          <w:sz w:val="24"/>
        </w:rPr>
      </w:pPr>
    </w:p>
    <w:p w14:paraId="1450A0C7" w14:textId="77777777" w:rsidR="0065073E" w:rsidRDefault="0065073E">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65073E" w:rsidSect="00B511EF">
          <w:headerReference w:type="even" r:id="rId697"/>
          <w:headerReference w:type="default" r:id="rId698"/>
          <w:footerReference w:type="even" r:id="rId699"/>
          <w:footerReference w:type="default" r:id="rId700"/>
          <w:headerReference w:type="first" r:id="rId701"/>
          <w:footerReference w:type="first" r:id="rId702"/>
          <w:pgSz w:w="11907" w:h="16839"/>
          <w:pgMar w:top="1134" w:right="1134" w:bottom="1134" w:left="1134" w:header="567" w:footer="567" w:gutter="0"/>
          <w:cols w:space="720"/>
          <w:docGrid w:linePitch="360"/>
        </w:sectPr>
      </w:pPr>
    </w:p>
    <w:p w14:paraId="73A0D850" w14:textId="3248986B"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Viides erä (lainatuki): </w:t>
      </w:r>
    </w:p>
    <w:tbl>
      <w:tblPr>
        <w:tblW w:w="9663" w:type="dxa"/>
        <w:tblInd w:w="113" w:type="dxa"/>
        <w:tblLook w:val="04A0" w:firstRow="1" w:lastRow="0" w:firstColumn="1" w:lastColumn="0" w:noHBand="0" w:noVBand="1"/>
      </w:tblPr>
      <w:tblGrid>
        <w:gridCol w:w="1247"/>
        <w:gridCol w:w="1383"/>
        <w:gridCol w:w="1707"/>
        <w:gridCol w:w="5405"/>
      </w:tblGrid>
      <w:tr w:rsidR="0065073E" w14:paraId="486661A0"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07375CF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65073E" w:rsidRDefault="0065073E">
            <w:pPr>
              <w:spacing w:after="0" w:line="240" w:lineRule="auto"/>
              <w:rPr>
                <w:rFonts w:ascii="Times New Roman" w:eastAsia="Times New Roman" w:hAnsi="Times New Roman" w:cs="Times New Roman"/>
                <w:b/>
                <w:noProof/>
                <w:sz w:val="20"/>
              </w:rPr>
            </w:pPr>
          </w:p>
        </w:tc>
      </w:tr>
      <w:tr w:rsidR="0065073E" w14:paraId="79259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65073E" w:rsidRDefault="000A0998">
            <w:pPr>
              <w:pStyle w:val="P68B1DB1-Normal39"/>
              <w:spacing w:after="0" w:line="240" w:lineRule="auto"/>
              <w:jc w:val="center"/>
              <w:rPr>
                <w:rFonts w:eastAsia="Times New Roman" w:cs="Times New Roman"/>
                <w:noProof/>
              </w:rPr>
            </w:pPr>
            <w:r>
              <w:rPr>
                <w:noProof/>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65073E" w:rsidRDefault="000A0998">
            <w:pPr>
              <w:pStyle w:val="P68B1DB1-Normal39"/>
              <w:spacing w:after="0" w:line="240" w:lineRule="auto"/>
              <w:rPr>
                <w:rFonts w:eastAsia="Times New Roman" w:cs="Times New Roman"/>
                <w:noProof/>
              </w:rPr>
            </w:pPr>
            <w:r>
              <w:rPr>
                <w:noProof/>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65073E" w:rsidRDefault="000A0998">
            <w:pPr>
              <w:pStyle w:val="P68B1DB1-Normal39"/>
              <w:spacing w:after="0" w:line="240" w:lineRule="auto"/>
              <w:rPr>
                <w:rFonts w:eastAsia="Times New Roman" w:cs="Times New Roman"/>
                <w:noProof/>
              </w:rPr>
            </w:pPr>
            <w:r>
              <w:rPr>
                <w:noProof/>
              </w:rPr>
              <w:t>Maatilojen tietojärjestelmää koskevan asetuksen voimaantulo</w:t>
            </w:r>
          </w:p>
        </w:tc>
      </w:tr>
      <w:tr w:rsidR="0065073E" w14:paraId="6197830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65073E" w:rsidRDefault="000A0998">
            <w:pPr>
              <w:pStyle w:val="P68B1DB1-Normal39"/>
              <w:spacing w:after="0" w:line="240" w:lineRule="auto"/>
              <w:jc w:val="center"/>
              <w:rPr>
                <w:rFonts w:eastAsia="Times New Roman" w:cs="Times New Roman"/>
                <w:noProof/>
              </w:rPr>
            </w:pPr>
            <w:r>
              <w:rPr>
                <w:noProof/>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65073E" w:rsidRDefault="000A0998">
            <w:pPr>
              <w:pStyle w:val="P68B1DB1-Normal39"/>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65073E" w:rsidRDefault="000A0998">
            <w:pPr>
              <w:pStyle w:val="P68B1DB1-Normal39"/>
              <w:spacing w:after="0" w:line="240" w:lineRule="auto"/>
              <w:rPr>
                <w:rFonts w:eastAsia="Times New Roman" w:cs="Times New Roman"/>
                <w:noProof/>
              </w:rPr>
            </w:pPr>
            <w:r>
              <w:rPr>
                <w:noProof/>
              </w:rPr>
              <w:t>Tieliikenteen pääosaston hiilijalanjäljen laskeminen</w:t>
            </w:r>
          </w:p>
        </w:tc>
      </w:tr>
      <w:tr w:rsidR="0065073E" w14:paraId="655A97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65073E" w:rsidRDefault="000A0998">
            <w:pPr>
              <w:pStyle w:val="P68B1DB1-Normal39"/>
              <w:spacing w:after="0" w:line="240" w:lineRule="auto"/>
              <w:jc w:val="center"/>
              <w:rPr>
                <w:rFonts w:eastAsia="Times New Roman" w:cs="Times New Roman"/>
                <w:noProof/>
              </w:rPr>
            </w:pPr>
            <w:r>
              <w:rPr>
                <w:noProof/>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65073E" w:rsidRDefault="000A0998">
            <w:pPr>
              <w:pStyle w:val="P68B1DB1-Normal39"/>
              <w:spacing w:after="0" w:line="240" w:lineRule="auto"/>
              <w:rPr>
                <w:rFonts w:eastAsia="Times New Roman" w:cs="Times New Roman"/>
                <w:noProof/>
              </w:rPr>
            </w:pPr>
            <w:r>
              <w:rPr>
                <w:noProof/>
              </w:rPr>
              <w:t>ICO:n vihreä linja – lopullisten edunsaajien (mukaan lukien pääomarahastot) kanssa allekirjoitetut oikeudelliset sopimukset (III)</w:t>
            </w:r>
          </w:p>
        </w:tc>
      </w:tr>
      <w:tr w:rsidR="0065073E" w14:paraId="6698D36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65073E" w:rsidRDefault="000A0998">
            <w:pPr>
              <w:pStyle w:val="P68B1DB1-Normal39"/>
              <w:spacing w:after="0" w:line="240" w:lineRule="auto"/>
              <w:jc w:val="center"/>
              <w:rPr>
                <w:rFonts w:eastAsia="Times New Roman" w:cs="Times New Roman"/>
                <w:noProof/>
              </w:rPr>
            </w:pPr>
            <w:r>
              <w:rPr>
                <w:noProof/>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65073E" w:rsidRDefault="000A0998">
            <w:pPr>
              <w:pStyle w:val="P68B1DB1-Normal39"/>
              <w:spacing w:after="0" w:line="240" w:lineRule="auto"/>
              <w:rPr>
                <w:rFonts w:eastAsia="Times New Roman" w:cs="Times New Roman"/>
                <w:noProof/>
              </w:rPr>
            </w:pPr>
            <w:r>
              <w:rPr>
                <w:noProof/>
              </w:rPr>
              <w:t>ICO Enterprises and Entrepreneurs Line – Lopullisten edunsaajien (mukaan lukien pääomarahastot) kanssa allekirjoitetut oikeudelliset sopimukset (II)</w:t>
            </w:r>
          </w:p>
        </w:tc>
      </w:tr>
      <w:tr w:rsidR="0065073E" w14:paraId="6DDD1C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65073E" w:rsidRDefault="000A0998">
            <w:pPr>
              <w:pStyle w:val="P68B1DB1-Normal39"/>
              <w:spacing w:after="0" w:line="240" w:lineRule="auto"/>
              <w:jc w:val="center"/>
              <w:rPr>
                <w:rFonts w:eastAsia="Times New Roman" w:cs="Times New Roman"/>
                <w:noProof/>
              </w:rPr>
            </w:pPr>
            <w:r>
              <w:rPr>
                <w:noProof/>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65073E" w:rsidRDefault="000A0998">
            <w:pPr>
              <w:pStyle w:val="P68B1DB1-Normal39"/>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65073E" w:rsidRDefault="000A0998">
            <w:pPr>
              <w:pStyle w:val="P68B1DB1-Normal39"/>
              <w:spacing w:after="0" w:line="240" w:lineRule="auto"/>
              <w:rPr>
                <w:rFonts w:eastAsia="Times New Roman" w:cs="Times New Roman"/>
                <w:noProof/>
              </w:rPr>
            </w:pPr>
            <w:r>
              <w:rPr>
                <w:noProof/>
              </w:rPr>
              <w:t>Seuraava teknologia – lopullisten edunsaajien ja pääomarahastojen kanssa allekirjoitetut oikeudelliset sopimukset (II)</w:t>
            </w:r>
          </w:p>
        </w:tc>
      </w:tr>
      <w:tr w:rsidR="0065073E" w14:paraId="6BA5F2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65073E" w:rsidRDefault="000A0998">
            <w:pPr>
              <w:pStyle w:val="P68B1DB1-Normal39"/>
              <w:spacing w:after="0" w:line="240" w:lineRule="auto"/>
              <w:jc w:val="center"/>
              <w:rPr>
                <w:rFonts w:eastAsia="Times New Roman" w:cs="Times New Roman"/>
                <w:noProof/>
              </w:rPr>
            </w:pPr>
            <w:r>
              <w:rPr>
                <w:noProof/>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65073E" w:rsidRDefault="000A0998">
            <w:pPr>
              <w:pStyle w:val="P68B1DB1-Normal39"/>
              <w:spacing w:after="0" w:line="240" w:lineRule="auto"/>
              <w:rPr>
                <w:rFonts w:eastAsia="Times New Roman" w:cs="Times New Roman"/>
                <w:noProof/>
              </w:rPr>
            </w:pPr>
            <w:r>
              <w:rPr>
                <w:noProof/>
              </w:rPr>
              <w:t>Alueellinen selviytymiskyvyn rahasto – Muut budjettikohdat: Lopullisten edunsaajien (mukaan lukien oman pääoman ehtoiset rahastot) kanssa allekirjoitetut oikeudelliset sopimukset (III)</w:t>
            </w:r>
          </w:p>
        </w:tc>
      </w:tr>
      <w:tr w:rsidR="0065073E" w14:paraId="581A48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65073E" w:rsidRDefault="000A0998">
            <w:pPr>
              <w:pStyle w:val="P68B1DB1-Normal39"/>
              <w:spacing w:after="0" w:line="240" w:lineRule="auto"/>
              <w:jc w:val="center"/>
              <w:rPr>
                <w:rFonts w:eastAsia="Times New Roman" w:cs="Times New Roman"/>
                <w:noProof/>
              </w:rPr>
            </w:pPr>
            <w:r>
              <w:rPr>
                <w:noProof/>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65073E" w:rsidRDefault="000A0998">
            <w:pPr>
              <w:pStyle w:val="P68B1DB1-Normal39"/>
              <w:spacing w:after="0" w:line="240" w:lineRule="auto"/>
              <w:rPr>
                <w:rFonts w:eastAsia="Times New Roman" w:cs="Times New Roman"/>
                <w:noProof/>
              </w:rPr>
            </w:pPr>
            <w:r>
              <w:rPr>
                <w:noProof/>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65073E" w:rsidRDefault="000A0998">
            <w:pPr>
              <w:pStyle w:val="P68B1DB1-Normal39"/>
              <w:spacing w:after="0" w:line="240" w:lineRule="auto"/>
              <w:rPr>
                <w:rFonts w:eastAsia="Times New Roman" w:cs="Times New Roman"/>
                <w:noProof/>
              </w:rPr>
            </w:pPr>
            <w:r>
              <w:rPr>
                <w:noProof/>
              </w:rPr>
              <w:t>Asiaa koskevan lainsäädännön voimaantulo</w:t>
            </w:r>
          </w:p>
        </w:tc>
      </w:tr>
      <w:tr w:rsidR="0065073E" w14:paraId="46B3603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65073E" w:rsidRDefault="000A0998">
            <w:pPr>
              <w:pStyle w:val="P68B1DB1-Normal39"/>
              <w:spacing w:after="0" w:line="240" w:lineRule="auto"/>
              <w:jc w:val="center"/>
              <w:rPr>
                <w:rFonts w:eastAsia="Times New Roman" w:cs="Times New Roman"/>
                <w:noProof/>
              </w:rPr>
            </w:pPr>
            <w:r>
              <w:rPr>
                <w:noProof/>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65073E" w:rsidRDefault="000A0998">
            <w:pPr>
              <w:pStyle w:val="P68B1DB1-Normal39"/>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65073E" w:rsidRDefault="000A0998">
            <w:pPr>
              <w:pStyle w:val="P68B1DB1-Normal39"/>
              <w:spacing w:after="0" w:line="240" w:lineRule="auto"/>
              <w:rPr>
                <w:rFonts w:eastAsia="Times New Roman" w:cs="Times New Roman"/>
                <w:noProof/>
              </w:rPr>
            </w:pPr>
            <w:r>
              <w:rPr>
                <w:noProof/>
              </w:rPr>
              <w:t>Hankkeiden digitalisaation ja sisällön levittämisen rahoittamista koskevien palkintojen julkaiseminen</w:t>
            </w:r>
          </w:p>
        </w:tc>
      </w:tr>
      <w:tr w:rsidR="0065073E" w14:paraId="36B5BF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65073E" w:rsidRDefault="000A0998">
            <w:pPr>
              <w:pStyle w:val="P68B1DB1-Normal38"/>
              <w:spacing w:after="0" w:line="240" w:lineRule="auto"/>
              <w:rPr>
                <w:rFonts w:eastAsia="Times New Roman" w:cs="Times New Roman"/>
                <w:noProof/>
              </w:rPr>
            </w:pPr>
            <w:r>
              <w:rPr>
                <w:noProof/>
              </w:rPr>
              <w:t xml:space="preserve"> YHTEENSÄ 4224003048 EUROA</w:t>
            </w:r>
          </w:p>
        </w:tc>
      </w:tr>
    </w:tbl>
    <w:p w14:paraId="5091427A" w14:textId="77777777" w:rsidR="0065073E" w:rsidRDefault="0065073E">
      <w:pPr>
        <w:spacing w:before="120" w:after="120" w:line="240" w:lineRule="auto"/>
        <w:jc w:val="both"/>
        <w:rPr>
          <w:rFonts w:ascii="Times New Roman" w:eastAsia="Calibri" w:hAnsi="Times New Roman" w:cs="Times New Roman"/>
          <w:noProof/>
          <w:sz w:val="24"/>
        </w:rPr>
      </w:pPr>
    </w:p>
    <w:p w14:paraId="6FB014F7" w14:textId="1733FE95" w:rsidR="0065073E" w:rsidRDefault="000A0998">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Kuudes erä (lainatuki): </w:t>
      </w:r>
    </w:p>
    <w:tbl>
      <w:tblPr>
        <w:tblW w:w="9663" w:type="dxa"/>
        <w:tblInd w:w="113" w:type="dxa"/>
        <w:tblLook w:val="04A0" w:firstRow="1" w:lastRow="0" w:firstColumn="1" w:lastColumn="0" w:noHBand="0" w:noVBand="1"/>
      </w:tblPr>
      <w:tblGrid>
        <w:gridCol w:w="1247"/>
        <w:gridCol w:w="1383"/>
        <w:gridCol w:w="1707"/>
        <w:gridCol w:w="5405"/>
      </w:tblGrid>
      <w:tr w:rsidR="0065073E" w14:paraId="0531B7F7"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65073E" w:rsidRDefault="000A0998">
            <w:pPr>
              <w:pStyle w:val="P68B1DB1-Normal38"/>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65073E" w:rsidRDefault="000A0998">
            <w:pPr>
              <w:pStyle w:val="P68B1DB1-Normal38"/>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65073E" w:rsidRDefault="000A0998">
            <w:pPr>
              <w:pStyle w:val="P68B1DB1-Normal38"/>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65073E" w:rsidRDefault="000A0998">
            <w:pPr>
              <w:pStyle w:val="P68B1DB1-Normal38"/>
              <w:spacing w:after="0" w:line="240" w:lineRule="auto"/>
              <w:jc w:val="center"/>
              <w:rPr>
                <w:rFonts w:eastAsia="Times New Roman" w:cs="Times New Roman"/>
                <w:noProof/>
              </w:rPr>
            </w:pPr>
            <w:r>
              <w:rPr>
                <w:noProof/>
              </w:rPr>
              <w:t>Nimi</w:t>
            </w:r>
          </w:p>
        </w:tc>
      </w:tr>
      <w:tr w:rsidR="0065073E" w14:paraId="37F5878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65073E" w:rsidRDefault="0065073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65073E" w:rsidRDefault="0065073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65073E" w:rsidRDefault="0065073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65073E" w:rsidRDefault="0065073E">
            <w:pPr>
              <w:spacing w:after="0" w:line="240" w:lineRule="auto"/>
              <w:rPr>
                <w:rFonts w:ascii="Times New Roman" w:eastAsia="Times New Roman" w:hAnsi="Times New Roman" w:cs="Times New Roman"/>
                <w:b/>
                <w:noProof/>
                <w:sz w:val="20"/>
              </w:rPr>
            </w:pPr>
          </w:p>
        </w:tc>
      </w:tr>
      <w:tr w:rsidR="0065073E" w14:paraId="265C02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65073E" w:rsidRDefault="000A0998">
            <w:pPr>
              <w:pStyle w:val="P68B1DB1-Normal39"/>
              <w:spacing w:after="0" w:line="240" w:lineRule="auto"/>
              <w:jc w:val="center"/>
              <w:rPr>
                <w:rFonts w:eastAsia="Times New Roman" w:cs="Times New Roman"/>
                <w:noProof/>
              </w:rPr>
            </w:pPr>
            <w:r>
              <w:rPr>
                <w:noProof/>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65073E" w:rsidRDefault="000A0998">
            <w:pPr>
              <w:pStyle w:val="P68B1DB1-Normal39"/>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65073E" w:rsidRDefault="000A0998">
            <w:pPr>
              <w:pStyle w:val="P68B1DB1-Normal39"/>
              <w:spacing w:after="0" w:line="240" w:lineRule="auto"/>
              <w:rPr>
                <w:rFonts w:eastAsia="Times New Roman" w:cs="Times New Roman"/>
                <w:noProof/>
              </w:rPr>
            </w:pPr>
            <w:r>
              <w:rPr>
                <w:noProof/>
              </w:rPr>
              <w:t>ICO:n lainajärjestely sosiaalisen asuntotuotannon edistämiseksi: Lopullisten edunsaajien kanssa allekirjoitetut oikeudelliset sopimukset (II)</w:t>
            </w:r>
          </w:p>
        </w:tc>
      </w:tr>
      <w:tr w:rsidR="0065073E" w14:paraId="3C7E8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65073E" w:rsidRDefault="000A0998">
            <w:pPr>
              <w:pStyle w:val="P68B1DB1-Normal39"/>
              <w:spacing w:after="0" w:line="240" w:lineRule="auto"/>
              <w:jc w:val="center"/>
              <w:rPr>
                <w:rFonts w:eastAsia="Times New Roman" w:cs="Times New Roman"/>
                <w:noProof/>
              </w:rPr>
            </w:pPr>
            <w:r>
              <w:rPr>
                <w:noProof/>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65073E" w:rsidRDefault="000A0998">
            <w:pPr>
              <w:pStyle w:val="P68B1DB1-Normal39"/>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65073E" w:rsidRDefault="000A0998">
            <w:pPr>
              <w:pStyle w:val="P68B1DB1-Normal39"/>
              <w:spacing w:after="0" w:line="240" w:lineRule="auto"/>
              <w:rPr>
                <w:rFonts w:eastAsia="Times New Roman" w:cs="Times New Roman"/>
                <w:noProof/>
              </w:rPr>
            </w:pPr>
            <w:r>
              <w:rPr>
                <w:noProof/>
              </w:rPr>
              <w:t>ICO:n lainajärjestely sosiaalisen asuntotuotannon edistämiseksi: Ministeriö on saanut investoinnin päätökseen</w:t>
            </w:r>
          </w:p>
        </w:tc>
      </w:tr>
      <w:tr w:rsidR="0065073E" w14:paraId="44A942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65073E" w:rsidRDefault="000A0998">
            <w:pPr>
              <w:pStyle w:val="P68B1DB1-Normal39"/>
              <w:spacing w:after="0" w:line="240" w:lineRule="auto"/>
              <w:jc w:val="center"/>
              <w:rPr>
                <w:rFonts w:eastAsia="Times New Roman" w:cs="Times New Roman"/>
                <w:noProof/>
              </w:rPr>
            </w:pPr>
            <w:r>
              <w:rPr>
                <w:noProof/>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65073E" w:rsidRDefault="000A0998">
            <w:pPr>
              <w:pStyle w:val="P68B1DB1-Normal39"/>
              <w:spacing w:after="0" w:line="240" w:lineRule="auto"/>
              <w:rPr>
                <w:rFonts w:eastAsia="Times New Roman" w:cs="Times New Roman"/>
                <w:noProof/>
              </w:rPr>
            </w:pPr>
            <w:r>
              <w:rPr>
                <w:noProof/>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65073E" w:rsidRDefault="000A0998">
            <w:pPr>
              <w:pStyle w:val="P68B1DB1-Normal39"/>
              <w:spacing w:after="0" w:line="240" w:lineRule="auto"/>
              <w:rPr>
                <w:rFonts w:eastAsia="Times New Roman" w:cs="Times New Roman"/>
                <w:noProof/>
              </w:rPr>
            </w:pPr>
            <w:r>
              <w:rPr>
                <w:noProof/>
              </w:rPr>
              <w:t>Ruokahävikin ja ruokajätteen ehkäisemisestä annetun lain voimaantulo</w:t>
            </w:r>
          </w:p>
        </w:tc>
      </w:tr>
      <w:tr w:rsidR="0065073E" w14:paraId="77D3A13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65073E" w:rsidRDefault="000A0998">
            <w:pPr>
              <w:pStyle w:val="P68B1DB1-Normal39"/>
              <w:spacing w:after="0" w:line="240" w:lineRule="auto"/>
              <w:jc w:val="center"/>
              <w:rPr>
                <w:rFonts w:eastAsia="Times New Roman" w:cs="Times New Roman"/>
                <w:noProof/>
              </w:rPr>
            </w:pPr>
            <w:r>
              <w:rPr>
                <w:noProof/>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65073E" w:rsidRDefault="000A0998">
            <w:pPr>
              <w:pStyle w:val="P68B1DB1-Normal39"/>
              <w:spacing w:after="0" w:line="240" w:lineRule="auto"/>
              <w:rPr>
                <w:rFonts w:eastAsia="Times New Roman" w:cs="Times New Roman"/>
                <w:noProof/>
              </w:rPr>
            </w:pPr>
            <w:r>
              <w:rPr>
                <w:noProof/>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65073E" w:rsidRDefault="000A0998">
            <w:pPr>
              <w:pStyle w:val="P68B1DB1-Normal39"/>
              <w:spacing w:after="0" w:line="240" w:lineRule="auto"/>
              <w:rPr>
                <w:rFonts w:eastAsia="Times New Roman" w:cs="Times New Roman"/>
                <w:noProof/>
              </w:rPr>
            </w:pPr>
            <w:r>
              <w:rPr>
                <w:noProof/>
              </w:rPr>
              <w:t xml:space="preserve">Kastelujärjestelmien nykyaikaistaminen vedensäästön ja energiatehokkuuden osalta  </w:t>
            </w:r>
          </w:p>
        </w:tc>
      </w:tr>
      <w:tr w:rsidR="0065073E" w14:paraId="3296460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65073E" w:rsidRDefault="000A0998">
            <w:pPr>
              <w:pStyle w:val="P68B1DB1-Normal39"/>
              <w:spacing w:after="0" w:line="240" w:lineRule="auto"/>
              <w:jc w:val="center"/>
              <w:rPr>
                <w:rFonts w:eastAsia="Times New Roman" w:cs="Times New Roman"/>
                <w:noProof/>
              </w:rPr>
            </w:pPr>
            <w:r>
              <w:rPr>
                <w:noProof/>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65073E" w:rsidRDefault="000A0998">
            <w:pPr>
              <w:pStyle w:val="P68B1DB1-Normal39"/>
              <w:spacing w:after="0" w:line="240" w:lineRule="auto"/>
              <w:rPr>
                <w:rFonts w:eastAsia="Times New Roman" w:cs="Times New Roman"/>
                <w:noProof/>
              </w:rPr>
            </w:pPr>
            <w:r>
              <w:rPr>
                <w:noProof/>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65073E" w:rsidRDefault="000A0998">
            <w:pPr>
              <w:pStyle w:val="P68B1DB1-Normal39"/>
              <w:spacing w:after="0" w:line="240" w:lineRule="auto"/>
              <w:rPr>
                <w:rFonts w:eastAsia="Times New Roman" w:cs="Times New Roman"/>
                <w:noProof/>
              </w:rPr>
            </w:pPr>
            <w:r>
              <w:rPr>
                <w:noProof/>
              </w:rPr>
              <w:t>Pohjavedenoton vähentäminen</w:t>
            </w:r>
          </w:p>
        </w:tc>
      </w:tr>
      <w:tr w:rsidR="0065073E" w14:paraId="1C31B9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65073E" w:rsidRDefault="000A0998">
            <w:pPr>
              <w:pStyle w:val="P68B1DB1-Normal39"/>
              <w:spacing w:after="0" w:line="240" w:lineRule="auto"/>
              <w:jc w:val="center"/>
              <w:rPr>
                <w:rFonts w:eastAsia="Times New Roman" w:cs="Times New Roman"/>
                <w:noProof/>
              </w:rPr>
            </w:pPr>
            <w:r>
              <w:rPr>
                <w:noProof/>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65073E" w:rsidRDefault="000A0998">
            <w:pPr>
              <w:pStyle w:val="P68B1DB1-Normal39"/>
              <w:spacing w:after="0" w:line="240" w:lineRule="auto"/>
              <w:rPr>
                <w:rFonts w:eastAsia="Times New Roman" w:cs="Times New Roman"/>
                <w:noProof/>
              </w:rPr>
            </w:pPr>
            <w:r>
              <w:rPr>
                <w:noProof/>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65073E" w:rsidRDefault="000A0998">
            <w:pPr>
              <w:pStyle w:val="P68B1DB1-Normal39"/>
              <w:spacing w:after="0" w:line="240" w:lineRule="auto"/>
              <w:rPr>
                <w:rFonts w:eastAsia="Times New Roman" w:cs="Times New Roman"/>
                <w:noProof/>
              </w:rPr>
            </w:pPr>
            <w:r>
              <w:rPr>
                <w:noProof/>
              </w:rPr>
              <w:t>Toimet kaupunkien vesikierron ja teollisuuden digitalisoimiseksi</w:t>
            </w:r>
          </w:p>
        </w:tc>
      </w:tr>
      <w:tr w:rsidR="0065073E" w14:paraId="4D68E8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65073E" w:rsidRDefault="000A0998">
            <w:pPr>
              <w:pStyle w:val="P68B1DB1-Normal39"/>
              <w:spacing w:after="0" w:line="240" w:lineRule="auto"/>
              <w:jc w:val="center"/>
              <w:rPr>
                <w:rFonts w:eastAsia="Times New Roman" w:cs="Times New Roman"/>
                <w:noProof/>
              </w:rPr>
            </w:pPr>
            <w:r>
              <w:rPr>
                <w:noProof/>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65073E" w:rsidRDefault="000A0998">
            <w:pPr>
              <w:pStyle w:val="P68B1DB1-Normal39"/>
              <w:spacing w:after="0" w:line="240" w:lineRule="auto"/>
              <w:rPr>
                <w:rFonts w:eastAsia="Times New Roman" w:cs="Times New Roman"/>
                <w:noProof/>
              </w:rPr>
            </w:pPr>
            <w:r>
              <w:rPr>
                <w:noProof/>
              </w:rPr>
              <w:t>Sellaisten hankkeiden loppuun saattaminen, joilla vahvistetaan julkishallinnon kyberturvallisuusvalmiuksia kyberuhkien ehkäisemisen, suojelun, havaitsemisen ja niihin reagoimisen alalla (kyberturvallisuusohjelma)</w:t>
            </w:r>
          </w:p>
        </w:tc>
      </w:tr>
      <w:tr w:rsidR="0065073E" w14:paraId="7978858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65073E" w:rsidRDefault="000A0998">
            <w:pPr>
              <w:pStyle w:val="P68B1DB1-Normal39"/>
              <w:spacing w:after="0" w:line="240" w:lineRule="auto"/>
              <w:jc w:val="center"/>
              <w:rPr>
                <w:rFonts w:eastAsia="Times New Roman" w:cs="Times New Roman"/>
                <w:noProof/>
              </w:rPr>
            </w:pPr>
            <w:r>
              <w:rPr>
                <w:noProof/>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65073E" w:rsidRDefault="000A0998">
            <w:pPr>
              <w:pStyle w:val="P68B1DB1-Normal39"/>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(II)</w:t>
            </w:r>
          </w:p>
        </w:tc>
      </w:tr>
      <w:tr w:rsidR="0065073E" w14:paraId="62640F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65073E" w:rsidRDefault="000A0998">
            <w:pPr>
              <w:pStyle w:val="P68B1DB1-Normal39"/>
              <w:spacing w:after="0" w:line="240" w:lineRule="auto"/>
              <w:jc w:val="center"/>
              <w:rPr>
                <w:rFonts w:eastAsia="Times New Roman" w:cs="Times New Roman"/>
                <w:noProof/>
              </w:rPr>
            </w:pPr>
            <w:r>
              <w:rPr>
                <w:noProof/>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65073E" w:rsidRDefault="000A0998">
            <w:pPr>
              <w:pStyle w:val="P68B1DB1-Normal39"/>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65073E" w:rsidRDefault="000A0998">
            <w:pPr>
              <w:pStyle w:val="P68B1DB1-Normal39"/>
              <w:spacing w:after="0" w:line="240" w:lineRule="auto"/>
              <w:rPr>
                <w:rFonts w:eastAsia="Times New Roman" w:cs="Times New Roman"/>
                <w:noProof/>
              </w:rPr>
            </w:pPr>
            <w:r>
              <w:rPr>
                <w:noProof/>
              </w:rPr>
              <w:t>Turvallisuus- ja palautumisrahasto: Ministeriö on saanut investoinnin päätökseen</w:t>
            </w:r>
          </w:p>
        </w:tc>
      </w:tr>
      <w:tr w:rsidR="0065073E" w14:paraId="348EBD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65073E" w:rsidRDefault="000A0998">
            <w:pPr>
              <w:pStyle w:val="P68B1DB1-Normal39"/>
              <w:spacing w:after="0" w:line="240" w:lineRule="auto"/>
              <w:jc w:val="center"/>
              <w:rPr>
                <w:rFonts w:eastAsia="Times New Roman" w:cs="Times New Roman"/>
                <w:noProof/>
              </w:rPr>
            </w:pPr>
            <w:r>
              <w:rPr>
                <w:noProof/>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65073E" w:rsidRDefault="000A0998">
            <w:pPr>
              <w:pStyle w:val="P68B1DB1-Normal39"/>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65073E" w:rsidRDefault="000A0998">
            <w:pPr>
              <w:pStyle w:val="P68B1DB1-Normal39"/>
              <w:spacing w:after="0" w:line="240" w:lineRule="auto"/>
              <w:rPr>
                <w:rFonts w:eastAsia="Times New Roman" w:cs="Times New Roman"/>
                <w:noProof/>
              </w:rPr>
            </w:pPr>
            <w:r>
              <w:rPr>
                <w:noProof/>
              </w:rPr>
              <w:t>Sähköautojen ja maatalouselintarvikkeiden (lainat) arvoketjuun liittyvien strategisten hankkeiden tukijärjestelmä: Lopullisten edunsaajien kanssa allekirjoitetut oikeudelliset sopimukset tai lopulliset myöntämispäätökset julkaistu</w:t>
            </w:r>
          </w:p>
        </w:tc>
      </w:tr>
      <w:tr w:rsidR="0065073E" w14:paraId="39BC99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65073E" w:rsidRDefault="000A0998">
            <w:pPr>
              <w:pStyle w:val="P68B1DB1-Normal39"/>
              <w:spacing w:after="0" w:line="240" w:lineRule="auto"/>
              <w:jc w:val="center"/>
              <w:rPr>
                <w:rFonts w:eastAsia="Times New Roman" w:cs="Times New Roman"/>
                <w:noProof/>
              </w:rPr>
            </w:pPr>
            <w:r>
              <w:rPr>
                <w:noProof/>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65073E" w:rsidRDefault="000A0998">
            <w:pPr>
              <w:pStyle w:val="P68B1DB1-Normal39"/>
              <w:spacing w:after="0" w:line="240" w:lineRule="auto"/>
              <w:rPr>
                <w:rFonts w:eastAsia="Times New Roman" w:cs="Times New Roman"/>
                <w:noProof/>
              </w:rPr>
            </w:pPr>
            <w:r>
              <w:rPr>
                <w:noProof/>
              </w:rPr>
              <w:t>ICO:n vihreä linja – lopullisten edunsaajien (mukaan lukien pääomarahastot) kanssa allekirjoitetut oikeudelliset sopimukset (IV)</w:t>
            </w:r>
          </w:p>
        </w:tc>
      </w:tr>
      <w:tr w:rsidR="0065073E" w14:paraId="2BE35B5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65073E" w:rsidRDefault="000A0998">
            <w:pPr>
              <w:pStyle w:val="P68B1DB1-Normal39"/>
              <w:spacing w:after="0" w:line="240" w:lineRule="auto"/>
              <w:jc w:val="center"/>
              <w:rPr>
                <w:rFonts w:eastAsia="Times New Roman" w:cs="Times New Roman"/>
                <w:noProof/>
              </w:rPr>
            </w:pPr>
            <w:r>
              <w:rPr>
                <w:noProof/>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65073E" w:rsidRDefault="000A0998">
            <w:pPr>
              <w:pStyle w:val="P68B1DB1-Normal39"/>
              <w:spacing w:after="0" w:line="240" w:lineRule="auto"/>
              <w:rPr>
                <w:rFonts w:eastAsia="Times New Roman" w:cs="Times New Roman"/>
                <w:noProof/>
              </w:rPr>
            </w:pPr>
            <w:r>
              <w:rPr>
                <w:noProof/>
              </w:rPr>
              <w:t>ICO:n vihreä linja – ministeriö on saattanut investoinnin päätökseen</w:t>
            </w:r>
          </w:p>
        </w:tc>
      </w:tr>
      <w:tr w:rsidR="0065073E" w14:paraId="35EB02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65073E" w:rsidRDefault="000A0998">
            <w:pPr>
              <w:pStyle w:val="P68B1DB1-Normal39"/>
              <w:spacing w:after="0" w:line="240" w:lineRule="auto"/>
              <w:jc w:val="center"/>
              <w:rPr>
                <w:rFonts w:eastAsia="Times New Roman" w:cs="Times New Roman"/>
                <w:noProof/>
              </w:rPr>
            </w:pPr>
            <w:r>
              <w:rPr>
                <w:noProof/>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65073E" w:rsidRDefault="000A0998">
            <w:pPr>
              <w:pStyle w:val="P68B1DB1-Normal39"/>
              <w:spacing w:after="0" w:line="240" w:lineRule="auto"/>
              <w:rPr>
                <w:rFonts w:eastAsia="Times New Roman" w:cs="Times New Roman"/>
                <w:noProof/>
              </w:rPr>
            </w:pPr>
            <w:r>
              <w:rPr>
                <w:noProof/>
              </w:rPr>
              <w:t>ICO Enterprises and Entrepreneurs Line – Lopullisten edunsaajien (mukaan lukien pääomarahastot) kanssa allekirjoitetut oikeudelliset sopimukset (III)</w:t>
            </w:r>
          </w:p>
        </w:tc>
      </w:tr>
      <w:tr w:rsidR="0065073E" w14:paraId="3DF2B4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65073E" w:rsidRDefault="000A0998">
            <w:pPr>
              <w:pStyle w:val="P68B1DB1-Normal39"/>
              <w:spacing w:after="0" w:line="240" w:lineRule="auto"/>
              <w:jc w:val="center"/>
              <w:rPr>
                <w:rFonts w:eastAsia="Times New Roman" w:cs="Times New Roman"/>
                <w:noProof/>
              </w:rPr>
            </w:pPr>
            <w:r>
              <w:rPr>
                <w:noProof/>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65073E" w:rsidRDefault="000A0998">
            <w:pPr>
              <w:pStyle w:val="P68B1DB1-Normal39"/>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65073E" w:rsidRDefault="000A0998">
            <w:pPr>
              <w:pStyle w:val="P68B1DB1-Normal39"/>
              <w:spacing w:after="0" w:line="240" w:lineRule="auto"/>
              <w:rPr>
                <w:rFonts w:eastAsia="Times New Roman" w:cs="Times New Roman"/>
                <w:noProof/>
              </w:rPr>
            </w:pPr>
            <w:r>
              <w:rPr>
                <w:noProof/>
              </w:rPr>
              <w:t>ICO Enterprises and Entrepreneurs Line – ministeriö on saattanut investoinnin päätökseen.</w:t>
            </w:r>
          </w:p>
        </w:tc>
      </w:tr>
      <w:tr w:rsidR="0065073E" w14:paraId="411E1A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65073E" w:rsidRDefault="000A0998">
            <w:pPr>
              <w:pStyle w:val="P68B1DB1-Normal39"/>
              <w:spacing w:after="0" w:line="240" w:lineRule="auto"/>
              <w:jc w:val="center"/>
              <w:rPr>
                <w:rFonts w:eastAsia="Times New Roman" w:cs="Times New Roman"/>
                <w:noProof/>
              </w:rPr>
            </w:pPr>
            <w:r>
              <w:rPr>
                <w:noProof/>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65073E" w:rsidRDefault="000A0998">
            <w:pPr>
              <w:pStyle w:val="P68B1DB1-Normal39"/>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65073E" w:rsidRDefault="000A0998">
            <w:pPr>
              <w:pStyle w:val="P68B1DB1-Normal39"/>
              <w:spacing w:after="0" w:line="240" w:lineRule="auto"/>
              <w:rPr>
                <w:rFonts w:eastAsia="Times New Roman" w:cs="Times New Roman"/>
                <w:noProof/>
              </w:rPr>
            </w:pPr>
            <w:r>
              <w:rPr>
                <w:noProof/>
              </w:rPr>
              <w:t>Seuraava teknologia – lopullisten edunsaajien ja pääomarahastojen kanssa allekirjoitetut oikeudelliset sopimukset (II)</w:t>
            </w:r>
          </w:p>
        </w:tc>
      </w:tr>
      <w:tr w:rsidR="0065073E" w14:paraId="522583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65073E" w:rsidRDefault="000A0998">
            <w:pPr>
              <w:pStyle w:val="P68B1DB1-Normal39"/>
              <w:spacing w:after="0" w:line="240" w:lineRule="auto"/>
              <w:jc w:val="center"/>
              <w:rPr>
                <w:rFonts w:eastAsia="Times New Roman" w:cs="Times New Roman"/>
                <w:noProof/>
              </w:rPr>
            </w:pPr>
            <w:r>
              <w:rPr>
                <w:noProof/>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65073E" w:rsidRDefault="000A0998">
            <w:pPr>
              <w:pStyle w:val="P68B1DB1-Normal39"/>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65073E" w:rsidRDefault="000A0998">
            <w:pPr>
              <w:pStyle w:val="P68B1DB1-Normal39"/>
              <w:spacing w:after="0" w:line="240" w:lineRule="auto"/>
              <w:rPr>
                <w:rFonts w:eastAsia="Times New Roman" w:cs="Times New Roman"/>
                <w:noProof/>
              </w:rPr>
            </w:pPr>
            <w:r>
              <w:rPr>
                <w:noProof/>
              </w:rPr>
              <w:t xml:space="preserve">Seuraava teknologia – ministeriön investoinnit on saatu päätökseen. </w:t>
            </w:r>
          </w:p>
        </w:tc>
      </w:tr>
      <w:tr w:rsidR="0065073E" w14:paraId="20BE6F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65073E" w:rsidRDefault="000A0998">
            <w:pPr>
              <w:pStyle w:val="P68B1DB1-Normal39"/>
              <w:spacing w:after="0" w:line="240" w:lineRule="auto"/>
              <w:jc w:val="center"/>
              <w:rPr>
                <w:rFonts w:eastAsia="Times New Roman" w:cs="Times New Roman"/>
                <w:noProof/>
              </w:rPr>
            </w:pPr>
            <w:r>
              <w:rPr>
                <w:noProof/>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65073E" w:rsidRDefault="000A0998">
            <w:pPr>
              <w:pStyle w:val="P68B1DB1-Normal39"/>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65073E" w:rsidRDefault="000A0998">
            <w:pPr>
              <w:pStyle w:val="P68B1DB1-Normal39"/>
              <w:spacing w:after="0" w:line="240" w:lineRule="auto"/>
              <w:rPr>
                <w:rFonts w:eastAsia="Times New Roman" w:cs="Times New Roman"/>
                <w:noProof/>
              </w:rPr>
            </w:pPr>
            <w:r>
              <w:rPr>
                <w:noProof/>
              </w:rPr>
              <w:t>Foco – Lopullisten edunsaajien (mukaan lukien oman pääoman ehtoiset rahastot) kanssa allekirjoitetut oikeudelliset sopimukset (II)</w:t>
            </w:r>
          </w:p>
        </w:tc>
      </w:tr>
      <w:tr w:rsidR="0065073E" w14:paraId="693BB8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65073E" w:rsidRDefault="000A0998">
            <w:pPr>
              <w:pStyle w:val="P68B1DB1-Normal39"/>
              <w:spacing w:after="0" w:line="240" w:lineRule="auto"/>
              <w:jc w:val="center"/>
              <w:rPr>
                <w:rFonts w:eastAsia="Times New Roman" w:cs="Times New Roman"/>
                <w:noProof/>
              </w:rPr>
            </w:pPr>
            <w:r>
              <w:rPr>
                <w:noProof/>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65073E" w:rsidRDefault="000A0998">
            <w:pPr>
              <w:pStyle w:val="P68B1DB1-Normal39"/>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65073E" w:rsidRDefault="000A0998">
            <w:pPr>
              <w:pStyle w:val="P68B1DB1-Normal39"/>
              <w:spacing w:after="0" w:line="240" w:lineRule="auto"/>
              <w:rPr>
                <w:rFonts w:eastAsia="Times New Roman" w:cs="Times New Roman"/>
                <w:noProof/>
              </w:rPr>
            </w:pPr>
            <w:r>
              <w:rPr>
                <w:noProof/>
              </w:rPr>
              <w:t>Foco – Ministeriö on saanut investoinnin päätökseen.</w:t>
            </w:r>
          </w:p>
        </w:tc>
      </w:tr>
      <w:tr w:rsidR="0065073E" w14:paraId="00FDE08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65073E" w:rsidRDefault="000A0998">
            <w:pPr>
              <w:pStyle w:val="P68B1DB1-Normal39"/>
              <w:spacing w:after="0" w:line="240" w:lineRule="auto"/>
              <w:jc w:val="center"/>
              <w:rPr>
                <w:rFonts w:eastAsia="Times New Roman" w:cs="Times New Roman"/>
                <w:noProof/>
              </w:rPr>
            </w:pPr>
            <w:r>
              <w:rPr>
                <w:noProof/>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65073E" w:rsidRDefault="000A0998">
            <w:pPr>
              <w:pStyle w:val="P68B1DB1-Normal39"/>
              <w:spacing w:after="0" w:line="240" w:lineRule="auto"/>
              <w:rPr>
                <w:rFonts w:eastAsia="Times New Roman" w:cs="Times New Roman"/>
                <w:noProof/>
              </w:rPr>
            </w:pPr>
            <w:r>
              <w:rPr>
                <w:noProof/>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65073E" w:rsidRDefault="000A0998">
            <w:pPr>
              <w:pStyle w:val="P68B1DB1-Normal39"/>
              <w:spacing w:after="0" w:line="240" w:lineRule="auto"/>
              <w:rPr>
                <w:rFonts w:eastAsia="Times New Roman" w:cs="Times New Roman"/>
                <w:noProof/>
              </w:rPr>
            </w:pPr>
            <w:r>
              <w:rPr>
                <w:noProof/>
              </w:rPr>
              <w:t>CERSA</w:t>
            </w:r>
          </w:p>
        </w:tc>
      </w:tr>
      <w:tr w:rsidR="0065073E" w14:paraId="14EB567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65073E" w:rsidRDefault="000A0998">
            <w:pPr>
              <w:pStyle w:val="P68B1DB1-Normal39"/>
              <w:spacing w:after="0" w:line="240" w:lineRule="auto"/>
              <w:jc w:val="center"/>
              <w:rPr>
                <w:rFonts w:eastAsia="Times New Roman" w:cs="Times New Roman"/>
                <w:noProof/>
              </w:rPr>
            </w:pPr>
            <w:r>
              <w:rPr>
                <w:noProof/>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65073E" w:rsidRDefault="000A0998">
            <w:pPr>
              <w:pStyle w:val="P68B1DB1-Normal39"/>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65073E" w:rsidRDefault="000A0998">
            <w:pPr>
              <w:pStyle w:val="P68B1DB1-Normal39"/>
              <w:spacing w:after="0" w:line="240" w:lineRule="auto"/>
              <w:rPr>
                <w:rFonts w:eastAsia="Times New Roman" w:cs="Times New Roman"/>
                <w:noProof/>
              </w:rPr>
            </w:pPr>
            <w:r>
              <w:rPr>
                <w:noProof/>
              </w:rPr>
              <w:t>ENISAn yrittäjyys- ja pk-yritysrahasto – lopullisten edunsaajien kanssa allekirjoitetut oikeudelliset sopimukset</w:t>
            </w:r>
          </w:p>
        </w:tc>
      </w:tr>
      <w:tr w:rsidR="0065073E" w14:paraId="544348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65073E" w:rsidRDefault="000A0998">
            <w:pPr>
              <w:pStyle w:val="P68B1DB1-Normal39"/>
              <w:spacing w:after="0" w:line="240" w:lineRule="auto"/>
              <w:jc w:val="center"/>
              <w:rPr>
                <w:rFonts w:eastAsia="Times New Roman" w:cs="Times New Roman"/>
                <w:noProof/>
              </w:rPr>
            </w:pPr>
            <w:r>
              <w:rPr>
                <w:noProof/>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65073E" w:rsidRDefault="000A0998">
            <w:pPr>
              <w:pStyle w:val="P68B1DB1-Normal39"/>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65073E" w:rsidRDefault="000A0998">
            <w:pPr>
              <w:pStyle w:val="P68B1DB1-Normal39"/>
              <w:spacing w:after="0" w:line="240" w:lineRule="auto"/>
              <w:rPr>
                <w:rFonts w:eastAsia="Times New Roman" w:cs="Times New Roman"/>
                <w:noProof/>
              </w:rPr>
            </w:pPr>
            <w:r>
              <w:rPr>
                <w:noProof/>
              </w:rPr>
              <w:t xml:space="preserve">ENISAn yrittäjyys- ja pk-yritysrahasto – ministeriön investoinnit on saatu päätökseen. </w:t>
            </w:r>
          </w:p>
        </w:tc>
      </w:tr>
      <w:tr w:rsidR="0065073E" w14:paraId="3DA437F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65073E" w:rsidRDefault="000A0998">
            <w:pPr>
              <w:pStyle w:val="P68B1DB1-Normal39"/>
              <w:spacing w:after="0" w:line="240" w:lineRule="auto"/>
              <w:jc w:val="center"/>
              <w:rPr>
                <w:rFonts w:eastAsia="Times New Roman" w:cs="Times New Roman"/>
                <w:noProof/>
              </w:rPr>
            </w:pPr>
            <w:r>
              <w:rPr>
                <w:noProof/>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65073E" w:rsidRDefault="000A0998">
            <w:pPr>
              <w:pStyle w:val="P68B1DB1-Normal39"/>
              <w:spacing w:after="0" w:line="240" w:lineRule="auto"/>
              <w:rPr>
                <w:rFonts w:eastAsia="Times New Roman" w:cs="Times New Roman"/>
                <w:noProof/>
              </w:rPr>
            </w:pPr>
            <w:r>
              <w:rPr>
                <w:noProof/>
              </w:rPr>
              <w:t>Alueellinen selviytymiskyvyn rahasto – InvestEU: InvestEU-investointikomitean hyväksymään välineeseen kohdennetut vähintään 500 miljoonan euron rahoitus- tai investointitoimet.</w:t>
            </w:r>
          </w:p>
        </w:tc>
      </w:tr>
      <w:tr w:rsidR="0065073E" w14:paraId="2C28E1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65073E" w:rsidRDefault="000A0998">
            <w:pPr>
              <w:pStyle w:val="P68B1DB1-Normal39"/>
              <w:spacing w:after="0" w:line="240" w:lineRule="auto"/>
              <w:jc w:val="center"/>
              <w:rPr>
                <w:rFonts w:eastAsia="Times New Roman" w:cs="Times New Roman"/>
                <w:noProof/>
              </w:rPr>
            </w:pPr>
            <w:r>
              <w:rPr>
                <w:noProof/>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65073E" w:rsidRDefault="000A0998">
            <w:pPr>
              <w:pStyle w:val="P68B1DB1-Normal39"/>
              <w:spacing w:after="0" w:line="240" w:lineRule="auto"/>
              <w:rPr>
                <w:rFonts w:eastAsia="Times New Roman" w:cs="Times New Roman"/>
                <w:noProof/>
              </w:rPr>
            </w:pPr>
            <w:r>
              <w:rPr>
                <w:noProof/>
              </w:rPr>
              <w:t>Alueellinen selviytymiskyvyn rahasto – Muut budjettikohdat: Lopullisten edunsaajien (mukaan lukien oman pääoman ehtoiset rahastot) kanssa allekirjoitetut oikeudelliset sopimukset (IV)</w:t>
            </w:r>
          </w:p>
        </w:tc>
      </w:tr>
      <w:tr w:rsidR="0065073E" w14:paraId="6FE767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65073E" w:rsidRDefault="000A0998">
            <w:pPr>
              <w:pStyle w:val="P68B1DB1-Normal39"/>
              <w:spacing w:after="0" w:line="240" w:lineRule="auto"/>
              <w:jc w:val="center"/>
              <w:rPr>
                <w:rFonts w:eastAsia="Times New Roman" w:cs="Times New Roman"/>
                <w:noProof/>
              </w:rPr>
            </w:pPr>
            <w:r>
              <w:rPr>
                <w:noProof/>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65073E" w:rsidRDefault="000A0998">
            <w:pPr>
              <w:pStyle w:val="P68B1DB1-Normal39"/>
              <w:spacing w:after="0" w:line="240" w:lineRule="auto"/>
              <w:rPr>
                <w:rFonts w:eastAsia="Times New Roman" w:cs="Times New Roman"/>
                <w:noProof/>
              </w:rPr>
            </w:pPr>
            <w:r>
              <w:rPr>
                <w:noProof/>
              </w:rPr>
              <w:t>Alueellinen selviytymiskyvyn rahasto – ilmastorahoitus</w:t>
            </w:r>
          </w:p>
        </w:tc>
      </w:tr>
      <w:tr w:rsidR="0065073E" w14:paraId="2394C3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65073E" w:rsidRDefault="000A0998">
            <w:pPr>
              <w:pStyle w:val="P68B1DB1-Normal39"/>
              <w:spacing w:after="0" w:line="240" w:lineRule="auto"/>
              <w:jc w:val="center"/>
              <w:rPr>
                <w:rFonts w:eastAsia="Times New Roman" w:cs="Times New Roman"/>
                <w:noProof/>
              </w:rPr>
            </w:pPr>
            <w:r>
              <w:rPr>
                <w:noProof/>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65073E" w:rsidRDefault="000A0998">
            <w:pPr>
              <w:pStyle w:val="P68B1DB1-Normal39"/>
              <w:spacing w:after="0" w:line="240" w:lineRule="auto"/>
              <w:rPr>
                <w:rFonts w:eastAsia="Times New Roman" w:cs="Times New Roman"/>
                <w:noProof/>
              </w:rPr>
            </w:pPr>
            <w:r>
              <w:rPr>
                <w:noProof/>
              </w:rPr>
              <w:t>Alueellinen selviytymiskyvyn rahasto – suora julkinen linja: Hankkeiden loppuun saattaminen julkisyhteisöjen toimesta</w:t>
            </w:r>
          </w:p>
        </w:tc>
      </w:tr>
      <w:tr w:rsidR="0065073E" w14:paraId="2D6711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65073E" w:rsidRDefault="000A0998">
            <w:pPr>
              <w:pStyle w:val="P68B1DB1-Normal39"/>
              <w:spacing w:after="0" w:line="240" w:lineRule="auto"/>
              <w:jc w:val="center"/>
              <w:rPr>
                <w:rFonts w:eastAsia="Times New Roman" w:cs="Times New Roman"/>
                <w:noProof/>
              </w:rPr>
            </w:pPr>
            <w:r>
              <w:rPr>
                <w:noProof/>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65073E" w:rsidRDefault="000A0998">
            <w:pPr>
              <w:pStyle w:val="P68B1DB1-Normal39"/>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65073E" w:rsidRDefault="000A0998">
            <w:pPr>
              <w:pStyle w:val="P68B1DB1-Normal39"/>
              <w:spacing w:after="0" w:line="240" w:lineRule="auto"/>
              <w:rPr>
                <w:rFonts w:eastAsia="Times New Roman" w:cs="Times New Roman"/>
                <w:noProof/>
              </w:rPr>
            </w:pPr>
            <w:r>
              <w:rPr>
                <w:noProof/>
              </w:rPr>
              <w:t>Alueellinen selviytymiskyvyn rahasto – Talous- ja digitaalisesta siirtymästä vastaava ministeriö on saanut investoinnin päätökseen</w:t>
            </w:r>
          </w:p>
        </w:tc>
      </w:tr>
      <w:tr w:rsidR="0065073E" w14:paraId="0FBD71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65073E" w:rsidRDefault="000A0998">
            <w:pPr>
              <w:pStyle w:val="P68B1DB1-Normal39"/>
              <w:spacing w:after="0" w:line="240" w:lineRule="auto"/>
              <w:jc w:val="center"/>
              <w:rPr>
                <w:rFonts w:eastAsia="Times New Roman" w:cs="Times New Roman"/>
                <w:noProof/>
              </w:rPr>
            </w:pPr>
            <w:r>
              <w:rPr>
                <w:noProof/>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65073E" w:rsidRDefault="000A0998">
            <w:pPr>
              <w:pStyle w:val="P68B1DB1-Normal39"/>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65073E" w:rsidRDefault="000A0998">
            <w:pPr>
              <w:pStyle w:val="P68B1DB1-Normal39"/>
              <w:spacing w:after="0" w:line="240" w:lineRule="auto"/>
              <w:rPr>
                <w:rFonts w:eastAsia="Times New Roman" w:cs="Times New Roman"/>
                <w:noProof/>
              </w:rPr>
            </w:pPr>
            <w:r>
              <w:rPr>
                <w:noProof/>
              </w:rPr>
              <w:t>Sirujen rahoitusjärjestely: Lopullisten edunsaajien kanssa allekirjoitetut oikeudelliset sopimukset (II)</w:t>
            </w:r>
          </w:p>
        </w:tc>
      </w:tr>
      <w:tr w:rsidR="0065073E" w14:paraId="1488A4A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65073E" w:rsidRDefault="000A0998">
            <w:pPr>
              <w:pStyle w:val="P68B1DB1-Normal39"/>
              <w:spacing w:after="0" w:line="240" w:lineRule="auto"/>
              <w:jc w:val="center"/>
              <w:rPr>
                <w:rFonts w:eastAsia="Times New Roman" w:cs="Times New Roman"/>
                <w:noProof/>
              </w:rPr>
            </w:pPr>
            <w:r>
              <w:rPr>
                <w:noProof/>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65073E" w:rsidRDefault="000A0998">
            <w:pPr>
              <w:pStyle w:val="P68B1DB1-Normal39"/>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65073E" w:rsidRDefault="000A0998">
            <w:pPr>
              <w:pStyle w:val="P68B1DB1-Normal39"/>
              <w:spacing w:after="0" w:line="240" w:lineRule="auto"/>
              <w:rPr>
                <w:rFonts w:eastAsia="Times New Roman" w:cs="Times New Roman"/>
                <w:noProof/>
              </w:rPr>
            </w:pPr>
            <w:r>
              <w:rPr>
                <w:noProof/>
              </w:rPr>
              <w:t xml:space="preserve">Sirujen rahoitusjärjestely: Ministeriö on saattanut investoinnin päätökseen. </w:t>
            </w:r>
          </w:p>
        </w:tc>
      </w:tr>
      <w:tr w:rsidR="0065073E" w14:paraId="2A4E33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65073E" w:rsidRDefault="000A0998">
            <w:pPr>
              <w:pStyle w:val="P68B1DB1-Normal39"/>
              <w:spacing w:after="0" w:line="240" w:lineRule="auto"/>
              <w:jc w:val="center"/>
              <w:rPr>
                <w:rFonts w:eastAsia="Times New Roman" w:cs="Times New Roman"/>
                <w:noProof/>
              </w:rPr>
            </w:pPr>
            <w:r>
              <w:rPr>
                <w:noProof/>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65073E" w:rsidRDefault="000A0998">
            <w:pPr>
              <w:pStyle w:val="P68B1DB1-Normal39"/>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65073E" w:rsidRDefault="000A0998">
            <w:pPr>
              <w:pStyle w:val="P68B1DB1-Normal39"/>
              <w:spacing w:after="0" w:line="240" w:lineRule="auto"/>
              <w:rPr>
                <w:rFonts w:eastAsia="Times New Roman" w:cs="Times New Roman"/>
                <w:noProof/>
              </w:rPr>
            </w:pPr>
            <w:r>
              <w:rPr>
                <w:noProof/>
              </w:rPr>
              <w:t>Investoinnit terveydenhuoltoalan pääomatukeen</w:t>
            </w:r>
          </w:p>
        </w:tc>
      </w:tr>
      <w:tr w:rsidR="0065073E" w14:paraId="53016E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65073E" w:rsidRDefault="000A0998">
            <w:pPr>
              <w:pStyle w:val="P68B1DB1-Normal39"/>
              <w:spacing w:after="0" w:line="240" w:lineRule="auto"/>
              <w:jc w:val="center"/>
              <w:rPr>
                <w:rFonts w:eastAsia="Times New Roman" w:cs="Times New Roman"/>
                <w:noProof/>
              </w:rPr>
            </w:pPr>
            <w:r>
              <w:rPr>
                <w:noProof/>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65073E" w:rsidRDefault="000A0998">
            <w:pPr>
              <w:pStyle w:val="P68B1DB1-Normal39"/>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65073E" w:rsidRDefault="000A0998">
            <w:pPr>
              <w:pStyle w:val="P68B1DB1-Normal39"/>
              <w:spacing w:after="0" w:line="240" w:lineRule="auto"/>
              <w:rPr>
                <w:rFonts w:eastAsia="Times New Roman" w:cs="Times New Roman"/>
                <w:noProof/>
              </w:rPr>
            </w:pPr>
            <w:r>
              <w:rPr>
                <w:noProof/>
              </w:rPr>
              <w:t>Varojen maksaminen lainoina terveydenhuollon sekä ilmailu- ja avaruusalan tukemiseksi</w:t>
            </w:r>
          </w:p>
        </w:tc>
      </w:tr>
      <w:tr w:rsidR="0065073E" w14:paraId="56BD5F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65073E" w:rsidRDefault="000A0998">
            <w:pPr>
              <w:pStyle w:val="P68B1DB1-Normal39"/>
              <w:spacing w:after="0" w:line="240" w:lineRule="auto"/>
              <w:jc w:val="center"/>
              <w:rPr>
                <w:rFonts w:eastAsia="Times New Roman" w:cs="Times New Roman"/>
                <w:noProof/>
              </w:rPr>
            </w:pPr>
            <w:r>
              <w:rPr>
                <w:noProof/>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65073E" w:rsidRDefault="000A0998">
            <w:pPr>
              <w:pStyle w:val="P68B1DB1-Normal39"/>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65073E" w:rsidRDefault="000A0998">
            <w:pPr>
              <w:pStyle w:val="P68B1DB1-Normal39"/>
              <w:spacing w:after="0" w:line="240" w:lineRule="auto"/>
              <w:rPr>
                <w:rFonts w:eastAsia="Times New Roman" w:cs="Times New Roman"/>
                <w:noProof/>
              </w:rPr>
            </w:pPr>
            <w:r>
              <w:rPr>
                <w:noProof/>
              </w:rPr>
              <w:t>Kansallisen terveydenhuoltojärjestelmän T &amp; K-valmiuksien parantaminen.</w:t>
            </w:r>
          </w:p>
        </w:tc>
      </w:tr>
      <w:tr w:rsidR="0065073E" w14:paraId="39EBA7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65073E" w:rsidRDefault="000A0998">
            <w:pPr>
              <w:pStyle w:val="P68B1DB1-Normal39"/>
              <w:spacing w:after="0" w:line="240" w:lineRule="auto"/>
              <w:jc w:val="center"/>
              <w:rPr>
                <w:rFonts w:eastAsia="Times New Roman" w:cs="Times New Roman"/>
                <w:noProof/>
              </w:rPr>
            </w:pPr>
            <w:r>
              <w:rPr>
                <w:noProof/>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65073E" w:rsidRDefault="000A0998">
            <w:pPr>
              <w:pStyle w:val="P68B1DB1-Normal39"/>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65073E" w:rsidRDefault="000A0998">
            <w:pPr>
              <w:pStyle w:val="P68B1DB1-Normal39"/>
              <w:spacing w:after="0" w:line="240" w:lineRule="auto"/>
              <w:rPr>
                <w:rFonts w:eastAsia="Times New Roman" w:cs="Times New Roman"/>
                <w:noProof/>
              </w:rPr>
            </w:pPr>
            <w:r>
              <w:rPr>
                <w:noProof/>
              </w:rPr>
              <w:t>Sosiaalisten vaikutusten rahasto: Lopullisten edunsaajien (mukaan lukien oman pääoman ehtoiset rahastot) kanssa allekirjoitetut oikeudelliset rahoitussopimukset</w:t>
            </w:r>
          </w:p>
        </w:tc>
      </w:tr>
      <w:tr w:rsidR="0065073E" w14:paraId="686BCE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65073E" w:rsidRDefault="000A0998">
            <w:pPr>
              <w:pStyle w:val="P68B1DB1-Normal39"/>
              <w:spacing w:after="0" w:line="240" w:lineRule="auto"/>
              <w:jc w:val="center"/>
              <w:rPr>
                <w:rFonts w:eastAsia="Times New Roman" w:cs="Times New Roman"/>
                <w:noProof/>
              </w:rPr>
            </w:pPr>
            <w:r>
              <w:rPr>
                <w:noProof/>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65073E" w:rsidRDefault="000A0998">
            <w:pPr>
              <w:pStyle w:val="P68B1DB1-Normal39"/>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65073E" w:rsidRDefault="000A0998">
            <w:pPr>
              <w:pStyle w:val="P68B1DB1-Normal39"/>
              <w:spacing w:after="0" w:line="240" w:lineRule="auto"/>
              <w:rPr>
                <w:rFonts w:eastAsia="Times New Roman" w:cs="Times New Roman"/>
                <w:noProof/>
              </w:rPr>
            </w:pPr>
            <w:r>
              <w:rPr>
                <w:noProof/>
              </w:rPr>
              <w:t>Sosiaalisten vaikutusten rahasto: Ministeriö on saanut investoinnin päätökseen</w:t>
            </w:r>
          </w:p>
        </w:tc>
      </w:tr>
      <w:tr w:rsidR="0065073E" w14:paraId="4E64FFE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65073E" w:rsidRDefault="000A0998">
            <w:pPr>
              <w:pStyle w:val="P68B1DB1-Normal39"/>
              <w:spacing w:after="0" w:line="240" w:lineRule="auto"/>
              <w:jc w:val="center"/>
              <w:rPr>
                <w:rFonts w:eastAsia="Times New Roman" w:cs="Times New Roman"/>
                <w:noProof/>
              </w:rPr>
            </w:pPr>
            <w:r>
              <w:rPr>
                <w:noProof/>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65073E" w:rsidRDefault="000A0998">
            <w:pPr>
              <w:pStyle w:val="P68B1DB1-Normal39"/>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65073E" w:rsidRDefault="000A0998">
            <w:pPr>
              <w:pStyle w:val="P68B1DB1-Normal39"/>
              <w:spacing w:after="0" w:line="240" w:lineRule="auto"/>
              <w:rPr>
                <w:rFonts w:eastAsia="Times New Roman" w:cs="Times New Roman"/>
                <w:noProof/>
              </w:rPr>
            </w:pPr>
            <w:r>
              <w:rPr>
                <w:noProof/>
              </w:rPr>
              <w:t>Sisällön digitalisointia ja levittämistä koskevien hankkeiden toteuttaminen</w:t>
            </w:r>
          </w:p>
        </w:tc>
      </w:tr>
      <w:tr w:rsidR="0065073E" w14:paraId="0EEAE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65073E" w:rsidRDefault="000A0998">
            <w:pPr>
              <w:pStyle w:val="P68B1DB1-Normal39"/>
              <w:spacing w:after="0" w:line="240" w:lineRule="auto"/>
              <w:jc w:val="center"/>
              <w:rPr>
                <w:rFonts w:eastAsia="Times New Roman" w:cs="Times New Roman"/>
                <w:noProof/>
              </w:rPr>
            </w:pPr>
            <w:r>
              <w:rPr>
                <w:noProof/>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65073E" w:rsidRDefault="000A0998">
            <w:pPr>
              <w:pStyle w:val="P68B1DB1-Normal39"/>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65073E" w:rsidRDefault="000A0998">
            <w:pPr>
              <w:pStyle w:val="P68B1DB1-Normal39"/>
              <w:spacing w:after="0" w:line="240" w:lineRule="auto"/>
              <w:rPr>
                <w:rFonts w:eastAsia="Times New Roman" w:cs="Times New Roman"/>
                <w:noProof/>
              </w:rPr>
            </w:pPr>
            <w:r>
              <w:rPr>
                <w:noProof/>
              </w:rPr>
              <w:t>ICO:n audiovisuaalialan keskuksen rahasto: Lopullisten edunsaajien (mukaan lukien oman pääoman ehtoiset rahastot) kanssa allekirjoitetut oikeudelliset rahoitussopimukset (II).</w:t>
            </w:r>
          </w:p>
        </w:tc>
      </w:tr>
      <w:tr w:rsidR="0065073E" w14:paraId="209D0F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65073E" w:rsidRDefault="000A0998">
            <w:pPr>
              <w:pStyle w:val="P68B1DB1-Normal39"/>
              <w:spacing w:after="0" w:line="240" w:lineRule="auto"/>
              <w:jc w:val="center"/>
              <w:rPr>
                <w:rFonts w:eastAsia="Times New Roman" w:cs="Times New Roman"/>
                <w:noProof/>
              </w:rPr>
            </w:pPr>
            <w:r>
              <w:rPr>
                <w:noProof/>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65073E" w:rsidRDefault="000A0998">
            <w:pPr>
              <w:pStyle w:val="P68B1DB1-Normal39"/>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65073E" w:rsidRDefault="000A0998">
            <w:pPr>
              <w:pStyle w:val="P68B1DB1-Normal39"/>
              <w:spacing w:after="0" w:line="240" w:lineRule="auto"/>
              <w:rPr>
                <w:rFonts w:eastAsia="Times New Roman" w:cs="Times New Roman"/>
                <w:noProof/>
              </w:rPr>
            </w:pPr>
            <w:r>
              <w:rPr>
                <w:noProof/>
              </w:rPr>
              <w:t xml:space="preserve">ICO:n audiovisuaalialan keskuksen rahasto: Ministeriö on saanut investoinnin päätökseen </w:t>
            </w:r>
          </w:p>
        </w:tc>
      </w:tr>
      <w:tr w:rsidR="0065073E" w14:paraId="44CDC7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65073E" w:rsidRDefault="000A0998">
            <w:pPr>
              <w:pStyle w:val="P68B1DB1-Normal39"/>
              <w:spacing w:after="0" w:line="240" w:lineRule="auto"/>
              <w:jc w:val="center"/>
              <w:rPr>
                <w:rFonts w:eastAsia="Times New Roman" w:cs="Times New Roman"/>
                <w:noProof/>
              </w:rPr>
            </w:pPr>
            <w:r>
              <w:rPr>
                <w:noProof/>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65073E" w:rsidRDefault="000A0998">
            <w:pPr>
              <w:pStyle w:val="P68B1DB1-Normal39"/>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65073E" w:rsidRDefault="000A0998">
            <w:pPr>
              <w:pStyle w:val="P68B1DB1-Normal39"/>
              <w:spacing w:after="0" w:line="240" w:lineRule="auto"/>
              <w:rPr>
                <w:rFonts w:eastAsia="Times New Roman" w:cs="Times New Roman"/>
                <w:noProof/>
              </w:rPr>
            </w:pPr>
            <w:r>
              <w:rPr>
                <w:noProof/>
              </w:rPr>
              <w:t>Asuntojen peruskorjaustoimien loppuun saattaminen energiatehokkuuden parantamiseksi.</w:t>
            </w:r>
          </w:p>
        </w:tc>
      </w:tr>
      <w:tr w:rsidR="0065073E" w14:paraId="0D8996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65073E" w:rsidRDefault="000A0998">
            <w:pPr>
              <w:pStyle w:val="P68B1DB1-Normal39"/>
              <w:spacing w:after="0" w:line="240" w:lineRule="auto"/>
              <w:jc w:val="center"/>
              <w:rPr>
                <w:rFonts w:eastAsia="Times New Roman" w:cs="Times New Roman"/>
                <w:noProof/>
              </w:rPr>
            </w:pPr>
            <w:r>
              <w:rPr>
                <w:noProof/>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65073E" w:rsidRDefault="000A0998">
            <w:pPr>
              <w:pStyle w:val="P68B1DB1-Normal39"/>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65073E" w:rsidRDefault="000A0998">
            <w:pPr>
              <w:pStyle w:val="P68B1DB1-Normal39"/>
              <w:spacing w:after="0" w:line="240" w:lineRule="auto"/>
              <w:rPr>
                <w:rFonts w:eastAsia="Times New Roman" w:cs="Times New Roman"/>
                <w:noProof/>
              </w:rPr>
            </w:pPr>
            <w:r>
              <w:rPr>
                <w:noProof/>
              </w:rPr>
              <w:t xml:space="preserve">Eurooppalainen vapaaehtoispalvelu ja latausinfrastruktuuri otettu käyttöön </w:t>
            </w:r>
          </w:p>
        </w:tc>
      </w:tr>
      <w:tr w:rsidR="0065073E" w14:paraId="1E3870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65073E" w:rsidRDefault="000A0998">
            <w:pPr>
              <w:pStyle w:val="P68B1DB1-Normal39"/>
              <w:spacing w:after="0" w:line="240" w:lineRule="auto"/>
              <w:jc w:val="center"/>
              <w:rPr>
                <w:rFonts w:eastAsia="Times New Roman" w:cs="Times New Roman"/>
                <w:noProof/>
              </w:rPr>
            </w:pPr>
            <w:r>
              <w:rPr>
                <w:noProof/>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65073E" w:rsidRDefault="000A0998">
            <w:pPr>
              <w:pStyle w:val="P68B1DB1-Normal39"/>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65073E" w:rsidRDefault="000A0998">
            <w:pPr>
              <w:pStyle w:val="P68B1DB1-Normal39"/>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65073E" w:rsidRDefault="000A0998">
            <w:pPr>
              <w:pStyle w:val="P68B1DB1-Normal39"/>
              <w:spacing w:after="0" w:line="240" w:lineRule="auto"/>
              <w:rPr>
                <w:rFonts w:eastAsia="Times New Roman" w:cs="Times New Roman"/>
                <w:noProof/>
              </w:rPr>
            </w:pPr>
            <w:r>
              <w:rPr>
                <w:noProof/>
              </w:rPr>
              <w:t xml:space="preserve">Hiilestä irtautumista koskevien hankkeiden loppuun saattaminen, mukaan lukien pilottihanke, joka koskee rahastoa, jolla kannustetaan yrityksiä irtautumaan hiilestä (eroja koskeva hiilisopimus) </w:t>
            </w:r>
          </w:p>
        </w:tc>
      </w:tr>
      <w:tr w:rsidR="0065073E" w14:paraId="656758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65073E" w:rsidRDefault="000A0998">
            <w:pPr>
              <w:pStyle w:val="P68B1DB1-Normal39"/>
              <w:spacing w:after="0" w:line="240" w:lineRule="auto"/>
              <w:jc w:val="center"/>
              <w:rPr>
                <w:rFonts w:eastAsia="Times New Roman" w:cs="Times New Roman"/>
                <w:noProof/>
              </w:rPr>
            </w:pPr>
            <w:r>
              <w:rPr>
                <w:noProof/>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65073E" w:rsidRDefault="000A0998">
            <w:pPr>
              <w:pStyle w:val="P68B1DB1-Normal39"/>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65073E" w:rsidRDefault="000A0998">
            <w:pPr>
              <w:pStyle w:val="P68B1DB1-Normal39"/>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65073E" w:rsidRDefault="000A0998">
            <w:pPr>
              <w:pStyle w:val="P68B1DB1-Normal39"/>
              <w:spacing w:after="0" w:line="240" w:lineRule="auto"/>
              <w:rPr>
                <w:rFonts w:eastAsia="Times New Roman" w:cs="Times New Roman"/>
                <w:noProof/>
              </w:rPr>
            </w:pPr>
            <w:r>
              <w:rPr>
                <w:noProof/>
              </w:rPr>
              <w:t>Teollisuuden hiilestä irtautumista koskeva tukijärjestelmä (lainat): Lopullisten edunsaajien kanssa allekirjoitetut oikeudelliset sopimukset tai lopulliset myöntämispäätökset julkaistu.</w:t>
            </w:r>
          </w:p>
        </w:tc>
      </w:tr>
      <w:tr w:rsidR="0065073E" w14:paraId="09DDA5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65073E" w:rsidRDefault="0065073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65073E" w:rsidRDefault="0065073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65073E" w:rsidRDefault="000A0998">
            <w:pPr>
              <w:pStyle w:val="P68B1DB1-Normal38"/>
              <w:spacing w:after="0" w:line="240" w:lineRule="auto"/>
              <w:rPr>
                <w:rFonts w:eastAsia="Times New Roman" w:cs="Times New Roman"/>
                <w:noProof/>
              </w:rPr>
            </w:pPr>
            <w:r>
              <w:rPr>
                <w:noProof/>
              </w:rPr>
              <w:t>Maksuerän määrä</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65073E" w:rsidRDefault="000A0998">
            <w:pPr>
              <w:pStyle w:val="P68B1DB1-Normal38"/>
              <w:spacing w:after="0" w:line="240" w:lineRule="auto"/>
              <w:rPr>
                <w:rFonts w:eastAsia="Times New Roman" w:cs="Times New Roman"/>
                <w:noProof/>
              </w:rPr>
            </w:pPr>
            <w:r>
              <w:rPr>
                <w:noProof/>
              </w:rPr>
              <w:t>YHTEENSÄ 28248020381 EUROA</w:t>
            </w:r>
          </w:p>
        </w:tc>
      </w:tr>
    </w:tbl>
    <w:p w14:paraId="7DF0D0AC" w14:textId="77777777" w:rsidR="0065073E" w:rsidRDefault="0065073E">
      <w:pPr>
        <w:spacing w:before="120" w:after="120" w:line="240" w:lineRule="auto"/>
        <w:jc w:val="both"/>
        <w:rPr>
          <w:rFonts w:ascii="Times New Roman" w:eastAsia="Calibri" w:hAnsi="Times New Roman" w:cs="Times New Roman"/>
          <w:noProof/>
          <w:sz w:val="24"/>
        </w:rPr>
      </w:pPr>
    </w:p>
    <w:p w14:paraId="1A824DC6" w14:textId="77777777" w:rsidR="0065073E" w:rsidRDefault="0065073E">
      <w:pPr>
        <w:spacing w:before="120" w:after="120" w:line="240" w:lineRule="auto"/>
        <w:jc w:val="both"/>
        <w:rPr>
          <w:rFonts w:ascii="Times New Roman" w:eastAsia="Calibri" w:hAnsi="Times New Roman" w:cs="Times New Roman"/>
          <w:noProof/>
          <w:sz w:val="24"/>
        </w:rPr>
      </w:pPr>
    </w:p>
    <w:p w14:paraId="13EE5F01" w14:textId="77777777" w:rsidR="0065073E" w:rsidRDefault="000A0998">
      <w:pPr>
        <w:pStyle w:val="P68B1DB1-Normal36"/>
        <w:rPr>
          <w:rFonts w:eastAsia="Calibri" w:cs="Times New Roman"/>
          <w:noProof/>
        </w:rPr>
      </w:pPr>
      <w:r>
        <w:rPr>
          <w:noProof/>
        </w:rPr>
        <w:t xml:space="preserve">3 JAKSO: LISÄJÄRJESTELYT </w:t>
      </w:r>
    </w:p>
    <w:p w14:paraId="3ABF5413" w14:textId="77777777" w:rsidR="0065073E" w:rsidRDefault="000A0998">
      <w:pPr>
        <w:pStyle w:val="P68B1DB1-NumPar137"/>
        <w:numPr>
          <w:ilvl w:val="0"/>
          <w:numId w:val="782"/>
        </w:numPr>
        <w:rPr>
          <w:rFonts w:cs="Times New Roman"/>
          <w:noProof/>
        </w:rPr>
      </w:pPr>
      <w:r>
        <w:rPr>
          <w:noProof/>
        </w:rPr>
        <w:t>Elpymis- ja palautumissuunnitelman seuranta- ja täytäntöönpanojärjestelyt</w:t>
      </w:r>
    </w:p>
    <w:p w14:paraId="6B0A1AA4" w14:textId="7EA3F6BC" w:rsidR="0065073E" w:rsidRDefault="000A0998">
      <w:pPr>
        <w:pStyle w:val="P68B1DB1-Normal4"/>
        <w:spacing w:before="120" w:after="120" w:line="240" w:lineRule="auto"/>
        <w:jc w:val="both"/>
        <w:rPr>
          <w:rFonts w:eastAsia="Calibri" w:cs="Times New Roman"/>
          <w:noProof/>
        </w:rPr>
      </w:pPr>
      <w:r>
        <w:rPr>
          <w:noProof/>
        </w:rPr>
        <w:t xml:space="preserve">Espanjan muutetun elpymis- ja palautumissuunnitelman seuranta ja täytäntöönpano on vahvistettu julkishallinnon nykyaikaistamista ja elvytyssuunnitelman täytäntöönpanoa koskevien kiireellisten toimenpiteiden hyväksymisestä 30 päivänä joulukuuta annetussa kuninkaan asetuksessa 36/2020, jäljempänä ’RDL 36/2020’. Ne on toteutettava seuraavien järjestelyjen mukaisesti: </w:t>
      </w:r>
    </w:p>
    <w:p w14:paraId="1F8DFDBA" w14:textId="06992177" w:rsidR="0065073E" w:rsidRDefault="000A0998">
      <w:pPr>
        <w:pStyle w:val="P68B1DB1-ListParagraph6"/>
        <w:numPr>
          <w:ilvl w:val="0"/>
          <w:numId w:val="783"/>
        </w:numPr>
        <w:spacing w:before="120" w:after="120" w:line="240" w:lineRule="auto"/>
        <w:jc w:val="both"/>
        <w:rPr>
          <w:rFonts w:eastAsia="Calibri" w:cs="Times New Roman"/>
          <w:noProof/>
        </w:rPr>
      </w:pPr>
      <w:r>
        <w:rPr>
          <w:noProof/>
        </w:rPr>
        <w:t xml:space="preserve">On perustettu elpymis-, muutos- ja palautumiskomissio, joka kokoaa yhteen kaikki suunnitelman suhteen toimivaltaiset ministerit, ja sen puheenjohtajana toimii hallituksen puheenjohtaja. Tämä komissio on laatinut yleiset poliittiset suuntaviivat elvytyssuunnitelman laatimista ja täytäntöönpanoa varten ja seuraa suunnitelman täytäntöönpanoa. Sen työtä avustaa tekninen komitea, johon kuuluu 20 julkishallinnon jäsentä ja jonka puheenjohtajana toimii EU:n rahastojen pääsihteeristö. </w:t>
      </w:r>
    </w:p>
    <w:p w14:paraId="254B8963" w14:textId="3BA580E9" w:rsidR="0065073E" w:rsidRDefault="000A0998">
      <w:pPr>
        <w:pStyle w:val="P68B1DB1-ListParagraph6"/>
        <w:numPr>
          <w:ilvl w:val="0"/>
          <w:numId w:val="783"/>
        </w:numPr>
        <w:spacing w:before="120" w:after="120" w:line="240" w:lineRule="auto"/>
        <w:jc w:val="both"/>
        <w:rPr>
          <w:rFonts w:eastAsia="Calibri" w:cs="Times New Roman"/>
          <w:noProof/>
        </w:rPr>
      </w:pPr>
      <w:r>
        <w:rPr>
          <w:noProof/>
        </w:rPr>
        <w:t xml:space="preserve">Suunnitelmasta vastaa Euroopan komissioon vasta perustettu EU:n rahastojen pääsihteeristö valtiovarainministeriöön. Tämä viranomainen on avainasemassa seurattaessa maksupyyntöjä, jotka perustuvat välitavoitteiden ja tavoitteiden saavuttamiseen. </w:t>
      </w:r>
    </w:p>
    <w:p w14:paraId="5DE25302" w14:textId="75EA8A8A" w:rsidR="0065073E" w:rsidRDefault="000A0998">
      <w:pPr>
        <w:pStyle w:val="P68B1DB1-ListParagraph6"/>
        <w:numPr>
          <w:ilvl w:val="0"/>
          <w:numId w:val="783"/>
        </w:numPr>
        <w:spacing w:before="120" w:after="120" w:line="240" w:lineRule="auto"/>
        <w:jc w:val="both"/>
        <w:rPr>
          <w:rFonts w:eastAsia="Calibri" w:cs="Times New Roman"/>
          <w:noProof/>
        </w:rPr>
      </w:pPr>
      <w:r>
        <w:rPr>
          <w:noProof/>
        </w:rPr>
        <w:t xml:space="preserve">Muutettu suunnitelma sisältää 419 välitavoitetta ja tavoitetta, joista useimmat liittyvät kauteen 2021–2023. Ehdotetut välitavoitteet ja tavoitteet ovat selkeät, ja ehdotetut indikaattorit ovat merkityksellisiä, hyväksyttäviä ja luotettavia. </w:t>
      </w:r>
    </w:p>
    <w:p w14:paraId="4E976ED5" w14:textId="17F1AFFD" w:rsidR="0065073E" w:rsidRDefault="000A0998">
      <w:pPr>
        <w:pStyle w:val="P68B1DB1-ListParagraph6"/>
        <w:numPr>
          <w:ilvl w:val="0"/>
          <w:numId w:val="783"/>
        </w:numPr>
        <w:spacing w:before="120" w:after="120" w:line="240" w:lineRule="auto"/>
        <w:jc w:val="both"/>
        <w:rPr>
          <w:rFonts w:eastAsia="Calibri" w:cs="Times New Roman"/>
          <w:noProof/>
        </w:rPr>
      </w:pPr>
      <w:r>
        <w:rPr>
          <w:noProof/>
        </w:rPr>
        <w:t xml:space="preserve">Kustakin toimenpiteestä vastaava ministeriö vastaa toimista asiaan liittyvien välitavoitteiden ja tavoitteiden saavuttamiseksi budjetoitujen resurssien mukaisesti, kun taas Euroopan komission maksupyynnöt laatii EU:n rahastojen pääsihteeristö. Jokaiseen maksupyyntöön on liitettävä johdon vahvistuslausuma, joka perustuu osa-alueista vastaavien elinten laatimiin raportteihin. Lisäksi valtionhallinnon päätarkastaja (Intervención General de la Administración del Estado – IGAE) tarkastaa välitavoitteiden ja tavoitteiden saavuttamisen sekä saavutetut tulokset. Suunnitelman täytäntöönpanoon osoitetut varat sisällytetään valtion talousarvioon. </w:t>
      </w:r>
    </w:p>
    <w:p w14:paraId="733D840D" w14:textId="2DF93329" w:rsidR="0065073E" w:rsidRDefault="000A0998">
      <w:pPr>
        <w:pStyle w:val="P68B1DB1-ListParagraph6"/>
        <w:numPr>
          <w:ilvl w:val="0"/>
          <w:numId w:val="783"/>
        </w:numPr>
        <w:spacing w:before="120" w:after="120" w:line="240" w:lineRule="auto"/>
        <w:jc w:val="both"/>
        <w:rPr>
          <w:rFonts w:eastAsia="Calibri" w:cs="Times New Roman"/>
          <w:noProof/>
        </w:rPr>
      </w:pPr>
      <w:r>
        <w:rPr>
          <w:noProof/>
        </w:rPr>
        <w:t>On perustettu järjestelyjä, joiden avulla keskeiset toimijat voivat osallistua suunnitelman täytäntöönpanoon. Suunnitelmaa varten perustetaan uusi alakohtainen konferenssi, jonka tarkoituksena on kanavoida alueiden, paikallisyhteisöjen ja keskushallinnon välistä yhteistyötä suunnitelman toteuttamiseksi. Parlamentaarisen valvonnan osalta kuninkaan asetuksen 36/2020 22 §:ssä säädetään, että hallitus raportoi neljännesvuosittain elpymis-, muutos- ja palautumissuunnitelman edistymisestä Euroopan unionin parlamentaariselle sekavaliokunnalle.</w:t>
      </w:r>
    </w:p>
    <w:p w14:paraId="13C65C14" w14:textId="77777777" w:rsidR="0065073E" w:rsidRDefault="0065073E">
      <w:pPr>
        <w:spacing w:before="120" w:after="120" w:line="240" w:lineRule="auto"/>
        <w:jc w:val="both"/>
        <w:rPr>
          <w:rFonts w:ascii="Times New Roman" w:eastAsia="Calibri" w:hAnsi="Times New Roman" w:cs="Times New Roman"/>
          <w:noProof/>
          <w:sz w:val="24"/>
        </w:rPr>
      </w:pPr>
    </w:p>
    <w:p w14:paraId="3BC72D0E" w14:textId="77777777" w:rsidR="0065073E" w:rsidRDefault="000A0998">
      <w:pPr>
        <w:pStyle w:val="P68B1DB1-NumPar137"/>
        <w:numPr>
          <w:ilvl w:val="0"/>
          <w:numId w:val="782"/>
        </w:numPr>
        <w:rPr>
          <w:rFonts w:cs="Times New Roman"/>
          <w:noProof/>
        </w:rPr>
      </w:pPr>
      <w:r>
        <w:rPr>
          <w:noProof/>
        </w:rPr>
        <w:t>Järjestelyt, joiden mukaisesti komissio saa täyden pääsyn perustana oleviin tietoihin</w:t>
      </w:r>
    </w:p>
    <w:p w14:paraId="631837FE" w14:textId="76F6E88C" w:rsidR="0065073E" w:rsidRDefault="000A0998">
      <w:pPr>
        <w:pStyle w:val="P68B1DB1-Normal4"/>
        <w:spacing w:before="120" w:after="120" w:line="240" w:lineRule="auto"/>
        <w:jc w:val="both"/>
        <w:rPr>
          <w:rFonts w:eastAsia="Calibri" w:cs="Times New Roman"/>
          <w:noProof/>
        </w:rPr>
      </w:pPr>
      <w:r>
        <w:rPr>
          <w:noProof/>
        </w:rPr>
        <w:t>Jotta komissiolla olisi täydet oikeudet tutustua asiaankuuluviin taustatietoihin, Espanjalla on oltava käytössä seuraavat järjestelyt:</w:t>
      </w:r>
    </w:p>
    <w:p w14:paraId="137EE5D7" w14:textId="77777777" w:rsidR="0065073E" w:rsidRDefault="000A0998">
      <w:pPr>
        <w:pStyle w:val="P68B1DB1-Normal4"/>
        <w:spacing w:before="120" w:after="120" w:line="240" w:lineRule="auto"/>
        <w:jc w:val="both"/>
        <w:rPr>
          <w:rFonts w:eastAsia="Calibri" w:cs="Times New Roman"/>
          <w:noProof/>
        </w:rPr>
      </w:pPr>
      <w:r>
        <w:rPr>
          <w:noProof/>
        </w:rPr>
        <w:t xml:space="preserve">EU:n rahastojen pääsihteeristö (valtiovarainministeriö) vastaa Espanjan elpymis- ja palautumissuunnitelman koordinaattorina muutettujen elpymis- ja palautumissuunnitelmien yleisestä täytäntöönpanosta, koordinoinnista maan muiden asiaankuuluvien viranomaisten kanssa (mukaan lukien johdonmukaisuuden varmistaminen muiden EU:n varojen käytön osalta), välitavoitteiden ja tavoitteiden edistymisen seurannasta, valvonta- ja tarkastustoimenpiteiden täytäntöönpanon valvonnasta ja varmistamisesta sekä kaiken tarvittavan raportoinnin, maksupyyntöjen ja niihin liittyvän johdon vahvistuslausuman toimittamisesta. EU:n varojen pääsihteeristö tukeutuu tietotekniseen järjestelmään, jäljempänä ’kahvi’, jonka avulla ministeriöt ja muut täytäntöönpano-, valvonta- ja tarkastuselimet voivat kirjata kaikki asiaankuuluvat tiedot, mukaan lukien välitavoitteiden ja tavoitteiden raportointi ja seurantaindikaattorit, valvonta- ja tarkastuskertomukset sekä täytäntöönpanoelinten hallintokertomukset, joiden odotetaan muodostavan perustan maksupyyntöihin liitettäville johdon lausumille. Järjestelmässä voidaan myös kirjata laadullisia taloudellisia tietoja ja muita tietoja, kuten lopullisia tuensaajia, toimeksisaajia ja alihankkijoita koskevia tietoja. Viranomaiset myös keräävät ja tallentavat tietoja tosiasiallisista omistajista ja edunsaajista, joita ylläpitää kansallinen verovirasto. </w:t>
      </w:r>
    </w:p>
    <w:p w14:paraId="06442C18" w14:textId="23565917" w:rsidR="0065073E" w:rsidRDefault="000A0998">
      <w:pPr>
        <w:pStyle w:val="P68B1DB1-Normal4"/>
        <w:spacing w:before="120" w:after="120" w:line="240" w:lineRule="auto"/>
        <w:jc w:val="both"/>
        <w:rPr>
          <w:rFonts w:eastAsia="Calibri" w:cs="Times New Roman"/>
          <w:noProof/>
        </w:rPr>
      </w:pPr>
      <w:r>
        <w:rPr>
          <w:noProof/>
        </w:rPr>
        <w:t>Lisäksi Espanja on tehnyt välitavoitteen 173 ja ensimmäisen maksupyynnön yhteydessä tehtyjen tarkastus- ja valvontasitoumusten osalta kaksi sopimusta ulkomaisten yritysten tosiasiallisia omistajia ja edunsaajia koskevien tietojen vaihdon helpottamiseksi: toinen notaariasioiden yleisen neuvoston ja Veroviraston välillä ja toinen viimeksi mainitun ja College of Property Registersin välillä. Lisäksi Espanja antoi ministeriön määräyksen (määräys HFP/55/2023), jolla valtuutettiin ehdotuspyyntöjen järjestämisestä vastaavat viranomaiset pyytämään tosiasiallisia omistajia ja edunsaajia koskevia tietoja ulkomaisilta yrityksiltä, joiden osalta kansallisilla viranomaisilla ei ole tietoja tietokannoissaan.</w:t>
      </w:r>
    </w:p>
    <w:p w14:paraId="005C5709" w14:textId="77777777" w:rsidR="0065073E" w:rsidRDefault="000A0998">
      <w:pPr>
        <w:pStyle w:val="P68B1DB1-Normal4"/>
        <w:spacing w:before="120" w:after="120" w:line="240" w:lineRule="auto"/>
        <w:jc w:val="both"/>
        <w:rPr>
          <w:rFonts w:eastAsia="Calibri" w:cs="Times New Roman"/>
          <w:noProof/>
        </w:rPr>
      </w:pPr>
      <w:r>
        <w:rPr>
          <w:noProof/>
        </w:rPr>
        <w:t>Lisäksi Espanja on parantanut tosiasiallisia omistajia ja edunsaajia koskevien tietojen saatavuutta valvontaa varten. Espanjan viranomaiset ovat erityisesti perustaneet ja ottaneet käyttöön riskien pisteytyksen tietoteknisen välineen nimeltä ”MINERVA” eturistiriitojen järjestelmällistä valvontaa ja ehkäisemistä varten käyttäen hyväksi tosiasiallisia omistajia ja edunsaajia koskevia tietoja.</w:t>
      </w:r>
    </w:p>
    <w:p w14:paraId="26C38D62" w14:textId="71839E3A" w:rsidR="0065073E" w:rsidRDefault="000A0998">
      <w:pPr>
        <w:pStyle w:val="P68B1DB1-Normal4"/>
        <w:spacing w:before="120" w:after="120" w:line="240" w:lineRule="auto"/>
        <w:jc w:val="both"/>
        <w:rPr>
          <w:rFonts w:eastAsia="Calibri" w:cs="Times New Roman"/>
          <w:noProof/>
        </w:rPr>
      </w:pPr>
      <w:r>
        <w:rPr>
          <w:noProof/>
        </w:rPr>
        <w:t>Kun tämän liitteen 2.1 jaksossa esitetyt sovitut välitavoitteet ja tavoitteet on saavutettu, Espanjan on asetuksen (EU) 2021/241 24 artiklan 2 kohdan mukaisesti toimitettava komissiolle rahoitusosuuden maksamista koskeva asianmukaisesti perusteltu pyyntö. Espanjan on varmistettava, että komissiolla on pyynnöstä täysi pääsy asiaankuuluviin taustatietoihin, jotka tukevat maksupyynnön asianmukaisia perusteluja, sekä asetuksen (EU) 2021/241 24 artiklan 3 kohdan mukaista maksupyynnön arviointia että tarkastus- ja valvontatarkoituksia varten.</w:t>
      </w:r>
    </w:p>
    <w:sectPr w:rsidR="0065073E">
      <w:headerReference w:type="even" r:id="rId703"/>
      <w:headerReference w:type="default" r:id="rId704"/>
      <w:footerReference w:type="even" r:id="rId705"/>
      <w:footerReference w:type="default" r:id="rId706"/>
      <w:headerReference w:type="first" r:id="rId707"/>
      <w:footerReference w:type="first" r:id="rId708"/>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C7674" w14:textId="77777777" w:rsidR="00D923E0" w:rsidRDefault="00D923E0">
      <w:pPr>
        <w:spacing w:after="0" w:line="240" w:lineRule="auto"/>
      </w:pPr>
      <w:r>
        <w:separator/>
      </w:r>
    </w:p>
    <w:p w14:paraId="6829207F" w14:textId="77777777" w:rsidR="00D923E0" w:rsidRDefault="00D923E0"/>
  </w:endnote>
  <w:endnote w:type="continuationSeparator" w:id="0">
    <w:p w14:paraId="397B3E70" w14:textId="77777777" w:rsidR="00D923E0" w:rsidRDefault="00D923E0">
      <w:pPr>
        <w:spacing w:after="0" w:line="240" w:lineRule="auto"/>
      </w:pPr>
      <w:r>
        <w:continuationSeparator/>
      </w:r>
    </w:p>
    <w:p w14:paraId="48171725" w14:textId="77777777" w:rsidR="00D923E0" w:rsidRDefault="00D923E0"/>
  </w:endnote>
  <w:endnote w:type="continuationNotice" w:id="1">
    <w:p w14:paraId="78D8133C" w14:textId="77777777" w:rsidR="00D923E0" w:rsidRDefault="00D923E0">
      <w:pPr>
        <w:spacing w:after="0" w:line="240" w:lineRule="auto"/>
      </w:pPr>
    </w:p>
    <w:p w14:paraId="1466CF33" w14:textId="77777777" w:rsidR="00D923E0" w:rsidRDefault="00D92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31BBE" w14:textId="6DFA5A9E" w:rsidR="00EB694A" w:rsidRPr="00EB694A" w:rsidRDefault="00EB694A" w:rsidP="00EB694A">
    <w:pPr>
      <w:pStyle w:val="FooterCoverPage"/>
      <w:rPr>
        <w:rFonts w:ascii="Arial" w:hAnsi="Arial" w:cs="Arial"/>
        <w:b/>
        <w:sz w:val="48"/>
      </w:rPr>
    </w:pPr>
    <w:r w:rsidRPr="00EB694A">
      <w:rPr>
        <w:rFonts w:ascii="Arial" w:hAnsi="Arial" w:cs="Arial"/>
        <w:b/>
        <w:sz w:val="48"/>
      </w:rPr>
      <w:t>FI</w:t>
    </w:r>
    <w:r w:rsidRPr="00EB694A">
      <w:rPr>
        <w:rFonts w:ascii="Arial" w:hAnsi="Arial" w:cs="Arial"/>
        <w:b/>
        <w:sz w:val="48"/>
      </w:rPr>
      <w:tab/>
    </w:r>
    <w:r w:rsidRPr="00EB694A">
      <w:rPr>
        <w:rFonts w:ascii="Arial" w:hAnsi="Arial" w:cs="Arial"/>
        <w:b/>
        <w:sz w:val="48"/>
      </w:rPr>
      <w:tab/>
    </w:r>
    <w:r w:rsidRPr="00EB694A">
      <w:tab/>
    </w:r>
    <w:r w:rsidRPr="00EB694A">
      <w:rPr>
        <w:rFonts w:ascii="Arial" w:hAnsi="Arial" w:cs="Arial"/>
        <w:b/>
        <w:sz w:val="48"/>
      </w:rPr>
      <w:t>FI</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65073E" w:rsidRDefault="0065073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65073E" w:rsidRDefault="0065073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320799"/>
      <w:docPartObj>
        <w:docPartGallery w:val="Page Numbers (Bottom of Page)"/>
        <w:docPartUnique/>
      </w:docPartObj>
    </w:sdtPr>
    <w:sdtEndPr>
      <w:rPr>
        <w:noProof/>
      </w:rPr>
    </w:sdtEndPr>
    <w:sdtContent>
      <w:p w14:paraId="6EE64B86" w14:textId="6B0FEDB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468DF3F" w14:textId="77777777" w:rsidR="0065073E" w:rsidRDefault="0065073E">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65073E" w:rsidRDefault="0065073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A1BFF" w14:textId="77777777" w:rsidR="0065073E" w:rsidRDefault="0065073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451526"/>
      <w:docPartObj>
        <w:docPartGallery w:val="Page Numbers (Bottom of Page)"/>
        <w:docPartUnique/>
      </w:docPartObj>
    </w:sdtPr>
    <w:sdtEndPr>
      <w:rPr>
        <w:noProof/>
      </w:rPr>
    </w:sdtEndPr>
    <w:sdtContent>
      <w:p w14:paraId="27AAFB3F"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5756DCF" w14:textId="77777777" w:rsidR="0065073E" w:rsidRDefault="0065073E">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A2E9" w14:textId="77777777" w:rsidR="0065073E" w:rsidRDefault="0065073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84F9" w14:textId="77777777" w:rsidR="0065073E" w:rsidRDefault="0065073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243801"/>
      <w:docPartObj>
        <w:docPartGallery w:val="Page Numbers (Bottom of Page)"/>
        <w:docPartUnique/>
      </w:docPartObj>
    </w:sdtPr>
    <w:sdtEndPr>
      <w:rPr>
        <w:noProof/>
      </w:rPr>
    </w:sdtEndPr>
    <w:sdtContent>
      <w:p w14:paraId="326FE904"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A4B1B38" w14:textId="77777777" w:rsidR="0065073E" w:rsidRDefault="0065073E">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55A9" w14:textId="77777777" w:rsidR="0065073E" w:rsidRDefault="0065073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65073E" w:rsidRDefault="0065073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840292"/>
      <w:docPartObj>
        <w:docPartGallery w:val="Page Numbers (Bottom of Page)"/>
        <w:docPartUnique/>
      </w:docPartObj>
    </w:sdtPr>
    <w:sdtEndPr>
      <w:rPr>
        <w:noProof/>
      </w:rPr>
    </w:sdtEndPr>
    <w:sdtContent>
      <w:p w14:paraId="2679D2AE" w14:textId="28F2E22E" w:rsidR="0065073E" w:rsidRDefault="000A0998">
        <w:pPr>
          <w:pStyle w:val="P68B1DB1-Footer40"/>
          <w:jc w:val="center"/>
        </w:pPr>
        <w:r>
          <w:fldChar w:fldCharType="begin"/>
        </w:r>
        <w:r>
          <w:instrText xml:space="preserve"> PAGE   \* MERGEFORMAT </w:instrText>
        </w:r>
        <w:r>
          <w:fldChar w:fldCharType="separate"/>
        </w:r>
        <w:r w:rsidR="008F4E89">
          <w:rPr>
            <w:noProof/>
          </w:rPr>
          <w:t>15</w:t>
        </w:r>
        <w:r>
          <w:fldChar w:fldCharType="end"/>
        </w:r>
      </w:p>
    </w:sdtContent>
  </w:sdt>
  <w:p w14:paraId="5886B4A0" w14:textId="77777777" w:rsidR="0065073E" w:rsidRDefault="0065073E">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739406"/>
      <w:docPartObj>
        <w:docPartGallery w:val="Page Numbers (Bottom of Page)"/>
        <w:docPartUnique/>
      </w:docPartObj>
    </w:sdtPr>
    <w:sdtEndPr>
      <w:rPr>
        <w:noProof/>
      </w:rPr>
    </w:sdtEndPr>
    <w:sdtContent>
      <w:p w14:paraId="29ABA597" w14:textId="5388D28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D5246BA" w14:textId="77777777" w:rsidR="0065073E" w:rsidRDefault="0065073E">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65073E" w:rsidRDefault="0065073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65073E" w:rsidRDefault="0065073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460105"/>
      <w:docPartObj>
        <w:docPartGallery w:val="Page Numbers (Bottom of Page)"/>
        <w:docPartUnique/>
      </w:docPartObj>
    </w:sdtPr>
    <w:sdtEndPr>
      <w:rPr>
        <w:noProof/>
      </w:rPr>
    </w:sdtEndPr>
    <w:sdtContent>
      <w:p w14:paraId="28FDCCEA" w14:textId="307FCE2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935FD64" w14:textId="77777777" w:rsidR="0065073E" w:rsidRDefault="0065073E">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65073E" w:rsidRDefault="0065073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65073E" w:rsidRDefault="0065073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93432"/>
      <w:docPartObj>
        <w:docPartGallery w:val="Page Numbers (Bottom of Page)"/>
        <w:docPartUnique/>
      </w:docPartObj>
    </w:sdtPr>
    <w:sdtEndPr>
      <w:rPr>
        <w:noProof/>
      </w:rPr>
    </w:sdtEndPr>
    <w:sdtContent>
      <w:p w14:paraId="0F1D1553" w14:textId="5F5A53C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B1B30B7" w14:textId="77777777" w:rsidR="0065073E" w:rsidRDefault="0065073E">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65073E" w:rsidRDefault="0065073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65073E" w:rsidRDefault="0065073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79676"/>
      <w:docPartObj>
        <w:docPartGallery w:val="Page Numbers (Bottom of Page)"/>
        <w:docPartUnique/>
      </w:docPartObj>
    </w:sdtPr>
    <w:sdtEndPr>
      <w:rPr>
        <w:noProof/>
      </w:rPr>
    </w:sdtEndPr>
    <w:sdtContent>
      <w:p w14:paraId="3E166685" w14:textId="052D2136"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1E85658" w14:textId="77777777" w:rsidR="0065073E" w:rsidRDefault="0065073E">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65073E" w:rsidRDefault="0065073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65073E" w:rsidRDefault="0065073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65073E" w:rsidRDefault="0065073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214715"/>
      <w:docPartObj>
        <w:docPartGallery w:val="Page Numbers (Bottom of Page)"/>
        <w:docPartUnique/>
      </w:docPartObj>
    </w:sdtPr>
    <w:sdtEndPr>
      <w:rPr>
        <w:noProof/>
      </w:rPr>
    </w:sdtEndPr>
    <w:sdtContent>
      <w:p w14:paraId="57211781" w14:textId="0C384F2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F227026" w14:textId="77777777" w:rsidR="0065073E" w:rsidRDefault="0065073E">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65073E" w:rsidRDefault="0065073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65073E" w:rsidRDefault="0065073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838679"/>
      <w:docPartObj>
        <w:docPartGallery w:val="Page Numbers (Bottom of Page)"/>
        <w:docPartUnique/>
      </w:docPartObj>
    </w:sdtPr>
    <w:sdtEndPr>
      <w:rPr>
        <w:noProof/>
      </w:rPr>
    </w:sdtEndPr>
    <w:sdtContent>
      <w:p w14:paraId="2FD16392" w14:textId="5D481EEC"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32EE4E47" w14:textId="77777777" w:rsidR="0065073E" w:rsidRDefault="0065073E">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65073E" w:rsidRDefault="0065073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65073E" w:rsidRDefault="0065073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17454"/>
      <w:docPartObj>
        <w:docPartGallery w:val="Page Numbers (Bottom of Page)"/>
        <w:docPartUnique/>
      </w:docPartObj>
    </w:sdtPr>
    <w:sdtEndPr>
      <w:rPr>
        <w:noProof/>
      </w:rPr>
    </w:sdtEndPr>
    <w:sdtContent>
      <w:p w14:paraId="73CBB389" w14:textId="092A6F6F"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A7D7032" w14:textId="77777777" w:rsidR="0065073E" w:rsidRDefault="0065073E">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65073E" w:rsidRDefault="0065073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65073E" w:rsidRDefault="0065073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65073E" w:rsidRDefault="0065073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01280"/>
      <w:docPartObj>
        <w:docPartGallery w:val="Page Numbers (Bottom of Page)"/>
        <w:docPartUnique/>
      </w:docPartObj>
    </w:sdtPr>
    <w:sdtEndPr>
      <w:rPr>
        <w:noProof/>
      </w:rPr>
    </w:sdtEndPr>
    <w:sdtContent>
      <w:p w14:paraId="493A2E0D" w14:textId="7A1CEB41"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009EC3E" w14:textId="77777777" w:rsidR="0065073E" w:rsidRDefault="0065073E">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65073E" w:rsidRDefault="0065073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65073E" w:rsidRDefault="0065073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402174"/>
      <w:docPartObj>
        <w:docPartGallery w:val="Page Numbers (Bottom of Page)"/>
        <w:docPartUnique/>
      </w:docPartObj>
    </w:sdtPr>
    <w:sdtEndPr>
      <w:rPr>
        <w:noProof/>
      </w:rPr>
    </w:sdtEndPr>
    <w:sdtContent>
      <w:p w14:paraId="42213AB9" w14:textId="1CC173EA"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443AFEB" w14:textId="77777777" w:rsidR="0065073E" w:rsidRDefault="0065073E">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65073E" w:rsidRDefault="0065073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65073E" w:rsidRDefault="0065073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519847"/>
      <w:docPartObj>
        <w:docPartGallery w:val="Page Numbers (Bottom of Page)"/>
        <w:docPartUnique/>
      </w:docPartObj>
    </w:sdtPr>
    <w:sdtEndPr>
      <w:rPr>
        <w:noProof/>
      </w:rPr>
    </w:sdtEndPr>
    <w:sdtContent>
      <w:p w14:paraId="761E2E3E" w14:textId="1E1147F3"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2A2CC94B" w14:textId="77777777" w:rsidR="0065073E" w:rsidRDefault="0065073E">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65073E" w:rsidRDefault="0065073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143A0" w14:textId="77777777" w:rsidR="0065073E" w:rsidRDefault="0065073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402134"/>
      <w:docPartObj>
        <w:docPartGallery w:val="Page Numbers (Bottom of Page)"/>
        <w:docPartUnique/>
      </w:docPartObj>
    </w:sdtPr>
    <w:sdtEndPr>
      <w:rPr>
        <w:noProof/>
      </w:rPr>
    </w:sdtEndPr>
    <w:sdtContent>
      <w:p w14:paraId="75D1B58F" w14:textId="5F552738" w:rsidR="0065073E" w:rsidRDefault="000A0998">
        <w:pPr>
          <w:pStyle w:val="P68B1DB1-Footer40"/>
          <w:jc w:val="center"/>
        </w:pPr>
        <w:r>
          <w:fldChar w:fldCharType="begin"/>
        </w:r>
        <w:r>
          <w:instrText xml:space="preserve"> PAGE   \* MERGEFORMAT </w:instrText>
        </w:r>
        <w:r>
          <w:fldChar w:fldCharType="separate"/>
        </w:r>
        <w:r w:rsidR="008F4E89">
          <w:rPr>
            <w:noProof/>
          </w:rPr>
          <w:t>16</w:t>
        </w:r>
        <w:r>
          <w:fldChar w:fldCharType="end"/>
        </w:r>
      </w:p>
    </w:sdtContent>
  </w:sdt>
  <w:p w14:paraId="1C51DA1C" w14:textId="77777777" w:rsidR="0065073E" w:rsidRDefault="0065073E">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14361"/>
      <w:docPartObj>
        <w:docPartGallery w:val="Page Numbers (Bottom of Page)"/>
        <w:docPartUnique/>
      </w:docPartObj>
    </w:sdtPr>
    <w:sdtEndPr>
      <w:rPr>
        <w:noProof/>
      </w:rPr>
    </w:sdtEndPr>
    <w:sdtContent>
      <w:p w14:paraId="1A9EEF3E" w14:textId="77777777"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5E4CCC34" w14:textId="77777777" w:rsidR="0065073E" w:rsidRDefault="0065073E">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C698" w14:textId="77777777" w:rsidR="0065073E" w:rsidRDefault="0065073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65073E" w:rsidRDefault="0065073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65777"/>
      <w:docPartObj>
        <w:docPartGallery w:val="Page Numbers (Bottom of Page)"/>
        <w:docPartUnique/>
      </w:docPartObj>
    </w:sdtPr>
    <w:sdtEndPr>
      <w:rPr>
        <w:noProof/>
      </w:rPr>
    </w:sdtEndPr>
    <w:sdtContent>
      <w:p w14:paraId="0515F734" w14:textId="57FA652C"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EF5BCC3" w14:textId="77777777" w:rsidR="0065073E" w:rsidRDefault="0065073E">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65073E" w:rsidRDefault="0065073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65073E" w:rsidRDefault="0065073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449378"/>
      <w:docPartObj>
        <w:docPartGallery w:val="Page Numbers (Bottom of Page)"/>
        <w:docPartUnique/>
      </w:docPartObj>
    </w:sdtPr>
    <w:sdtEndPr>
      <w:rPr>
        <w:noProof/>
      </w:rPr>
    </w:sdtEndPr>
    <w:sdtContent>
      <w:p w14:paraId="42DA0A5A" w14:textId="37E2D4CA"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029075A" w14:textId="77777777" w:rsidR="0065073E" w:rsidRDefault="0065073E">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65073E" w:rsidRDefault="0065073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5731" w14:textId="77777777" w:rsidR="0065073E" w:rsidRDefault="0065073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81329"/>
      <w:docPartObj>
        <w:docPartGallery w:val="Page Numbers (Bottom of Page)"/>
        <w:docPartUnique/>
      </w:docPartObj>
    </w:sdtPr>
    <w:sdtEndPr>
      <w:rPr>
        <w:noProof/>
      </w:rPr>
    </w:sdtEndPr>
    <w:sdtContent>
      <w:p w14:paraId="589C7145"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4B23A3D" w14:textId="77777777" w:rsidR="0065073E" w:rsidRDefault="0065073E">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65073E" w:rsidRDefault="0065073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87B0C" w14:textId="77777777" w:rsidR="0065073E" w:rsidRDefault="0065073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604B" w14:textId="77777777" w:rsidR="0065073E" w:rsidRDefault="0065073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27997"/>
      <w:docPartObj>
        <w:docPartGallery w:val="Page Numbers (Bottom of Page)"/>
        <w:docPartUnique/>
      </w:docPartObj>
    </w:sdtPr>
    <w:sdtEndPr>
      <w:rPr>
        <w:noProof/>
      </w:rPr>
    </w:sdtEndPr>
    <w:sdtContent>
      <w:p w14:paraId="1279C3D7"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45ABC96" w14:textId="77777777" w:rsidR="0065073E" w:rsidRDefault="0065073E">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C693" w14:textId="77777777" w:rsidR="0065073E" w:rsidRDefault="0065073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67D3" w14:textId="77777777" w:rsidR="0065073E" w:rsidRDefault="0065073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630168"/>
      <w:docPartObj>
        <w:docPartGallery w:val="Page Numbers (Bottom of Page)"/>
        <w:docPartUnique/>
      </w:docPartObj>
    </w:sdtPr>
    <w:sdtEndPr>
      <w:rPr>
        <w:noProof/>
      </w:rPr>
    </w:sdtEndPr>
    <w:sdtContent>
      <w:p w14:paraId="7A8FFC82"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0D6F2AE" w14:textId="77777777" w:rsidR="0065073E" w:rsidRDefault="0065073E">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CB000" w14:textId="77777777" w:rsidR="0065073E" w:rsidRDefault="0065073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65073E" w:rsidRDefault="0065073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499338"/>
      <w:docPartObj>
        <w:docPartGallery w:val="Page Numbers (Bottom of Page)"/>
        <w:docPartUnique/>
      </w:docPartObj>
    </w:sdtPr>
    <w:sdtEndPr>
      <w:rPr>
        <w:noProof/>
      </w:rPr>
    </w:sdtEndPr>
    <w:sdtContent>
      <w:p w14:paraId="6E4561A7" w14:textId="05985C1F"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4BC7B63" w14:textId="77777777" w:rsidR="0065073E" w:rsidRDefault="0065073E">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65073E" w:rsidRDefault="0065073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65073E" w:rsidRDefault="0065073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65073E" w:rsidRDefault="0065073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155729"/>
      <w:docPartObj>
        <w:docPartGallery w:val="Page Numbers (Bottom of Page)"/>
        <w:docPartUnique/>
      </w:docPartObj>
    </w:sdtPr>
    <w:sdtEndPr>
      <w:rPr>
        <w:noProof/>
      </w:rPr>
    </w:sdtEndPr>
    <w:sdtContent>
      <w:p w14:paraId="30C6AE0B" w14:textId="64D89BA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A5EA27A" w14:textId="77777777" w:rsidR="0065073E" w:rsidRDefault="0065073E">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65073E" w:rsidRDefault="0065073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A72E" w14:textId="77777777" w:rsidR="0065073E" w:rsidRDefault="0065073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84200"/>
      <w:docPartObj>
        <w:docPartGallery w:val="Page Numbers (Bottom of Page)"/>
        <w:docPartUnique/>
      </w:docPartObj>
    </w:sdtPr>
    <w:sdtEndPr>
      <w:rPr>
        <w:noProof/>
      </w:rPr>
    </w:sdtEndPr>
    <w:sdtContent>
      <w:p w14:paraId="6FF547B4"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FCCCAD0" w14:textId="77777777" w:rsidR="0065073E" w:rsidRDefault="0065073E">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5948" w14:textId="77777777" w:rsidR="0065073E" w:rsidRDefault="0065073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65073E" w:rsidRDefault="0065073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469490"/>
      <w:docPartObj>
        <w:docPartGallery w:val="Page Numbers (Bottom of Page)"/>
        <w:docPartUnique/>
      </w:docPartObj>
    </w:sdtPr>
    <w:sdtEndPr>
      <w:rPr>
        <w:noProof/>
      </w:rPr>
    </w:sdtEndPr>
    <w:sdtContent>
      <w:p w14:paraId="59A4EEB3" w14:textId="1EE368B3"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CDE9F5D" w14:textId="77777777" w:rsidR="0065073E" w:rsidRDefault="0065073E">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65073E" w:rsidRDefault="0065073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65073E" w:rsidRDefault="0065073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923148"/>
      <w:docPartObj>
        <w:docPartGallery w:val="Page Numbers (Bottom of Page)"/>
        <w:docPartUnique/>
      </w:docPartObj>
    </w:sdtPr>
    <w:sdtEndPr>
      <w:rPr>
        <w:noProof/>
      </w:rPr>
    </w:sdtEndPr>
    <w:sdtContent>
      <w:p w14:paraId="1BE94BAB" w14:textId="307B15D1" w:rsidR="0065073E" w:rsidRDefault="000A0998">
        <w:pPr>
          <w:pStyle w:val="P68B1DB1-Footer40"/>
          <w:jc w:val="center"/>
        </w:pPr>
        <w:r>
          <w:fldChar w:fldCharType="begin"/>
        </w:r>
        <w:r>
          <w:instrText xml:space="preserve"> PAGE   \* MERGEFORMAT </w:instrText>
        </w:r>
        <w:r>
          <w:fldChar w:fldCharType="separate"/>
        </w:r>
        <w:r w:rsidR="008F4E89">
          <w:rPr>
            <w:noProof/>
          </w:rPr>
          <w:t>17</w:t>
        </w:r>
        <w:r>
          <w:fldChar w:fldCharType="end"/>
        </w:r>
      </w:p>
    </w:sdtContent>
  </w:sdt>
  <w:p w14:paraId="0A593A36" w14:textId="77777777" w:rsidR="0065073E" w:rsidRDefault="0065073E">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36845"/>
      <w:docPartObj>
        <w:docPartGallery w:val="Page Numbers (Bottom of Page)"/>
        <w:docPartUnique/>
      </w:docPartObj>
    </w:sdtPr>
    <w:sdtEndPr>
      <w:rPr>
        <w:noProof/>
      </w:rPr>
    </w:sdtEndPr>
    <w:sdtContent>
      <w:p w14:paraId="74D27318" w14:textId="6B248874"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7769BB4" w14:textId="77777777" w:rsidR="0065073E" w:rsidRDefault="0065073E">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65073E" w:rsidRDefault="0065073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65073E" w:rsidRDefault="0065073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49923"/>
      <w:docPartObj>
        <w:docPartGallery w:val="Page Numbers (Bottom of Page)"/>
        <w:docPartUnique/>
      </w:docPartObj>
    </w:sdtPr>
    <w:sdtEndPr>
      <w:rPr>
        <w:noProof/>
      </w:rPr>
    </w:sdtEndPr>
    <w:sdtContent>
      <w:p w14:paraId="610ED9F7" w14:textId="38B2DA5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8D1DC2B" w14:textId="77777777" w:rsidR="0065073E" w:rsidRDefault="0065073E">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65073E" w:rsidRDefault="0065073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65073E" w:rsidRDefault="0065073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236908"/>
      <w:docPartObj>
        <w:docPartGallery w:val="Page Numbers (Bottom of Page)"/>
        <w:docPartUnique/>
      </w:docPartObj>
    </w:sdtPr>
    <w:sdtEndPr>
      <w:rPr>
        <w:noProof/>
      </w:rPr>
    </w:sdtEndPr>
    <w:sdtContent>
      <w:p w14:paraId="7494E962" w14:textId="706CF405"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65043F17" w14:textId="77777777" w:rsidR="0065073E" w:rsidRDefault="0065073E">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65073E" w:rsidRDefault="0065073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65073E" w:rsidRDefault="0065073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87471"/>
      <w:docPartObj>
        <w:docPartGallery w:val="Page Numbers (Bottom of Page)"/>
        <w:docPartUnique/>
      </w:docPartObj>
    </w:sdtPr>
    <w:sdtEndPr>
      <w:rPr>
        <w:noProof/>
      </w:rPr>
    </w:sdtEndPr>
    <w:sdtContent>
      <w:p w14:paraId="1C598FEC" w14:textId="00411E3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8C123E9" w14:textId="77777777" w:rsidR="0065073E" w:rsidRDefault="0065073E">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65073E" w:rsidRDefault="0065073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65073E" w:rsidRDefault="0065073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65073E" w:rsidRDefault="0065073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289448"/>
      <w:docPartObj>
        <w:docPartGallery w:val="Page Numbers (Bottom of Page)"/>
        <w:docPartUnique/>
      </w:docPartObj>
    </w:sdtPr>
    <w:sdtEndPr>
      <w:rPr>
        <w:noProof/>
      </w:rPr>
    </w:sdtEndPr>
    <w:sdtContent>
      <w:p w14:paraId="3BB77AB2" w14:textId="7DA15F83"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660BDD68" w14:textId="77777777" w:rsidR="0065073E" w:rsidRDefault="0065073E">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65073E" w:rsidRDefault="0065073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65073E" w:rsidRDefault="0065073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783717"/>
      <w:docPartObj>
        <w:docPartGallery w:val="Page Numbers (Bottom of Page)"/>
        <w:docPartUnique/>
      </w:docPartObj>
    </w:sdtPr>
    <w:sdtEndPr>
      <w:rPr>
        <w:noProof/>
      </w:rPr>
    </w:sdtEndPr>
    <w:sdtContent>
      <w:p w14:paraId="3A5D7A18" w14:textId="7E4931BF"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70D7CADE" w14:textId="77777777" w:rsidR="0065073E" w:rsidRDefault="0065073E">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65073E" w:rsidRDefault="0065073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65073E" w:rsidRDefault="0065073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339303"/>
      <w:docPartObj>
        <w:docPartGallery w:val="Page Numbers (Bottom of Page)"/>
        <w:docPartUnique/>
      </w:docPartObj>
    </w:sdtPr>
    <w:sdtEndPr>
      <w:rPr>
        <w:noProof/>
      </w:rPr>
    </w:sdtEndPr>
    <w:sdtContent>
      <w:p w14:paraId="20DCDDAD" w14:textId="78C5327D"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38F4584" w14:textId="77777777" w:rsidR="0065073E" w:rsidRDefault="0065073E">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65073E" w:rsidRDefault="0065073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9475" w14:textId="77777777" w:rsidR="0065073E" w:rsidRDefault="0065073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A8BEF" w14:textId="77777777" w:rsidR="0065073E" w:rsidRDefault="0065073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961151"/>
      <w:docPartObj>
        <w:docPartGallery w:val="Page Numbers (Bottom of Page)"/>
        <w:docPartUnique/>
      </w:docPartObj>
    </w:sdtPr>
    <w:sdtEndPr>
      <w:rPr>
        <w:noProof/>
      </w:rPr>
    </w:sdtEndPr>
    <w:sdtContent>
      <w:p w14:paraId="363C08DC"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82CC274" w14:textId="77777777" w:rsidR="0065073E" w:rsidRDefault="0065073E">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DCACE" w14:textId="77777777" w:rsidR="0065073E" w:rsidRDefault="0065073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0367" w14:textId="77777777" w:rsidR="0065073E" w:rsidRDefault="0065073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227912"/>
      <w:docPartObj>
        <w:docPartGallery w:val="Page Numbers (Bottom of Page)"/>
        <w:docPartUnique/>
      </w:docPartObj>
    </w:sdtPr>
    <w:sdtEndPr>
      <w:rPr>
        <w:noProof/>
      </w:rPr>
    </w:sdtEndPr>
    <w:sdtContent>
      <w:p w14:paraId="33FCF936"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AF14EA2" w14:textId="77777777" w:rsidR="0065073E" w:rsidRDefault="0065073E">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5A9F1" w14:textId="77777777" w:rsidR="0065073E" w:rsidRDefault="0065073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65073E" w:rsidRDefault="0065073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931569"/>
      <w:docPartObj>
        <w:docPartGallery w:val="Page Numbers (Bottom of Page)"/>
        <w:docPartUnique/>
      </w:docPartObj>
    </w:sdtPr>
    <w:sdtEndPr>
      <w:rPr>
        <w:noProof/>
      </w:rPr>
    </w:sdtEndPr>
    <w:sdtContent>
      <w:p w14:paraId="53695092" w14:textId="2774E1D2"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142BCF7" w14:textId="77777777" w:rsidR="0065073E" w:rsidRDefault="0065073E">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65073E" w:rsidRDefault="0065073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65073E" w:rsidRDefault="00650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8EC5" w14:textId="5E380411" w:rsidR="00EB694A" w:rsidRPr="00EB694A" w:rsidRDefault="00EB694A" w:rsidP="00EB694A">
    <w:pPr>
      <w:pStyle w:val="FooterCoverPage"/>
      <w:rPr>
        <w:rFonts w:ascii="Arial" w:hAnsi="Arial" w:cs="Arial"/>
        <w:b/>
        <w:sz w:val="48"/>
      </w:rPr>
    </w:pPr>
    <w:r w:rsidRPr="00EB694A">
      <w:rPr>
        <w:rFonts w:ascii="Arial" w:hAnsi="Arial" w:cs="Arial"/>
        <w:b/>
        <w:sz w:val="48"/>
      </w:rPr>
      <w:t>FI</w:t>
    </w:r>
    <w:r w:rsidRPr="00EB694A">
      <w:rPr>
        <w:rFonts w:ascii="Arial" w:hAnsi="Arial" w:cs="Arial"/>
        <w:b/>
        <w:sz w:val="48"/>
      </w:rPr>
      <w:tab/>
    </w:r>
    <w:r w:rsidRPr="00EB694A">
      <w:rPr>
        <w:rFonts w:ascii="Arial" w:hAnsi="Arial" w:cs="Arial"/>
        <w:b/>
        <w:sz w:val="48"/>
      </w:rPr>
      <w:tab/>
    </w:r>
    <w:r w:rsidRPr="00EB694A">
      <w:tab/>
    </w:r>
    <w:r w:rsidRPr="00EB694A">
      <w:rPr>
        <w:rFonts w:ascii="Arial" w:hAnsi="Arial" w:cs="Arial"/>
        <w:b/>
        <w:sz w:val="48"/>
      </w:rPr>
      <w:t>FI</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98129"/>
      <w:docPartObj>
        <w:docPartGallery w:val="Page Numbers (Bottom of Page)"/>
        <w:docPartUnique/>
      </w:docPartObj>
    </w:sdtPr>
    <w:sdtEndPr>
      <w:rPr>
        <w:noProof/>
      </w:rPr>
    </w:sdtEndPr>
    <w:sdtContent>
      <w:p w14:paraId="00A1EB86" w14:textId="6926F5E5" w:rsidR="0065073E" w:rsidRDefault="000A0998">
        <w:pPr>
          <w:pStyle w:val="P68B1DB1-Footer40"/>
          <w:jc w:val="center"/>
        </w:pPr>
        <w:r>
          <w:fldChar w:fldCharType="begin"/>
        </w:r>
        <w:r>
          <w:instrText xml:space="preserve"> PAGE   \* MERGEFORMAT </w:instrText>
        </w:r>
        <w:r>
          <w:fldChar w:fldCharType="separate"/>
        </w:r>
        <w:r w:rsidR="008F4E89">
          <w:rPr>
            <w:noProof/>
          </w:rPr>
          <w:t>23</w:t>
        </w:r>
        <w:r>
          <w:fldChar w:fldCharType="end"/>
        </w:r>
      </w:p>
    </w:sdtContent>
  </w:sdt>
  <w:p w14:paraId="5ED518B1" w14:textId="77777777" w:rsidR="0065073E" w:rsidRDefault="0065073E">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19646"/>
      <w:docPartObj>
        <w:docPartGallery w:val="Page Numbers (Bottom of Page)"/>
        <w:docPartUnique/>
      </w:docPartObj>
    </w:sdtPr>
    <w:sdtEndPr>
      <w:rPr>
        <w:noProof/>
      </w:rPr>
    </w:sdtEndPr>
    <w:sdtContent>
      <w:p w14:paraId="41E3B567" w14:textId="3CD629AC"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B2903C4" w14:textId="77777777" w:rsidR="0065073E" w:rsidRDefault="0065073E">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65073E" w:rsidRDefault="0065073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65073E" w:rsidRDefault="0065073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876637"/>
      <w:docPartObj>
        <w:docPartGallery w:val="Page Numbers (Bottom of Page)"/>
        <w:docPartUnique/>
      </w:docPartObj>
    </w:sdtPr>
    <w:sdtEndPr>
      <w:rPr>
        <w:noProof/>
      </w:rPr>
    </w:sdtEndPr>
    <w:sdtContent>
      <w:p w14:paraId="4C28BFED" w14:textId="642FE156"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78662F0" w14:textId="77777777" w:rsidR="0065073E" w:rsidRDefault="0065073E">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65073E" w:rsidRDefault="0065073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65073E" w:rsidRDefault="0065073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03314"/>
      <w:docPartObj>
        <w:docPartGallery w:val="Page Numbers (Bottom of Page)"/>
        <w:docPartUnique/>
      </w:docPartObj>
    </w:sdtPr>
    <w:sdtEndPr>
      <w:rPr>
        <w:noProof/>
      </w:rPr>
    </w:sdtEndPr>
    <w:sdtContent>
      <w:p w14:paraId="5775453F" w14:textId="7712CD0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BAA2093" w14:textId="77777777" w:rsidR="0065073E" w:rsidRDefault="0065073E">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65073E" w:rsidRDefault="0065073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65073E" w:rsidRDefault="0065073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5360"/>
      <w:docPartObj>
        <w:docPartGallery w:val="Page Numbers (Bottom of Page)"/>
        <w:docPartUnique/>
      </w:docPartObj>
    </w:sdtPr>
    <w:sdtEndPr>
      <w:rPr>
        <w:noProof/>
      </w:rPr>
    </w:sdtEndPr>
    <w:sdtContent>
      <w:p w14:paraId="610FB355" w14:textId="6D3A9B16"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086DC77F" w14:textId="77777777" w:rsidR="0065073E" w:rsidRDefault="0065073E">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3BA1" w14:textId="77777777" w:rsidR="0065073E" w:rsidRDefault="0065073E">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65073E" w:rsidRDefault="0065073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65073E" w:rsidRDefault="0065073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220412"/>
      <w:docPartObj>
        <w:docPartGallery w:val="Page Numbers (Bottom of Page)"/>
        <w:docPartUnique/>
      </w:docPartObj>
    </w:sdtPr>
    <w:sdtEndPr>
      <w:rPr>
        <w:noProof/>
      </w:rPr>
    </w:sdtEndPr>
    <w:sdtContent>
      <w:p w14:paraId="2294581C" w14:textId="71E49C7D"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C63B1CA" w14:textId="77777777" w:rsidR="0065073E" w:rsidRDefault="0065073E">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65073E" w:rsidRDefault="0065073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EDA5" w14:textId="77777777" w:rsidR="0065073E" w:rsidRDefault="0065073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859635"/>
      <w:docPartObj>
        <w:docPartGallery w:val="Page Numbers (Bottom of Page)"/>
        <w:docPartUnique/>
      </w:docPartObj>
    </w:sdtPr>
    <w:sdtEndPr>
      <w:rPr>
        <w:noProof/>
      </w:rPr>
    </w:sdtEndPr>
    <w:sdtContent>
      <w:p w14:paraId="5A833CA7"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7BAA7EF" w14:textId="77777777" w:rsidR="0065073E" w:rsidRDefault="0065073E">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BA12" w14:textId="77777777" w:rsidR="0065073E" w:rsidRDefault="0065073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65073E" w:rsidRDefault="0065073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686836"/>
      <w:docPartObj>
        <w:docPartGallery w:val="Page Numbers (Bottom of Page)"/>
        <w:docPartUnique/>
      </w:docPartObj>
    </w:sdtPr>
    <w:sdtEndPr>
      <w:rPr>
        <w:noProof/>
      </w:rPr>
    </w:sdtEndPr>
    <w:sdtContent>
      <w:p w14:paraId="7335E69E" w14:textId="494E748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C90DDCA" w14:textId="77777777" w:rsidR="0065073E" w:rsidRDefault="0065073E">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65073E" w:rsidRDefault="0065073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65073E" w:rsidRDefault="0065073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65073E" w:rsidRDefault="0065073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05593"/>
      <w:docPartObj>
        <w:docPartGallery w:val="Page Numbers (Bottom of Page)"/>
        <w:docPartUnique/>
      </w:docPartObj>
    </w:sdtPr>
    <w:sdtEndPr>
      <w:rPr>
        <w:noProof/>
      </w:rPr>
    </w:sdtEndPr>
    <w:sdtContent>
      <w:p w14:paraId="62145F0C" w14:textId="39EEE971"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0136B2E" w14:textId="77777777" w:rsidR="0065073E" w:rsidRDefault="0065073E">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65073E" w:rsidRDefault="0065073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65073E" w:rsidRDefault="0065073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162812"/>
      <w:docPartObj>
        <w:docPartGallery w:val="Page Numbers (Bottom of Page)"/>
        <w:docPartUnique/>
      </w:docPartObj>
    </w:sdtPr>
    <w:sdtEndPr>
      <w:rPr>
        <w:noProof/>
      </w:rPr>
    </w:sdtEndPr>
    <w:sdtContent>
      <w:p w14:paraId="46BD43B2" w14:textId="078BFA0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6B9B86A" w14:textId="77777777" w:rsidR="0065073E" w:rsidRDefault="0065073E">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65073E" w:rsidRDefault="0065073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65073E" w:rsidRDefault="0065073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535931"/>
      <w:docPartObj>
        <w:docPartGallery w:val="Page Numbers (Bottom of Page)"/>
        <w:docPartUnique/>
      </w:docPartObj>
    </w:sdtPr>
    <w:sdtEndPr>
      <w:rPr>
        <w:noProof/>
      </w:rPr>
    </w:sdtEndPr>
    <w:sdtContent>
      <w:p w14:paraId="6AAB6FE0" w14:textId="14806B2D"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71AE986" w14:textId="77777777" w:rsidR="0065073E" w:rsidRDefault="0065073E">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65073E" w:rsidRDefault="0065073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7DFD" w14:textId="77777777" w:rsidR="0065073E" w:rsidRDefault="0065073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02917"/>
      <w:docPartObj>
        <w:docPartGallery w:val="Page Numbers (Bottom of Page)"/>
        <w:docPartUnique/>
      </w:docPartObj>
    </w:sdtPr>
    <w:sdtEndPr>
      <w:rPr>
        <w:noProof/>
      </w:rPr>
    </w:sdtEndPr>
    <w:sdtContent>
      <w:p w14:paraId="279745B2" w14:textId="28BD6E20" w:rsidR="0065073E" w:rsidRDefault="000A0998">
        <w:pPr>
          <w:pStyle w:val="P68B1DB1-Footer40"/>
          <w:jc w:val="center"/>
        </w:pPr>
        <w:r>
          <w:fldChar w:fldCharType="begin"/>
        </w:r>
        <w:r>
          <w:instrText xml:space="preserve"> PAGE   \* MERGEFORMAT </w:instrText>
        </w:r>
        <w:r>
          <w:fldChar w:fldCharType="separate"/>
        </w:r>
        <w:r w:rsidR="008F4E89">
          <w:rPr>
            <w:noProof/>
          </w:rPr>
          <w:t>25</w:t>
        </w:r>
        <w:r>
          <w:fldChar w:fldCharType="end"/>
        </w:r>
      </w:p>
    </w:sdtContent>
  </w:sdt>
  <w:p w14:paraId="7B0EA900" w14:textId="77777777" w:rsidR="0065073E" w:rsidRDefault="0065073E">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578447"/>
      <w:docPartObj>
        <w:docPartGallery w:val="Page Numbers (Bottom of Page)"/>
        <w:docPartUnique/>
      </w:docPartObj>
    </w:sdtPr>
    <w:sdtEndPr>
      <w:rPr>
        <w:noProof/>
      </w:rPr>
    </w:sdtEndPr>
    <w:sdtContent>
      <w:p w14:paraId="22935649"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961E226" w14:textId="77777777" w:rsidR="0065073E" w:rsidRDefault="0065073E">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78F27" w14:textId="77777777" w:rsidR="0065073E" w:rsidRDefault="0065073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DB98E" w14:textId="77777777" w:rsidR="0065073E" w:rsidRDefault="0065073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043913"/>
      <w:docPartObj>
        <w:docPartGallery w:val="Page Numbers (Bottom of Page)"/>
        <w:docPartUnique/>
      </w:docPartObj>
    </w:sdtPr>
    <w:sdtEndPr>
      <w:rPr>
        <w:noProof/>
      </w:rPr>
    </w:sdtEndPr>
    <w:sdtContent>
      <w:p w14:paraId="21D50CA9"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5536B91" w14:textId="77777777" w:rsidR="0065073E" w:rsidRDefault="0065073E">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5A02" w14:textId="77777777" w:rsidR="0065073E" w:rsidRDefault="0065073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65073E" w:rsidRDefault="0065073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295531"/>
      <w:docPartObj>
        <w:docPartGallery w:val="Page Numbers (Bottom of Page)"/>
        <w:docPartUnique/>
      </w:docPartObj>
    </w:sdtPr>
    <w:sdtEndPr>
      <w:rPr>
        <w:noProof/>
      </w:rPr>
    </w:sdtEndPr>
    <w:sdtContent>
      <w:p w14:paraId="59C6E0C1" w14:textId="7854E986"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832A0D8" w14:textId="77777777" w:rsidR="0065073E" w:rsidRDefault="0065073E">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65073E" w:rsidRDefault="0065073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65073E" w:rsidRDefault="0065073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663906"/>
      <w:docPartObj>
        <w:docPartGallery w:val="Page Numbers (Bottom of Page)"/>
        <w:docPartUnique/>
      </w:docPartObj>
    </w:sdtPr>
    <w:sdtEndPr>
      <w:rPr>
        <w:noProof/>
      </w:rPr>
    </w:sdtEndPr>
    <w:sdtContent>
      <w:p w14:paraId="15EC0D01" w14:textId="3FD6E90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3FD5157" w14:textId="77777777" w:rsidR="0065073E" w:rsidRDefault="0065073E">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65073E" w:rsidRDefault="0065073E">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65073E" w:rsidRDefault="0065073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65073E" w:rsidRDefault="0065073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668677"/>
      <w:docPartObj>
        <w:docPartGallery w:val="Page Numbers (Bottom of Page)"/>
        <w:docPartUnique/>
      </w:docPartObj>
    </w:sdtPr>
    <w:sdtEndPr>
      <w:rPr>
        <w:noProof/>
      </w:rPr>
    </w:sdtEndPr>
    <w:sdtContent>
      <w:p w14:paraId="1AF15019" w14:textId="71E9C096"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FC769E1" w14:textId="77777777" w:rsidR="0065073E" w:rsidRDefault="0065073E">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65073E" w:rsidRDefault="0065073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65073E" w:rsidRDefault="0065073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099368"/>
      <w:docPartObj>
        <w:docPartGallery w:val="Page Numbers (Bottom of Page)"/>
        <w:docPartUnique/>
      </w:docPartObj>
    </w:sdtPr>
    <w:sdtEndPr>
      <w:rPr>
        <w:noProof/>
      </w:rPr>
    </w:sdtEndPr>
    <w:sdtContent>
      <w:p w14:paraId="3723DB6C" w14:textId="62F1CBB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4F4013F" w14:textId="77777777" w:rsidR="0065073E" w:rsidRDefault="0065073E">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65073E" w:rsidRDefault="0065073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65073E" w:rsidRDefault="0065073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593854"/>
      <w:docPartObj>
        <w:docPartGallery w:val="Page Numbers (Bottom of Page)"/>
        <w:docPartUnique/>
      </w:docPartObj>
    </w:sdtPr>
    <w:sdtEndPr>
      <w:rPr>
        <w:noProof/>
      </w:rPr>
    </w:sdtEndPr>
    <w:sdtContent>
      <w:p w14:paraId="3EC2B2D9" w14:textId="6E58A30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E167DA2" w14:textId="77777777" w:rsidR="0065073E" w:rsidRDefault="0065073E">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65073E" w:rsidRDefault="0065073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65073E" w:rsidRDefault="0065073E">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65073E" w:rsidRDefault="0065073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575051"/>
      <w:docPartObj>
        <w:docPartGallery w:val="Page Numbers (Bottom of Page)"/>
        <w:docPartUnique/>
      </w:docPartObj>
    </w:sdtPr>
    <w:sdtEndPr>
      <w:rPr>
        <w:noProof/>
      </w:rPr>
    </w:sdtEndPr>
    <w:sdtContent>
      <w:p w14:paraId="5BF4CCD4" w14:textId="698B0DF6"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AD060A9" w14:textId="77777777" w:rsidR="0065073E" w:rsidRDefault="0065073E">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65073E" w:rsidRDefault="0065073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65073E" w:rsidRDefault="0065073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062838"/>
      <w:docPartObj>
        <w:docPartGallery w:val="Page Numbers (Bottom of Page)"/>
        <w:docPartUnique/>
      </w:docPartObj>
    </w:sdtPr>
    <w:sdtEndPr>
      <w:rPr>
        <w:noProof/>
      </w:rPr>
    </w:sdtEndPr>
    <w:sdtContent>
      <w:p w14:paraId="52E07448" w14:textId="6A45859A"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2CF31B28" w14:textId="77777777" w:rsidR="0065073E" w:rsidRDefault="0065073E">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65073E" w:rsidRDefault="0065073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65073E" w:rsidRDefault="0065073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592940"/>
      <w:docPartObj>
        <w:docPartGallery w:val="Page Numbers (Bottom of Page)"/>
        <w:docPartUnique/>
      </w:docPartObj>
    </w:sdtPr>
    <w:sdtEndPr>
      <w:rPr>
        <w:noProof/>
      </w:rPr>
    </w:sdtEndPr>
    <w:sdtContent>
      <w:p w14:paraId="0F04FAAE" w14:textId="7D02413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DE8E818" w14:textId="77777777" w:rsidR="0065073E" w:rsidRDefault="0065073E">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65073E" w:rsidRDefault="0065073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65073E" w:rsidRDefault="0065073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70432"/>
      <w:docPartObj>
        <w:docPartGallery w:val="Page Numbers (Bottom of Page)"/>
        <w:docPartUnique/>
      </w:docPartObj>
    </w:sdtPr>
    <w:sdtEndPr>
      <w:rPr>
        <w:noProof/>
      </w:rPr>
    </w:sdtEndPr>
    <w:sdtContent>
      <w:p w14:paraId="28125388" w14:textId="6C3EB18B"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2D47FC9E" w14:textId="77777777" w:rsidR="0065073E" w:rsidRDefault="0065073E">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367256"/>
      <w:docPartObj>
        <w:docPartGallery w:val="Page Numbers (Bottom of Page)"/>
        <w:docPartUnique/>
      </w:docPartObj>
    </w:sdtPr>
    <w:sdtEndPr>
      <w:rPr>
        <w:noProof/>
      </w:rPr>
    </w:sdtEndPr>
    <w:sdtContent>
      <w:p w14:paraId="7865B7A7" w14:textId="33BFB5C1"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6EEAD14" w14:textId="77777777" w:rsidR="0065073E" w:rsidRDefault="0065073E">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65073E" w:rsidRDefault="0065073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65073E" w:rsidRDefault="0065073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19425"/>
      <w:docPartObj>
        <w:docPartGallery w:val="Page Numbers (Bottom of Page)"/>
        <w:docPartUnique/>
      </w:docPartObj>
    </w:sdtPr>
    <w:sdtEndPr>
      <w:rPr>
        <w:noProof/>
      </w:rPr>
    </w:sdtEndPr>
    <w:sdtContent>
      <w:p w14:paraId="65C74C89" w14:textId="0FDBC634"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171905E" w14:textId="77777777" w:rsidR="0065073E" w:rsidRDefault="0065073E">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65073E" w:rsidRDefault="0065073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65073E" w:rsidRDefault="0065073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114920"/>
      <w:docPartObj>
        <w:docPartGallery w:val="Page Numbers (Bottom of Page)"/>
        <w:docPartUnique/>
      </w:docPartObj>
    </w:sdtPr>
    <w:sdtEndPr>
      <w:rPr>
        <w:noProof/>
      </w:rPr>
    </w:sdtEndPr>
    <w:sdtContent>
      <w:p w14:paraId="1A8EE8C7" w14:textId="66858B0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CAE2EA7" w14:textId="77777777" w:rsidR="0065073E" w:rsidRDefault="0065073E">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65073E" w:rsidRDefault="0065073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65073E" w:rsidRDefault="0065073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0087"/>
      <w:docPartObj>
        <w:docPartGallery w:val="Page Numbers (Bottom of Page)"/>
        <w:docPartUnique/>
      </w:docPartObj>
    </w:sdtPr>
    <w:sdtEndPr>
      <w:rPr>
        <w:noProof/>
      </w:rPr>
    </w:sdtEndPr>
    <w:sdtContent>
      <w:p w14:paraId="1231B958" w14:textId="3897D323"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1454ADE" w14:textId="77777777" w:rsidR="0065073E" w:rsidRDefault="0065073E">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65073E" w:rsidRDefault="0065073E">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65073E" w:rsidRDefault="0065073E">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65073E" w:rsidRDefault="0065073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375175"/>
      <w:docPartObj>
        <w:docPartGallery w:val="Page Numbers (Bottom of Page)"/>
        <w:docPartUnique/>
      </w:docPartObj>
    </w:sdtPr>
    <w:sdtEndPr>
      <w:rPr>
        <w:noProof/>
      </w:rPr>
    </w:sdtEndPr>
    <w:sdtContent>
      <w:p w14:paraId="725D7BBB" w14:textId="458D6562"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2786285" w14:textId="77777777" w:rsidR="0065073E" w:rsidRDefault="0065073E">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65073E" w:rsidRDefault="0065073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65073E" w:rsidRDefault="0065073E">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714724"/>
      <w:docPartObj>
        <w:docPartGallery w:val="Page Numbers (Bottom of Page)"/>
        <w:docPartUnique/>
      </w:docPartObj>
    </w:sdtPr>
    <w:sdtEndPr>
      <w:rPr>
        <w:noProof/>
      </w:rPr>
    </w:sdtEndPr>
    <w:sdtContent>
      <w:p w14:paraId="225AE18F" w14:textId="1E20510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97A00A5" w14:textId="77777777" w:rsidR="0065073E" w:rsidRDefault="0065073E">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65073E" w:rsidRDefault="0065073E">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65073E" w:rsidRDefault="0065073E">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00891"/>
      <w:docPartObj>
        <w:docPartGallery w:val="Page Numbers (Bottom of Page)"/>
        <w:docPartUnique/>
      </w:docPartObj>
    </w:sdtPr>
    <w:sdtEndPr>
      <w:rPr>
        <w:noProof/>
      </w:rPr>
    </w:sdtEndPr>
    <w:sdtContent>
      <w:p w14:paraId="2864AFEA" w14:textId="7C201F6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E605DAD" w14:textId="77777777" w:rsidR="0065073E" w:rsidRDefault="0065073E">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65073E" w:rsidRDefault="0065073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49A99" w14:textId="77777777" w:rsidR="0065073E" w:rsidRDefault="0065073E">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65073E" w:rsidRDefault="0065073E">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16102"/>
      <w:docPartObj>
        <w:docPartGallery w:val="Page Numbers (Bottom of Page)"/>
        <w:docPartUnique/>
      </w:docPartObj>
    </w:sdtPr>
    <w:sdtEndPr>
      <w:rPr>
        <w:noProof/>
      </w:rPr>
    </w:sdtEndPr>
    <w:sdtContent>
      <w:p w14:paraId="4833E1B6" w14:textId="190CF5FF"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16C448B" w14:textId="77777777" w:rsidR="0065073E" w:rsidRDefault="0065073E">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65073E" w:rsidRDefault="0065073E">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65073E" w:rsidRDefault="0065073E">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391929"/>
      <w:docPartObj>
        <w:docPartGallery w:val="Page Numbers (Bottom of Page)"/>
        <w:docPartUnique/>
      </w:docPartObj>
    </w:sdtPr>
    <w:sdtEndPr>
      <w:rPr>
        <w:noProof/>
      </w:rPr>
    </w:sdtEndPr>
    <w:sdtContent>
      <w:p w14:paraId="649F75FE" w14:textId="7317BC3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B91DDFD" w14:textId="77777777" w:rsidR="0065073E" w:rsidRDefault="0065073E">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65073E" w:rsidRDefault="0065073E">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65073E" w:rsidRDefault="0065073E">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09484"/>
      <w:docPartObj>
        <w:docPartGallery w:val="Page Numbers (Bottom of Page)"/>
        <w:docPartUnique/>
      </w:docPartObj>
    </w:sdtPr>
    <w:sdtEndPr>
      <w:rPr>
        <w:noProof/>
      </w:rPr>
    </w:sdtEndPr>
    <w:sdtContent>
      <w:p w14:paraId="11B8369D" w14:textId="00A07510"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0E656CD" w14:textId="77777777" w:rsidR="0065073E" w:rsidRDefault="0065073E">
    <w:pPr>
      <w:pStyle w:val="FooterCouncil"/>
    </w:pP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65073E" w:rsidRDefault="0065073E">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5E65" w14:textId="77777777" w:rsidR="0065073E" w:rsidRDefault="0065073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283620"/>
      <w:docPartObj>
        <w:docPartGallery w:val="Page Numbers (Bottom of Page)"/>
        <w:docPartUnique/>
      </w:docPartObj>
    </w:sdtPr>
    <w:sdtEndPr>
      <w:rPr>
        <w:noProof/>
      </w:rPr>
    </w:sdtEndPr>
    <w:sdtContent>
      <w:p w14:paraId="69CC6BB4" w14:textId="77777777"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624CB7ED" w14:textId="77777777" w:rsidR="0065073E" w:rsidRDefault="0065073E">
    <w:pPr>
      <w:pStyle w:val="FooterCouncil"/>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401162"/>
      <w:docPartObj>
        <w:docPartGallery w:val="Page Numbers (Bottom of Page)"/>
        <w:docPartUnique/>
      </w:docPartObj>
    </w:sdtPr>
    <w:sdtEndPr>
      <w:rPr>
        <w:noProof/>
      </w:rPr>
    </w:sdtEndPr>
    <w:sdtContent>
      <w:p w14:paraId="6E8A4F64"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B149036" w14:textId="77777777" w:rsidR="0065073E" w:rsidRDefault="0065073E">
    <w:pPr>
      <w:pStyle w:val="FooterCouncil"/>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1580" w14:textId="77777777" w:rsidR="0065073E" w:rsidRDefault="0065073E">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437F" w14:textId="77777777" w:rsidR="0065073E" w:rsidRDefault="0065073E">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490661"/>
      <w:docPartObj>
        <w:docPartGallery w:val="Page Numbers (Bottom of Page)"/>
        <w:docPartUnique/>
      </w:docPartObj>
    </w:sdtPr>
    <w:sdtEndPr>
      <w:rPr>
        <w:noProof/>
      </w:rPr>
    </w:sdtEndPr>
    <w:sdtContent>
      <w:p w14:paraId="336F094C"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5C483CC" w14:textId="77777777" w:rsidR="0065073E" w:rsidRDefault="0065073E">
    <w:pPr>
      <w:pStyle w:val="FooterCouncil"/>
    </w:pP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BFCA" w14:textId="77777777" w:rsidR="0065073E" w:rsidRDefault="0065073E">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65073E" w:rsidRDefault="0065073E">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20713"/>
      <w:docPartObj>
        <w:docPartGallery w:val="Page Numbers (Bottom of Page)"/>
        <w:docPartUnique/>
      </w:docPartObj>
    </w:sdtPr>
    <w:sdtEndPr>
      <w:rPr>
        <w:noProof/>
      </w:rPr>
    </w:sdtEndPr>
    <w:sdtContent>
      <w:p w14:paraId="278A2343" w14:textId="7E6B7ED4"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E1FB734" w14:textId="77777777" w:rsidR="0065073E" w:rsidRDefault="0065073E">
    <w:pPr>
      <w:pStyle w:val="FooterCouncil"/>
    </w:pP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65073E" w:rsidRDefault="0065073E">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65073E" w:rsidRDefault="0065073E">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56460"/>
      <w:docPartObj>
        <w:docPartGallery w:val="Page Numbers (Bottom of Page)"/>
        <w:docPartUnique/>
      </w:docPartObj>
    </w:sdtPr>
    <w:sdtEndPr>
      <w:rPr>
        <w:noProof/>
      </w:rPr>
    </w:sdtEndPr>
    <w:sdtContent>
      <w:p w14:paraId="65BA0726" w14:textId="5CFA81F2"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133FBEE" w14:textId="77777777" w:rsidR="0065073E" w:rsidRDefault="0065073E">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9A15" w14:textId="77777777" w:rsidR="00EB694A" w:rsidRPr="00EB694A" w:rsidRDefault="00EB694A" w:rsidP="00EB694A">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47FA" w14:textId="77777777" w:rsidR="0065073E" w:rsidRDefault="0065073E">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65073E" w:rsidRDefault="0065073E">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65073E" w:rsidRDefault="0065073E">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950402"/>
      <w:docPartObj>
        <w:docPartGallery w:val="Page Numbers (Bottom of Page)"/>
        <w:docPartUnique/>
      </w:docPartObj>
    </w:sdtPr>
    <w:sdtEndPr>
      <w:rPr>
        <w:noProof/>
      </w:rPr>
    </w:sdtEndPr>
    <w:sdtContent>
      <w:p w14:paraId="622878CD" w14:textId="7152A712"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75CCD11D" w14:textId="77777777" w:rsidR="0065073E" w:rsidRDefault="0065073E">
    <w:pPr>
      <w:pStyle w:val="FooterCouncil"/>
    </w:pP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65073E" w:rsidRDefault="0065073E">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65073E" w:rsidRDefault="0065073E">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281672"/>
      <w:docPartObj>
        <w:docPartGallery w:val="Page Numbers (Bottom of Page)"/>
        <w:docPartUnique/>
      </w:docPartObj>
    </w:sdtPr>
    <w:sdtEndPr>
      <w:rPr>
        <w:noProof/>
      </w:rPr>
    </w:sdtEndPr>
    <w:sdtContent>
      <w:p w14:paraId="66427073" w14:textId="66C8A388"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7615837" w14:textId="77777777" w:rsidR="0065073E" w:rsidRDefault="0065073E">
    <w:pPr>
      <w:pStyle w:val="FooterCouncil"/>
    </w:pP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65073E" w:rsidRDefault="0065073E">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65073E" w:rsidRDefault="0065073E">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446576"/>
      <w:docPartObj>
        <w:docPartGallery w:val="Page Numbers (Bottom of Page)"/>
        <w:docPartUnique/>
      </w:docPartObj>
    </w:sdtPr>
    <w:sdtEndPr>
      <w:rPr>
        <w:noProof/>
      </w:rPr>
    </w:sdtEndPr>
    <w:sdtContent>
      <w:p w14:paraId="2CCCF913" w14:textId="5EDC1EF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7B66D1B" w14:textId="77777777" w:rsidR="0065073E" w:rsidRDefault="0065073E">
    <w:pPr>
      <w:pStyle w:val="FooterCouncil"/>
    </w:pP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65073E" w:rsidRDefault="006507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65073E" w:rsidRDefault="0065073E">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65073E" w:rsidRDefault="0065073E">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395351"/>
      <w:docPartObj>
        <w:docPartGallery w:val="Page Numbers (Bottom of Page)"/>
        <w:docPartUnique/>
      </w:docPartObj>
    </w:sdtPr>
    <w:sdtEndPr>
      <w:rPr>
        <w:noProof/>
      </w:rPr>
    </w:sdtEndPr>
    <w:sdtContent>
      <w:p w14:paraId="5E5D32A3" w14:textId="63D6352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43B0202" w14:textId="77777777" w:rsidR="0065073E" w:rsidRDefault="0065073E">
    <w:pPr>
      <w:pStyle w:val="FooterCouncil"/>
    </w:pP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65073E" w:rsidRDefault="0065073E">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633A3" w14:textId="77777777" w:rsidR="0065073E" w:rsidRDefault="0065073E">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17181"/>
      <w:docPartObj>
        <w:docPartGallery w:val="Page Numbers (Bottom of Page)"/>
        <w:docPartUnique/>
      </w:docPartObj>
    </w:sdtPr>
    <w:sdtEndPr>
      <w:rPr>
        <w:noProof/>
      </w:rPr>
    </w:sdtEndPr>
    <w:sdtContent>
      <w:p w14:paraId="55787021" w14:textId="669A884A"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8C81089" w14:textId="77777777" w:rsidR="0065073E" w:rsidRDefault="0065073E">
    <w:pPr>
      <w:pStyle w:val="FooterCouncil"/>
    </w:pP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65073E" w:rsidRDefault="0065073E">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BEA0" w14:textId="77777777" w:rsidR="0065073E" w:rsidRDefault="0065073E">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955797"/>
      <w:docPartObj>
        <w:docPartGallery w:val="Page Numbers (Bottom of Page)"/>
        <w:docPartUnique/>
      </w:docPartObj>
    </w:sdtPr>
    <w:sdtEndPr>
      <w:rPr>
        <w:noProof/>
      </w:rPr>
    </w:sdtEndPr>
    <w:sdtContent>
      <w:p w14:paraId="4082B98B" w14:textId="6BB28EC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49D2437" w14:textId="77777777" w:rsidR="0065073E" w:rsidRDefault="0065073E">
    <w:pPr>
      <w:pStyle w:val="FooterCouncil"/>
    </w:pP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65073E" w:rsidRDefault="0065073E">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C6FF" w14:textId="77777777" w:rsidR="0065073E" w:rsidRDefault="0065073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520658"/>
      <w:docPartObj>
        <w:docPartGallery w:val="Page Numbers (Bottom of Page)"/>
        <w:docPartUnique/>
      </w:docPartObj>
    </w:sdtPr>
    <w:sdtEndPr>
      <w:rPr>
        <w:noProof/>
      </w:rPr>
    </w:sdtEndPr>
    <w:sdtContent>
      <w:p w14:paraId="2C8DD9B8" w14:textId="4560445C"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7F87FAC" w14:textId="77777777" w:rsidR="0065073E" w:rsidRDefault="0065073E">
    <w:pPr>
      <w:pStyle w:val="FooterCouncil"/>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976290"/>
      <w:docPartObj>
        <w:docPartGallery w:val="Page Numbers (Bottom of Page)"/>
        <w:docPartUnique/>
      </w:docPartObj>
    </w:sdtPr>
    <w:sdtEndPr>
      <w:rPr>
        <w:noProof/>
      </w:rPr>
    </w:sdtEndPr>
    <w:sdtContent>
      <w:p w14:paraId="474CD0B6" w14:textId="01AE4010"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F3DB34B" w14:textId="77777777" w:rsidR="0065073E" w:rsidRDefault="0065073E">
    <w:pPr>
      <w:pStyle w:val="FooterCouncil"/>
    </w:pP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65073E" w:rsidRDefault="0065073E">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860B" w14:textId="77777777" w:rsidR="0065073E" w:rsidRDefault="0065073E">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79807"/>
      <w:docPartObj>
        <w:docPartGallery w:val="Page Numbers (Bottom of Page)"/>
        <w:docPartUnique/>
      </w:docPartObj>
    </w:sdtPr>
    <w:sdtEndPr>
      <w:rPr>
        <w:noProof/>
      </w:rPr>
    </w:sdtEndPr>
    <w:sdtContent>
      <w:p w14:paraId="0CE8533C" w14:textId="55236A7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0CAD78D" w14:textId="77777777" w:rsidR="0065073E" w:rsidRDefault="0065073E">
    <w:pPr>
      <w:pStyle w:val="FooterCouncil"/>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65073E" w:rsidRDefault="0065073E">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50540" w14:textId="77777777" w:rsidR="0065073E" w:rsidRDefault="0065073E">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1909"/>
      <w:docPartObj>
        <w:docPartGallery w:val="Page Numbers (Bottom of Page)"/>
        <w:docPartUnique/>
      </w:docPartObj>
    </w:sdtPr>
    <w:sdtEndPr>
      <w:rPr>
        <w:noProof/>
      </w:rPr>
    </w:sdtEndPr>
    <w:sdtContent>
      <w:p w14:paraId="1486A754" w14:textId="4FA4037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45CFD32" w14:textId="77777777" w:rsidR="0065073E" w:rsidRDefault="0065073E">
    <w:pPr>
      <w:pStyle w:val="FooterCouncil"/>
    </w:pP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65073E" w:rsidRDefault="0065073E">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4CB8D" w14:textId="77777777" w:rsidR="0065073E" w:rsidRDefault="0065073E">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34539"/>
      <w:docPartObj>
        <w:docPartGallery w:val="Page Numbers (Bottom of Page)"/>
        <w:docPartUnique/>
      </w:docPartObj>
    </w:sdtPr>
    <w:sdtEndPr>
      <w:rPr>
        <w:noProof/>
      </w:rPr>
    </w:sdtEndPr>
    <w:sdtContent>
      <w:p w14:paraId="590953ED" w14:textId="21E8F9DE"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A48D5D9" w14:textId="77777777" w:rsidR="0065073E" w:rsidRDefault="0065073E">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65073E" w:rsidRDefault="0065073E">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65073E" w:rsidRDefault="0065073E">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2B808" w14:textId="77777777" w:rsidR="0065073E" w:rsidRDefault="0065073E">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578305"/>
      <w:docPartObj>
        <w:docPartGallery w:val="Page Numbers (Bottom of Page)"/>
        <w:docPartUnique/>
      </w:docPartObj>
    </w:sdtPr>
    <w:sdtEndPr>
      <w:rPr>
        <w:noProof/>
      </w:rPr>
    </w:sdtEndPr>
    <w:sdtContent>
      <w:p w14:paraId="56F37D2E"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616449F" w14:textId="77777777" w:rsidR="0065073E" w:rsidRDefault="0065073E">
    <w:pPr>
      <w:pStyle w:val="FooterCouncil"/>
    </w:pP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E1ED" w14:textId="77777777" w:rsidR="0065073E" w:rsidRDefault="0065073E">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F586E" w14:textId="77777777" w:rsidR="0065073E" w:rsidRDefault="0065073E">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412125"/>
      <w:docPartObj>
        <w:docPartGallery w:val="Page Numbers (Bottom of Page)"/>
        <w:docPartUnique/>
      </w:docPartObj>
    </w:sdtPr>
    <w:sdtEndPr>
      <w:rPr>
        <w:noProof/>
      </w:rPr>
    </w:sdtEndPr>
    <w:sdtContent>
      <w:p w14:paraId="1988004A"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17FD97F" w14:textId="77777777" w:rsidR="0065073E" w:rsidRDefault="0065073E">
    <w:pPr>
      <w:pStyle w:val="FooterCouncil"/>
    </w:pP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E56" w14:textId="77777777" w:rsidR="0065073E" w:rsidRDefault="0065073E">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9394" w14:textId="77777777" w:rsidR="0065073E" w:rsidRDefault="0065073E">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533807"/>
      <w:docPartObj>
        <w:docPartGallery w:val="Page Numbers (Bottom of Page)"/>
        <w:docPartUnique/>
      </w:docPartObj>
    </w:sdtPr>
    <w:sdtEndPr>
      <w:rPr>
        <w:noProof/>
      </w:rPr>
    </w:sdtEndPr>
    <w:sdtContent>
      <w:p w14:paraId="2383F2E4"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809DF62" w14:textId="77777777" w:rsidR="0065073E" w:rsidRDefault="0065073E">
    <w:pPr>
      <w:pStyle w:val="FooterCouncil"/>
    </w:pP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3B05C" w14:textId="77777777" w:rsidR="0065073E" w:rsidRDefault="0065073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65073E" w:rsidRDefault="0065073E">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1A30" w14:textId="77777777" w:rsidR="0065073E" w:rsidRDefault="0065073E">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38331"/>
      <w:docPartObj>
        <w:docPartGallery w:val="Page Numbers (Bottom of Page)"/>
        <w:docPartUnique/>
      </w:docPartObj>
    </w:sdtPr>
    <w:sdtEndPr>
      <w:rPr>
        <w:noProof/>
      </w:rPr>
    </w:sdtEndPr>
    <w:sdtContent>
      <w:p w14:paraId="6B3BBFE5"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E3DAB1A" w14:textId="77777777" w:rsidR="0065073E" w:rsidRDefault="0065073E">
    <w:pPr>
      <w:pStyle w:val="FooterCouncil"/>
    </w:pP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70B0" w14:textId="77777777" w:rsidR="0065073E" w:rsidRDefault="0065073E">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1E3A6" w14:textId="77777777" w:rsidR="0065073E" w:rsidRDefault="0065073E">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188135"/>
      <w:docPartObj>
        <w:docPartGallery w:val="Page Numbers (Bottom of Page)"/>
        <w:docPartUnique/>
      </w:docPartObj>
    </w:sdtPr>
    <w:sdtEndPr>
      <w:rPr>
        <w:noProof/>
      </w:rPr>
    </w:sdtEndPr>
    <w:sdtContent>
      <w:p w14:paraId="38DA8EE6"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3A8D3D7" w14:textId="77777777" w:rsidR="0065073E" w:rsidRDefault="0065073E">
    <w:pPr>
      <w:pStyle w:val="FooterCouncil"/>
    </w:pP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94BB" w14:textId="77777777" w:rsidR="0065073E" w:rsidRDefault="0065073E">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2FA29" w14:textId="77777777" w:rsidR="0065073E" w:rsidRDefault="0065073E">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092914"/>
      <w:docPartObj>
        <w:docPartGallery w:val="Page Numbers (Bottom of Page)"/>
        <w:docPartUnique/>
      </w:docPartObj>
    </w:sdtPr>
    <w:sdtEndPr>
      <w:rPr>
        <w:noProof/>
      </w:rPr>
    </w:sdtEndPr>
    <w:sdtContent>
      <w:p w14:paraId="7C6777D5"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86D2AEE" w14:textId="77777777" w:rsidR="0065073E" w:rsidRDefault="0065073E">
    <w:pPr>
      <w:pStyle w:val="FooterCouncil"/>
    </w:pP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C6D6" w14:textId="77777777" w:rsidR="0065073E" w:rsidRDefault="0065073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734092"/>
      <w:docPartObj>
        <w:docPartGallery w:val="Page Numbers (Bottom of Page)"/>
        <w:docPartUnique/>
      </w:docPartObj>
    </w:sdtPr>
    <w:sdtEndPr>
      <w:rPr>
        <w:noProof/>
      </w:rPr>
    </w:sdtEndPr>
    <w:sdtContent>
      <w:p w14:paraId="61DA3CF0" w14:textId="4A8D880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0636669" w14:textId="77777777" w:rsidR="0065073E" w:rsidRDefault="0065073E">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65073E" w:rsidRDefault="0065073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C99D" w14:textId="77777777" w:rsidR="0065073E" w:rsidRDefault="0065073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5732"/>
      <w:docPartObj>
        <w:docPartGallery w:val="Page Numbers (Bottom of Page)"/>
        <w:docPartUnique/>
      </w:docPartObj>
    </w:sdtPr>
    <w:sdtEndPr>
      <w:rPr>
        <w:noProof/>
      </w:rPr>
    </w:sdtEndPr>
    <w:sdtContent>
      <w:p w14:paraId="5DFE27B3"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7A45E640" w14:textId="77777777" w:rsidR="0065073E" w:rsidRDefault="0065073E">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84A7" w14:textId="77777777" w:rsidR="0065073E" w:rsidRDefault="006507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65073E" w:rsidRDefault="0065073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B050" w14:textId="77777777" w:rsidR="0065073E" w:rsidRDefault="0065073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863110"/>
      <w:docPartObj>
        <w:docPartGallery w:val="Page Numbers (Bottom of Page)"/>
        <w:docPartUnique/>
      </w:docPartObj>
    </w:sdtPr>
    <w:sdtEndPr>
      <w:rPr>
        <w:noProof/>
      </w:rPr>
    </w:sdtEndPr>
    <w:sdtContent>
      <w:p w14:paraId="2897621B" w14:textId="77777777"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29B7C20" w14:textId="77777777" w:rsidR="0065073E" w:rsidRDefault="0065073E">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6ACE" w14:textId="77777777" w:rsidR="0065073E" w:rsidRDefault="0065073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65073E" w:rsidRDefault="0065073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899888"/>
      <w:docPartObj>
        <w:docPartGallery w:val="Page Numbers (Bottom of Page)"/>
        <w:docPartUnique/>
      </w:docPartObj>
    </w:sdtPr>
    <w:sdtEndPr>
      <w:rPr>
        <w:noProof/>
      </w:rPr>
    </w:sdtEndPr>
    <w:sdtContent>
      <w:p w14:paraId="1650E504" w14:textId="161ED771"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4B5ED7B" w14:textId="77777777" w:rsidR="0065073E" w:rsidRDefault="0065073E">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65073E" w:rsidRDefault="0065073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65073E" w:rsidRDefault="0065073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972104"/>
      <w:docPartObj>
        <w:docPartGallery w:val="Page Numbers (Bottom of Page)"/>
        <w:docPartUnique/>
      </w:docPartObj>
    </w:sdtPr>
    <w:sdtEndPr>
      <w:rPr>
        <w:noProof/>
      </w:rPr>
    </w:sdtEndPr>
    <w:sdtContent>
      <w:p w14:paraId="46B85106" w14:textId="694D91D3"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1E72F7D" w14:textId="77777777" w:rsidR="0065073E" w:rsidRDefault="0065073E">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65073E" w:rsidRDefault="0065073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65073E" w:rsidRDefault="006507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991891"/>
      <w:docPartObj>
        <w:docPartGallery w:val="Page Numbers (Bottom of Page)"/>
        <w:docPartUnique/>
      </w:docPartObj>
    </w:sdtPr>
    <w:sdtEndPr>
      <w:rPr>
        <w:noProof/>
      </w:rPr>
    </w:sdtEndPr>
    <w:sdtContent>
      <w:p w14:paraId="7BA13B42" w14:textId="002AE2A2" w:rsidR="0065073E" w:rsidRDefault="000A0998">
        <w:pPr>
          <w:pStyle w:val="P68B1DB1-Footer40"/>
          <w:jc w:val="center"/>
        </w:pPr>
        <w:r>
          <w:fldChar w:fldCharType="begin"/>
        </w:r>
        <w:r>
          <w:instrText xml:space="preserve"> PAGE   \* MERGEFORMAT </w:instrText>
        </w:r>
        <w:r>
          <w:fldChar w:fldCharType="separate"/>
        </w:r>
        <w:r w:rsidR="00EB694A">
          <w:rPr>
            <w:noProof/>
          </w:rPr>
          <w:t>1</w:t>
        </w:r>
        <w:r>
          <w:fldChar w:fldCharType="end"/>
        </w:r>
      </w:p>
    </w:sdtContent>
  </w:sdt>
  <w:p w14:paraId="2515E0A8" w14:textId="77777777" w:rsidR="0065073E" w:rsidRDefault="0065073E">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897789"/>
      <w:docPartObj>
        <w:docPartGallery w:val="Page Numbers (Bottom of Page)"/>
        <w:docPartUnique/>
      </w:docPartObj>
    </w:sdtPr>
    <w:sdtEndPr>
      <w:rPr>
        <w:noProof/>
      </w:rPr>
    </w:sdtEndPr>
    <w:sdtContent>
      <w:p w14:paraId="490D1F45" w14:textId="6877F358"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1E4E99F" w14:textId="77777777" w:rsidR="0065073E" w:rsidRDefault="0065073E">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65073E" w:rsidRDefault="0065073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65073E" w:rsidRDefault="0065073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723796"/>
      <w:docPartObj>
        <w:docPartGallery w:val="Page Numbers (Bottom of Page)"/>
        <w:docPartUnique/>
      </w:docPartObj>
    </w:sdtPr>
    <w:sdtEndPr>
      <w:rPr>
        <w:noProof/>
      </w:rPr>
    </w:sdtEndPr>
    <w:sdtContent>
      <w:p w14:paraId="26F5706B" w14:textId="19F2D881"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F404C5B" w14:textId="77777777" w:rsidR="0065073E" w:rsidRDefault="0065073E">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65073E" w:rsidRDefault="0065073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65073E" w:rsidRDefault="0065073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47168"/>
      <w:docPartObj>
        <w:docPartGallery w:val="Page Numbers (Bottom of Page)"/>
        <w:docPartUnique/>
      </w:docPartObj>
    </w:sdtPr>
    <w:sdtEndPr>
      <w:rPr>
        <w:noProof/>
      </w:rPr>
    </w:sdtEndPr>
    <w:sdtContent>
      <w:p w14:paraId="350C80DC" w14:textId="1933B034"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2845D813" w14:textId="77777777" w:rsidR="0065073E" w:rsidRDefault="0065073E">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65073E" w:rsidRDefault="0065073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65073E" w:rsidRDefault="0065073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807117"/>
      <w:docPartObj>
        <w:docPartGallery w:val="Page Numbers (Bottom of Page)"/>
        <w:docPartUnique/>
      </w:docPartObj>
    </w:sdtPr>
    <w:sdtEndPr>
      <w:rPr>
        <w:noProof/>
      </w:rPr>
    </w:sdtEndPr>
    <w:sdtContent>
      <w:p w14:paraId="5439C825" w14:textId="47A22CC8"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239F392" w14:textId="77777777" w:rsidR="0065073E" w:rsidRDefault="0065073E">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65073E" w:rsidRDefault="0065073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65073E" w:rsidRDefault="0065073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65073E" w:rsidRDefault="0065073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261277"/>
      <w:docPartObj>
        <w:docPartGallery w:val="Page Numbers (Bottom of Page)"/>
        <w:docPartUnique/>
      </w:docPartObj>
    </w:sdtPr>
    <w:sdtEndPr>
      <w:rPr>
        <w:noProof/>
      </w:rPr>
    </w:sdtEndPr>
    <w:sdtContent>
      <w:p w14:paraId="3F3766FA" w14:textId="11963EA2"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0D8AD08A" w14:textId="77777777" w:rsidR="0065073E" w:rsidRDefault="0065073E">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65073E" w:rsidRDefault="0065073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65073E" w:rsidRDefault="0065073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995705"/>
      <w:docPartObj>
        <w:docPartGallery w:val="Page Numbers (Bottom of Page)"/>
        <w:docPartUnique/>
      </w:docPartObj>
    </w:sdtPr>
    <w:sdtEndPr>
      <w:rPr>
        <w:noProof/>
      </w:rPr>
    </w:sdtEndPr>
    <w:sdtContent>
      <w:p w14:paraId="551B7264" w14:textId="431F0E13"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384F2B9" w14:textId="77777777" w:rsidR="0065073E" w:rsidRDefault="0065073E">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65073E" w:rsidRDefault="0065073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65073E" w:rsidRDefault="0065073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372045"/>
      <w:docPartObj>
        <w:docPartGallery w:val="Page Numbers (Bottom of Page)"/>
        <w:docPartUnique/>
      </w:docPartObj>
    </w:sdtPr>
    <w:sdtEndPr>
      <w:rPr>
        <w:noProof/>
      </w:rPr>
    </w:sdtEndPr>
    <w:sdtContent>
      <w:p w14:paraId="4926D255" w14:textId="786063FB"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FD327D0" w14:textId="77777777" w:rsidR="0065073E" w:rsidRDefault="0065073E">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65073E" w:rsidRDefault="006507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65073E" w:rsidRDefault="0065073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65073E" w:rsidRDefault="0065073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78539"/>
      <w:docPartObj>
        <w:docPartGallery w:val="Page Numbers (Bottom of Page)"/>
        <w:docPartUnique/>
      </w:docPartObj>
    </w:sdtPr>
    <w:sdtEndPr>
      <w:rPr>
        <w:noProof/>
      </w:rPr>
    </w:sdtEndPr>
    <w:sdtContent>
      <w:p w14:paraId="322EDD2D" w14:textId="7AB540CC"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FCABAB6" w14:textId="77777777" w:rsidR="0065073E" w:rsidRDefault="0065073E">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65073E" w:rsidRDefault="0065073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65073E" w:rsidRDefault="0065073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637907"/>
      <w:docPartObj>
        <w:docPartGallery w:val="Page Numbers (Bottom of Page)"/>
        <w:docPartUnique/>
      </w:docPartObj>
    </w:sdtPr>
    <w:sdtEndPr>
      <w:rPr>
        <w:noProof/>
      </w:rPr>
    </w:sdtEndPr>
    <w:sdtContent>
      <w:p w14:paraId="3FE5A92C" w14:textId="62E8ED25"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BCD6797" w14:textId="77777777" w:rsidR="0065073E" w:rsidRDefault="0065073E">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65073E" w:rsidRDefault="0065073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65073E" w:rsidRDefault="0065073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384415"/>
      <w:docPartObj>
        <w:docPartGallery w:val="Page Numbers (Bottom of Page)"/>
        <w:docPartUnique/>
      </w:docPartObj>
    </w:sdtPr>
    <w:sdtEndPr>
      <w:rPr>
        <w:noProof/>
      </w:rPr>
    </w:sdtEndPr>
    <w:sdtContent>
      <w:p w14:paraId="6D3073C8" w14:textId="1CA5F83A"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5412AE5" w14:textId="77777777" w:rsidR="0065073E" w:rsidRDefault="0065073E">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65073E" w:rsidRDefault="0065073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65073E" w:rsidRDefault="006507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00164"/>
      <w:docPartObj>
        <w:docPartGallery w:val="Page Numbers (Bottom of Page)"/>
        <w:docPartUnique/>
      </w:docPartObj>
    </w:sdtPr>
    <w:sdtEndPr>
      <w:rPr>
        <w:noProof/>
      </w:rPr>
    </w:sdtEndPr>
    <w:sdtContent>
      <w:p w14:paraId="5814432B" w14:textId="24711847" w:rsidR="0065073E" w:rsidRDefault="000A0998">
        <w:pPr>
          <w:pStyle w:val="P68B1DB1-Footer40"/>
          <w:jc w:val="center"/>
        </w:pPr>
        <w:r>
          <w:fldChar w:fldCharType="begin"/>
        </w:r>
        <w:r>
          <w:instrText xml:space="preserve"> PAGE   \* MERGEFORMAT </w:instrText>
        </w:r>
        <w:r>
          <w:fldChar w:fldCharType="separate"/>
        </w:r>
        <w:r w:rsidR="008F4E89">
          <w:rPr>
            <w:noProof/>
          </w:rPr>
          <w:t>14</w:t>
        </w:r>
        <w:r>
          <w:fldChar w:fldCharType="end"/>
        </w:r>
      </w:p>
    </w:sdtContent>
  </w:sdt>
  <w:p w14:paraId="7ED515D1" w14:textId="77777777" w:rsidR="0065073E" w:rsidRDefault="0065073E">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373869"/>
      <w:docPartObj>
        <w:docPartGallery w:val="Page Numbers (Bottom of Page)"/>
        <w:docPartUnique/>
      </w:docPartObj>
    </w:sdtPr>
    <w:sdtEndPr>
      <w:rPr>
        <w:noProof/>
      </w:rPr>
    </w:sdtEndPr>
    <w:sdtContent>
      <w:p w14:paraId="70A1FC60" w14:textId="1E3065BC" w:rsidR="0065073E" w:rsidRDefault="000A0998">
        <w:pPr>
          <w:pStyle w:val="Footer"/>
          <w:jc w:val="center"/>
        </w:pPr>
        <w:r>
          <w:fldChar w:fldCharType="begin"/>
        </w:r>
        <w:r>
          <w:instrText xml:space="preserve"> PAGE   \* MERGEFORMAT </w:instrText>
        </w:r>
        <w:r>
          <w:fldChar w:fldCharType="separate"/>
        </w:r>
        <w:r>
          <w:t>2</w:t>
        </w:r>
        <w:r>
          <w:fldChar w:fldCharType="end"/>
        </w:r>
      </w:p>
    </w:sdtContent>
  </w:sdt>
  <w:p w14:paraId="0C082F4A" w14:textId="77777777" w:rsidR="0065073E" w:rsidRDefault="0065073E">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65073E" w:rsidRDefault="0065073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65073E" w:rsidRDefault="0065073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104642"/>
      <w:docPartObj>
        <w:docPartGallery w:val="Page Numbers (Bottom of Page)"/>
        <w:docPartUnique/>
      </w:docPartObj>
    </w:sdtPr>
    <w:sdtEndPr>
      <w:rPr>
        <w:noProof/>
      </w:rPr>
    </w:sdtEndPr>
    <w:sdtContent>
      <w:p w14:paraId="25B9880F" w14:textId="3E5BADB9"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4A41FA09" w14:textId="77777777" w:rsidR="0065073E" w:rsidRDefault="0065073E">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65073E" w:rsidRDefault="0065073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65073E" w:rsidRDefault="0065073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38598"/>
      <w:docPartObj>
        <w:docPartGallery w:val="Page Numbers (Bottom of Page)"/>
        <w:docPartUnique/>
      </w:docPartObj>
    </w:sdtPr>
    <w:sdtEndPr>
      <w:rPr>
        <w:noProof/>
      </w:rPr>
    </w:sdtEndPr>
    <w:sdtContent>
      <w:p w14:paraId="307D1C56" w14:textId="2375B69F"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19525240" w14:textId="77777777" w:rsidR="0065073E" w:rsidRDefault="0065073E">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65073E" w:rsidRDefault="0065073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65073E" w:rsidRDefault="0065073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453763"/>
      <w:docPartObj>
        <w:docPartGallery w:val="Page Numbers (Bottom of Page)"/>
        <w:docPartUnique/>
      </w:docPartObj>
    </w:sdtPr>
    <w:sdtEndPr>
      <w:rPr>
        <w:noProof/>
      </w:rPr>
    </w:sdtEndPr>
    <w:sdtContent>
      <w:p w14:paraId="10DA3C38" w14:textId="1A58499C"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39AF563B" w14:textId="77777777" w:rsidR="0065073E" w:rsidRDefault="0065073E">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65073E" w:rsidRDefault="0065073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65073E" w:rsidRDefault="0065073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65073E" w:rsidRDefault="0065073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667034"/>
      <w:docPartObj>
        <w:docPartGallery w:val="Page Numbers (Bottom of Page)"/>
        <w:docPartUnique/>
      </w:docPartObj>
    </w:sdtPr>
    <w:sdtEndPr>
      <w:rPr>
        <w:noProof/>
      </w:rPr>
    </w:sdtEndPr>
    <w:sdtContent>
      <w:p w14:paraId="0E806E04" w14:textId="350BFD5F"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901923B" w14:textId="77777777" w:rsidR="0065073E" w:rsidRDefault="0065073E">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65073E" w:rsidRDefault="0065073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65073E" w:rsidRDefault="0065073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739992"/>
      <w:docPartObj>
        <w:docPartGallery w:val="Page Numbers (Bottom of Page)"/>
        <w:docPartUnique/>
      </w:docPartObj>
    </w:sdtPr>
    <w:sdtEndPr>
      <w:rPr>
        <w:noProof/>
      </w:rPr>
    </w:sdtEndPr>
    <w:sdtContent>
      <w:p w14:paraId="28021015" w14:textId="07672D3A"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56847F84" w14:textId="77777777" w:rsidR="0065073E" w:rsidRDefault="0065073E">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65073E" w:rsidRDefault="0065073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65073E" w:rsidRDefault="0065073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313677"/>
      <w:docPartObj>
        <w:docPartGallery w:val="Page Numbers (Bottom of Page)"/>
        <w:docPartUnique/>
      </w:docPartObj>
    </w:sdtPr>
    <w:sdtEndPr>
      <w:rPr>
        <w:noProof/>
      </w:rPr>
    </w:sdtEndPr>
    <w:sdtContent>
      <w:p w14:paraId="52721632" w14:textId="6592F3C3" w:rsidR="0065073E" w:rsidRDefault="000A0998">
        <w:pPr>
          <w:pStyle w:val="P68B1DB1-Footer40"/>
          <w:jc w:val="center"/>
        </w:pPr>
        <w:r>
          <w:fldChar w:fldCharType="begin"/>
        </w:r>
        <w:r>
          <w:instrText xml:space="preserve"> PAGE   \* MERGEFORMAT </w:instrText>
        </w:r>
        <w:r>
          <w:fldChar w:fldCharType="separate"/>
        </w:r>
        <w:r>
          <w:t>2</w:t>
        </w:r>
        <w:r>
          <w:fldChar w:fldCharType="end"/>
        </w:r>
      </w:p>
    </w:sdtContent>
  </w:sdt>
  <w:p w14:paraId="6DFAC41C" w14:textId="77777777" w:rsidR="0065073E" w:rsidRDefault="0065073E">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65073E" w:rsidRDefault="00650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EAD9D" w14:textId="77777777" w:rsidR="00D923E0" w:rsidRDefault="00D923E0">
      <w:r>
        <w:separator/>
      </w:r>
    </w:p>
  </w:footnote>
  <w:footnote w:type="continuationSeparator" w:id="0">
    <w:p w14:paraId="7EF1B8CE" w14:textId="77777777" w:rsidR="00D923E0" w:rsidRDefault="00D923E0">
      <w:pPr>
        <w:spacing w:after="0" w:line="240" w:lineRule="auto"/>
      </w:pPr>
      <w:r>
        <w:continuationSeparator/>
      </w:r>
    </w:p>
    <w:p w14:paraId="1A4BA25C" w14:textId="77777777" w:rsidR="00D923E0" w:rsidRDefault="00D923E0"/>
  </w:footnote>
  <w:footnote w:type="continuationNotice" w:id="1">
    <w:p w14:paraId="3FF85BC6" w14:textId="77777777" w:rsidR="00D923E0" w:rsidRDefault="00D923E0">
      <w:pPr>
        <w:spacing w:after="0" w:line="240" w:lineRule="auto"/>
      </w:pPr>
    </w:p>
    <w:p w14:paraId="35E590B9" w14:textId="77777777" w:rsidR="00D923E0" w:rsidRDefault="00D923E0"/>
  </w:footnote>
  <w:footnote w:id="2">
    <w:p w14:paraId="2709697D" w14:textId="3EFF7A3B"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Asetuksen 2019/1242 3 artiklan 11 kohdan määritelmän mukaisesti: ajoneuvo, jossa ei ole polttomoottoria tai jossa on polttomoottori, jonka päästöt ovat alle 1 g CO2/km.</w:t>
      </w:r>
    </w:p>
  </w:footnote>
  <w:footnote w:id="3">
    <w:p w14:paraId="62CABCB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Kuten asetuksen (EU) 2019/1242 3 artiklan 12 kohdassa määritellään: joiden CO2-päästöt ovat alle puolet kaikkien ajoneuvojen alaryhmään kuuluvien ajoneuvojen CO2-vertailupäästöistä; viitearvot vaihtelevat kuorma-autotyypin mukaan.</w:t>
      </w:r>
    </w:p>
  </w:footnote>
  <w:footnote w:id="4">
    <w:p w14:paraId="41AF84F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Biopolttoaineet, bionesteet ja biomassapolttoaineet täyttävät kestävyyskriteerit ja kasvihuonekaasupäästöjen vähennyksiä koskevat kriteerit, jotka vahvistetaan uusiutuvia energialähteitä koskevan direktiivin (EU) 2018/2001 (RED II) 29–31 artiklassa ja niihin liittyvissä täytäntöönpanosäädöksissä ja delegoiduissa säädöksissä elintarvike- ja rehupohjaisia biopolttoaineita koskevat säännöt; ja elpymis- ja palautumistukivälineestä tuetuissa ajoneuvoissa käytetään yksinomaan RED II -direktiivin mukaisia biopolttoaineita, bionesteitä ja biomassapolttoaineita; biopolttoaineiden, bionesteiden ja biomassapolttoaineiden määrä/osuus kansallisesta yhdistelmästä kasvaa ajan mittaan.</w:t>
      </w:r>
    </w:p>
  </w:footnote>
  <w:footnote w:id="5">
    <w:p w14:paraId="61975C04" w14:textId="27785845"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Biopolttoaineet, bionesteet ja biomassapolttoaineet täyttävät kestävyyskriteerit ja kasvihuonekaasupäästöjen vähennyksiä koskevat kriteerit, jotka vahvistetaan uusiutuvia energialähteitä koskevan direktiivin (EU) 2018/2001 (RED II) 29 31 artiklassa ja niihin liittyvissä täytäntöönpanosäädöksissä ja delegoiduissa säädöksissä elintarvike- ja rehupohjaisia biopolttoaineita koskevat säännöt; ja elpymis- ja palautumistukivälineestä tuetuissa ajoneuvoissa käytetään yksinomaan RED II -direktiivin mukaisia biopolttoaineita, bionesteitä ja biomassapolttoaineita; biopolttoaineiden, bionesteiden ja biomassapolttoaineiden määrä/osuus kansallisesta yhdistelmästä kasvaa ajan mittaan.</w:t>
      </w:r>
    </w:p>
  </w:footnote>
  <w:footnote w:id="6">
    <w:p w14:paraId="1DE5B045" w14:textId="6CF8DDEA" w:rsidR="0065073E" w:rsidRDefault="000A0998">
      <w:pPr>
        <w:pStyle w:val="FootnoteText"/>
        <w:ind w:left="0" w:firstLine="0"/>
      </w:pPr>
      <w:r>
        <w:rPr>
          <w:rStyle w:val="FootnoteReference"/>
        </w:rPr>
        <w:footnoteRef/>
      </w:r>
      <w:r>
        <w:rPr>
          <w:rFonts w:ascii="Times New Roman" w:hAnsi="Times New Roman"/>
          <w:sz w:val="19"/>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7">
    <w:p w14:paraId="76B6B55A" w14:textId="776EB3E9" w:rsidR="0065073E" w:rsidRDefault="000A0998">
      <w:pPr>
        <w:pStyle w:val="FootnoteText"/>
        <w:ind w:left="0" w:firstLine="0"/>
      </w:pPr>
      <w:r>
        <w:rPr>
          <w:rStyle w:val="FootnoteReference"/>
        </w:rPr>
        <w:footnoteRef/>
      </w:r>
      <w:r>
        <w:rPr>
          <w:rFonts w:ascii="Times New Roman" w:hAnsi="Times New Roman"/>
          <w:sz w:val="19"/>
        </w:rPr>
        <w:t xml:space="preserve">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p>
  </w:footnote>
  <w:footnote w:id="8">
    <w:p w14:paraId="48521E96" w14:textId="7A608DAF"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josta esitetään näyttöä laitoksen tasolla</w:t>
      </w:r>
    </w:p>
  </w:footnote>
  <w:footnote w:id="9">
    <w:p w14:paraId="6F4D6DC3" w14:textId="3C47CD1C" w:rsidR="0065073E" w:rsidRDefault="000A0998">
      <w:pPr>
        <w:pStyle w:val="FootnoteText"/>
        <w:ind w:left="0" w:firstLine="0"/>
      </w:pPr>
      <w:r>
        <w:rPr>
          <w:rStyle w:val="FootnoteReference"/>
        </w:rPr>
        <w:footnoteRef/>
      </w:r>
      <w:r>
        <w:rPr>
          <w:rFonts w:ascii="Times New Roman" w:hAnsi="Times New Roman"/>
        </w:rPr>
        <w:t>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10">
    <w:p w14:paraId="222C11A5" w14:textId="2FDD77B2" w:rsidR="0065073E" w:rsidRDefault="000A0998">
      <w:pPr>
        <w:pStyle w:val="FootnoteText"/>
        <w:ind w:left="0" w:firstLine="0"/>
      </w:pPr>
      <w:r>
        <w:rPr>
          <w:rStyle w:val="FootnoteReference"/>
        </w:rPr>
        <w:footnoteRef/>
      </w:r>
      <w:r>
        <w:rPr>
          <w:rFonts w:ascii="Times New Roman"/>
        </w:rPr>
        <w:t>lopullisten edunsaajien, jotka liittyv</w:t>
      </w:r>
      <w:r w:rsidR="00FC251F">
        <w:rPr>
          <w:rFonts w:ascii="Times New Roman"/>
        </w:rPr>
        <w:t>a</w:t>
      </w:r>
      <w:r>
        <w:rPr>
          <w:rFonts w:ascii="Times New Roman"/>
        </w:rPr>
        <w:t>t tiettyihin hankkeisiin, on perusteltava valittu tukitoimiala kunkin tuetun hankkeen osalta sek</w:t>
      </w:r>
      <w:r w:rsidR="00FC251F" w:rsidRPr="00FC251F">
        <w:rPr>
          <w:rFonts w:ascii="Times New Roman" w:hAnsi="Times New Roman" w:cs="Times New Roman"/>
        </w:rPr>
        <w:t>ä</w:t>
      </w:r>
      <w:r>
        <w:rPr>
          <w:rFonts w:ascii="Times New Roman"/>
        </w:rPr>
        <w:t xml:space="preserve"> kuvaus hankkeesta. Toteutuskumppanin on my</w:t>
      </w:r>
      <w:r w:rsidRPr="00FC251F">
        <w:rPr>
          <w:rFonts w:ascii="Times New Roman" w:hAnsi="Times New Roman" w:cs="Times New Roman"/>
        </w:rPr>
        <w:t>ö</w:t>
      </w:r>
      <w:r>
        <w:rPr>
          <w:rFonts w:ascii="Times New Roman"/>
        </w:rPr>
        <w:t>s toimitettava j</w:t>
      </w:r>
      <w:r w:rsidR="00FC251F" w:rsidRPr="00FC251F">
        <w:rPr>
          <w:rFonts w:ascii="Times New Roman" w:hAnsi="Times New Roman" w:cs="Times New Roman"/>
        </w:rPr>
        <w:t>ä</w:t>
      </w:r>
      <w:r w:rsidRPr="00FC251F">
        <w:rPr>
          <w:rFonts w:ascii="Times New Roman" w:hAnsi="Times New Roman" w:cs="Times New Roman"/>
        </w:rPr>
        <w:t>senvaltiolle puolivuosittainen kertomus kunkin hankkeen/toiminnon t</w:t>
      </w:r>
      <w:r w:rsidR="00FC251F" w:rsidRPr="00FC251F">
        <w:rPr>
          <w:rFonts w:ascii="Times New Roman" w:hAnsi="Times New Roman" w:cs="Times New Roman"/>
        </w:rPr>
        <w:t>ä</w:t>
      </w:r>
      <w:r w:rsidRPr="00FC251F">
        <w:rPr>
          <w:rFonts w:ascii="Times New Roman" w:hAnsi="Times New Roman" w:cs="Times New Roman"/>
        </w:rPr>
        <w:t>yt</w:t>
      </w:r>
      <w:r w:rsidR="00FC251F" w:rsidRPr="00FC251F">
        <w:rPr>
          <w:rFonts w:ascii="Times New Roman" w:hAnsi="Times New Roman" w:cs="Times New Roman"/>
        </w:rPr>
        <w:t>ä</w:t>
      </w:r>
      <w:r w:rsidRPr="00FC251F">
        <w:rPr>
          <w:rFonts w:ascii="Times New Roman" w:hAnsi="Times New Roman" w:cs="Times New Roman"/>
        </w:rPr>
        <w:t>ntöönpanosta</w:t>
      </w:r>
      <w:r>
        <w:rPr>
          <w:rFonts w:ascii="Times New Roman"/>
        </w:rPr>
        <w:t xml:space="preserve">. </w:t>
      </w:r>
    </w:p>
  </w:footnote>
  <w:footnote w:id="11">
    <w:p w14:paraId="0AF27CE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2">
    <w:p w14:paraId="50587B3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3">
    <w:p w14:paraId="26F9A21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4">
    <w:p w14:paraId="44F31A46"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5">
    <w:p w14:paraId="6310145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6">
    <w:p w14:paraId="6296EAA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7">
    <w:p w14:paraId="63F0BE5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8">
    <w:p w14:paraId="508C08BD"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9">
    <w:p w14:paraId="2799D0F0"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Alle 50 g CO2/km tarkistetun puhtaita ajoneuvoja koskevan direktiivin 2009/33/EY puhtaiden ajoneuvojen luokan mukaisesti.</w:t>
      </w:r>
    </w:p>
  </w:footnote>
  <w:footnote w:id="20">
    <w:p w14:paraId="52F142F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Alle 50 g CO2/km tarkistetun puhtaita ajoneuvoja koskevan direktiivin 2009/33/EY puhtaiden ajoneuvojen luokan mukaisesti.</w:t>
      </w:r>
    </w:p>
  </w:footnote>
  <w:footnote w:id="21">
    <w:p w14:paraId="6C2BCD9C" w14:textId="5C1536A5" w:rsidR="0065073E" w:rsidRDefault="000A0998">
      <w:pPr>
        <w:spacing w:after="0"/>
      </w:pPr>
      <w:r>
        <w:rPr>
          <w:rStyle w:val="FootnoteReference"/>
        </w:rPr>
        <w:footnoteRef/>
      </w:r>
      <w:r>
        <w:t xml:space="preserve"> </w:t>
      </w:r>
      <w:r>
        <w:rPr>
          <w:rFonts w:ascii="Times New Roman" w:hAnsi="Times New Roman"/>
          <w:sz w:val="20"/>
        </w:rPr>
        <w:t>Verkko- ja tietoturva-alan yhteistyöryhmä, Cyber of 5G Network EU Toolbox of Risk mitigation measures, 01/2020, https://ec.europa.eu/newsroom/dae/document.cfm?doc_id=64468</w:t>
      </w:r>
    </w:p>
  </w:footnote>
  <w:footnote w:id="22">
    <w:p w14:paraId="5CC49010" w14:textId="7EF5DFD7" w:rsidR="0065073E" w:rsidRDefault="000A0998">
      <w:pPr>
        <w:spacing w:after="0"/>
      </w:pPr>
      <w:r>
        <w:rPr>
          <w:rStyle w:val="FootnoteReference"/>
        </w:rPr>
        <w:footnoteRef/>
      </w:r>
      <w:r>
        <w:rPr>
          <w:rFonts w:ascii="Times New Roman" w:hAnsi="Times New Roman"/>
          <w:sz w:val="20"/>
        </w:rPr>
        <w:t>Euroopan parlamentin ja neuvoston asetus (EU) 2021/697, annettu 29 päivänä huhtikuuta 2021, Euroopan puolustusrahaston perustamisesta</w:t>
      </w:r>
    </w:p>
  </w:footnote>
  <w:footnote w:id="23">
    <w:p w14:paraId="59F1DBB5" w14:textId="34DE33E1" w:rsidR="0065073E" w:rsidRDefault="000A0998">
      <w:pPr>
        <w:spacing w:after="0"/>
      </w:pPr>
      <w:r>
        <w:rPr>
          <w:rStyle w:val="FootnoteReference"/>
        </w:rPr>
        <w:footnoteRef/>
      </w:r>
      <w:r>
        <w:rPr>
          <w:rFonts w:ascii="Times New Roman" w:hAnsi="Times New Roman"/>
          <w:sz w:val="20"/>
        </w:rPr>
        <w:t>Asetus (EU) 2021/696 EU:n avaruusohjelman ja Euroopan unionin avaruusohjelmaviraston perustamisesta</w:t>
      </w:r>
    </w:p>
  </w:footnote>
  <w:footnote w:id="24">
    <w:p w14:paraId="1CFB3942" w14:textId="3B9B6CF6" w:rsidR="0065073E" w:rsidRDefault="000A0998">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25">
    <w:p w14:paraId="2901D6EB" w14:textId="046F0831" w:rsidR="0065073E" w:rsidRDefault="000A0998">
      <w:pPr>
        <w:spacing w:before="120" w:after="12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 xml:space="preserve">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r>
        <w:rPr>
          <w:rFonts w:ascii="Times New Roman" w:hAnsi="Times New Roman"/>
          <w:sz w:val="20"/>
          <w:shd w:val="clear" w:color="auto" w:fill="FFFFFF"/>
        </w:rPr>
        <w:t>Toimenpiteen täytäntöönpano on saatettava päätökseen 31 päivään elokuuta 2026 mennessä.</w:t>
      </w:r>
    </w:p>
  </w:footnote>
  <w:footnote w:id="26">
    <w:p w14:paraId="571E7E81" w14:textId="5818DE8D" w:rsidR="0065073E" w:rsidRDefault="000A0998">
      <w:pPr>
        <w:pStyle w:val="FootnoteText"/>
        <w:ind w:left="0" w:firstLine="0"/>
        <w:jc w:val="left"/>
        <w:rPr>
          <w:sz w:val="22"/>
        </w:rPr>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josta esitetään näyttöä laitoksen tasolla</w:t>
      </w:r>
    </w:p>
  </w:footnote>
  <w:footnote w:id="27">
    <w:p w14:paraId="46703EA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28">
    <w:p w14:paraId="3D796719" w14:textId="54FCA843" w:rsidR="0065073E" w:rsidRDefault="000A0998">
      <w:pPr>
        <w:spacing w:before="120" w:after="12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Direktiiviä 2013/34/EU on muutettu direktiivillä (EU) 2022/2464 yritysten kestävyysraportointia koskevasta direktiivistä.</w:t>
      </w:r>
    </w:p>
  </w:footnote>
  <w:footnote w:id="29">
    <w:p w14:paraId="3C8EE0D6" w14:textId="5D51D679" w:rsidR="0065073E" w:rsidRDefault="000A0998">
      <w:pPr>
        <w:spacing w:before="120" w:after="120" w:line="240" w:lineRule="auto"/>
        <w:jc w:val="both"/>
      </w:pPr>
      <w:r>
        <w:rPr>
          <w:rStyle w:val="FootnoteReference"/>
        </w:rPr>
        <w:footnoteRef/>
      </w:r>
      <w:r>
        <w:t xml:space="preserve"> </w:t>
      </w:r>
      <w:r>
        <w:rPr>
          <w:rFonts w:ascii="Times New Roman" w:hAnsi="Times New Roman"/>
          <w:sz w:val="20"/>
        </w:rPr>
        <w:t>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fossiilisia polttoaineita sisältämätöntä toimintaa.</w:t>
      </w:r>
    </w:p>
  </w:footnote>
  <w:footnote w:id="30">
    <w:p w14:paraId="5A02C797" w14:textId="5532159A" w:rsidR="0065073E" w:rsidRDefault="000A0998">
      <w:pPr>
        <w:pStyle w:val="FootnoteText"/>
        <w:ind w:left="0" w:firstLine="0"/>
        <w:rPr>
          <w:sz w:val="16"/>
        </w:rPr>
      </w:pPr>
      <w:r>
        <w:rPr>
          <w:rStyle w:val="FootnoteReference"/>
          <w:sz w:val="18"/>
        </w:rPr>
        <w:footnoteRef/>
      </w:r>
      <w:r>
        <w:rPr>
          <w:rFonts w:ascii="Times New Roman" w:hAnsi="Times New Roman"/>
        </w:rPr>
        <w:t>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31">
    <w:p w14:paraId="6555F20D" w14:textId="2CFBF999"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32">
    <w:p w14:paraId="1C473F0A" w14:textId="77777777" w:rsidR="0065073E" w:rsidRDefault="000A0998">
      <w:pPr>
        <w:pStyle w:val="ListParagraph"/>
        <w:ind w:left="0"/>
        <w:jc w:val="both"/>
        <w:rPr>
          <w:rFonts w:ascii="Times New Roman" w:eastAsia="Times New Roman" w:hAnsi="Times New Roman" w:cs="Times New Roman"/>
          <w:sz w:val="20"/>
        </w:rPr>
      </w:pPr>
      <w:r>
        <w:rPr>
          <w:rStyle w:val="FootnoteReference"/>
        </w:rPr>
        <w:footnoteRef/>
      </w:r>
      <w:r>
        <w:t xml:space="preserve"> </w:t>
      </w:r>
      <w:r>
        <w:rPr>
          <w:rFonts w:ascii="Times New Roman" w:hAnsi="Times New Roman"/>
          <w:sz w:val="20"/>
        </w:rPr>
        <w:t xml:space="preserve">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 </w:t>
      </w:r>
    </w:p>
    <w:p w14:paraId="739E8B04" w14:textId="744A2C36" w:rsidR="0065073E" w:rsidRDefault="0065073E">
      <w:pPr>
        <w:pStyle w:val="FootnoteText"/>
        <w:ind w:left="0" w:firstLine="0"/>
      </w:pPr>
    </w:p>
  </w:footnote>
  <w:footnote w:id="33">
    <w:p w14:paraId="6EC169C1" w14:textId="031E068A" w:rsidR="0065073E" w:rsidRPr="00FC251F" w:rsidRDefault="000A0998">
      <w:pPr>
        <w:pStyle w:val="FootnoteText"/>
        <w:ind w:left="0" w:firstLine="0"/>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lang w:val="en-IE"/>
        </w:rPr>
        <w:t xml:space="preserve"> </w:t>
      </w:r>
      <w:r w:rsidRPr="00FC251F">
        <w:rPr>
          <w:rFonts w:ascii="Times New Roman" w:hAnsi="Times New Roman"/>
          <w:lang w:val="en-IE"/>
        </w:rPr>
        <w:t>EUVL L 169, 25.6.2019, s. 1–44.</w:t>
      </w:r>
    </w:p>
  </w:footnote>
  <w:footnote w:id="34">
    <w:p w14:paraId="0D03082E" w14:textId="6AEF5DB0" w:rsidR="0065073E" w:rsidRPr="00FC251F" w:rsidRDefault="000A0998">
      <w:pPr>
        <w:pStyle w:val="FootnoteText"/>
        <w:ind w:left="0" w:firstLine="0"/>
        <w:jc w:val="left"/>
        <w:rPr>
          <w:rFonts w:ascii="Times New Roman" w:hAnsi="Times New Roman" w:cs="Times New Roman"/>
          <w:lang w:val="en-IE"/>
        </w:rPr>
      </w:pPr>
      <w:r>
        <w:rPr>
          <w:rStyle w:val="FootnoteReference"/>
          <w:rFonts w:ascii="Times New Roman" w:hAnsi="Times New Roman" w:cs="Times New Roman"/>
        </w:rPr>
        <w:footnoteRef/>
      </w:r>
      <w:r w:rsidRPr="00FC251F">
        <w:rPr>
          <w:rFonts w:ascii="Times New Roman" w:hAnsi="Times New Roman"/>
          <w:lang w:val="en-IE"/>
        </w:rPr>
        <w:t xml:space="preserve"> COM(2020) 66 final.</w:t>
      </w:r>
    </w:p>
  </w:footnote>
  <w:footnote w:id="35">
    <w:p w14:paraId="485D71F3" w14:textId="5F1F93EF" w:rsidR="0065073E" w:rsidRDefault="000A0998">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Ks. ehdotus Euroopan parlamentin ja neuvoston asetukseksi eurooppalaisesta datahallinnosta, 25.11.2020, COM(2020) 767 final.</w:t>
      </w:r>
    </w:p>
  </w:footnote>
  <w:footnote w:id="36">
    <w:p w14:paraId="466BEC08" w14:textId="0D81A033" w:rsidR="0065073E" w:rsidRDefault="000A0998">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 w:history="1">
        <w:r>
          <w:rPr>
            <w:rStyle w:val="Hyperlink"/>
            <w:rFonts w:ascii="Times New Roman" w:hAnsi="Times New Roman"/>
          </w:rPr>
          <w:t>https://digital-strategy.ec.europa.eu/en/activities/digital-programme</w:t>
        </w:r>
      </w:hyperlink>
      <w:r>
        <w:rPr>
          <w:rFonts w:ascii="Times New Roman" w:hAnsi="Times New Roman"/>
        </w:rPr>
        <w:t xml:space="preserve"> </w:t>
      </w:r>
    </w:p>
    <w:p w14:paraId="43E95BAE" w14:textId="71DC71D6" w:rsidR="0065073E" w:rsidRDefault="0065073E">
      <w:pPr>
        <w:pStyle w:val="FootnoteText"/>
        <w:ind w:left="0" w:firstLine="0"/>
        <w:jc w:val="left"/>
        <w:rPr>
          <w:rFonts w:ascii="Times New Roman" w:hAnsi="Times New Roman" w:cs="Times New Roman"/>
        </w:rPr>
      </w:pPr>
    </w:p>
  </w:footnote>
  <w:footnote w:id="37">
    <w:p w14:paraId="6A6F0B55" w14:textId="35E56F28"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fossiilisia polttoaineita sisältämätöntä toimintaa. </w:t>
      </w:r>
    </w:p>
  </w:footnote>
  <w:footnote w:id="38">
    <w:p w14:paraId="4112B60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39">
    <w:p w14:paraId="05DD6DC8"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40">
    <w:p w14:paraId="1AC9393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41">
    <w:p w14:paraId="34A4EF96"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EUVL L 57, 18.2.2021, s. 17–75.</w:t>
      </w:r>
    </w:p>
  </w:footnote>
  <w:footnote w:id="42">
    <w:p w14:paraId="368829F4" w14:textId="39BAE08C"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siihen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fossiilisia polttoaineita sisältämätöntä toimintaa.</w:t>
      </w:r>
    </w:p>
  </w:footnote>
  <w:footnote w:id="43">
    <w:p w14:paraId="20BE550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44">
    <w:p w14:paraId="40D0A9C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45">
    <w:p w14:paraId="200E5F5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46">
    <w:p w14:paraId="77D87518"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siihen liittyvää maakaasua käyttävää siirto- ja jakeluinfrastruktuuria ja jotka ovat ”ei merkittävää haittaa” -periaatteen mukaisten teknisten ohjeiden (2021/C58/01) liitteessä III vahvistettujen edellytysten mukaisia. Ja b) ii alakohdassa tarkoitetut toiminnot ja omaisuuserät, joissa fossiilisten polttoaineiden käyttö on väliaikaista ja teknisesti mahdotonta välttää, jotta voidaan siirtyä oikea-aikaisesti kohti fossiilisia polttoaineita sisältämätöntä toimintaa.</w:t>
      </w:r>
    </w:p>
  </w:footnote>
  <w:footnote w:id="47">
    <w:p w14:paraId="46112024"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48">
    <w:p w14:paraId="1A0AD9D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49">
    <w:p w14:paraId="2D5337D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50">
    <w:p w14:paraId="651AD504" w14:textId="4EC0AE43" w:rsidR="0065073E" w:rsidRDefault="000A0998">
      <w:pPr>
        <w:pStyle w:val="FootnoteText"/>
        <w:ind w:left="0" w:firstLine="0"/>
        <w:rPr>
          <w:rFonts w:eastAsia="Times New Roman" w:cs="Times New Roman"/>
        </w:rPr>
      </w:pPr>
      <w:r>
        <w:rPr>
          <w:rStyle w:val="FootnoteReference"/>
          <w:rFonts w:cs="Times New Roman"/>
        </w:rPr>
        <w:footnoteRef/>
      </w:r>
      <w:r w:rsidRPr="00F00B0D">
        <w:rPr>
          <w:rFonts w:ascii="Times New Roman" w:hAnsi="Times New Roman" w:cs="Times New Roman"/>
        </w:rPr>
        <w:t>Lopullisen tuensaajan</w:t>
      </w:r>
      <w:r w:rsidR="00F00B0D">
        <w:rPr>
          <w:rFonts w:ascii="Times New Roman" w:hAnsi="Times New Roman"/>
        </w:rPr>
        <w:t xml:space="preserve"> </w:t>
      </w:r>
      <w:r>
        <w:rPr>
          <w:rFonts w:ascii="Times New Roman" w:hAnsi="Times New Roman"/>
        </w:rPr>
        <w:t>katsotaan keskittyvän toimialaan tai liiketoimintaan, jos kyseisen alan tai toiminnan katsotaan olevan olennainen osa lopullisen edunsaajan liiketoimintaa suhteessa lopullisen edunsaajan bruttotuloihin, voittoihin tai asiakaskuntaan. Rajoitetun toimialan tai toiminnan bruttotulot eivät missään tapauksessa saa ylittää 50:tä prosenttia bruttotuloista.</w:t>
      </w:r>
    </w:p>
  </w:footnote>
  <w:footnote w:id="51">
    <w:p w14:paraId="516AEBAB" w14:textId="5F96F5ED"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52">
    <w:p w14:paraId="0DDFEA92"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53">
    <w:p w14:paraId="6236A8A5"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määritellään päästöttömiksi ajoneuvoiksi.</w:t>
      </w:r>
    </w:p>
  </w:footnote>
  <w:footnote w:id="54">
    <w:p w14:paraId="65F0B853" w14:textId="77777777" w:rsidR="0065073E" w:rsidRDefault="000A0998">
      <w:pPr>
        <w:pStyle w:val="FootnoteText"/>
        <w:ind w:left="0" w:firstLine="0"/>
        <w:rPr>
          <w:rFonts w:eastAsia="Times New Roman" w:cs="Times New Roman"/>
        </w:rPr>
      </w:pPr>
      <w:r>
        <w:rPr>
          <w:rStyle w:val="FootnoteReference"/>
          <w:rFonts w:ascii="Times New Roman" w:hAnsi="Times New Roman" w:cs="Times New Roman"/>
        </w:rPr>
        <w:footnoteRef/>
      </w:r>
      <w:r>
        <w:rPr>
          <w:rFonts w:ascii="Times New Roman" w:hAnsi="Times New Roman"/>
        </w:rPr>
        <w:t>Tätä poikkeusta ei sovelleta toimiin laitoksissa, jotka on tarkoitettu yksinomaan kierrätykseen kelpaamattoman vaarallisen jätteen käsittelyyn, eikä olemassa oleviin laitoksiin, jos tämän toimenpiteen mukaisten toimien tarkoituksena on energiatehokkuuden lisääminen, pakokaasujen talteenotto varastointia tai käyttöä varten tai materiaalien talteenotto polttotuhkasta, edellyttäen, että tällaiset tämän toimenpiteen mukaiset toimet eivät johda laitosten jätteenkäsittelykapasiteetin lisääntymiseen tai laitosten käyttöiän pidentämiseen; josta esitetään näyttöä laitoksen tasolla</w:t>
      </w:r>
    </w:p>
  </w:footnote>
  <w:footnote w:id="55">
    <w:p w14:paraId="29135868" w14:textId="4D0FB1E2" w:rsidR="0065073E" w:rsidRDefault="000A0998">
      <w:pPr>
        <w:pStyle w:val="FootnoteText"/>
        <w:ind w:left="0" w:firstLine="0"/>
        <w:rPr>
          <w:rFonts w:ascii="Times New Roman" w:eastAsia="Times New Roman" w:hAnsi="Times New Roman" w:cs="Times New Roman"/>
        </w:rPr>
      </w:pPr>
      <w:r>
        <w:rPr>
          <w:rFonts w:ascii="Times New Roman" w:eastAsia="Times New Roman" w:hAnsi="Times New Roman" w:cs="Times New Roman"/>
          <w:sz w:val="14"/>
        </w:rPr>
        <w:footnoteRef/>
      </w:r>
      <w:r>
        <w:rPr>
          <w:rFonts w:ascii="Times New Roman" w:hAnsi="Times New Roman"/>
        </w:rPr>
        <w:t xml:space="preserve"> Tiettyihin hankkeisiin liittyvien lopullisten tuensaajien on toimitettava kunkin tuetun hankkeen osalta perustelut valitulle tukitoimialalle sekä kuvaus hankkeesta ilmastovaikutuksen laskemista varten. Kun kyseessä ovat oman pääoman ehtoiset, oman pääoman luonteiset, yritysjoukkovelkakirjalainat tai vastaavat välineet, joita ei ole kohdennettu tiettyihin hankkeisiin, ilmastovaikutusta laskettaessa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 olevista sovellettavista tukitoimialoista johtuvat kriteerit. Oman pääoman ehtoisen, oman pääoman luonteisen rahoituksen, yritysjoukkolainojen tai vastaavien välineiden, joita ei ole kohdennettu tiettyihin hankkeisiin, lopullisten tuensaajien on perusteltava valitut tukitoimialat. Toteutuskumppanin on myös toimitettava jäsenvaltiolle puolivuosittainen kertomus kunkin hankkeen/toiminnon täytäntöönpanosta.  </w:t>
      </w:r>
    </w:p>
    <w:p w14:paraId="359D45F9" w14:textId="66334A9F" w:rsidR="0065073E" w:rsidRDefault="0065073E">
      <w:pPr>
        <w:pStyle w:val="FootnoteText"/>
        <w:ind w:left="0" w:firstLine="0"/>
        <w:rPr>
          <w:rFonts w:ascii="Times New Roman" w:eastAsia="Times New Roman" w:hAnsi="Times New Roman" w:cs="Times New Roman"/>
        </w:rPr>
      </w:pPr>
    </w:p>
  </w:footnote>
  <w:footnote w:id="56">
    <w:p w14:paraId="0B9FB990" w14:textId="3DB725E3"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siihen liittyvää maakaasua käyttävää siirto- ja jakeluinfrastruktuuria ja jotka täyttävät ”ei merkittävää haittaa” -periaatetta koskevien teknisten ohjeiden (2021/C58/01) liitteessä III esitetyt ehdot, ja b) ii alakohdan mukaisia toimia ja varoja, joiden osalta fossiilisten polttoaineiden käyttö on tilapäistä ja teknisesti väistämätöntä, jotta voidaan siirtyä oikea-aikaisesti kohti fossiilisista polttoaineista vapaata toimintaa.</w:t>
      </w:r>
    </w:p>
  </w:footnote>
  <w:footnote w:id="57">
    <w:p w14:paraId="099E830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58">
    <w:p w14:paraId="2114B85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59">
    <w:p w14:paraId="32EFFE6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60">
    <w:p w14:paraId="34576CAB" w14:textId="06A3DABA" w:rsidR="0065073E" w:rsidRDefault="000A0998">
      <w:pPr>
        <w:pStyle w:val="FootnoteText"/>
        <w:ind w:left="0" w:firstLine="0"/>
      </w:pPr>
      <w:r w:rsidRPr="00F00B0D">
        <w:rPr>
          <w:rStyle w:val="FootnoteReference"/>
          <w:rFonts w:ascii="Times New Roman" w:hAnsi="Times New Roman" w:cs="Times New Roman"/>
        </w:rPr>
        <w:footnoteRef/>
      </w:r>
      <w:r w:rsidR="00F00B0D" w:rsidRPr="00F00B0D">
        <w:rPr>
          <w:rFonts w:ascii="Times New Roman" w:hAnsi="Times New Roman" w:cs="Times New Roman"/>
        </w:rPr>
        <w:t xml:space="preserve"> </w:t>
      </w:r>
      <w:r w:rsidRPr="00F00B0D">
        <w:rPr>
          <w:rFonts w:ascii="Times New Roman" w:hAnsi="Times New Roman" w:cs="Times New Roman"/>
        </w:rPr>
        <w:t>Lainojen, osallistumisperusteisten lainojen, hankejoukkolainojen, takausten tai vastaavien v</w:t>
      </w:r>
      <w:r w:rsidR="00FC251F" w:rsidRPr="00F00B0D">
        <w:rPr>
          <w:rFonts w:ascii="Times New Roman" w:hAnsi="Times New Roman" w:cs="Times New Roman"/>
        </w:rPr>
        <w:t>ä</w:t>
      </w:r>
      <w:r w:rsidRPr="00F00B0D">
        <w:rPr>
          <w:rFonts w:ascii="Times New Roman" w:hAnsi="Times New Roman" w:cs="Times New Roman"/>
        </w:rPr>
        <w:t>lineidenlopullisten edunsaajien, jotka liittyv</w:t>
      </w:r>
      <w:r w:rsidR="00FC251F" w:rsidRPr="00F00B0D">
        <w:rPr>
          <w:rFonts w:ascii="Times New Roman" w:hAnsi="Times New Roman" w:cs="Times New Roman"/>
        </w:rPr>
        <w:t>ä</w:t>
      </w:r>
      <w:r w:rsidRPr="00F00B0D">
        <w:rPr>
          <w:rFonts w:ascii="Times New Roman" w:hAnsi="Times New Roman" w:cs="Times New Roman"/>
        </w:rPr>
        <w:t>t tiettyihin hankkeisiin, on perusteltava valittu tukitoimiala kunkin tuetun hankkeen osalta sek</w:t>
      </w:r>
      <w:r w:rsidR="00FC251F" w:rsidRPr="00F00B0D">
        <w:rPr>
          <w:rFonts w:ascii="Times New Roman" w:hAnsi="Times New Roman" w:cs="Times New Roman"/>
        </w:rPr>
        <w:t>ä</w:t>
      </w:r>
      <w:r w:rsidRPr="00F00B0D">
        <w:rPr>
          <w:rFonts w:ascii="Times New Roman" w:hAnsi="Times New Roman" w:cs="Times New Roman"/>
        </w:rPr>
        <w:t xml:space="preserve"> kuvaus hankkeesta. Toteutuskumppanin on myös toimitettava j</w:t>
      </w:r>
      <w:r w:rsidR="00FC251F" w:rsidRPr="00F00B0D">
        <w:rPr>
          <w:rFonts w:ascii="Times New Roman" w:hAnsi="Times New Roman" w:cs="Times New Roman"/>
        </w:rPr>
        <w:t>ä</w:t>
      </w:r>
      <w:r w:rsidRPr="00F00B0D">
        <w:rPr>
          <w:rFonts w:ascii="Times New Roman" w:hAnsi="Times New Roman" w:cs="Times New Roman"/>
        </w:rPr>
        <w:t>senvaltiolle puolivuosittainen kertomus kunkin hankkeen/toiminnon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w:t>
      </w:r>
      <w:r>
        <w:rPr>
          <w:rFonts w:ascii="Times New Roman"/>
        </w:rPr>
        <w:t>npanosta.</w:t>
      </w:r>
    </w:p>
  </w:footnote>
  <w:footnote w:id="61">
    <w:p w14:paraId="441FC4A4" w14:textId="77777777" w:rsidR="0065073E" w:rsidRDefault="000A0998">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62">
    <w:p w14:paraId="11C7B281" w14:textId="77777777" w:rsidR="0065073E" w:rsidRDefault="000A0998">
      <w:pPr>
        <w:pStyle w:val="FootnoteText"/>
        <w:ind w:left="0" w:firstLine="0"/>
      </w:pPr>
      <w:r>
        <w:rPr>
          <w:rStyle w:val="FootnoteReference"/>
        </w:rPr>
        <w:footnoteRef/>
      </w:r>
      <w:r>
        <w:rPr>
          <w:rFonts w:ascii="Times New Roman" w:hAnsi="Times New Roman"/>
        </w:rPr>
        <w:t xml:space="preserve">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p>
  </w:footnote>
  <w:footnote w:id="63">
    <w:p w14:paraId="3517BA0F"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64">
    <w:p w14:paraId="6A4997F4" w14:textId="77777777" w:rsidR="0065073E" w:rsidRDefault="000A0998">
      <w:pPr>
        <w:pStyle w:val="P68B1DB1-FootnoteText41"/>
        <w:ind w:left="0" w:firstLine="0"/>
        <w:rPr>
          <w:rFonts w:cs="Times New Roman"/>
        </w:rPr>
      </w:pPr>
      <w:r w:rsidRPr="000A0998">
        <w:rPr>
          <w:vertAlign w:val="superscript"/>
        </w:rPr>
        <w:footnoteRef/>
      </w:r>
      <w:r>
        <w:t>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65">
    <w:p w14:paraId="17035744" w14:textId="7928F9DC" w:rsidR="0065073E" w:rsidRDefault="000A0998">
      <w:pPr>
        <w:pStyle w:val="FootnoteText"/>
        <w:ind w:left="0" w:firstLine="0"/>
      </w:pPr>
      <w:r>
        <w:rPr>
          <w:rStyle w:val="FootnoteReference"/>
        </w:rPr>
        <w:footnoteRef/>
      </w:r>
      <w:r>
        <w:rPr>
          <w:rFonts w:ascii="Times New Roman"/>
        </w:rPr>
        <w:t xml:space="preserve">Lopullisten tuensaajien on perusteltava valittu tukitoimiala kunkin tuetun hankkeen </w:t>
      </w:r>
      <w:r w:rsidRPr="00F00B0D">
        <w:rPr>
          <w:rFonts w:ascii="Times New Roman" w:hAnsi="Times New Roman" w:cs="Times New Roman"/>
        </w:rPr>
        <w:t>osalta sek</w:t>
      </w:r>
      <w:r w:rsidR="00FC251F" w:rsidRPr="00F00B0D">
        <w:rPr>
          <w:rFonts w:ascii="Times New Roman" w:hAnsi="Times New Roman" w:cs="Times New Roman"/>
        </w:rPr>
        <w:t>ä</w:t>
      </w:r>
      <w:r w:rsidRPr="00F00B0D">
        <w:rPr>
          <w:rFonts w:ascii="Times New Roman" w:hAnsi="Times New Roman" w:cs="Times New Roman"/>
        </w:rPr>
        <w:t xml:space="preserve"> kuvaus hankkeesta. Toteutuskumppanin on myös toimitettava j</w:t>
      </w:r>
      <w:r w:rsidR="00FC251F" w:rsidRPr="00F00B0D">
        <w:rPr>
          <w:rFonts w:ascii="Times New Roman" w:hAnsi="Times New Roman" w:cs="Times New Roman"/>
        </w:rPr>
        <w:t>ä</w:t>
      </w:r>
      <w:r w:rsidRPr="00F00B0D">
        <w:rPr>
          <w:rFonts w:ascii="Times New Roman" w:hAnsi="Times New Roman" w:cs="Times New Roman"/>
        </w:rPr>
        <w:t>senvaltiolle puolivuosittainen kertomus kunkin hankkeen/toiminnon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ntöönpanosta</w:t>
      </w:r>
      <w:r>
        <w:rPr>
          <w:rFonts w:ascii="Times New Roman"/>
        </w:rPr>
        <w:t>.</w:t>
      </w:r>
    </w:p>
  </w:footnote>
  <w:footnote w:id="66">
    <w:p w14:paraId="1388DD0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67">
    <w:p w14:paraId="049374A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68">
    <w:p w14:paraId="27EF568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69">
    <w:p w14:paraId="23D8534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70">
    <w:p w14:paraId="3CFFFF3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71">
    <w:p w14:paraId="43EEF02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72">
    <w:p w14:paraId="40807FE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73">
    <w:p w14:paraId="1CB6C7E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74">
    <w:p w14:paraId="2B20021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75">
    <w:p w14:paraId="05FC50D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76">
    <w:p w14:paraId="3BB736C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77">
    <w:p w14:paraId="7EBE54B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78">
    <w:p w14:paraId="66C53FE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79">
    <w:p w14:paraId="3830928D"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80">
    <w:p w14:paraId="3A72EFB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81">
    <w:p w14:paraId="6662CD5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82">
    <w:p w14:paraId="776C7398"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83">
    <w:p w14:paraId="169B8B2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84">
    <w:p w14:paraId="68351CA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85">
    <w:p w14:paraId="5899C85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86">
    <w:p w14:paraId="1EA804A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87">
    <w:p w14:paraId="2EC854D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88">
    <w:p w14:paraId="566B767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89">
    <w:p w14:paraId="73ACECE6"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90">
    <w:p w14:paraId="4C0937CD"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91">
    <w:p w14:paraId="18AEA43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92">
    <w:p w14:paraId="7EDFA028"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93">
    <w:p w14:paraId="6410233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94">
    <w:p w14:paraId="5A245C48"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95">
    <w:p w14:paraId="3FF52BCB" w14:textId="77777777" w:rsidR="0065073E" w:rsidRDefault="000A0998">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96">
    <w:p w14:paraId="3B9DEB54" w14:textId="77777777" w:rsidR="0065073E" w:rsidRDefault="000A0998">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97">
    <w:p w14:paraId="3459D487" w14:textId="77777777" w:rsidR="0065073E" w:rsidRDefault="000A0998">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98">
    <w:p w14:paraId="3748429C" w14:textId="0075588F" w:rsidR="0065073E" w:rsidRDefault="000A0998">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99">
    <w:p w14:paraId="52B8012A" w14:textId="36507B4D" w:rsidR="0065073E" w:rsidRDefault="000A0998">
      <w:pPr>
        <w:pStyle w:val="FootnoteText"/>
        <w:ind w:left="0" w:firstLine="0"/>
      </w:pPr>
      <w:r>
        <w:rPr>
          <w:rStyle w:val="FootnoteReference"/>
        </w:rPr>
        <w:footnoteRef/>
      </w:r>
      <w:r>
        <w:rPr>
          <w:rFonts w:ascii="Times New Roman" w:hAnsi="Times New Roman"/>
        </w:rPr>
        <w:t xml:space="preserve">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p>
  </w:footnote>
  <w:footnote w:id="100">
    <w:p w14:paraId="7FB2A563" w14:textId="0415409A"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01">
    <w:p w14:paraId="7CF82E2D" w14:textId="58CDBAD7" w:rsidR="0065073E" w:rsidRDefault="000A0998">
      <w:pPr>
        <w:pStyle w:val="P68B1DB1-FootnoteText41"/>
        <w:ind w:left="0" w:firstLine="0"/>
        <w:rPr>
          <w:rFonts w:cs="Times New Roman"/>
        </w:rPr>
      </w:pPr>
      <w:r w:rsidRPr="000A0998">
        <w:rPr>
          <w:vertAlign w:val="superscript"/>
        </w:rPr>
        <w:footnoteRef/>
      </w:r>
      <w:r>
        <w:t>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102">
    <w:p w14:paraId="78117A27" w14:textId="26E7C0B1" w:rsidR="0065073E" w:rsidRDefault="000A0998">
      <w:pPr>
        <w:pStyle w:val="FootnoteText"/>
        <w:ind w:left="0" w:firstLine="0"/>
      </w:pPr>
      <w:r>
        <w:rPr>
          <w:rStyle w:val="FootnoteReference"/>
        </w:rPr>
        <w:footnoteRef/>
      </w:r>
      <w:r w:rsidRPr="00F00B0D">
        <w:rPr>
          <w:rFonts w:ascii="Times New Roman" w:hAnsi="Times New Roman" w:cs="Times New Roman"/>
        </w:rPr>
        <w:t>Direktiivi</w:t>
      </w:r>
      <w:r w:rsidR="00FC251F" w:rsidRPr="00F00B0D">
        <w:rPr>
          <w:rFonts w:ascii="Times New Roman" w:hAnsi="Times New Roman" w:cs="Times New Roman"/>
        </w:rPr>
        <w:t>ä</w:t>
      </w:r>
      <w:r w:rsidRPr="00F00B0D">
        <w:rPr>
          <w:rFonts w:ascii="Times New Roman" w:hAnsi="Times New Roman" w:cs="Times New Roman"/>
        </w:rPr>
        <w:t xml:space="preserve"> 2013/34/EU on muutettu direktiivill</w:t>
      </w:r>
      <w:r w:rsidR="00FC251F" w:rsidRPr="00F00B0D">
        <w:rPr>
          <w:rFonts w:ascii="Times New Roman" w:hAnsi="Times New Roman" w:cs="Times New Roman"/>
        </w:rPr>
        <w:t>ä</w:t>
      </w:r>
      <w:r w:rsidRPr="00F00B0D">
        <w:rPr>
          <w:rFonts w:ascii="Times New Roman" w:hAnsi="Times New Roman" w:cs="Times New Roman"/>
        </w:rPr>
        <w:t xml:space="preserve"> (EU) 2022/2464 yritysten kest</w:t>
      </w:r>
      <w:r w:rsidR="00FC251F" w:rsidRPr="00F00B0D">
        <w:rPr>
          <w:rFonts w:ascii="Times New Roman" w:hAnsi="Times New Roman" w:cs="Times New Roman"/>
        </w:rPr>
        <w:t>ä</w:t>
      </w:r>
      <w:r w:rsidRPr="00F00B0D">
        <w:rPr>
          <w:rFonts w:ascii="Times New Roman" w:hAnsi="Times New Roman" w:cs="Times New Roman"/>
        </w:rPr>
        <w:t>vyysraportointia koskevasta direktiivist</w:t>
      </w:r>
      <w:r w:rsidR="00FC251F" w:rsidRPr="00F00B0D">
        <w:rPr>
          <w:rFonts w:ascii="Times New Roman" w:hAnsi="Times New Roman" w:cs="Times New Roman"/>
        </w:rPr>
        <w:t>ä</w:t>
      </w:r>
      <w:r>
        <w:rPr>
          <w:rFonts w:ascii="Times New Roman"/>
        </w:rPr>
        <w:t>.</w:t>
      </w:r>
    </w:p>
  </w:footnote>
  <w:footnote w:id="103">
    <w:p w14:paraId="51881876" w14:textId="77777777" w:rsidR="0065073E" w:rsidRDefault="000A0998">
      <w:pPr>
        <w:pStyle w:val="FootnoteText"/>
        <w:ind w:left="0" w:firstLine="0"/>
      </w:pPr>
      <w:r>
        <w:rPr>
          <w:rStyle w:val="FootnoteReference"/>
        </w:rPr>
        <w:footnoteRef/>
      </w:r>
      <w:r>
        <w:rPr>
          <w:rFonts w:ascii="Times New Roman" w:hAnsi="Times New Roman"/>
        </w:rPr>
        <w:t>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joiden osalta fossiilisten polttoaineiden käyttö on väliaikaista ja teknisesti mahdotonta, jotta voidaan siirtyä oikea-aikaisesti kohti fossiilisia polttoaineita sisältämätöntä toimintaa ja luopua fossiilisista polttoaineista kokonaan ajan mittaan</w:t>
      </w:r>
      <w:r>
        <w:t></w:t>
      </w:r>
    </w:p>
  </w:footnote>
  <w:footnote w:id="104">
    <w:p w14:paraId="6D1F4F17" w14:textId="1C9F9E01" w:rsidR="0065073E" w:rsidRDefault="000A0998">
      <w:pPr>
        <w:pStyle w:val="FootnoteText"/>
        <w:ind w:left="0" w:firstLine="0"/>
      </w:pPr>
      <w:r>
        <w:rPr>
          <w:rStyle w:val="FootnoteReference"/>
        </w:rPr>
        <w:footnoteRef/>
      </w:r>
      <w:r>
        <w:rPr>
          <w:rFonts w:ascii="Times New Roman"/>
        </w:rPr>
        <w:t xml:space="preserve">Jos tuetulla toiminnalla saavutetaan ennustetut </w:t>
      </w:r>
      <w:r w:rsidRPr="00F00B0D">
        <w:rPr>
          <w:rFonts w:ascii="Times New Roman" w:hAnsi="Times New Roman" w:cs="Times New Roman"/>
        </w:rPr>
        <w:t>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ole merkitt</w:t>
      </w:r>
      <w:r w:rsidR="00FC251F" w:rsidRPr="00F00B0D">
        <w:rPr>
          <w:rFonts w:ascii="Times New Roman" w:hAnsi="Times New Roman" w:cs="Times New Roman"/>
        </w:rPr>
        <w:t>ä</w:t>
      </w:r>
      <w:r w:rsidRPr="00F00B0D">
        <w:rPr>
          <w:rFonts w:ascii="Times New Roman" w:hAnsi="Times New Roman" w:cs="Times New Roman"/>
        </w:rPr>
        <w:t>v</w:t>
      </w:r>
      <w:r w:rsidR="00FC251F" w:rsidRPr="00F00B0D">
        <w:rPr>
          <w:rFonts w:ascii="Times New Roman" w:hAnsi="Times New Roman" w:cs="Times New Roman"/>
        </w:rPr>
        <w:t>ä</w:t>
      </w:r>
      <w:r w:rsidRPr="00F00B0D">
        <w:rPr>
          <w:rFonts w:ascii="Times New Roman" w:hAnsi="Times New Roman" w:cs="Times New Roman"/>
        </w:rPr>
        <w:t>sti vertailuarvoja pienemm</w:t>
      </w:r>
      <w:r w:rsidR="00FC251F" w:rsidRPr="00F00B0D">
        <w:rPr>
          <w:rFonts w:ascii="Times New Roman" w:hAnsi="Times New Roman" w:cs="Times New Roman"/>
        </w:rPr>
        <w:t>ä</w:t>
      </w:r>
      <w:r w:rsidRPr="00F00B0D">
        <w:rPr>
          <w:rFonts w:ascii="Times New Roman" w:hAnsi="Times New Roman" w:cs="Times New Roman"/>
        </w:rPr>
        <w:t>t, on annettava selvitys syist</w:t>
      </w:r>
      <w:r w:rsidR="00FC251F" w:rsidRPr="00F00B0D">
        <w:rPr>
          <w:rFonts w:ascii="Times New Roman" w:hAnsi="Times New Roman" w:cs="Times New Roman"/>
        </w:rPr>
        <w:t>ä</w:t>
      </w:r>
      <w:r w:rsidRPr="00F00B0D">
        <w:rPr>
          <w:rFonts w:ascii="Times New Roman" w:hAnsi="Times New Roman" w:cs="Times New Roman"/>
        </w:rPr>
        <w:t>, joiden vuoksi t</w:t>
      </w:r>
      <w:r w:rsidR="00FC251F" w:rsidRPr="00F00B0D">
        <w:rPr>
          <w:rFonts w:ascii="Times New Roman" w:hAnsi="Times New Roman" w:cs="Times New Roman"/>
        </w:rPr>
        <w:t>ä</w:t>
      </w:r>
      <w:r w:rsidRPr="00F00B0D">
        <w:rPr>
          <w:rFonts w:ascii="Times New Roman" w:hAnsi="Times New Roman" w:cs="Times New Roman"/>
        </w:rPr>
        <w:t>m</w:t>
      </w:r>
      <w:r w:rsidR="00FC251F" w:rsidRPr="00F00B0D">
        <w:rPr>
          <w:rFonts w:ascii="Times New Roman" w:hAnsi="Times New Roman" w:cs="Times New Roman"/>
        </w:rPr>
        <w:t>ä</w:t>
      </w:r>
      <w:r w:rsidRPr="00F00B0D">
        <w:rPr>
          <w:rFonts w:ascii="Times New Roman" w:hAnsi="Times New Roman" w:cs="Times New Roman"/>
        </w:rPr>
        <w:t xml:space="preserve"> ei ole mahdollista. Vertailuarvot, jotka on vahvistettu maksutta jaettavia p</w:t>
      </w:r>
      <w:r w:rsidR="00FC251F" w:rsidRPr="00F00B0D">
        <w:rPr>
          <w:rFonts w:ascii="Times New Roman" w:hAnsi="Times New Roman" w:cs="Times New Roman"/>
        </w:rPr>
        <w:t>ää</w:t>
      </w:r>
      <w:r w:rsidRPr="00F00B0D">
        <w:rPr>
          <w:rFonts w:ascii="Times New Roman" w:hAnsi="Times New Roman" w:cs="Times New Roman"/>
        </w:rPr>
        <w:t>stöoikeuksia varten 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w:t>
      </w:r>
      <w:r w:rsidRPr="00F00B0D">
        <w:rPr>
          <w:rFonts w:ascii="Times New Roman" w:hAnsi="Times New Roman" w:cs="Times New Roman"/>
        </w:rPr>
        <w:t>n soveltamisalaan kuuluville toiminnoille komission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ntöönpanoasetuksen (EU) 2021/447</w:t>
      </w:r>
      <w:r>
        <w:rPr>
          <w:rFonts w:ascii="Times New Roman"/>
        </w:rPr>
        <w:t xml:space="preserve"> mukaisesti.</w:t>
      </w:r>
    </w:p>
  </w:footnote>
  <w:footnote w:id="105">
    <w:p w14:paraId="652A1898"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06">
    <w:p w14:paraId="1AFE6726"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07">
    <w:p w14:paraId="6ABF1EBF" w14:textId="766B1F7C" w:rsidR="0065073E" w:rsidRDefault="000A0998">
      <w:pPr>
        <w:pStyle w:val="FootnoteText"/>
        <w:ind w:left="0" w:firstLine="0"/>
      </w:pPr>
      <w:r>
        <w:rPr>
          <w:rStyle w:val="FootnoteReference"/>
        </w:rPr>
        <w:footnoteRef/>
      </w:r>
      <w:r w:rsidRPr="00F00B0D">
        <w:rPr>
          <w:rFonts w:ascii="Times New Roman" w:hAnsi="Times New Roman" w:cs="Times New Roman"/>
        </w:rPr>
        <w:t>Lainojen, osallistumisperusteisten lainojen, hankejoukkolainojen, takausten tai vastaavien v</w:t>
      </w:r>
      <w:r w:rsidR="00FC251F" w:rsidRPr="00F00B0D">
        <w:rPr>
          <w:rFonts w:ascii="Times New Roman" w:hAnsi="Times New Roman" w:cs="Times New Roman"/>
        </w:rPr>
        <w:t>ä</w:t>
      </w:r>
      <w:r w:rsidRPr="00F00B0D">
        <w:rPr>
          <w:rFonts w:ascii="Times New Roman" w:hAnsi="Times New Roman" w:cs="Times New Roman"/>
        </w:rPr>
        <w:t>lineiden</w:t>
      </w:r>
      <w:r w:rsidR="00F00B0D">
        <w:rPr>
          <w:rFonts w:ascii="Times New Roman" w:hAnsi="Times New Roman" w:cs="Times New Roman"/>
        </w:rPr>
        <w:t xml:space="preserve"> </w:t>
      </w:r>
      <w:r w:rsidRPr="00F00B0D">
        <w:rPr>
          <w:rFonts w:ascii="Times New Roman" w:hAnsi="Times New Roman" w:cs="Times New Roman"/>
        </w:rPr>
        <w:t>lopullisten</w:t>
      </w:r>
      <w:r>
        <w:rPr>
          <w:rFonts w:ascii="Times New Roman" w:hAnsi="Times New Roman"/>
        </w:rPr>
        <w:t xml:space="preserve"> edunsaajien, jotka liittyvät tiettyihin hankkeisiin, on perusteltava valittu tukitoimiala kunkin tuetun hankkeen osalta sekä kuvaus hankkeesta. Kun kyseessä ovat oman pääoman ehtoiset, oman pääoman luonteiset, yritysjoukkovelkakirjalainat tai vastaavat välineet, joita ei ole kohdennettu tiettyihin hankkeisiin, ilmastovaikutusta laskettaessa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 olevista sovellettavista tukitoimialoista johtuvat kriteerit. Oman pääoman ehtoisen, oman pääoman luonteisen rahoituksen, yritysjoukkolainojen tai vastaavien välineiden, joita ei ole kohdennettu tiettyihin hankkeisiin, lopullisten tuensaajien on perusteltava valitut tukitoimialat. Toteutuskumppanin on myös toimitettava jäsenvaltiolle puolivuosittainen kertomus kunkin hankkeen/toiminnon täytäntöönpanosta. </w:t>
      </w:r>
    </w:p>
  </w:footnote>
  <w:footnote w:id="108">
    <w:p w14:paraId="0499B7C3" w14:textId="14EE5E49" w:rsidR="0065073E" w:rsidRDefault="000A0998">
      <w:pPr>
        <w:pStyle w:val="FootnoteText"/>
        <w:ind w:left="0" w:firstLine="0"/>
      </w:pPr>
      <w:r>
        <w:rPr>
          <w:rStyle w:val="FootnoteReference"/>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09">
    <w:p w14:paraId="33422E83" w14:textId="279DD539" w:rsidR="0065073E" w:rsidRDefault="000A0998">
      <w:pPr>
        <w:pStyle w:val="FootnoteText"/>
        <w:ind w:left="0" w:firstLine="0"/>
      </w:pPr>
      <w:r>
        <w:rPr>
          <w:rStyle w:val="FootnoteReference"/>
        </w:rPr>
        <w:footnoteRef/>
      </w:r>
      <w:r>
        <w:rPr>
          <w:rStyle w:val="normaltextrun"/>
          <w:rFonts w:ascii="Times New Roman" w:hAnsi="Times New Roman"/>
        </w:rPr>
        <w:t xml:space="preserve">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p>
  </w:footnote>
  <w:footnote w:id="110">
    <w:p w14:paraId="29199BEA"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11">
    <w:p w14:paraId="567F38DF" w14:textId="77777777" w:rsidR="0065073E" w:rsidRDefault="000A0998">
      <w:pPr>
        <w:pStyle w:val="P68B1DB1-FootnoteText41"/>
        <w:ind w:left="0" w:firstLine="0"/>
        <w:rPr>
          <w:rFonts w:cs="Times New Roman"/>
        </w:rPr>
      </w:pPr>
      <w:r w:rsidRPr="000A0998">
        <w:rPr>
          <w:vertAlign w:val="superscript"/>
        </w:rPr>
        <w:footnoteRef/>
      </w:r>
      <w:r>
        <w:t>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112">
    <w:p w14:paraId="17EBA5CD" w14:textId="5D633159" w:rsidR="0065073E" w:rsidRDefault="000A0998">
      <w:pPr>
        <w:pStyle w:val="FootnoteText"/>
        <w:ind w:left="0" w:firstLine="0"/>
      </w:pPr>
      <w:r>
        <w:rPr>
          <w:rStyle w:val="FootnoteReference"/>
        </w:rPr>
        <w:footnoteRef/>
      </w:r>
      <w:r>
        <w:rPr>
          <w:rFonts w:ascii="Times New Roman"/>
        </w:rPr>
        <w:t>Direktiivi</w:t>
      </w:r>
      <w:r w:rsidR="00FC251F">
        <w:rPr>
          <w:rFonts w:ascii="Times New Roman"/>
        </w:rPr>
        <w:t></w:t>
      </w:r>
      <w:r>
        <w:rPr>
          <w:rFonts w:ascii="Times New Roman"/>
        </w:rPr>
        <w:t xml:space="preserve"> 2013/34/EU on muutettu direktiivill</w:t>
      </w:r>
      <w:r w:rsidR="00FC251F">
        <w:rPr>
          <w:rFonts w:ascii="Times New Roman"/>
        </w:rPr>
        <w:t></w:t>
      </w:r>
      <w:r>
        <w:rPr>
          <w:rFonts w:ascii="Times New Roman"/>
        </w:rPr>
        <w:t xml:space="preserve"> (EU) 2022/2464 yritysten kest</w:t>
      </w:r>
      <w:r w:rsidR="00FC251F">
        <w:rPr>
          <w:rFonts w:ascii="Times New Roman"/>
        </w:rPr>
        <w:t></w:t>
      </w:r>
      <w:r>
        <w:rPr>
          <w:rFonts w:ascii="Times New Roman"/>
        </w:rPr>
        <w:t>vyysraportointia koskevasta direktiivist</w:t>
      </w:r>
      <w:r w:rsidR="00FC251F">
        <w:rPr>
          <w:rFonts w:ascii="Times New Roman"/>
        </w:rPr>
        <w:t></w:t>
      </w:r>
      <w:r>
        <w:rPr>
          <w:rFonts w:ascii="Times New Roman"/>
        </w:rPr>
        <w:t>.</w:t>
      </w:r>
    </w:p>
  </w:footnote>
  <w:footnote w:id="113">
    <w:p w14:paraId="5F4F1B0D" w14:textId="77777777" w:rsidR="0065073E" w:rsidRDefault="000A0998">
      <w:pPr>
        <w:pStyle w:val="FootnoteText"/>
        <w:ind w:left="0" w:firstLine="0"/>
      </w:pPr>
      <w:r>
        <w:rPr>
          <w:rStyle w:val="FootnoteReference"/>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14">
    <w:p w14:paraId="2AD5FCBD" w14:textId="23AB6427" w:rsidR="0065073E" w:rsidRDefault="000A0998">
      <w:pPr>
        <w:pStyle w:val="FootnoteText"/>
        <w:ind w:left="0" w:firstLine="0"/>
      </w:pPr>
      <w:r>
        <w:rPr>
          <w:rStyle w:val="FootnoteReference"/>
        </w:rPr>
        <w:footnoteRef/>
      </w:r>
      <w:r>
        <w:rPr>
          <w:rFonts w:ascii="Times New Roman"/>
        </w:rPr>
        <w:t xml:space="preserve">Jos tuetulla toiminnalla </w:t>
      </w:r>
      <w:r w:rsidRPr="00F00B0D">
        <w:rPr>
          <w:rFonts w:ascii="Times New Roman" w:hAnsi="Times New Roman" w:cs="Times New Roman"/>
        </w:rPr>
        <w:t>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ole merkitt</w:t>
      </w:r>
      <w:r w:rsidR="00FC251F" w:rsidRPr="00F00B0D">
        <w:rPr>
          <w:rFonts w:ascii="Times New Roman" w:hAnsi="Times New Roman" w:cs="Times New Roman"/>
        </w:rPr>
        <w:t>ä</w:t>
      </w:r>
      <w:r w:rsidRPr="00F00B0D">
        <w:rPr>
          <w:rFonts w:ascii="Times New Roman" w:hAnsi="Times New Roman" w:cs="Times New Roman"/>
        </w:rPr>
        <w:t>v</w:t>
      </w:r>
      <w:r w:rsidR="00FC251F" w:rsidRPr="00F00B0D">
        <w:rPr>
          <w:rFonts w:ascii="Times New Roman" w:hAnsi="Times New Roman" w:cs="Times New Roman"/>
        </w:rPr>
        <w:t>ä</w:t>
      </w:r>
      <w:r w:rsidRPr="00F00B0D">
        <w:rPr>
          <w:rFonts w:ascii="Times New Roman" w:hAnsi="Times New Roman" w:cs="Times New Roman"/>
        </w:rPr>
        <w:t>sti vertailuarvoja pienemm</w:t>
      </w:r>
      <w:r w:rsidR="00FC251F" w:rsidRPr="00F00B0D">
        <w:rPr>
          <w:rFonts w:ascii="Times New Roman" w:hAnsi="Times New Roman" w:cs="Times New Roman"/>
        </w:rPr>
        <w:t>ä</w:t>
      </w:r>
      <w:r w:rsidRPr="00F00B0D">
        <w:rPr>
          <w:rFonts w:ascii="Times New Roman" w:hAnsi="Times New Roman" w:cs="Times New Roman"/>
        </w:rPr>
        <w:t>t, on annettava selvitys syist</w:t>
      </w:r>
      <w:r w:rsidR="00FC251F" w:rsidRPr="00F00B0D">
        <w:rPr>
          <w:rFonts w:ascii="Times New Roman" w:hAnsi="Times New Roman" w:cs="Times New Roman"/>
        </w:rPr>
        <w:t>ä</w:t>
      </w:r>
      <w:r w:rsidRPr="00F00B0D">
        <w:rPr>
          <w:rFonts w:ascii="Times New Roman" w:hAnsi="Times New Roman" w:cs="Times New Roman"/>
        </w:rPr>
        <w:t>, joiden vuoksi t</w:t>
      </w:r>
      <w:r w:rsidR="00FC251F" w:rsidRPr="00F00B0D">
        <w:rPr>
          <w:rFonts w:ascii="Times New Roman" w:hAnsi="Times New Roman" w:cs="Times New Roman"/>
        </w:rPr>
        <w:t>ä</w:t>
      </w:r>
      <w:r w:rsidRPr="00F00B0D">
        <w:rPr>
          <w:rFonts w:ascii="Times New Roman" w:hAnsi="Times New Roman" w:cs="Times New Roman"/>
        </w:rPr>
        <w:t>m</w:t>
      </w:r>
      <w:r w:rsidR="00FC251F" w:rsidRPr="00F00B0D">
        <w:rPr>
          <w:rFonts w:ascii="Times New Roman" w:hAnsi="Times New Roman" w:cs="Times New Roman"/>
        </w:rPr>
        <w:t>ä</w:t>
      </w:r>
      <w:r w:rsidRPr="00F00B0D">
        <w:rPr>
          <w:rFonts w:ascii="Times New Roman" w:hAnsi="Times New Roman" w:cs="Times New Roman"/>
        </w:rPr>
        <w:t xml:space="preserve"> ei ole mahdollista. Vertailuarvot, jotka on vahvistettu maksutta jaettavia p</w:t>
      </w:r>
      <w:r w:rsidR="00FC251F" w:rsidRPr="00F00B0D">
        <w:rPr>
          <w:rFonts w:ascii="Times New Roman" w:hAnsi="Times New Roman" w:cs="Times New Roman"/>
        </w:rPr>
        <w:t>ää</w:t>
      </w:r>
      <w:r w:rsidRPr="00F00B0D">
        <w:rPr>
          <w:rFonts w:ascii="Times New Roman" w:hAnsi="Times New Roman" w:cs="Times New Roman"/>
        </w:rPr>
        <w:t>stöoikeuksia varten 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w:t>
      </w:r>
      <w:r w:rsidRPr="00F00B0D">
        <w:rPr>
          <w:rFonts w:ascii="Times New Roman" w:hAnsi="Times New Roman" w:cs="Times New Roman"/>
        </w:rPr>
        <w:t>n soveltamisalaan kuuluville toiminnoille komission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ntöönpanoasetuksen (EU) 2021/447</w:t>
      </w:r>
      <w:r>
        <w:rPr>
          <w:rFonts w:ascii="Times New Roman"/>
        </w:rPr>
        <w:t xml:space="preserve"> mukaisesti.</w:t>
      </w:r>
    </w:p>
  </w:footnote>
  <w:footnote w:id="115">
    <w:p w14:paraId="2FC76721" w14:textId="762F3F59"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16">
    <w:p w14:paraId="34A94635" w14:textId="412A13BE"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17">
    <w:p w14:paraId="33E3A5FA" w14:textId="3FA7E6DF" w:rsidR="0065073E" w:rsidRDefault="000A0998">
      <w:pPr>
        <w:pStyle w:val="FootnoteText"/>
        <w:ind w:left="0" w:firstLine="0"/>
      </w:pPr>
      <w:r>
        <w:rPr>
          <w:rStyle w:val="FootnoteReference"/>
        </w:rPr>
        <w:footnoteRef/>
      </w:r>
      <w:r>
        <w:rPr>
          <w:rFonts w:ascii="Times New Roman" w:hAnsi="Times New Roman"/>
        </w:rPr>
        <w:t xml:space="preserve">Kun kyseessä ovat oman pääoman ehtoiset, oman pääoman luonteiset, yritysjoukkolainat tai vastaavat välineet, joita ei ole kohdennettu tiettyihin hankkeisiin, digitaalisen panoksen laskennassa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VII vahvistetuista sovellettavista tukitoimialoista johtuvat kriteerit. </w:t>
      </w:r>
    </w:p>
  </w:footnote>
  <w:footnote w:id="118">
    <w:p w14:paraId="326C811D"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Direktiiviä 2013/34/EU on muutettu direktiivillä (EU) 2022/2464 yritysten kestävyysraportointia koskevasta direktiivistä.</w:t>
      </w:r>
    </w:p>
  </w:footnote>
  <w:footnote w:id="119">
    <w:p w14:paraId="07A1FD78" w14:textId="461565C2"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fossiilisista polttoaineista vapaata toimintaa ja luopua fossiilisista polttoaineista kokonaan ajan mittaan.</w:t>
      </w:r>
    </w:p>
  </w:footnote>
  <w:footnote w:id="120">
    <w:p w14:paraId="6C85A674"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 </w:t>
      </w:r>
    </w:p>
  </w:footnote>
  <w:footnote w:id="121">
    <w:p w14:paraId="5E4FA36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 </w:t>
      </w:r>
    </w:p>
  </w:footnote>
  <w:footnote w:id="122">
    <w:p w14:paraId="303BA82A" w14:textId="77777777" w:rsidR="0065073E" w:rsidRDefault="000A0998">
      <w:pPr>
        <w:pStyle w:val="FootnoteText"/>
        <w:ind w:left="0" w:firstLine="0"/>
        <w:rPr>
          <w:rFonts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 </w:t>
      </w:r>
    </w:p>
  </w:footnote>
  <w:footnote w:id="123">
    <w:p w14:paraId="5E76761E" w14:textId="4322F5E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Kun kyseessä ovat oman pääoman ehtoiset, oman pääoman luonteiset, yritysjoukkolainat tai vastaavat välineet, joita ei ole kohdennettu tiettyihin hankkeisiin, digitaalisen panoksen laskennassa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VII vahvistetuista sovellettavista tukitoimialoista johtuvat kriteerit. </w:t>
      </w:r>
    </w:p>
  </w:footnote>
  <w:footnote w:id="124">
    <w:p w14:paraId="5E6C3D45" w14:textId="77777777" w:rsidR="0065073E" w:rsidRDefault="000A0998">
      <w:pPr>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Verkko- ja tietoturva-alan yhteistyöryhmä, Cyber of 5G Network EU Toolbox of Risk mitigation measures, 01/2020, https://ec.europa.eu/newsroom/dae/document.cfm?doc_id=64468</w:t>
      </w:r>
    </w:p>
  </w:footnote>
  <w:footnote w:id="125">
    <w:p w14:paraId="79775987" w14:textId="77777777" w:rsidR="0065073E" w:rsidRDefault="000A0998">
      <w:pPr>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Euroopan parlamentin ja neuvoston asetus (EU) 2021/697, annettu 29 päivänä huhtikuuta 2021, Euroopan puolustusrahaston perustamisesta</w:t>
      </w:r>
    </w:p>
  </w:footnote>
  <w:footnote w:id="126">
    <w:p w14:paraId="72B28B99" w14:textId="77777777" w:rsidR="0065073E" w:rsidRDefault="000A0998">
      <w:pPr>
        <w:spacing w:after="0"/>
      </w:pPr>
      <w:r>
        <w:rPr>
          <w:rStyle w:val="FootnoteReference"/>
          <w:rFonts w:ascii="Times New Roman" w:hAnsi="Times New Roman" w:cs="Times New Roman"/>
          <w:sz w:val="20"/>
        </w:rPr>
        <w:footnoteRef/>
      </w:r>
      <w:r>
        <w:rPr>
          <w:rFonts w:ascii="Times New Roman" w:hAnsi="Times New Roman"/>
          <w:sz w:val="20"/>
        </w:rPr>
        <w:t xml:space="preserve"> Asetus (EU) 2021/696 EU:n avaruusohjelman ja Euroopan unionin avaruusohjelmaviraston perustamisesta</w:t>
      </w:r>
    </w:p>
  </w:footnote>
  <w:footnote w:id="127">
    <w:p w14:paraId="4067BF7D" w14:textId="2F40705E" w:rsidR="0065073E" w:rsidRDefault="000A0998">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28">
    <w:p w14:paraId="6729EEF5" w14:textId="56238AA2" w:rsidR="0065073E" w:rsidRDefault="000A0998">
      <w:pPr>
        <w:spacing w:after="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ascii="Times New Roman" w:hAnsi="Times New Roman"/>
          <w:sz w:val="20"/>
          <w:shd w:val="clear" w:color="auto" w:fill="FFFFFF"/>
        </w:rPr>
        <w:t>Toimenpiteen täytäntöönpano on saatettava päätökseen 31 päivään elokuuta 2026 mennessä.</w:t>
      </w:r>
    </w:p>
  </w:footnote>
  <w:footnote w:id="129">
    <w:p w14:paraId="6F7DB3F9"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30">
    <w:p w14:paraId="446E45FA" w14:textId="77777777" w:rsidR="0065073E" w:rsidRDefault="000A0998">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31">
    <w:p w14:paraId="144E1564" w14:textId="2C8A4371" w:rsidR="0065073E" w:rsidRDefault="000A0998">
      <w:pPr>
        <w:spacing w:after="0"/>
      </w:pPr>
      <w:r>
        <w:rPr>
          <w:rStyle w:val="FootnoteReference"/>
        </w:rPr>
        <w:footnoteRef/>
      </w:r>
      <w:r>
        <w:t xml:space="preserve"> Lopullisen tuensaajan</w:t>
      </w:r>
      <w:r>
        <w:rPr>
          <w:rFonts w:ascii="Times New Roman" w:hAnsi="Times New Roman"/>
          <w:sz w:val="20"/>
        </w:rPr>
        <w:t>katsotaan keskittyvän toimialaan tai liiketoimintaan, jos kyseisen alan tai toiminnan katsotaan olevan olennainen osa lopullisen edunsaajan liiketoimintaa suhteessa lopullisen edunsaajan bruttotuloihin, voittoihin tai asiakaskuntaan. Rajoitetun toimialan tai toiminnan bruttotulot eivät missään tapauksessa saa ylittää 50:tä prosenttia bruttotuloista.</w:t>
      </w:r>
    </w:p>
  </w:footnote>
  <w:footnote w:id="132">
    <w:p w14:paraId="1CB55135" w14:textId="3F151E1E" w:rsidR="0065073E" w:rsidRDefault="000A0998">
      <w:pPr>
        <w:pStyle w:val="FootnoteText"/>
        <w:ind w:left="0" w:firstLine="0"/>
      </w:pPr>
      <w:r>
        <w:rPr>
          <w:rStyle w:val="FootnoteReference"/>
        </w:rPr>
        <w:footnoteRef/>
      </w:r>
      <w:r>
        <w:rPr>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33">
    <w:p w14:paraId="5F2ACA3A" w14:textId="1967152E" w:rsidR="0065073E" w:rsidRDefault="000A0998">
      <w:pPr>
        <w:pStyle w:val="FootnoteText"/>
        <w:ind w:left="0" w:firstLine="0"/>
      </w:pPr>
      <w:r>
        <w:rPr>
          <w:rStyle w:val="FootnoteReference"/>
        </w:rPr>
        <w:footnoteRef/>
      </w:r>
      <w:r>
        <w:rPr>
          <w:rFonts w:ascii="Times New Roman"/>
        </w:rPr>
        <w:t xml:space="preserve">Mukaan lukien EU:n </w:t>
      </w:r>
      <w:r w:rsidRPr="00F00B0D">
        <w:rPr>
          <w:rFonts w:ascii="Times New Roman" w:hAnsi="Times New Roman" w:cs="Times New Roman"/>
        </w:rPr>
        <w:t>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ää</w:t>
      </w:r>
      <w:r w:rsidRPr="00F00B0D">
        <w:rPr>
          <w:rFonts w:ascii="Times New Roman" w:hAnsi="Times New Roman" w:cs="Times New Roman"/>
        </w:rPr>
        <w:t>n kuuluvat toiminnot ja omaisuuser</w:t>
      </w:r>
      <w:r w:rsidR="00FC251F" w:rsidRPr="00F00B0D">
        <w:rPr>
          <w:rFonts w:ascii="Times New Roman" w:hAnsi="Times New Roman" w:cs="Times New Roman"/>
        </w:rPr>
        <w:t>ä</w:t>
      </w:r>
      <w:r w:rsidRPr="00F00B0D">
        <w:rPr>
          <w:rFonts w:ascii="Times New Roman" w:hAnsi="Times New Roman" w:cs="Times New Roman"/>
        </w:rPr>
        <w:t>t, joilla 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alita asiaankuuluvia vertailuarvoja. Jos tuetulla toiminnalla 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ole merkitt</w:t>
      </w:r>
      <w:r w:rsidR="00FC251F" w:rsidRPr="00F00B0D">
        <w:rPr>
          <w:rFonts w:ascii="Times New Roman" w:hAnsi="Times New Roman" w:cs="Times New Roman"/>
        </w:rPr>
        <w:t>ä</w:t>
      </w:r>
      <w:r w:rsidRPr="00F00B0D">
        <w:rPr>
          <w:rFonts w:ascii="Times New Roman" w:hAnsi="Times New Roman" w:cs="Times New Roman"/>
        </w:rPr>
        <w:t>v</w:t>
      </w:r>
      <w:r w:rsidR="00FC251F" w:rsidRPr="00F00B0D">
        <w:rPr>
          <w:rFonts w:ascii="Times New Roman" w:hAnsi="Times New Roman" w:cs="Times New Roman"/>
        </w:rPr>
        <w:t>ä</w:t>
      </w:r>
      <w:r w:rsidRPr="00F00B0D">
        <w:rPr>
          <w:rFonts w:ascii="Times New Roman" w:hAnsi="Times New Roman" w:cs="Times New Roman"/>
        </w:rPr>
        <w:t>sti vertailuarvoja pienemm</w:t>
      </w:r>
      <w:r w:rsidR="00FC251F" w:rsidRPr="00F00B0D">
        <w:rPr>
          <w:rFonts w:ascii="Times New Roman" w:hAnsi="Times New Roman" w:cs="Times New Roman"/>
        </w:rPr>
        <w:t>ä</w:t>
      </w:r>
      <w:r w:rsidRPr="00F00B0D">
        <w:rPr>
          <w:rFonts w:ascii="Times New Roman" w:hAnsi="Times New Roman" w:cs="Times New Roman"/>
        </w:rPr>
        <w:t>t, on annettava selvitys syist</w:t>
      </w:r>
      <w:r w:rsidR="00FC251F" w:rsidRPr="00F00B0D">
        <w:rPr>
          <w:rFonts w:ascii="Times New Roman" w:hAnsi="Times New Roman" w:cs="Times New Roman"/>
        </w:rPr>
        <w:t>ä</w:t>
      </w:r>
      <w:r w:rsidRPr="00F00B0D">
        <w:rPr>
          <w:rFonts w:ascii="Times New Roman" w:hAnsi="Times New Roman" w:cs="Times New Roman"/>
        </w:rPr>
        <w:t>, joiden vuoksi t</w:t>
      </w:r>
      <w:r w:rsidR="00FC251F" w:rsidRPr="00F00B0D">
        <w:rPr>
          <w:rFonts w:ascii="Times New Roman" w:hAnsi="Times New Roman" w:cs="Times New Roman"/>
        </w:rPr>
        <w:t>ä</w:t>
      </w:r>
      <w:r w:rsidRPr="00F00B0D">
        <w:rPr>
          <w:rFonts w:ascii="Times New Roman" w:hAnsi="Times New Roman" w:cs="Times New Roman"/>
        </w:rPr>
        <w:t>m</w:t>
      </w:r>
      <w:r w:rsidR="00FC251F" w:rsidRPr="00F00B0D">
        <w:rPr>
          <w:rFonts w:ascii="Times New Roman" w:hAnsi="Times New Roman" w:cs="Times New Roman"/>
        </w:rPr>
        <w:t>ä</w:t>
      </w:r>
      <w:r w:rsidRPr="00F00B0D">
        <w:rPr>
          <w:rFonts w:ascii="Times New Roman" w:hAnsi="Times New Roman" w:cs="Times New Roman"/>
        </w:rPr>
        <w:t xml:space="preserve"> ei ole mahdollista. Vertailuarvot, jotka on vahvistettu maksutta jaettavia p</w:t>
      </w:r>
      <w:r w:rsidR="00FC251F" w:rsidRPr="00F00B0D">
        <w:rPr>
          <w:rFonts w:ascii="Times New Roman" w:hAnsi="Times New Roman" w:cs="Times New Roman"/>
        </w:rPr>
        <w:t>ää</w:t>
      </w:r>
      <w:r w:rsidRPr="00F00B0D">
        <w:rPr>
          <w:rFonts w:ascii="Times New Roman" w:hAnsi="Times New Roman" w:cs="Times New Roman"/>
        </w:rPr>
        <w:t>stöoikeuksia varten 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w:t>
      </w:r>
      <w:r w:rsidRPr="00F00B0D">
        <w:rPr>
          <w:rFonts w:ascii="Times New Roman" w:hAnsi="Times New Roman" w:cs="Times New Roman"/>
        </w:rPr>
        <w:t>n soveltamisalaan kuuluville toiminnoille komission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ntöönpanoasetuksen (EU) 2021/447 mukaisesti</w:t>
      </w:r>
      <w:r>
        <w:rPr>
          <w:rFonts w:ascii="Times New Roman"/>
        </w:rPr>
        <w:t>.</w:t>
      </w:r>
    </w:p>
  </w:footnote>
  <w:footnote w:id="134">
    <w:p w14:paraId="03D47B69" w14:textId="656099BA" w:rsidR="0065073E" w:rsidRDefault="000A0998">
      <w:pPr>
        <w:pStyle w:val="FootnoteText"/>
        <w:ind w:left="0" w:firstLine="0"/>
      </w:pPr>
      <w:r>
        <w:rPr>
          <w:rStyle w:val="FootnoteReference"/>
        </w:rPr>
        <w:footnoteRef/>
      </w:r>
      <w:r>
        <w:rPr>
          <w:rFonts w:ascii="Times New Roman"/>
        </w:rPr>
        <w:t xml:space="preserve">Saastuttavat </w:t>
      </w:r>
      <w:r w:rsidRPr="00F00B0D">
        <w:rPr>
          <w:rFonts w:ascii="Times New Roman" w:hAnsi="Times New Roman" w:cs="Times New Roman"/>
        </w:rPr>
        <w:t>ajoneuvot m</w:t>
      </w:r>
      <w:r w:rsidR="00FC251F" w:rsidRPr="00F00B0D">
        <w:rPr>
          <w:rFonts w:ascii="Times New Roman" w:hAnsi="Times New Roman" w:cs="Times New Roman"/>
        </w:rPr>
        <w:t>ää</w:t>
      </w:r>
      <w:r w:rsidRPr="00F00B0D">
        <w:rPr>
          <w:rFonts w:ascii="Times New Roman" w:hAnsi="Times New Roman" w:cs="Times New Roman"/>
        </w:rPr>
        <w:t>ritell</w:t>
      </w:r>
      <w:r w:rsidR="00FC251F" w:rsidRPr="00F00B0D">
        <w:rPr>
          <w:rFonts w:ascii="Times New Roman" w:hAnsi="Times New Roman" w:cs="Times New Roman"/>
        </w:rPr>
        <w:t>ää</w:t>
      </w:r>
      <w:r w:rsidRPr="00F00B0D">
        <w:rPr>
          <w:rFonts w:ascii="Times New Roman" w:hAnsi="Times New Roman" w:cs="Times New Roman"/>
        </w:rPr>
        <w:t>n p</w:t>
      </w:r>
      <w:r w:rsidR="00FC251F" w:rsidRPr="00F00B0D">
        <w:rPr>
          <w:rFonts w:ascii="Times New Roman" w:hAnsi="Times New Roman" w:cs="Times New Roman"/>
        </w:rPr>
        <w:t>ää</w:t>
      </w:r>
      <w:r w:rsidRPr="00F00B0D">
        <w:rPr>
          <w:rFonts w:ascii="Times New Roman" w:hAnsi="Times New Roman" w:cs="Times New Roman"/>
        </w:rPr>
        <w:t>stöttömiksi</w:t>
      </w:r>
      <w:r>
        <w:rPr>
          <w:rFonts w:ascii="Times New Roman"/>
        </w:rPr>
        <w:t xml:space="preserve"> ajoneuvoiksi.</w:t>
      </w:r>
    </w:p>
  </w:footnote>
  <w:footnote w:id="135">
    <w:p w14:paraId="03BE60AC" w14:textId="60BC34FB" w:rsidR="0065073E" w:rsidRDefault="000A0998">
      <w:pPr>
        <w:pStyle w:val="FootnoteText"/>
        <w:ind w:left="0" w:firstLine="0"/>
      </w:pPr>
      <w:r>
        <w:rPr>
          <w:rStyle w:val="FootnoteReference"/>
        </w:rPr>
        <w:footnoteRef/>
      </w:r>
      <w:r>
        <w:rPr>
          <w:rFonts w:ascii="Times New Roman" w:hAnsi="Times New Roman"/>
        </w:rPr>
        <w:t>Tätä poikkeusta ei sovelleta toimiin laitoksissa, jotka on tarkoitettu yksinomaan kierrätykseen kelpaamattoman vaarallisen jätteen käsittelyyn, eikä olemassa oleviin laitoksiin, jos tämän toimenpiteen mukaisten toimien tarkoituksena on energiatehokkuuden lisääminen, pakokaasujen talteenotto varastointia tai käyttöä varten tai materiaalien talteenotto polttotuhkasta, edellyttäen, että tällaiset tämän toimenpiteen mukaiset toimet eivät johda laitosten jätteenkäsittelykapasiteetin lisääntymiseen tai laitosten käyttöiän pidentämiseen; tästä toimitetaan näyttöä laitoskohtaisesti.</w:t>
      </w:r>
    </w:p>
  </w:footnote>
  <w:footnote w:id="136">
    <w:p w14:paraId="62EE6026" w14:textId="482E27BA"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37">
    <w:p w14:paraId="651F7B0D" w14:textId="673BB074" w:rsidR="0065073E" w:rsidRDefault="000A0998">
      <w:pPr>
        <w:pStyle w:val="FootnoteText"/>
        <w:ind w:left="0" w:firstLine="0"/>
      </w:pPr>
      <w:r>
        <w:rPr>
          <w:rStyle w:val="FootnoteReference"/>
          <w:rFonts w:ascii="Times New Roman" w:hAnsi="Times New Roman"/>
        </w:rPr>
        <w:footnoteRef/>
      </w:r>
      <w:r>
        <w:rPr>
          <w:rFonts w:ascii="Times New Roman" w:hAnsi="Times New Roman"/>
        </w:rPr>
        <w:t>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38">
    <w:p w14:paraId="6B92AA74" w14:textId="77777777" w:rsidR="0065073E" w:rsidRDefault="000A0998">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39">
    <w:p w14:paraId="74A21594" w14:textId="77777777" w:rsidR="0065073E" w:rsidRDefault="000A0998">
      <w:pPr>
        <w:spacing w:before="120" w:after="120" w:line="240" w:lineRule="auto"/>
        <w:jc w:val="both"/>
        <w:rPr>
          <w:rFonts w:ascii="Times New Roman" w:eastAsia="Times New Roman" w:hAnsi="Times New Roman" w:cs="Times New Roman"/>
          <w:sz w:val="20"/>
          <w:shd w:val="clear" w:color="auto" w:fill="FFFFFF"/>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ascii="Times New Roman" w:hAnsi="Times New Roman"/>
          <w:sz w:val="20"/>
          <w:shd w:val="clear" w:color="auto" w:fill="FFFFFF"/>
        </w:rPr>
        <w:t>Toimenpiteen täytäntöönpano on saatettava päätökseen 31 päivään elokuuta 2026 mennessä.</w:t>
      </w:r>
    </w:p>
  </w:footnote>
  <w:footnote w:id="140">
    <w:p w14:paraId="06BE09BB" w14:textId="04B2E985"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41">
    <w:p w14:paraId="43880B13" w14:textId="5EB557F3" w:rsidR="0065073E" w:rsidRDefault="000A0998">
      <w:pPr>
        <w:pStyle w:val="FootnoteText"/>
        <w:ind w:left="0" w:firstLine="0"/>
      </w:pPr>
      <w:r>
        <w:rPr>
          <w:rStyle w:val="FootnoteReference"/>
          <w:rFonts w:ascii="Times New Roman" w:hAnsi="Times New Roman" w:cs="Times New Roman"/>
        </w:rPr>
        <w:footnoteRef/>
      </w:r>
      <w:r>
        <w:rPr>
          <w:rFonts w:ascii="Times New Roman" w:hAnsi="Times New Roman"/>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42">
    <w:p w14:paraId="2F461A80" w14:textId="4F4A10AE" w:rsidR="0065073E" w:rsidRDefault="000A0998">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Direktiiviä 2013/34/EU on muutettu direktiivillä (EU) 2022/2464 yritysten kestävyysraportointia koskevasta direktiivistä.</w:t>
      </w:r>
    </w:p>
  </w:footnote>
  <w:footnote w:id="143">
    <w:p w14:paraId="2F73802F" w14:textId="77777777" w:rsidR="0065073E" w:rsidRDefault="000A0998">
      <w:pPr>
        <w:spacing w:before="120" w:after="120" w:line="240" w:lineRule="auto"/>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joiden osalta fossiilisten polttoaineiden käyttö on väliaikaista ja teknisesti mahdotonta, jotta voidaan siirtyä oikea-aikaisesti kohti fossiilisia polttoaineita sisältämätöntä toimintaa ja luopua fossiilisista polttoaineista kokonaan ajan mittaan.</w:t>
      </w:r>
    </w:p>
  </w:footnote>
  <w:footnote w:id="144">
    <w:p w14:paraId="7D096330" w14:textId="01426183"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45">
    <w:p w14:paraId="6C2F19A7" w14:textId="461A7633"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46">
    <w:p w14:paraId="65F80730" w14:textId="77777777" w:rsidR="0065073E" w:rsidRDefault="000A0998">
      <w:pPr>
        <w:pStyle w:val="ListParagraph"/>
        <w:ind w:left="0"/>
        <w:rPr>
          <w:rFonts w:ascii="Times New Roman" w:eastAsia="Times New Roman" w:hAnsi="Times New Roman" w:cs="Times New Roman"/>
          <w:sz w:val="20"/>
        </w:rPr>
      </w:pPr>
      <w:r>
        <w:rPr>
          <w:rStyle w:val="FootnoteReference"/>
          <w:rFonts w:ascii="Times New Roman" w:hAnsi="Times New Roman" w:cs="Times New Roman"/>
          <w:sz w:val="20"/>
        </w:rPr>
        <w:footnoteRef/>
      </w:r>
      <w:r w:rsidRPr="00F00B0D">
        <w:rPr>
          <w:rStyle w:val="FootnoteReference"/>
          <w:rFonts w:cs="Times New Roman"/>
        </w:rPr>
        <w:t xml:space="preserve"> </w:t>
      </w:r>
      <w:r>
        <w:rPr>
          <w:rFonts w:ascii="Times New Roman" w:hAnsi="Times New Roman"/>
          <w:sz w:val="20"/>
        </w:rPr>
        <w:t xml:space="preserve">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 </w:t>
      </w:r>
    </w:p>
    <w:p w14:paraId="7738AF73" w14:textId="77777777" w:rsidR="0065073E" w:rsidRDefault="0065073E">
      <w:pPr>
        <w:pStyle w:val="FootnoteText"/>
        <w:ind w:left="0" w:firstLine="0"/>
      </w:pPr>
    </w:p>
  </w:footnote>
  <w:footnote w:id="147">
    <w:p w14:paraId="6A8687C4" w14:textId="2E25EA5D"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Lainojen, osallistumisperusteisten lainojen, hankejoukkolainojen, takausten tai vastaavien välineiden lopullisten edunsaajien, jotka liittyvät tiettyihin hankkeisiin, on perusteltava valittu tukitoimiala kunkin tuetun hankkeen osalta sekä kuvaus hankkeesta. Kun kyseessä ovat oman pääoman ehtoiset, oman pääoman luonteiset, yritysjoukkovelkakirjalainat tai vastaavat välineet, joita ei ole kohdennettu tiettyihin hankkeisiin, ilmastovaikutusta laskettaessa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 olevista sovellettavista tukitoimialoista johtuvat kriteerit. Oman pääoman ehtoisen, oman pääoman luonteisen rahoituksen, yritysjoukkolainojen tai vastaavien välineiden, joita ei ole kohdennettu tiettyihin hankkeisiin, lopullisten tuensaajien on perusteltava valitut tukitoimialat. Toteutuskumppanin on myös toimitettava jäsenvaltiolle puolivuosittainen kertomus kunkin hankkeen/toiminnon täytäntöönpanosta.</w:t>
      </w:r>
    </w:p>
  </w:footnote>
  <w:footnote w:id="148">
    <w:p w14:paraId="4A7FBCDF" w14:textId="13D97DB9" w:rsidR="0065073E" w:rsidRDefault="000A0998">
      <w:pPr>
        <w:spacing w:before="160" w:after="0" w:line="240" w:lineRule="auto"/>
        <w:jc w:val="both"/>
        <w:rPr>
          <w:rFonts w:ascii="Times New Roman" w:eastAsia="Times New Roman" w:hAnsi="Times New Roman" w:cs="Times New Roman"/>
          <w:sz w:val="24"/>
        </w:rPr>
      </w:pPr>
      <w:r w:rsidRPr="00F00B0D">
        <w:rPr>
          <w:rStyle w:val="FootnoteReference"/>
          <w:rFonts w:ascii="Symbol" w:hAnsi="Symbol" w:cs="Symbol"/>
          <w:sz w:val="20"/>
        </w:rPr>
        <w:footnoteRef/>
      </w:r>
      <w:r>
        <w:t xml:space="preserve"> </w:t>
      </w:r>
      <w:r>
        <w:rPr>
          <w:rFonts w:ascii="Times New Roman" w:hAnsi="Times New Roman"/>
          <w:sz w:val="20"/>
        </w:rPr>
        <w:t>Lukuun ottamatta a) sähkön- ja/tai lämmöntuotantoa koskevia hankkeita sekä niihin liittyvää maakaasua käyttävää siirto- ja jakeluinfrastruktuuria, jotka täyttävät ”ei merkittävää haittaa” -periaatteen (2021/C58/01) liitteessä III vahvistetut edellytykset, ja b) ii alakohdan mukaiset toiminnot ja omaisuuserät, joissa fossiilisten polttoaineiden käyttö on väliaikaista ja teknisesti mahdotonta välttää, jotta voidaan siirtyä oikea-aikaisesti kohti fossiilista polttoainetta sisältämätöntä toimintaa.</w:t>
      </w:r>
    </w:p>
  </w:footnote>
  <w:footnote w:id="149">
    <w:p w14:paraId="784A8839" w14:textId="38349033" w:rsidR="0065073E" w:rsidRDefault="000A0998">
      <w:pPr>
        <w:pStyle w:val="FootnoteText"/>
        <w:ind w:left="0" w:firstLine="0"/>
      </w:pPr>
      <w:r>
        <w:rPr>
          <w:rStyle w:val="FootnoteReference"/>
        </w:rPr>
        <w:footnoteRef/>
      </w:r>
      <w:r>
        <w:rPr>
          <w:rFonts w:ascii="Times New Roman"/>
        </w:rPr>
        <w:t xml:space="preserve">Jos </w:t>
      </w:r>
      <w:r w:rsidRPr="00F00B0D">
        <w:rPr>
          <w:rFonts w:ascii="Times New Roman" w:hAnsi="Times New Roman" w:cs="Times New Roman"/>
        </w:rPr>
        <w:t>tuetulla toiminnalla 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ole merkitt</w:t>
      </w:r>
      <w:r w:rsidR="00FC251F" w:rsidRPr="00F00B0D">
        <w:rPr>
          <w:rFonts w:ascii="Times New Roman" w:hAnsi="Times New Roman" w:cs="Times New Roman"/>
        </w:rPr>
        <w:t>ä</w:t>
      </w:r>
      <w:r w:rsidRPr="00F00B0D">
        <w:rPr>
          <w:rFonts w:ascii="Times New Roman" w:hAnsi="Times New Roman" w:cs="Times New Roman"/>
        </w:rPr>
        <w:t>v</w:t>
      </w:r>
      <w:r w:rsidR="00FC251F" w:rsidRPr="00F00B0D">
        <w:rPr>
          <w:rFonts w:ascii="Times New Roman" w:hAnsi="Times New Roman" w:cs="Times New Roman"/>
        </w:rPr>
        <w:t>ä</w:t>
      </w:r>
      <w:r w:rsidRPr="00F00B0D">
        <w:rPr>
          <w:rFonts w:ascii="Times New Roman" w:hAnsi="Times New Roman" w:cs="Times New Roman"/>
        </w:rPr>
        <w:t>sti vertailuarvoja pienemm</w:t>
      </w:r>
      <w:r w:rsidR="00FC251F" w:rsidRPr="00F00B0D">
        <w:rPr>
          <w:rFonts w:ascii="Times New Roman" w:hAnsi="Times New Roman" w:cs="Times New Roman"/>
        </w:rPr>
        <w:t>ä</w:t>
      </w:r>
      <w:r w:rsidRPr="00F00B0D">
        <w:rPr>
          <w:rFonts w:ascii="Times New Roman" w:hAnsi="Times New Roman" w:cs="Times New Roman"/>
        </w:rPr>
        <w:t>t, on annettava selvitys syist</w:t>
      </w:r>
      <w:r w:rsidR="00FC251F" w:rsidRPr="00F00B0D">
        <w:rPr>
          <w:rFonts w:ascii="Times New Roman" w:hAnsi="Times New Roman" w:cs="Times New Roman"/>
        </w:rPr>
        <w:t>ä</w:t>
      </w:r>
      <w:r w:rsidRPr="00F00B0D">
        <w:rPr>
          <w:rFonts w:ascii="Times New Roman" w:hAnsi="Times New Roman" w:cs="Times New Roman"/>
        </w:rPr>
        <w:t>, joiden vuoksi t</w:t>
      </w:r>
      <w:r w:rsidR="00FC251F" w:rsidRPr="00F00B0D">
        <w:rPr>
          <w:rFonts w:ascii="Times New Roman" w:hAnsi="Times New Roman" w:cs="Times New Roman"/>
        </w:rPr>
        <w:t>ä</w:t>
      </w:r>
      <w:r w:rsidRPr="00F00B0D">
        <w:rPr>
          <w:rFonts w:ascii="Times New Roman" w:hAnsi="Times New Roman" w:cs="Times New Roman"/>
        </w:rPr>
        <w:t>m</w:t>
      </w:r>
      <w:r w:rsidR="00FC251F" w:rsidRPr="00F00B0D">
        <w:rPr>
          <w:rFonts w:ascii="Times New Roman" w:hAnsi="Times New Roman" w:cs="Times New Roman"/>
        </w:rPr>
        <w:t>ä</w:t>
      </w:r>
      <w:r w:rsidRPr="00F00B0D">
        <w:rPr>
          <w:rFonts w:ascii="Times New Roman" w:hAnsi="Times New Roman" w:cs="Times New Roman"/>
        </w:rPr>
        <w:t xml:space="preserve"> ei ole mahdollista. Vertailuarvot, jotka on vahvistettu maksutta jaettavia p</w:t>
      </w:r>
      <w:r w:rsidR="00FC251F" w:rsidRPr="00F00B0D">
        <w:rPr>
          <w:rFonts w:ascii="Times New Roman" w:hAnsi="Times New Roman" w:cs="Times New Roman"/>
        </w:rPr>
        <w:t>ää</w:t>
      </w:r>
      <w:r w:rsidRPr="00F00B0D">
        <w:rPr>
          <w:rFonts w:ascii="Times New Roman" w:hAnsi="Times New Roman" w:cs="Times New Roman"/>
        </w:rPr>
        <w:t>stöoikeuksia varten 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w:t>
      </w:r>
      <w:r w:rsidRPr="00F00B0D">
        <w:rPr>
          <w:rFonts w:ascii="Times New Roman" w:hAnsi="Times New Roman" w:cs="Times New Roman"/>
        </w:rPr>
        <w:t>n soveltamisalaan kuuluville toiminnoille komission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ntöönpanoasetuksen (EU) 2021/447</w:t>
      </w:r>
      <w:r>
        <w:rPr>
          <w:rFonts w:ascii="Times New Roman"/>
        </w:rPr>
        <w:t xml:space="preserve"> mukaisesti.</w:t>
      </w:r>
    </w:p>
  </w:footnote>
  <w:footnote w:id="150">
    <w:p w14:paraId="01BAF0D9" w14:textId="777746A1" w:rsidR="0065073E" w:rsidRDefault="000A0998">
      <w:pPr>
        <w:pStyle w:val="FootnoteText"/>
        <w:ind w:left="0" w:firstLine="0"/>
      </w:pPr>
      <w:r>
        <w:rPr>
          <w:rStyle w:val="FootnoteReference"/>
        </w:rPr>
        <w:footnoteRef/>
      </w:r>
      <w:r>
        <w:rPr>
          <w:rFonts w:ascii="Times New Roman" w:hAnsi="Times New Roman"/>
        </w:rPr>
        <w:t xml:space="preserve">Tätä poikkeusta ei sovelleta toimiin laitoksissa, jotka on tarkoitettu yksinomaan kierrätykseen kelpaamattoman vaarallisen jätteen käsittelyyn, eikä olemassa oleviin laitoksiin, joissa toimien tarkoituksena on energiatehokkuuden lisääminen, pakokaasujen talteenotto varastointia tai käyttöä varten tai materiaalien talteenotto polttotuhkasta edellyttäen, että tällaiset toimet eivät lisää laitosten jätteenkäsittelykapasiteettia tai pidennä laitosten käyttöikää; tästä toimitetaan näyttöä laitoskohtaisesti.  </w:t>
      </w:r>
    </w:p>
  </w:footnote>
  <w:footnote w:id="151">
    <w:p w14:paraId="53F002F8" w14:textId="09EA7658" w:rsidR="0065073E" w:rsidRDefault="000A0998">
      <w:pPr>
        <w:pStyle w:val="FootnoteText"/>
        <w:ind w:left="0" w:firstLine="0"/>
      </w:pPr>
      <w:r>
        <w:rPr>
          <w:rStyle w:val="FootnoteReference"/>
        </w:rPr>
        <w:footnoteRef/>
      </w:r>
      <w:r>
        <w:rPr>
          <w:rFonts w:ascii="Times New Roman" w:hAnsi="Times New Roman"/>
        </w:rPr>
        <w:t>Tätä poikkeusta ei sovelleta olemassa olevissa mekaanisissa biologisissa käsittelylaitoksissa toteutettaviin toimiin, joiden tarkoituksena on energiatehokkuuden lisääminen tai erotetun jätteen kierrätystoimien jälkiasennus biojätteen kompostoimiseksi ja biojätteen anaerobinen mädätys, edellyttäen, että tällaiset toimet eivät lisää laitosten jätteenkäsittelykapasiteettia tai pidennä laitosten elinikää; tästä toimitetaan näyttöä laitoskohtaisesti.</w:t>
      </w:r>
    </w:p>
  </w:footnote>
  <w:footnote w:id="152">
    <w:p w14:paraId="3F60B53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53">
    <w:p w14:paraId="7C155246"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54">
    <w:p w14:paraId="5902505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55">
    <w:p w14:paraId="48D0549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56">
    <w:p w14:paraId="7B4A404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57">
    <w:p w14:paraId="6A8FF32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58">
    <w:p w14:paraId="2F70DF0A"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59">
    <w:p w14:paraId="1829465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60">
    <w:p w14:paraId="4C7A2D7C" w14:textId="469BCAAD" w:rsidR="0065073E" w:rsidRDefault="000A0998">
      <w:pPr>
        <w:pStyle w:val="FootnoteText"/>
        <w:ind w:left="0" w:firstLine="0"/>
      </w:pPr>
      <w:r>
        <w:rPr>
          <w:rStyle w:val="FootnoteReference"/>
        </w:rPr>
        <w:footnoteRef/>
      </w:r>
      <w:r>
        <w:rPr>
          <w:rFonts w:ascii="Times New Roman" w:hAnsi="Times New Roman"/>
        </w:rPr>
        <w:t>Kun kyseessä ovat oman pääoman ehtoiset, oman pääoman luonteiset, yritysjoukkolainat tai vastaavat välineet, joita ei ole kohdennettu tiettyihin hankkeisiin, digitaalisen panoksen laskemiseksi investointipolitiikassa on edellytettävä, että vähintään 90 prosenttia saajan edellisen tilikauden tuloista tai liiketoimintasuunnitelman mukaisista tulevista tuloista saadaan toiminnasta, joka on yhdenmukainen elpymis- ja palautumistukivälinettä koskevan asetuksen liitteessä VII olevien sovellettavien tukitoimialojen kanssa.</w:t>
      </w:r>
    </w:p>
  </w:footnote>
  <w:footnote w:id="161">
    <w:p w14:paraId="7E9565A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62">
    <w:p w14:paraId="4468CBE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63">
    <w:p w14:paraId="0363EF16"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64">
    <w:p w14:paraId="2BD7C40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65">
    <w:p w14:paraId="0F87503B"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66">
    <w:p w14:paraId="551D903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67">
    <w:p w14:paraId="6A31A0C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68">
    <w:p w14:paraId="0CF30C74"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69">
    <w:p w14:paraId="63317D2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ja laitoksille komission täytäntöönpanoasetuksen (EU) 2021/447 mukaisesti.</w:t>
      </w:r>
    </w:p>
  </w:footnote>
  <w:footnote w:id="170">
    <w:p w14:paraId="7C9B382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71">
    <w:p w14:paraId="69C61B1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72">
    <w:p w14:paraId="700A22F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73">
    <w:p w14:paraId="4FED116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74">
    <w:p w14:paraId="54C0D5E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75">
    <w:p w14:paraId="04DB286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siihen liittyvää maakaasua käyttävää siirto- ja jakeluinfrastruktuuria ja jotka ovat ”ei merkittävää haittaa” -periaatteen mukaisten teknisten ohjeiden (2021/C58/01) liitteessä III vahvistettujen edellytysten mukaisia. </w:t>
      </w:r>
    </w:p>
  </w:footnote>
  <w:footnote w:id="176">
    <w:p w14:paraId="66A9F2A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77">
    <w:p w14:paraId="20CFA8F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78">
    <w:p w14:paraId="59920EE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79">
    <w:p w14:paraId="53539C5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fossiilisia polttoaineita sisältämätöntä toimintaa.</w:t>
      </w:r>
    </w:p>
  </w:footnote>
  <w:footnote w:id="180">
    <w:p w14:paraId="49A0EA2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81">
    <w:p w14:paraId="3D43B76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82">
    <w:p w14:paraId="69DEDC94"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erotetun jätteen energiatehokkuutta tai jälkiasennuksia biojätteen kompostoimiseksi ja biojätteen anaerobiseen mädätykseen, edellyttäen, että tämän toimenpiteen mukaiset toimet eivät johda laitosten jätteenkäsittelykapasiteetin kasvuun\ tai laitosten käyttöiän pidentämiseen. tästä toimitetaan näyttöä laitoskohtaisesti.</w:t>
      </w:r>
    </w:p>
  </w:footnote>
  <w:footnote w:id="183">
    <w:p w14:paraId="25C0F987" w14:textId="351EDC76"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alakohdan mukaiset toiminnot ja omaisuuserät, joissa fossiilisten polttoaineiden käyttö on väliaikaista ja teknisesti mahdotonta välttää, jotta voidaan siirtyä oikea-aikaisesti kohti fossiilisia polttoaineita sisältämätöntä toimintaa.</w:t>
      </w:r>
    </w:p>
  </w:footnote>
  <w:footnote w:id="184">
    <w:p w14:paraId="773168C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85">
    <w:p w14:paraId="18EE1B1D" w14:textId="77777777" w:rsidR="0065073E" w:rsidRDefault="000A0998">
      <w:pPr>
        <w:pStyle w:val="FootnoteText"/>
        <w:rPr>
          <w:rStyle w:val="normaltextrun"/>
          <w:rFonts w:ascii="Times New Roman" w:hAnsi="Times New Roman"/>
          <w:shd w:val="clear" w:color="auto" w:fill="FFFFFF"/>
        </w:rPr>
      </w:pPr>
      <w:r>
        <w:rPr>
          <w:rStyle w:val="FootnoteReference"/>
        </w:rPr>
        <w:footnoteRef/>
      </w:r>
      <w:r>
        <w:t></w:t>
      </w:r>
      <w:r>
        <w:rPr>
          <w:rStyle w:val="normaltextrun"/>
          <w:rFonts w:ascii="Times New Roman" w:hAnsi="Times New Roman"/>
          <w:shd w:val="clear" w:color="auto" w:fill="FFFFFF"/>
        </w:rPr>
        <w:t>Tätä poikkeusta ei sovelleta tämän toimenpiteen mukaisiin toimiin laitoksissa, jotka on tarkoitettu yksinomaan kierrätyskelvottomien käsittelylaitosten käsittelyyn.</w:t>
      </w:r>
    </w:p>
    <w:p w14:paraId="0192DF5C" w14:textId="77777777" w:rsidR="0065073E" w:rsidRDefault="000A0998">
      <w:pPr>
        <w:pStyle w:val="FootnoteText"/>
        <w:rPr>
          <w:rStyle w:val="normaltextrun"/>
          <w:rFonts w:ascii="Times New Roman" w:hAnsi="Times New Roman"/>
          <w:shd w:val="clear" w:color="auto" w:fill="FFFFFF"/>
        </w:rPr>
      </w:pPr>
      <w:r>
        <w:rPr>
          <w:rStyle w:val="normaltextrun"/>
          <w:rFonts w:ascii="Times New Roman" w:hAnsi="Times New Roman"/>
          <w:shd w:val="clear" w:color="auto" w:fill="FFFFFF"/>
        </w:rPr>
        <w:t xml:space="preserve">vaaralliset jätteet ja olemassa olevat laitokset, jos tämän toimenpiteen mukaisten toimien tarkoituksena on lisätä energiaa </w:t>
      </w:r>
    </w:p>
    <w:p w14:paraId="02B14DA8" w14:textId="3F29D161" w:rsidR="0065073E" w:rsidRDefault="000A0998">
      <w:pPr>
        <w:pStyle w:val="FootnoteText"/>
        <w:ind w:left="0" w:firstLine="0"/>
        <w:rPr>
          <w:rStyle w:val="normaltextrun"/>
          <w:rFonts w:ascii="Times New Roman" w:hAnsi="Times New Roman"/>
          <w:shd w:val="clear" w:color="auto" w:fill="FFFFFF"/>
        </w:rPr>
      </w:pPr>
      <w:r>
        <w:rPr>
          <w:rStyle w:val="normaltextrun"/>
          <w:rFonts w:ascii="Times New Roman" w:hAnsi="Times New Roman"/>
          <w:shd w:val="clear" w:color="auto" w:fill="FFFFFF"/>
        </w:rPr>
        <w:t>tehokkuus, pakokaasujen talteenotto varastointia tai käyttöä varten tai materiaalien talteenotto polttotuhkasta edellyttäen, että tämän toimenpiteen mukaiset toimet eivät johda laitosten jätteenkäsittelykapasiteetin lisääntymiseen tai laitosten käyttöiän pidentämiseen; tästä toimitetaan näyttöä laitoskohtaisesti.</w:t>
      </w:r>
    </w:p>
  </w:footnote>
  <w:footnote w:id="186">
    <w:p w14:paraId="3D8CEDF0"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  </w:t>
      </w:r>
    </w:p>
  </w:footnote>
  <w:footnote w:id="187">
    <w:p w14:paraId="6290D5A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  </w:t>
      </w:r>
    </w:p>
  </w:footnote>
  <w:footnote w:id="188">
    <w:p w14:paraId="49CBF51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Jos tuetulla toiminnalla saavutetaan ennustetut kasvihuonekaasupäästöt, jotka eivät ole merkittävästi vertailuarvoja pienemmät, on annettava selvitys syistä, joiden vuoksi tämä ei ole mahdollista. Komission täytäntöönpanoasetuksessa (EU) 2021/447 vahvistetun päästökauppajärjestelmän soveltamisalaan kuuluvien toimintojen maksutta jaettavia päästöoikeuksia varten vahvistetut vertailuarvot</w:t>
      </w:r>
    </w:p>
  </w:footnote>
  <w:footnote w:id="189">
    <w:p w14:paraId="30870E96" w14:textId="77777777" w:rsidR="0065073E" w:rsidRDefault="000A0998">
      <w:pPr>
        <w:pStyle w:val="FootnoteText"/>
        <w:ind w:left="0" w:firstLine="0"/>
        <w:rPr>
          <w:rFonts w:ascii="Times New Roman" w:hAnsi="Times New Roman" w:cs="Times New Roman"/>
        </w:rPr>
      </w:pPr>
      <w:r>
        <w:rPr>
          <w:rStyle w:val="FootnoteReference"/>
          <w:rFonts w:ascii="Times New Roman" w:eastAsia="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  </w:t>
      </w:r>
    </w:p>
  </w:footnote>
  <w:footnote w:id="190">
    <w:p w14:paraId="48475B0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  </w:t>
      </w:r>
    </w:p>
  </w:footnote>
  <w:footnote w:id="191">
    <w:p w14:paraId="2F391CBB" w14:textId="5C47DD13" w:rsidR="0065073E" w:rsidRDefault="000A0998">
      <w:pPr>
        <w:spacing w:before="120" w:after="120" w:line="240" w:lineRule="auto"/>
        <w:jc w:val="both"/>
        <w:rPr>
          <w:rFonts w:ascii="Times New Roman" w:eastAsia="Times New Roman" w:hAnsi="Times New Roman" w:cs="Times New Roman"/>
          <w:sz w:val="24"/>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92">
    <w:p w14:paraId="3D0FFA9D" w14:textId="2B6E07B8" w:rsidR="0065073E" w:rsidRDefault="000A0998">
      <w:pPr>
        <w:spacing w:before="120" w:after="120" w:line="240" w:lineRule="auto"/>
        <w:jc w:val="both"/>
        <w:rPr>
          <w:rFonts w:ascii="Times New Roman" w:eastAsia="Times New Roman" w:hAnsi="Times New Roman" w:cs="Times New Roman"/>
          <w:sz w:val="24"/>
          <w:shd w:val="clear" w:color="auto" w:fill="FFFFFF"/>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ascii="Times New Roman" w:hAnsi="Times New Roman"/>
          <w:sz w:val="20"/>
          <w:shd w:val="clear" w:color="auto" w:fill="FFFFFF"/>
        </w:rPr>
        <w:t>Toimenpiteen täytäntöönpano on saatettava päätökseen 31 päivään elokuuta 2026 mennessä.</w:t>
      </w:r>
    </w:p>
  </w:footnote>
  <w:footnote w:id="193">
    <w:p w14:paraId="21DC4060" w14:textId="372AF9DB" w:rsidR="0065073E" w:rsidRPr="00290E13" w:rsidRDefault="000A0998">
      <w:pPr>
        <w:spacing w:after="0" w:line="240" w:lineRule="auto"/>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rPr>
        <w:t xml:space="preserve"> </w:t>
      </w:r>
      <w:r w:rsidRPr="00290E13">
        <w:rPr>
          <w:rFonts w:ascii="Times New Roman" w:hAnsi="Times New Roman"/>
          <w:sz w:val="20"/>
        </w:rPr>
        <w:t>Lopullisen tuensaajankatsotaan keskittyvän toimialaan tai liiketoimintaan, jos kyseisen alan tai toiminnan katsotaan olevan olennainen osa lopullisen edunsaajan liiketoimintaa suhteessa lopullisen edunsaajan bruttotuloihin, voittoihin tai asiakaskuntaan. Rajoitetun toimialan tai toiminnan bruttotulot eivät missään tapauksessa saa ylittää 50:tä prosenttia bruttotuloista.</w:t>
      </w:r>
    </w:p>
  </w:footnote>
  <w:footnote w:id="194">
    <w:p w14:paraId="41EB7FD2" w14:textId="77777777" w:rsidR="0065073E" w:rsidRDefault="000A0998">
      <w:pPr>
        <w:pStyle w:val="FootnoteText"/>
        <w:ind w:left="0" w:firstLine="0"/>
      </w:pPr>
      <w:r>
        <w:rPr>
          <w:rStyle w:val="FootnoteReference"/>
        </w:rPr>
        <w:footnoteRef/>
      </w:r>
      <w:r>
        <w:rPr>
          <w:rFonts w:ascii="Times New Roman" w:hAnsi="Times New Roman"/>
        </w:rPr>
        <w:t>Lukuun ottamatta a) sähkön ja/tai lämmön tuotantoon liittyviä omaisuuseriä ja toimintoja sekä niihin liittyvää maakaasua käyttävää siirto- ja jakeluinfrastruktuuria, jotka ovat ”ei merkittävää haittaa” -periaatteen (2021/C58/01) liitteessä III vahvistettujen edellytysten mukaisia, ja b) ii alakohdassa tarkoitettuja toimintoja ja omaisuuseriä, joiden osalta fossiilisten polttoaineiden käyttö on väliaikaista ja teknisesti mahdotonta välttää, jotta voidaan siirtyä oikea-aikaisesti kohti fossiilitonta toimintaa.</w:t>
      </w:r>
    </w:p>
  </w:footnote>
  <w:footnote w:id="195">
    <w:p w14:paraId="02936313" w14:textId="41DDD869" w:rsidR="0065073E" w:rsidRDefault="000A0998">
      <w:pPr>
        <w:pStyle w:val="FootnoteText"/>
        <w:ind w:left="0" w:firstLine="0"/>
      </w:pPr>
      <w:r>
        <w:rPr>
          <w:rStyle w:val="FootnoteReference"/>
        </w:rPr>
        <w:footnoteRef/>
      </w:r>
      <w:r>
        <w:rPr>
          <w:rFonts w:ascii="Times New Roman"/>
        </w:rPr>
        <w:t xml:space="preserve">Mukaan lukien EU:n </w:t>
      </w:r>
      <w:r w:rsidRPr="00F00B0D">
        <w:rPr>
          <w:rFonts w:ascii="Times New Roman" w:hAnsi="Times New Roman" w:cs="Times New Roman"/>
        </w:rPr>
        <w:t>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ää</w:t>
      </w:r>
      <w:r w:rsidRPr="00F00B0D">
        <w:rPr>
          <w:rFonts w:ascii="Times New Roman" w:hAnsi="Times New Roman" w:cs="Times New Roman"/>
        </w:rPr>
        <w:t>n kuuluvat toiminnot ja omaisuuser</w:t>
      </w:r>
      <w:r w:rsidR="00FC251F" w:rsidRPr="00F00B0D">
        <w:rPr>
          <w:rFonts w:ascii="Times New Roman" w:hAnsi="Times New Roman" w:cs="Times New Roman"/>
        </w:rPr>
        <w:t>ä</w:t>
      </w:r>
      <w:r w:rsidRPr="00F00B0D">
        <w:rPr>
          <w:rFonts w:ascii="Times New Roman" w:hAnsi="Times New Roman" w:cs="Times New Roman"/>
        </w:rPr>
        <w:t>t, joilla 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alita asiaankuuluvia vertailuarvoja. Jos tuetulla toiminnalla saavutetaan ennustetut kasvihuonekaasup</w:t>
      </w:r>
      <w:r w:rsidR="00FC251F" w:rsidRPr="00F00B0D">
        <w:rPr>
          <w:rFonts w:ascii="Times New Roman" w:hAnsi="Times New Roman" w:cs="Times New Roman"/>
        </w:rPr>
        <w:t>ää</w:t>
      </w:r>
      <w:r w:rsidRPr="00F00B0D">
        <w:rPr>
          <w:rFonts w:ascii="Times New Roman" w:hAnsi="Times New Roman" w:cs="Times New Roman"/>
        </w:rPr>
        <w:t>stöt, jotka eiv</w:t>
      </w:r>
      <w:r w:rsidR="00FC251F" w:rsidRPr="00F00B0D">
        <w:rPr>
          <w:rFonts w:ascii="Times New Roman" w:hAnsi="Times New Roman" w:cs="Times New Roman"/>
        </w:rPr>
        <w:t>ä</w:t>
      </w:r>
      <w:r w:rsidRPr="00F00B0D">
        <w:rPr>
          <w:rFonts w:ascii="Times New Roman" w:hAnsi="Times New Roman" w:cs="Times New Roman"/>
        </w:rPr>
        <w:t>t ole merkitt</w:t>
      </w:r>
      <w:r w:rsidR="00FC251F" w:rsidRPr="00F00B0D">
        <w:rPr>
          <w:rFonts w:ascii="Times New Roman" w:hAnsi="Times New Roman" w:cs="Times New Roman"/>
        </w:rPr>
        <w:t>ä</w:t>
      </w:r>
      <w:r w:rsidRPr="00F00B0D">
        <w:rPr>
          <w:rFonts w:ascii="Times New Roman" w:hAnsi="Times New Roman" w:cs="Times New Roman"/>
        </w:rPr>
        <w:t>v</w:t>
      </w:r>
      <w:r w:rsidR="00FC251F" w:rsidRPr="00F00B0D">
        <w:rPr>
          <w:rFonts w:ascii="Times New Roman" w:hAnsi="Times New Roman" w:cs="Times New Roman"/>
        </w:rPr>
        <w:t>ä</w:t>
      </w:r>
      <w:r w:rsidRPr="00F00B0D">
        <w:rPr>
          <w:rFonts w:ascii="Times New Roman" w:hAnsi="Times New Roman" w:cs="Times New Roman"/>
        </w:rPr>
        <w:t>sti vertailuarvoja pienemm</w:t>
      </w:r>
      <w:r w:rsidR="00FC251F" w:rsidRPr="00F00B0D">
        <w:rPr>
          <w:rFonts w:ascii="Times New Roman" w:hAnsi="Times New Roman" w:cs="Times New Roman"/>
        </w:rPr>
        <w:t>ä</w:t>
      </w:r>
      <w:r w:rsidRPr="00F00B0D">
        <w:rPr>
          <w:rFonts w:ascii="Times New Roman" w:hAnsi="Times New Roman" w:cs="Times New Roman"/>
        </w:rPr>
        <w:t>t, on annettava selvitys syist</w:t>
      </w:r>
      <w:r w:rsidR="00FC251F" w:rsidRPr="00F00B0D">
        <w:rPr>
          <w:rFonts w:ascii="Times New Roman" w:hAnsi="Times New Roman" w:cs="Times New Roman"/>
        </w:rPr>
        <w:t>ä</w:t>
      </w:r>
      <w:r w:rsidRPr="00F00B0D">
        <w:rPr>
          <w:rFonts w:ascii="Times New Roman" w:hAnsi="Times New Roman" w:cs="Times New Roman"/>
        </w:rPr>
        <w:t>, joiden vuoksi t</w:t>
      </w:r>
      <w:r w:rsidR="00FC251F" w:rsidRPr="00F00B0D">
        <w:rPr>
          <w:rFonts w:ascii="Times New Roman" w:hAnsi="Times New Roman" w:cs="Times New Roman"/>
        </w:rPr>
        <w:t>ä</w:t>
      </w:r>
      <w:r w:rsidRPr="00F00B0D">
        <w:rPr>
          <w:rFonts w:ascii="Times New Roman" w:hAnsi="Times New Roman" w:cs="Times New Roman"/>
        </w:rPr>
        <w:t>m</w:t>
      </w:r>
      <w:r w:rsidR="00FC251F" w:rsidRPr="00F00B0D">
        <w:rPr>
          <w:rFonts w:ascii="Times New Roman" w:hAnsi="Times New Roman" w:cs="Times New Roman"/>
        </w:rPr>
        <w:t>ä</w:t>
      </w:r>
      <w:r w:rsidRPr="00F00B0D">
        <w:rPr>
          <w:rFonts w:ascii="Times New Roman" w:hAnsi="Times New Roman" w:cs="Times New Roman"/>
        </w:rPr>
        <w:t xml:space="preserve"> ei ole mahdollista. Vertailuarvot, jotka on vahvistettu maksutta jaettavia p</w:t>
      </w:r>
      <w:r w:rsidR="00FC251F" w:rsidRPr="00F00B0D">
        <w:rPr>
          <w:rFonts w:ascii="Times New Roman" w:hAnsi="Times New Roman" w:cs="Times New Roman"/>
        </w:rPr>
        <w:t>ää</w:t>
      </w:r>
      <w:r w:rsidRPr="00F00B0D">
        <w:rPr>
          <w:rFonts w:ascii="Times New Roman" w:hAnsi="Times New Roman" w:cs="Times New Roman"/>
        </w:rPr>
        <w:t>stöoikeuksia varten p</w:t>
      </w:r>
      <w:r w:rsidR="00FC251F" w:rsidRPr="00F00B0D">
        <w:rPr>
          <w:rFonts w:ascii="Times New Roman" w:hAnsi="Times New Roman" w:cs="Times New Roman"/>
        </w:rPr>
        <w:t>ää</w:t>
      </w:r>
      <w:r w:rsidRPr="00F00B0D">
        <w:rPr>
          <w:rFonts w:ascii="Times New Roman" w:hAnsi="Times New Roman" w:cs="Times New Roman"/>
        </w:rPr>
        <w:t>stökauppaj</w:t>
      </w:r>
      <w:r w:rsidR="00FC251F" w:rsidRPr="00F00B0D">
        <w:rPr>
          <w:rFonts w:ascii="Times New Roman" w:hAnsi="Times New Roman" w:cs="Times New Roman"/>
        </w:rPr>
        <w:t>ä</w:t>
      </w:r>
      <w:r w:rsidRPr="00F00B0D">
        <w:rPr>
          <w:rFonts w:ascii="Times New Roman" w:hAnsi="Times New Roman" w:cs="Times New Roman"/>
        </w:rPr>
        <w:t>rjestelm</w:t>
      </w:r>
      <w:r w:rsidR="00FC251F" w:rsidRPr="00F00B0D">
        <w:rPr>
          <w:rFonts w:ascii="Times New Roman" w:hAnsi="Times New Roman" w:cs="Times New Roman"/>
        </w:rPr>
        <w:t>ä</w:t>
      </w:r>
      <w:r w:rsidRPr="00F00B0D">
        <w:rPr>
          <w:rFonts w:ascii="Times New Roman" w:hAnsi="Times New Roman" w:cs="Times New Roman"/>
        </w:rPr>
        <w:t>n soveltamisalaan kuuluville toiminnoille komission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ntöönpanoasetuksen (EU) 2021/447 mukaisesti</w:t>
      </w:r>
      <w:r>
        <w:rPr>
          <w:rFonts w:ascii="Times New Roman"/>
        </w:rPr>
        <w:t>.</w:t>
      </w:r>
    </w:p>
  </w:footnote>
  <w:footnote w:id="196">
    <w:p w14:paraId="6B4C83D3" w14:textId="31EE5D4D" w:rsidR="0065073E" w:rsidRDefault="000A0998">
      <w:pPr>
        <w:pStyle w:val="FootnoteText"/>
        <w:ind w:left="0" w:firstLine="0"/>
      </w:pPr>
      <w:r>
        <w:rPr>
          <w:rStyle w:val="FootnoteReference"/>
        </w:rPr>
        <w:footnoteRef/>
      </w:r>
      <w:r>
        <w:rPr>
          <w:rFonts w:ascii="Times New Roman"/>
        </w:rPr>
        <w:t xml:space="preserve">Saastuttavat ajoneuvot </w:t>
      </w:r>
      <w:r w:rsidRPr="00F00B0D">
        <w:rPr>
          <w:rFonts w:ascii="Times New Roman" w:hAnsi="Times New Roman" w:cs="Times New Roman"/>
        </w:rPr>
        <w:t>m</w:t>
      </w:r>
      <w:r w:rsidR="00FC251F" w:rsidRPr="00F00B0D">
        <w:rPr>
          <w:rFonts w:ascii="Times New Roman" w:hAnsi="Times New Roman" w:cs="Times New Roman"/>
        </w:rPr>
        <w:t>ää</w:t>
      </w:r>
      <w:r w:rsidRPr="00F00B0D">
        <w:rPr>
          <w:rFonts w:ascii="Times New Roman" w:hAnsi="Times New Roman" w:cs="Times New Roman"/>
        </w:rPr>
        <w:t>ritell</w:t>
      </w:r>
      <w:r w:rsidR="00FC251F" w:rsidRPr="00F00B0D">
        <w:rPr>
          <w:rFonts w:ascii="Times New Roman" w:hAnsi="Times New Roman" w:cs="Times New Roman"/>
        </w:rPr>
        <w:t>ää</w:t>
      </w:r>
      <w:r w:rsidRPr="00F00B0D">
        <w:rPr>
          <w:rFonts w:ascii="Times New Roman" w:hAnsi="Times New Roman" w:cs="Times New Roman"/>
        </w:rPr>
        <w:t>n p</w:t>
      </w:r>
      <w:r w:rsidR="00FC251F" w:rsidRPr="00F00B0D">
        <w:rPr>
          <w:rFonts w:ascii="Times New Roman" w:hAnsi="Times New Roman" w:cs="Times New Roman"/>
        </w:rPr>
        <w:t>ää</w:t>
      </w:r>
      <w:r w:rsidRPr="00F00B0D">
        <w:rPr>
          <w:rFonts w:ascii="Times New Roman" w:hAnsi="Times New Roman" w:cs="Times New Roman"/>
        </w:rPr>
        <w:t>stöttömiksi</w:t>
      </w:r>
      <w:r>
        <w:rPr>
          <w:rFonts w:ascii="Times New Roman"/>
        </w:rPr>
        <w:t xml:space="preserve"> ajoneuvoiksi.</w:t>
      </w:r>
    </w:p>
  </w:footnote>
  <w:footnote w:id="197">
    <w:p w14:paraId="716A3122" w14:textId="77777777" w:rsidR="0065073E" w:rsidRDefault="000A0998">
      <w:pPr>
        <w:pStyle w:val="FootnoteText"/>
        <w:ind w:left="0" w:firstLine="0"/>
      </w:pPr>
      <w:r>
        <w:rPr>
          <w:rStyle w:val="FootnoteReference"/>
        </w:rPr>
        <w:footnoteRef/>
      </w:r>
      <w:r>
        <w:rPr>
          <w:rFonts w:ascii="Times New Roman" w:hAnsi="Times New Roman"/>
        </w:rPr>
        <w:t>Tätä poikkeusta ei sovelleta toimiin laitoksissa, jotka on tarkoitettu yksinomaan kierrätykseen kelpaamattoman vaarallisen jätteen käsittelyyn, eikä olemassa oleviin laitoksiin, jos tämän toimenpiteen mukaisten toimien tarkoituksena on energiatehokkuuden lisääminen, pakokaasujen talteenotto varastointia tai käyttöä varten tai materiaalien talteenotto polttotuhkasta, edellyttäen, että tällaiset tämän toimenpiteen mukaiset toimet eivät johda laitosten jätteenkäsittelykapasiteetin lisääntymiseen tai laitosten käyttöiän pidentämiseen; tästä toimitetaan näyttöä laitoskohtaisesti.</w:t>
      </w:r>
    </w:p>
  </w:footnote>
  <w:footnote w:id="198">
    <w:p w14:paraId="313F7A7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99">
    <w:p w14:paraId="6B4A4879"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00">
    <w:p w14:paraId="1BCB45F7"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201">
    <w:p w14:paraId="6047DFE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202">
    <w:p w14:paraId="4064C20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203">
    <w:p w14:paraId="747594E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04">
    <w:p w14:paraId="5DDF8CB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205">
    <w:p w14:paraId="6425ED9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206">
    <w:p w14:paraId="1E17D082"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207">
    <w:p w14:paraId="12A6D63C"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08">
    <w:p w14:paraId="2575687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209">
    <w:p w14:paraId="24350DDF"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210">
    <w:p w14:paraId="0F440B49" w14:textId="67777EB4" w:rsidR="0065073E" w:rsidRDefault="000A0998">
      <w:pPr>
        <w:pStyle w:val="FootnoteText"/>
        <w:ind w:left="0" w:firstLine="0"/>
      </w:pPr>
      <w:r>
        <w:rPr>
          <w:rStyle w:val="FootnoteReference"/>
        </w:rPr>
        <w:footnoteRef/>
      </w:r>
      <w:r>
        <w:rPr>
          <w:rFonts w:ascii="Times New Roman" w:hAnsi="Times New Roman"/>
        </w:rPr>
        <w:t>Kun kyseessä ovat oman pääoman ehtoiset, oman pääoman luonteiset, yritysjoukkolainat tai vastaavat välineet, joita ei ole kohdennettu tiettyihin hankkeisiin, digitaalisen panoksen laskennassa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VII vahvistetuista sovellettavista tukitoimialoista johtuvat kriteerit.</w:t>
      </w:r>
    </w:p>
  </w:footnote>
  <w:footnote w:id="211">
    <w:p w14:paraId="13C1CB53"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rPr>
        <w:t xml:space="preserve"> </w:t>
      </w:r>
      <w:r>
        <w:rPr>
          <w:rFonts w:ascii="Times New Roman"/>
        </w:rPr>
        <w:tab/>
        <w:t xml:space="preserve">EUVL </w:t>
      </w:r>
      <w:r w:rsidRPr="00F00B0D">
        <w:rPr>
          <w:rFonts w:ascii="Times New Roman" w:hAnsi="Times New Roman" w:cs="Times New Roman"/>
        </w:rPr>
        <w:t>L 153</w:t>
      </w:r>
      <w:r>
        <w:rPr>
          <w:rFonts w:ascii="Times New Roman"/>
        </w:rPr>
        <w:t>, 18.6.2010.</w:t>
      </w:r>
    </w:p>
  </w:footnote>
  <w:footnote w:id="212">
    <w:p w14:paraId="0CA1E2C8" w14:textId="0DD789C6"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Vähäpäästöisillä ajoneuvoilla tarkoitetaan ajoneuvoja, joiden päästöt ovat alle 50 g CO2/km.</w:t>
      </w:r>
    </w:p>
  </w:footnote>
  <w:footnote w:id="213">
    <w:p w14:paraId="5CEC2E10"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Toledon sopimuksen suositukset julkaistiin Euroopan unionin virallisessa lehdessä 10. marraskuuta 2020: </w:t>
      </w:r>
      <w:hyperlink r:id="rId2" w:history="1">
        <w:r>
          <w:rPr>
            <w:rStyle w:val="Hyperlink"/>
            <w:rFonts w:ascii="Times New Roman" w:hAnsi="Times New Roman"/>
            <w:color w:val="auto"/>
          </w:rPr>
          <w:t>https://www.congreso.es/public_oficiales/L14/CONG/BOCG/D/BOCG-14-D-175.PDF</w:t>
        </w:r>
      </w:hyperlink>
      <w:r>
        <w:rPr>
          <w:rFonts w:ascii="Times New Roman" w:hAnsi="Times New Roman"/>
        </w:rPr>
        <w:t xml:space="preserve">. </w:t>
      </w:r>
    </w:p>
  </w:footnote>
  <w:footnote w:id="214">
    <w:p w14:paraId="43BF0FF9" w14:textId="35F86C72" w:rsidR="0065073E" w:rsidRDefault="000A0998">
      <w:pPr>
        <w:pStyle w:val="FootnoteText"/>
        <w:ind w:left="0" w:firstLine="0"/>
        <w:rPr>
          <w:rFonts w:eastAsia="Times New Roman" w:cs="Times New Roman"/>
        </w:rPr>
      </w:pPr>
      <w:r>
        <w:rPr>
          <w:rStyle w:val="FootnoteReference"/>
          <w:rFonts w:cs="Times New Roman"/>
        </w:rPr>
        <w:footnoteRef/>
      </w:r>
      <w:r w:rsidRPr="00F00B0D">
        <w:rPr>
          <w:rFonts w:ascii="Times New Roman" w:hAnsi="Times New Roman" w:cs="Times New Roman"/>
        </w:rPr>
        <w:t>Lopullisen tuensaajan</w:t>
      </w:r>
      <w:r w:rsidR="00F00B0D">
        <w:rPr>
          <w:rFonts w:ascii="Times New Roman" w:hAnsi="Times New Roman"/>
        </w:rPr>
        <w:t xml:space="preserve"> </w:t>
      </w:r>
      <w:r>
        <w:rPr>
          <w:rFonts w:ascii="Times New Roman" w:hAnsi="Times New Roman"/>
        </w:rPr>
        <w:t>katsotaan keskittyvän toimialaan tai liiketoimintaan, jos kyseisen alan tai toiminnan katsotaan olevan olennainen osa lopullisen edunsaajan liiketoimintaa suhteessa lopullisen edunsaajan bruttotuloihin, voittoihin tai asiakaskuntaan. Rajoitetun toimialan tai toiminnan bruttotulot eivät missään tapauksessa saa ylittää 50:tä prosenttia bruttotuloista.</w:t>
      </w:r>
    </w:p>
  </w:footnote>
  <w:footnote w:id="215">
    <w:p w14:paraId="13D49EF3" w14:textId="72D1D4B8"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maakaasua käyttävää siirto- ja jakeluinfrastruktuuria, joka täyttää ”ei merkittävää haittaa” -periaatteen (2021/C58/01) liitteessä III vahvistetut edellytykset; ja b) ii alakohdassa tarkoitetut toiminnot ja omaisuuserät, joissa fossiilisten polttoaineiden käyttö on väliaikaista ja teknisesti mahdotonta välttää, jotta voidaan siirtyä oikea-aikaisesti kohti fossiilisia polttoaineita sisältämätöntä toimintaa.</w:t>
      </w:r>
    </w:p>
  </w:footnote>
  <w:footnote w:id="216">
    <w:p w14:paraId="5EE27B6F"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17">
    <w:p w14:paraId="31A64324"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määritellään päästöttömiksi ajoneuvoiksi.</w:t>
      </w:r>
    </w:p>
  </w:footnote>
  <w:footnote w:id="218">
    <w:p w14:paraId="526A928B" w14:textId="134AC1C5" w:rsidR="0065073E" w:rsidRDefault="000A0998">
      <w:pPr>
        <w:pStyle w:val="FootnoteText"/>
        <w:ind w:left="0" w:firstLine="0"/>
        <w:rPr>
          <w:rFonts w:eastAsia="Times New Roman" w:cs="Times New Roman"/>
        </w:rPr>
      </w:pPr>
      <w:r>
        <w:rPr>
          <w:rStyle w:val="FootnoteReference"/>
          <w:rFonts w:cs="Times New Roman"/>
        </w:rPr>
        <w:footnoteRef/>
      </w:r>
      <w:r w:rsidR="00F00B0D">
        <w:t></w:t>
      </w:r>
      <w:r w:rsidRPr="00F00B0D">
        <w:rPr>
          <w:rFonts w:ascii="Times New Roman" w:hAnsi="Times New Roman" w:cs="Times New Roman"/>
        </w:rPr>
        <w:t>T</w:t>
      </w:r>
      <w:r w:rsidR="00FC251F" w:rsidRPr="00F00B0D">
        <w:rPr>
          <w:rFonts w:ascii="Times New Roman" w:hAnsi="Times New Roman" w:cs="Times New Roman"/>
        </w:rPr>
        <w:t>ä</w:t>
      </w:r>
      <w:r w:rsidRPr="00F00B0D">
        <w:rPr>
          <w:rFonts w:ascii="Times New Roman" w:hAnsi="Times New Roman" w:cs="Times New Roman"/>
        </w:rPr>
        <w:t>t</w:t>
      </w:r>
      <w:r w:rsidR="00FC251F" w:rsidRPr="00F00B0D">
        <w:rPr>
          <w:rFonts w:ascii="Times New Roman" w:hAnsi="Times New Roman" w:cs="Times New Roman"/>
        </w:rPr>
        <w:t>ä</w:t>
      </w:r>
      <w:r w:rsidR="00F00B0D">
        <w:rPr>
          <w:rFonts w:ascii="Times New Roman" w:hAnsi="Times New Roman" w:cs="Times New Roman"/>
        </w:rPr>
        <w:t xml:space="preserve"> </w:t>
      </w:r>
      <w:r>
        <w:rPr>
          <w:rFonts w:ascii="Times New Roman" w:hAnsi="Times New Roman"/>
        </w:rPr>
        <w:t>poikkeusta ei sovelleta toimiin laitoksissa, jotka on tarkoitettu yksinomaan kierrätykseen kelpaamattoman vaarallisen jätteen käsittelyyn, eikä olemassa oleviin laitoksiin, jos tämän toimenpiteen mukaisten toimien tarkoituksena on energiatehokkuuden lisääminen, pakokaasujen talteenotto varastointia tai käyttöä varten tai materiaalien talteenotto polttotuhkasta, edellyttäen, että tällaiset tämän toimenpiteen mukaiset toimet eivät johda laitosten jätteenkäsittelykapasiteetin lisääntymiseen tai laitosten käyttöiän pidentämiseen; josta esitetään näyttöä laitoksen tasolla</w:t>
      </w:r>
    </w:p>
  </w:footnote>
  <w:footnote w:id="219">
    <w:p w14:paraId="487957F0" w14:textId="7BCFE38F"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liittyvien lopullisten tuensaajien on toimitettava kunkin tuetun hankkeen osalta perustelut valitulle tukitoimialalle sekä kuvaus hankkeesta ilmastovaikutuksen laskemista varten. Kun kyseessä ovat oman pääoman ehtoiset, oman pääoman luonteiset, yritysjoukkovelkakirjalainat tai vastaavat välineet, joita ei ole kohdennettu tiettyihin hankkeisiin, ilmastovaikutusta laskettaessa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 olevista sovellettavista tukitoimialoista johtuvat kriteerit. Oman pääoman ehtoisen, oman pääoman luonteisen rahoituksen, yritysjoukkolainojen tai vastaavien välineiden, joita ei ole kohdennettu tiettyihin hankkeisiin, lopullisten tuensaajien on perusteltava valitut tukitoimialat. Toteutuskumppanin on myös toimitettava jäsenvaltiolle puolivuosittainen kertomus kunkin hankkeen/toiminnon täytäntöönpanosta.</w:t>
      </w:r>
    </w:p>
  </w:footnote>
  <w:footnote w:id="220">
    <w:p w14:paraId="0CEAF157" w14:textId="202361A4"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ii alakohdassa tarkoitetut toiminnot ja omaisuuserät, joissa fossiilisten polttoaineiden käyttö on väliaikaista ja teknisesti mahdotonta välttää, jotta voidaan siirtyä oikea-aikaisesti kohti fossiilisia polttoaineita sisältämätöntä toimintaa.</w:t>
      </w:r>
    </w:p>
  </w:footnote>
  <w:footnote w:id="221">
    <w:p w14:paraId="2C3945BD"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22">
    <w:p w14:paraId="2C3520CE"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223">
    <w:p w14:paraId="0D383AB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mukaisten toimien tarkoituksena on lisätä resurssitehokkuutta tai tehdä jälkiasennuksia erotetun jätteen kierrätystoimiin biojätteen kompostoimiseksi ja biojätteen anaerobiseksi mädättämiseksi edellyttäen, että tällaiset tämän toimenpiteen mukaiset toimet eivät johda laitosten jätteenkäsittelykapasiteetin lisääntymiseen tai laitosten käyttöiän pidentämiseen; tästä toimitetaan näyttöä laitoskohtaisesti.</w:t>
      </w:r>
    </w:p>
  </w:footnote>
  <w:footnote w:id="224">
    <w:p w14:paraId="4130EA40" w14:textId="29F8DB63" w:rsidR="0065073E" w:rsidRDefault="000A0998">
      <w:pPr>
        <w:pStyle w:val="FootnoteText"/>
        <w:ind w:left="0" w:firstLine="0"/>
        <w:rPr>
          <w:rFonts w:eastAsia="Times New Roman" w:cs="Times New Roman"/>
        </w:rPr>
      </w:pPr>
      <w:r>
        <w:rPr>
          <w:rStyle w:val="FootnoteReference"/>
          <w:rFonts w:cs="Times New Roman"/>
        </w:rPr>
        <w:footnoteRef/>
      </w:r>
      <w:r>
        <w:rPr>
          <w:rFonts w:ascii="Times New Roman" w:hAnsi="Times New Roman"/>
        </w:rPr>
        <w:t>katsotaan keskittyvän toimialaan tai liiketoimintaan, jos kyseisen alan tai toiminnan katsotaan olevan olennainen osa lopullisen edunsaajan liiketoimintaa suhteessa lopullisen edunsaajan bruttotuloihin, voittoihin tai asiakaskuntaan. Rajoitetun toimialan tai toiminnan bruttotulot eivät missään tapauksessa saa ylittää 50:tä prosenttia bruttotuloista.</w:t>
      </w:r>
    </w:p>
  </w:footnote>
  <w:footnote w:id="225">
    <w:p w14:paraId="0C977172" w14:textId="0CF1A8ED"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maakaasua käyttävää siirto- ja jakeluinfrastruktuuria, joka täyttää ”ei merkittävää haittaa” -periaatteen (2021/C58/01) liitteessä III vahvistetut edellytykset; ja b) ii alakohdassa tarkoitetut toiminnot ja omaisuuserät, joissa fossiilisten polttoaineiden käyttö on väliaikaista ja teknisesti mahdotonta välttää, jotta voidaan siirtyä oikea-aikaisesti kohti fossiilisia polttoaineita sisältämätöntä toimintaa.</w:t>
      </w:r>
    </w:p>
  </w:footnote>
  <w:footnote w:id="226">
    <w:p w14:paraId="28E7CDE0"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kasvihuonekaasupäästöt, jotka eivät alita asiaankuuluvia vertailuarvoja. Jos tuetulla toiminnalla saavutetaan ennustetut kasvihuonekaasupäästöt, jotka eivät ole merkittävästi vertailuarvoja pienemmät,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27">
    <w:p w14:paraId="5FD1CB56" w14:textId="77777777" w:rsidR="0065073E" w:rsidRDefault="000A0998">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määritellään päästöttömiksi ajoneuvoiksi.</w:t>
      </w:r>
    </w:p>
  </w:footnote>
  <w:footnote w:id="228">
    <w:p w14:paraId="0E728E98" w14:textId="5BB4D09C" w:rsidR="0065073E" w:rsidRPr="00F00B0D" w:rsidRDefault="000A0998">
      <w:pPr>
        <w:pStyle w:val="FootnoteText"/>
        <w:ind w:left="0" w:firstLine="0"/>
        <w:rPr>
          <w:rFonts w:ascii="Times New Roman" w:eastAsia="Times New Roman" w:hAnsi="Times New Roman" w:cs="Times New Roman"/>
        </w:rPr>
      </w:pPr>
      <w:r w:rsidRPr="00F00B0D">
        <w:rPr>
          <w:rStyle w:val="FootnoteReference"/>
          <w:rFonts w:ascii="Times New Roman" w:hAnsi="Times New Roman" w:cs="Times New Roman"/>
        </w:rPr>
        <w:footnoteRef/>
      </w:r>
      <w:r w:rsidRPr="00F00B0D">
        <w:rPr>
          <w:rFonts w:ascii="Times New Roman" w:hAnsi="Times New Roman" w:cs="Times New Roman"/>
        </w:rPr>
        <w:t>T</w:t>
      </w:r>
      <w:r w:rsidR="00FC251F" w:rsidRPr="00F00B0D">
        <w:rPr>
          <w:rFonts w:ascii="Times New Roman" w:hAnsi="Times New Roman" w:cs="Times New Roman"/>
        </w:rPr>
        <w:t>ä</w:t>
      </w:r>
      <w:r w:rsidRPr="00F00B0D">
        <w:rPr>
          <w:rFonts w:ascii="Times New Roman" w:hAnsi="Times New Roman" w:cs="Times New Roman"/>
        </w:rPr>
        <w:t>t</w:t>
      </w:r>
      <w:r w:rsidR="00FC251F" w:rsidRPr="00F00B0D">
        <w:rPr>
          <w:rFonts w:ascii="Times New Roman" w:hAnsi="Times New Roman" w:cs="Times New Roman"/>
        </w:rPr>
        <w:t>ä</w:t>
      </w:r>
      <w:r w:rsidRPr="00F00B0D">
        <w:rPr>
          <w:rFonts w:ascii="Times New Roman" w:hAnsi="Times New Roman" w:cs="Times New Roman"/>
        </w:rPr>
        <w:t>poikkeusta ei sovelleta toimiin laitoksissa, jotka on tarkoitettu yksinomaan kierrätykseen kelpaamattoman vaarallisen jätteen käsittelyyn, eikä olemassa oleviin laitoksiin, jos tämän toimenpiteen mukaisten toimien tarkoituksena on energiatehokkuuden lisääminen, pakokaasujen talteenotto varastointia tai käyttöä varten tai materiaalien talteenotto polttotuhkasta, edellyttäen, että tällaiset tämän toimenpiteen mukaiset toimet eivät johda laitosten jätteenkäsittelykapasiteetin lisääntymiseen tai laitosten käyttöiän pidentämiseen; josta esitetään näyttöä laitoksen tasolla</w:t>
      </w:r>
    </w:p>
  </w:footnote>
  <w:footnote w:id="229">
    <w:p w14:paraId="0D7294A6" w14:textId="75DB1B02"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liittyvien</w:t>
      </w:r>
      <w:r>
        <w:rPr>
          <w:rStyle w:val="normaltextrun"/>
          <w:rFonts w:ascii="Times New Roman" w:hAnsi="Times New Roman"/>
          <w:bdr w:val="none" w:sz="0" w:space="0" w:color="auto" w:frame="1"/>
        </w:rPr>
        <w:t xml:space="preserve">lopullisten tuensaajien on toimitettava kunkin tuetun hankkeen osalta perustelut valitulle tukitoimialalle sekä kuvaus hankkeesta ilmastovaikutuksen laskemista varten. </w:t>
      </w:r>
      <w:r>
        <w:rPr>
          <w:rFonts w:ascii="Times New Roman" w:hAnsi="Times New Roman"/>
        </w:rPr>
        <w:t>Kun kyseessä ovat oman pääoman ehtoiset, oman pääoman luonteiset, yritysjoukkovelkakirjalainat tai vastaavat välineet, joita ei ole kohdennettu tiettyihin hankkeisiin, ilmastovaikutusta laskettaessa on käytettävä kriteerejä, joilla edellytetään, että vähintään 90 prosenttia saajan edellisen tilikauden tuloista tai liiketoimintasuunnitelman mukaisista tulevista tuloista saadaan toiminnasta, joka täyttää elpymis- ja palautumistukivälinettä koskevan asetuksen liitteessä VI olevista sovellettavista tukitoimialoista johtuvat kriteerit. Oman pääoman ehtoisen, oman pääoman luonteisen rahoituksen, yritysjoukkolainojen tai vastaavien välineiden, joita ei ole kohdennettu tiettyihin hankkeisiin, lopullisten tuensaajien on perusteltava valitut tukitoimialat. Toteutuskumppanin on myös toimitettava jäsenvaltiolle puolivuosittainen kertomus kunkin hankkeen/toiminnon täytäntöönpanosta.</w:t>
      </w:r>
    </w:p>
  </w:footnote>
  <w:footnote w:id="230">
    <w:p w14:paraId="6CE385F1"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31">
    <w:p w14:paraId="6F965A25" w14:textId="0865A121"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 alakohdan mukaiset toiminnot ja omaisuuserät, joissa fossiilisten polttoaineiden käyttö on väliaikaista ja teknisesti mahdotonta välttää, jotta voidaan siirtyä oikea-aikaisesti kohti fossiilisia polttoaineita sisältämätöntä toimintaa.  </w:t>
      </w:r>
    </w:p>
  </w:footnote>
  <w:footnote w:id="232">
    <w:p w14:paraId="760D3759" w14:textId="1C73F552"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liittyvien lopullisten tuensaajien on toimitettava kunkin tuetun hankkeen osalta perustelut valitulle tukitoimialalle sekä kuvaus hankkeesta ilmastovaikutuksen laskemista varten. Toteutuskumppanin on myös toimitettava jäsenvaltiolle puolivuosittainen kertomus kunkin hankkeen/toiminnon täytäntöönpanosta.</w:t>
      </w:r>
    </w:p>
  </w:footnote>
  <w:footnote w:id="233">
    <w:p w14:paraId="6356E7D5" w14:textId="77777777"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34">
    <w:p w14:paraId="37BEC07E" w14:textId="3DE32C94"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 alakohdan mukaiset toiminnot ja omaisuuserät, joissa fossiilisten polttoaineiden käyttö on väliaikaista ja teknisesti mahdotonta välttää, jotta voidaan siirtyä oikea-aikaisesti kohti fossiilisia polttoaineita sisältämätöntä toimintaa.  </w:t>
      </w:r>
    </w:p>
  </w:footnote>
  <w:footnote w:id="235">
    <w:p w14:paraId="5FA2FFA8" w14:textId="2F1A95FD" w:rsidR="0065073E" w:rsidRDefault="000A0998">
      <w:pPr>
        <w:pStyle w:val="FootnoteText"/>
        <w:ind w:left="0" w:firstLine="0"/>
      </w:pPr>
      <w:r>
        <w:rPr>
          <w:rStyle w:val="FootnoteReference"/>
        </w:rPr>
        <w:footnoteRef/>
      </w:r>
      <w:r w:rsidRPr="00F00B0D">
        <w:rPr>
          <w:rFonts w:ascii="Times New Roman" w:hAnsi="Times New Roman" w:cs="Times New Roman"/>
        </w:rPr>
        <w:t>lopullisten edunsaajien, jotka liittyv</w:t>
      </w:r>
      <w:r w:rsidR="00FC251F" w:rsidRPr="00F00B0D">
        <w:rPr>
          <w:rFonts w:ascii="Times New Roman" w:hAnsi="Times New Roman" w:cs="Times New Roman"/>
        </w:rPr>
        <w:t>ä</w:t>
      </w:r>
      <w:r w:rsidRPr="00F00B0D">
        <w:rPr>
          <w:rFonts w:ascii="Times New Roman" w:hAnsi="Times New Roman" w:cs="Times New Roman"/>
        </w:rPr>
        <w:t>t tiettyihin hankkeisiin, on perusteltava valittu tukitoimiala kunkin tuetun hankkeen osalta sek</w:t>
      </w:r>
      <w:r w:rsidR="00FC251F" w:rsidRPr="00F00B0D">
        <w:rPr>
          <w:rFonts w:ascii="Times New Roman" w:hAnsi="Times New Roman" w:cs="Times New Roman"/>
        </w:rPr>
        <w:t>ä</w:t>
      </w:r>
      <w:r w:rsidRPr="00F00B0D">
        <w:rPr>
          <w:rFonts w:ascii="Times New Roman" w:hAnsi="Times New Roman" w:cs="Times New Roman"/>
        </w:rPr>
        <w:t xml:space="preserve"> kuvaus hankkeesta. Toteutuskumppanin on myös toimitettava j</w:t>
      </w:r>
      <w:r w:rsidR="00FC251F" w:rsidRPr="00F00B0D">
        <w:rPr>
          <w:rFonts w:ascii="Times New Roman" w:hAnsi="Times New Roman" w:cs="Times New Roman"/>
        </w:rPr>
        <w:t>ä</w:t>
      </w:r>
      <w:r w:rsidRPr="00F00B0D">
        <w:rPr>
          <w:rFonts w:ascii="Times New Roman" w:hAnsi="Times New Roman" w:cs="Times New Roman"/>
        </w:rPr>
        <w:t>senvaltiolle puolivuosittainen kertomus kunkin hankkeen/toiminnon t</w:t>
      </w:r>
      <w:r w:rsidR="00FC251F" w:rsidRPr="00F00B0D">
        <w:rPr>
          <w:rFonts w:ascii="Times New Roman" w:hAnsi="Times New Roman" w:cs="Times New Roman"/>
        </w:rPr>
        <w:t>ä</w:t>
      </w:r>
      <w:r w:rsidRPr="00F00B0D">
        <w:rPr>
          <w:rFonts w:ascii="Times New Roman" w:hAnsi="Times New Roman" w:cs="Times New Roman"/>
        </w:rPr>
        <w:t>yt</w:t>
      </w:r>
      <w:r w:rsidR="00FC251F" w:rsidRPr="00F00B0D">
        <w:rPr>
          <w:rFonts w:ascii="Times New Roman" w:hAnsi="Times New Roman" w:cs="Times New Roman"/>
        </w:rPr>
        <w:t>ä</w:t>
      </w:r>
      <w:r w:rsidRPr="00F00B0D">
        <w:rPr>
          <w:rFonts w:ascii="Times New Roman" w:hAnsi="Times New Roman" w:cs="Times New Roman"/>
        </w:rPr>
        <w:t>ntöönpanosta.</w:t>
      </w:r>
    </w:p>
  </w:footnote>
  <w:footnote w:id="236">
    <w:p w14:paraId="6868A12E" w14:textId="77777777" w:rsidR="0065073E" w:rsidRDefault="000A0998">
      <w:pPr>
        <w:pStyle w:val="P68B1DB1-Text142"/>
        <w:ind w:left="0"/>
        <w:rPr>
          <w:rFonts w:cs="Times New Roman"/>
        </w:rPr>
      </w:pPr>
      <w:r w:rsidRPr="00F00B0D">
        <w:rPr>
          <w:rStyle w:val="FootnoteReference"/>
          <w:rFonts w:ascii="Symbol" w:hAnsi="Symbol"/>
        </w:rPr>
        <w:footnoteRef/>
      </w:r>
      <w:r>
        <w:t>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37">
    <w:p w14:paraId="10FC5D32" w14:textId="49DE9569" w:rsidR="0065073E" w:rsidRDefault="000A0998">
      <w:pPr>
        <w:pStyle w:val="P68B1DB1-Text142"/>
        <w:ind w:left="0"/>
        <w:rPr>
          <w:rFonts w:cs="Times New Roman"/>
        </w:rPr>
      </w:pPr>
      <w:r w:rsidRPr="00F00B0D">
        <w:rPr>
          <w:rStyle w:val="FootnoteReference"/>
          <w:rFonts w:ascii="Symbol" w:hAnsi="Symbol"/>
        </w:rPr>
        <w:footnoteRef/>
      </w:r>
      <w:r>
        <w:t>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 alakohdan mukaiset toiminnot ja omaisuuserät, joissa fossiilisten polttoaineiden käyttö on väliaikaista ja teknisesti mahdotonta välttää, jotta voidaan siirtyä oikea-aikaisesti kohti fossiilisia polttoaineita sisältämätöntä toimintaa.</w:t>
      </w:r>
      <w:r>
        <w:rPr>
          <w:shd w:val="clear" w:color="auto" w:fill="E6E6E6"/>
        </w:rPr>
        <w:t xml:space="preserve"> </w:t>
      </w:r>
    </w:p>
  </w:footnote>
  <w:footnote w:id="238">
    <w:p w14:paraId="3C9007D4" w14:textId="02F64EC4" w:rsidR="0065073E" w:rsidRDefault="000A0998">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liittyvien lopullisten tuensaajien on toimitettava kunkin tuetun hankkeen osalta perustelut valitulle tukitoimialalle sekä kuvaus hankkeesta ilmastovaikutuksen laskemista varten. Toteutuskumppanin on myös toimitettava jäsenvaltiolle puolivuosittainen kertomus kunkin hankkeen/toiminnon täytäntöönpanosta.</w:t>
      </w:r>
    </w:p>
  </w:footnote>
  <w:footnote w:id="239">
    <w:p w14:paraId="1233B08D" w14:textId="77777777" w:rsidR="0065073E" w:rsidRDefault="000A0998">
      <w:pPr>
        <w:pStyle w:val="P68B1DB1-Text142"/>
        <w:ind w:left="0"/>
        <w:rPr>
          <w:rFonts w:cs="Times New Roman"/>
        </w:rPr>
      </w:pPr>
      <w:r w:rsidRPr="00FC251F">
        <w:rPr>
          <w:rStyle w:val="FootnoteReference"/>
          <w:rFonts w:ascii="Symbol" w:hAnsi="Symbol"/>
        </w:rPr>
        <w:footnoteRef/>
      </w:r>
      <w:r>
        <w:t>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240">
    <w:p w14:paraId="6408CE36" w14:textId="4A7E8992" w:rsidR="0065073E" w:rsidRDefault="000A0998">
      <w:pPr>
        <w:pStyle w:val="P68B1DB1-Text142"/>
        <w:ind w:left="0"/>
        <w:rPr>
          <w:rFonts w:cs="Times New Roman"/>
        </w:rPr>
      </w:pPr>
      <w:r w:rsidRPr="00FC251F">
        <w:rPr>
          <w:rStyle w:val="FootnoteReference"/>
          <w:rFonts w:ascii="Symbol" w:hAnsi="Symbol"/>
        </w:rPr>
        <w:footnoteRef/>
      </w:r>
      <w:r>
        <w:t>Lukuun ottamatta a) tämän toimenpiteen mukaisia hankkeita, jotka koskevat sähkön ja/tai lämmön tuotantoa sekä niihin liittyvää maakaasua käyttävää siirto- ja jakeluinfrastruktuuria ja jotka ovat ”ei merkittävää haittaa” -periaatteen (2021/C58/01) liitteessä III vahvistettujen edellytysten mukaisia; ja b) i alakohdan mukaiset toiminnot ja omaisuuserät, joissa fossiilisten polttoaineiden käyttö on väliaikaista ja teknisesti mahdotonta välttää, jotta voidaan siirtyä oikea-aikaisesti kohti fossiilisia polttoaineita sisältämätöntä toimintaa.</w:t>
      </w:r>
      <w:r>
        <w:rPr>
          <w:shd w:val="clear" w:color="auto" w:fill="E6E6E6"/>
        </w:rPr>
        <w:t xml:space="preserve"> </w:t>
      </w:r>
    </w:p>
  </w:footnote>
  <w:footnote w:id="241">
    <w:p w14:paraId="1E257A9A" w14:textId="03A947BE" w:rsidR="0065073E" w:rsidRDefault="000A0998">
      <w:pPr>
        <w:pStyle w:val="FootnoteText"/>
        <w:ind w:left="0" w:firstLine="0"/>
      </w:pPr>
      <w:r>
        <w:rPr>
          <w:rStyle w:val="FootnoteReference"/>
        </w:rPr>
        <w:footnoteRef/>
      </w:r>
      <w:r w:rsidR="00290E13">
        <w:rPr>
          <w:rFonts w:ascii="Times New Roman" w:hAnsi="Times New Roman" w:cs="Times New Roman"/>
        </w:rPr>
        <w:t>L</w:t>
      </w:r>
      <w:r w:rsidRPr="00FC251F">
        <w:rPr>
          <w:rFonts w:ascii="Times New Roman" w:hAnsi="Times New Roman" w:cs="Times New Roman"/>
        </w:rPr>
        <w:t>opullisten edunsaajien, jotka liittyv</w:t>
      </w:r>
      <w:r w:rsidR="00FC251F" w:rsidRPr="00FC251F">
        <w:rPr>
          <w:rFonts w:ascii="Times New Roman" w:hAnsi="Times New Roman" w:cs="Times New Roman"/>
        </w:rPr>
        <w:t>ä</w:t>
      </w:r>
      <w:r w:rsidRPr="00FC251F">
        <w:rPr>
          <w:rFonts w:ascii="Times New Roman" w:hAnsi="Times New Roman" w:cs="Times New Roman"/>
        </w:rPr>
        <w:t>t tiettyihin hankkeisiin, on perusteltava valittu tukitoimiala kunkin tuetun hankkeen osalta sek</w:t>
      </w:r>
      <w:r w:rsidR="00FC251F" w:rsidRPr="00FC251F">
        <w:rPr>
          <w:rFonts w:ascii="Times New Roman" w:hAnsi="Times New Roman" w:cs="Times New Roman"/>
        </w:rPr>
        <w:t>ä</w:t>
      </w:r>
      <w:r w:rsidRPr="00FC251F">
        <w:rPr>
          <w:rFonts w:ascii="Times New Roman" w:hAnsi="Times New Roman" w:cs="Times New Roman"/>
        </w:rPr>
        <w:t xml:space="preserve"> kuvaus hankkeesta. Toteutuskumppanin on myös toimitettava j</w:t>
      </w:r>
      <w:r w:rsidR="00FC251F" w:rsidRPr="00FC251F">
        <w:rPr>
          <w:rFonts w:ascii="Times New Roman" w:hAnsi="Times New Roman" w:cs="Times New Roman"/>
        </w:rPr>
        <w:t>ä</w:t>
      </w:r>
      <w:r w:rsidRPr="00FC251F">
        <w:rPr>
          <w:rFonts w:ascii="Times New Roman" w:hAnsi="Times New Roman" w:cs="Times New Roman"/>
        </w:rPr>
        <w:t>senvaltiolle puolivuosittainen kertomus kunkin hankkeen/toiminnon t</w:t>
      </w:r>
      <w:r w:rsidR="00FC251F" w:rsidRPr="00FC251F">
        <w:rPr>
          <w:rFonts w:ascii="Times New Roman" w:hAnsi="Times New Roman" w:cs="Times New Roman"/>
        </w:rPr>
        <w:t>ä</w:t>
      </w:r>
      <w:r w:rsidRPr="00FC251F">
        <w:rPr>
          <w:rFonts w:ascii="Times New Roman" w:hAnsi="Times New Roman" w:cs="Times New Roman"/>
        </w:rPr>
        <w:t>yt</w:t>
      </w:r>
      <w:r w:rsidR="00FC251F" w:rsidRPr="00FC251F">
        <w:rPr>
          <w:rFonts w:ascii="Times New Roman" w:hAnsi="Times New Roman" w:cs="Times New Roman"/>
        </w:rPr>
        <w:t>ä</w:t>
      </w:r>
      <w:r w:rsidRPr="00FC251F">
        <w:rPr>
          <w:rFonts w:ascii="Times New Roman" w:hAnsi="Times New Roman" w:cs="Times New Roman"/>
        </w:rPr>
        <w:t>ntöönpanosta</w:t>
      </w:r>
      <w:r>
        <w:rPr>
          <w:rFonts w:asci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07E74" w14:textId="77777777" w:rsidR="00EB694A" w:rsidRPr="00EB694A" w:rsidRDefault="00EB694A" w:rsidP="00EB694A">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65073E" w:rsidRDefault="0065073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65073E" w:rsidRDefault="0065073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65073E" w:rsidRDefault="0065073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65073E" w:rsidRDefault="0065073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46E7" w14:textId="77777777" w:rsidR="0065073E" w:rsidRDefault="0065073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AE62" w14:textId="77777777" w:rsidR="0065073E" w:rsidRDefault="0065073E">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1833" w14:textId="77777777" w:rsidR="0065073E" w:rsidRDefault="0065073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AE02" w14:textId="77777777" w:rsidR="0065073E" w:rsidRDefault="0065073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34E8" w14:textId="77777777" w:rsidR="0065073E" w:rsidRDefault="0065073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1B2DB" w14:textId="77777777" w:rsidR="0065073E" w:rsidRDefault="0065073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65073E" w:rsidRDefault="0065073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65073E" w:rsidRDefault="0065073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65073E" w:rsidRDefault="0065073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65073E" w:rsidRDefault="0065073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65073E" w:rsidRDefault="0065073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65073E" w:rsidRDefault="0065073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65073E" w:rsidRDefault="0065073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65073E" w:rsidRDefault="0065073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65073E" w:rsidRDefault="0065073E">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65073E" w:rsidRDefault="0065073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65073E" w:rsidRDefault="0065073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65073E" w:rsidRDefault="0065073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65073E" w:rsidRDefault="0065073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65073E" w:rsidRDefault="0065073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65073E" w:rsidRDefault="0065073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65073E" w:rsidRDefault="0065073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65073E" w:rsidRDefault="0065073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65073E" w:rsidRDefault="0065073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65073E" w:rsidRDefault="0065073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65073E" w:rsidRDefault="0065073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65073E" w:rsidRDefault="0065073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65073E" w:rsidRDefault="0065073E">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65073E" w:rsidRDefault="0065073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65073E" w:rsidRDefault="0065073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65073E" w:rsidRDefault="0065073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65073E" w:rsidRDefault="0065073E">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65073E" w:rsidRDefault="0065073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65073E" w:rsidRDefault="0065073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65073E" w:rsidRDefault="0065073E">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65073E" w:rsidRDefault="0065073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65073E" w:rsidRDefault="0065073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65073E" w:rsidRDefault="0065073E">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65073E" w:rsidRDefault="0065073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A904" w14:textId="77777777" w:rsidR="0065073E" w:rsidRDefault="0065073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65073E" w:rsidRDefault="0065073E">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301E" w14:textId="77777777" w:rsidR="0065073E" w:rsidRDefault="0065073E">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9DAB" w14:textId="77777777" w:rsidR="0065073E" w:rsidRDefault="0065073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65073E" w:rsidRDefault="0065073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65073E" w:rsidRDefault="0065073E">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65073E" w:rsidRDefault="0065073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65073E" w:rsidRDefault="0065073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65073E" w:rsidRDefault="0065073E">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65073E" w:rsidRDefault="0065073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87D06" w14:textId="77777777" w:rsidR="0065073E" w:rsidRDefault="0065073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DE3A8" w14:textId="77777777" w:rsidR="0065073E" w:rsidRDefault="0065073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65073E" w:rsidRDefault="0065073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6783" w14:textId="77777777" w:rsidR="0065073E" w:rsidRDefault="0065073E">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C5B9" w14:textId="77777777" w:rsidR="0065073E" w:rsidRDefault="0065073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BA45" w14:textId="77777777" w:rsidR="0065073E" w:rsidRDefault="0065073E">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C8C13" w14:textId="77777777" w:rsidR="0065073E" w:rsidRDefault="0065073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6864" w14:textId="77777777" w:rsidR="0065073E" w:rsidRDefault="0065073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994A" w14:textId="77777777" w:rsidR="0065073E" w:rsidRDefault="0065073E">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8578" w14:textId="77777777" w:rsidR="0065073E" w:rsidRDefault="0065073E">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65073E" w:rsidRDefault="0065073E">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65073E" w:rsidRDefault="0065073E">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65073E" w:rsidRDefault="0065073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65073E" w:rsidRDefault="0065073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65073E" w:rsidRDefault="0065073E">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65073E" w:rsidRDefault="0065073E">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65073E" w:rsidRDefault="0065073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5B34" w14:textId="77777777" w:rsidR="0065073E" w:rsidRDefault="0065073E">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E965" w14:textId="77777777" w:rsidR="0065073E" w:rsidRDefault="0065073E">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60C71" w14:textId="77777777" w:rsidR="0065073E" w:rsidRDefault="0065073E">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65073E" w:rsidRDefault="0065073E">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65073E" w:rsidRDefault="0065073E">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65073E" w:rsidRDefault="0065073E">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65073E" w:rsidRDefault="0065073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65073E" w:rsidRDefault="0065073E">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65073E" w:rsidRDefault="0065073E">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65073E" w:rsidRDefault="0065073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65073E" w:rsidRDefault="0065073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65073E" w:rsidRDefault="0065073E">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65073E" w:rsidRDefault="0065073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65073E" w:rsidRDefault="0065073E">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65073E" w:rsidRDefault="0065073E">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65073E" w:rsidRDefault="0065073E">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65073E" w:rsidRDefault="0065073E">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65073E" w:rsidRDefault="0065073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65073E" w:rsidRDefault="0065073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65073E" w:rsidRDefault="0065073E">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65073E" w:rsidRDefault="0065073E">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65073E" w:rsidRDefault="0065073E">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65073E" w:rsidRDefault="0065073E">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65073E" w:rsidRDefault="0065073E">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65073E" w:rsidRDefault="0065073E">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65073E" w:rsidRDefault="0065073E">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65073E" w:rsidRDefault="0065073E">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65073E" w:rsidRDefault="0065073E">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65073E" w:rsidRDefault="0065073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94D6" w14:textId="77777777" w:rsidR="0065073E" w:rsidRDefault="0065073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42655" w14:textId="77777777" w:rsidR="0065073E" w:rsidRDefault="0065073E">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ECDA" w14:textId="77777777" w:rsidR="0065073E" w:rsidRDefault="0065073E">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F79C" w14:textId="77777777" w:rsidR="0065073E" w:rsidRDefault="0065073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A177" w14:textId="77777777" w:rsidR="0065073E" w:rsidRDefault="0065073E">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780A" w14:textId="77777777" w:rsidR="0065073E" w:rsidRDefault="0065073E">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AE35" w14:textId="77777777" w:rsidR="0065073E" w:rsidRDefault="0065073E">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65073E" w:rsidRDefault="0065073E">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65073E" w:rsidRDefault="0065073E">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65073E" w:rsidRDefault="0065073E">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65073E" w:rsidRDefault="00650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9621" w14:textId="77777777" w:rsidR="00EB694A" w:rsidRPr="00EB694A" w:rsidRDefault="00EB694A" w:rsidP="00EB694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360C1" w14:textId="77777777" w:rsidR="0065073E" w:rsidRDefault="0065073E">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65073E" w:rsidRDefault="0065073E">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65073E" w:rsidRDefault="0065073E">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65073E" w:rsidRDefault="0065073E">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65073E" w:rsidRDefault="0065073E">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65073E" w:rsidRDefault="0065073E">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65073E" w:rsidRDefault="0065073E">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C7F4" w14:textId="77777777" w:rsidR="0065073E" w:rsidRDefault="0065073E">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65073E" w:rsidRDefault="0065073E">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65073E" w:rsidRDefault="0065073E">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65073E" w:rsidRDefault="0065073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71E6" w14:textId="77777777" w:rsidR="0065073E" w:rsidRDefault="0065073E">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65073E" w:rsidRDefault="0065073E">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65073E" w:rsidRDefault="0065073E">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65073E" w:rsidRDefault="0065073E">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65073E" w:rsidRDefault="0065073E">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B0D7A" w14:textId="77777777" w:rsidR="0065073E" w:rsidRDefault="0065073E">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FC33" w14:textId="77777777" w:rsidR="0065073E" w:rsidRDefault="0065073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487F" w14:textId="77777777" w:rsidR="0065073E" w:rsidRDefault="0065073E">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65073E" w:rsidRDefault="0065073E">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65073E" w:rsidRDefault="0065073E">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65073E" w:rsidRDefault="0065073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65073E" w:rsidRDefault="0065073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65073E" w:rsidRDefault="0065073E">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65073E" w:rsidRDefault="0065073E">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65073E" w:rsidRDefault="0065073E">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65073E" w:rsidRDefault="0065073E">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65073E" w:rsidRDefault="0065073E">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65073E" w:rsidRDefault="0065073E">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65073E" w:rsidRDefault="0065073E">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65073E" w:rsidRDefault="0065073E">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65073E" w:rsidRDefault="0065073E">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97A7" w14:textId="77777777" w:rsidR="0065073E" w:rsidRDefault="0065073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65073E" w:rsidRDefault="0065073E">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682F7" w14:textId="77777777" w:rsidR="0065073E" w:rsidRDefault="0065073E">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09A59" w14:textId="77777777" w:rsidR="0065073E" w:rsidRDefault="0065073E">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91C8" w14:textId="77777777" w:rsidR="0065073E" w:rsidRDefault="0065073E">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34F4" w14:textId="77777777" w:rsidR="0065073E" w:rsidRDefault="0065073E">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29E3E" w14:textId="77777777" w:rsidR="0065073E" w:rsidRDefault="0065073E">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65073E" w:rsidRDefault="0065073E">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65073E" w:rsidRDefault="0065073E">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65073E" w:rsidRDefault="0065073E">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65073E" w:rsidRDefault="0065073E">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65073E" w:rsidRDefault="0065073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65073E" w:rsidRDefault="0065073E">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65073E" w:rsidRDefault="0065073E">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65073E" w:rsidRDefault="0065073E">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65073E" w:rsidRDefault="0065073E">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65073E" w:rsidRDefault="0065073E">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65073E" w:rsidRDefault="0065073E">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65073E" w:rsidRDefault="0065073E">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65073E" w:rsidRDefault="0065073E">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65073E" w:rsidRDefault="0065073E">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65073E" w:rsidRDefault="0065073E">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65073E" w:rsidRDefault="0065073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65073E" w:rsidRDefault="0065073E">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65073E" w:rsidRDefault="0065073E">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65073E" w:rsidRDefault="0065073E">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65073E" w:rsidRDefault="0065073E">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65073E" w:rsidRDefault="0065073E">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65073E" w:rsidRDefault="0065073E">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65073E" w:rsidRDefault="0065073E">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65073E" w:rsidRDefault="0065073E">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65073E" w:rsidRDefault="0065073E">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65073E" w:rsidRDefault="0065073E">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65073E" w:rsidRDefault="0065073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65073E" w:rsidRDefault="0065073E">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65073E" w:rsidRDefault="0065073E">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65073E" w:rsidRDefault="0065073E">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65073E" w:rsidRDefault="0065073E">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65073E" w:rsidRDefault="0065073E">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65073E" w:rsidRDefault="0065073E">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65073E" w:rsidRDefault="0065073E">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65073E" w:rsidRDefault="0065073E">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65073E" w:rsidRDefault="0065073E">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65073E" w:rsidRDefault="0065073E">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65073E" w:rsidRDefault="0065073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65073E" w:rsidRDefault="0065073E">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65073E" w:rsidRDefault="0065073E">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65073E" w:rsidRDefault="0065073E">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65073E" w:rsidRDefault="0065073E">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65073E" w:rsidRDefault="0065073E">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65073E" w:rsidRDefault="0065073E">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65073E" w:rsidRDefault="0065073E">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65073E" w:rsidRDefault="0065073E">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65073E" w:rsidRDefault="0065073E">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65073E" w:rsidRDefault="0065073E">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65073E" w:rsidRDefault="006507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5399" w14:textId="77777777" w:rsidR="0065073E" w:rsidRDefault="0065073E">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65073E" w:rsidRDefault="0065073E">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65073E" w:rsidRDefault="0065073E">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65073E" w:rsidRDefault="0065073E">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65073E" w:rsidRDefault="0065073E">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65073E" w:rsidRDefault="0065073E">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65073E" w:rsidRDefault="0065073E">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65073E" w:rsidRDefault="0065073E">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65073E" w:rsidRDefault="0065073E">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65073E" w:rsidRDefault="0065073E">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2CB4D" w14:textId="77777777" w:rsidR="0065073E" w:rsidRDefault="0065073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1C18" w14:textId="77777777" w:rsidR="0065073E" w:rsidRDefault="0065073E">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6ADE" w14:textId="77777777" w:rsidR="0065073E" w:rsidRDefault="0065073E">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4224" w14:textId="77777777" w:rsidR="0065073E" w:rsidRDefault="0065073E">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EC0E" w14:textId="77777777" w:rsidR="0065073E" w:rsidRDefault="0065073E">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D129" w14:textId="77777777" w:rsidR="0065073E" w:rsidRDefault="0065073E">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EDF" w14:textId="77777777" w:rsidR="0065073E" w:rsidRDefault="0065073E">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65073E" w:rsidRDefault="0065073E">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65073E" w:rsidRDefault="0065073E">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65073E" w:rsidRDefault="0065073E">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65073E" w:rsidRDefault="0065073E">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65073E" w:rsidRDefault="00650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4642" w14:textId="77777777" w:rsidR="00EB694A" w:rsidRPr="00EB694A" w:rsidRDefault="00EB694A" w:rsidP="00EB694A">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34F4" w14:textId="77777777" w:rsidR="0065073E" w:rsidRDefault="0065073E">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65073E" w:rsidRDefault="0065073E">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65073E" w:rsidRDefault="0065073E">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65073E" w:rsidRDefault="0065073E">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65073E" w:rsidRDefault="0065073E">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65073E" w:rsidRDefault="0065073E">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65073E" w:rsidRDefault="0065073E">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65073E" w:rsidRDefault="0065073E">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65073E" w:rsidRDefault="0065073E">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F50B" w14:textId="77777777" w:rsidR="0065073E" w:rsidRDefault="0065073E">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65073E" w:rsidRDefault="0065073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65073E" w:rsidRDefault="0065073E">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65073E" w:rsidRDefault="0065073E">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65073E" w:rsidRDefault="0065073E">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65073E" w:rsidRDefault="0065073E">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212D3" w14:textId="77777777" w:rsidR="0065073E" w:rsidRDefault="0065073E">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757F" w14:textId="77777777" w:rsidR="0065073E" w:rsidRDefault="0065073E">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65073E" w:rsidRDefault="0065073E">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C51B" w14:textId="77777777" w:rsidR="0065073E" w:rsidRDefault="0065073E">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46766" w14:textId="77777777" w:rsidR="0065073E" w:rsidRDefault="0065073E">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65073E" w:rsidRDefault="0065073E">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71D4" w14:textId="77777777" w:rsidR="0065073E" w:rsidRDefault="0065073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65073E" w:rsidRDefault="0065073E">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6CDE" w14:textId="77777777" w:rsidR="0065073E" w:rsidRDefault="0065073E">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65073E" w:rsidRDefault="0065073E">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F15D" w14:textId="77777777" w:rsidR="0065073E" w:rsidRDefault="0065073E">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F948" w14:textId="77777777" w:rsidR="0065073E" w:rsidRDefault="0065073E">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65073E" w:rsidRDefault="0065073E">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87FA" w14:textId="77777777" w:rsidR="0065073E" w:rsidRDefault="0065073E">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408E" w14:textId="77777777" w:rsidR="0065073E" w:rsidRDefault="0065073E">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65073E" w:rsidRDefault="0065073E">
    <w:pPr>
      <w:pStyle w:val="Heade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5B6BF" w14:textId="77777777" w:rsidR="0065073E" w:rsidRDefault="0065073E">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AAFD" w14:textId="77777777" w:rsidR="0065073E" w:rsidRDefault="0065073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65073E" w:rsidRDefault="0065073E">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65073E" w:rsidRDefault="0065073E">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B6F9E" w14:textId="77777777" w:rsidR="0065073E" w:rsidRDefault="0065073E">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F62" w14:textId="77777777" w:rsidR="0065073E" w:rsidRDefault="0065073E">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B842" w14:textId="77777777" w:rsidR="0065073E" w:rsidRDefault="0065073E">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AD6BE" w14:textId="77777777" w:rsidR="0065073E" w:rsidRDefault="0065073E">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44FB" w14:textId="77777777" w:rsidR="0065073E" w:rsidRDefault="0065073E">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3B0F3" w14:textId="77777777" w:rsidR="0065073E" w:rsidRDefault="0065073E">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7053" w14:textId="77777777" w:rsidR="0065073E" w:rsidRDefault="0065073E">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DBC9" w14:textId="77777777" w:rsidR="0065073E" w:rsidRDefault="0065073E">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7AA2" w14:textId="77777777" w:rsidR="0065073E" w:rsidRDefault="0065073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65073E" w:rsidRDefault="0065073E">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AE38" w14:textId="77777777" w:rsidR="0065073E" w:rsidRDefault="0065073E">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7531" w14:textId="77777777" w:rsidR="0065073E" w:rsidRDefault="0065073E">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2770" w14:textId="77777777" w:rsidR="0065073E" w:rsidRDefault="0065073E">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DDF59" w14:textId="77777777" w:rsidR="0065073E" w:rsidRDefault="0065073E">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BA101" w14:textId="77777777" w:rsidR="0065073E" w:rsidRDefault="0065073E">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9D19" w14:textId="77777777" w:rsidR="0065073E" w:rsidRDefault="0065073E">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E170" w14:textId="77777777" w:rsidR="0065073E" w:rsidRDefault="0065073E">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AD0EA" w14:textId="77777777" w:rsidR="0065073E" w:rsidRDefault="0065073E">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C8CC" w14:textId="77777777" w:rsidR="0065073E" w:rsidRDefault="0065073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65073E" w:rsidRDefault="0065073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65073E" w:rsidRDefault="0065073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B3CE6" w14:textId="77777777" w:rsidR="0065073E" w:rsidRDefault="0065073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E747C" w14:textId="77777777" w:rsidR="0065073E" w:rsidRDefault="0065073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A2BC" w14:textId="77777777" w:rsidR="0065073E" w:rsidRDefault="006507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65073E" w:rsidRDefault="0065073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9F22" w14:textId="77777777" w:rsidR="0065073E" w:rsidRDefault="0065073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AB8D" w14:textId="77777777" w:rsidR="0065073E" w:rsidRDefault="0065073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2A807" w14:textId="77777777" w:rsidR="0065073E" w:rsidRDefault="0065073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65073E" w:rsidRDefault="0065073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65073E" w:rsidRDefault="0065073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65073E" w:rsidRDefault="0065073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65073E" w:rsidRDefault="0065073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65073E" w:rsidRDefault="0065073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65073E" w:rsidRDefault="0065073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65073E" w:rsidRDefault="006507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DC49" w14:textId="77777777" w:rsidR="0065073E" w:rsidRDefault="000A0998">
    <w:pPr>
      <w:pStyle w:val="HeaderCouncilLarge"/>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65073E" w:rsidRDefault="0065073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65073E" w:rsidRDefault="0065073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65073E" w:rsidRDefault="0065073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65073E" w:rsidRDefault="0065073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65073E" w:rsidRDefault="0065073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65073E" w:rsidRDefault="0065073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65073E" w:rsidRDefault="0065073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65073E" w:rsidRDefault="0065073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65073E" w:rsidRDefault="0065073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65073E" w:rsidRDefault="006507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65073E" w:rsidRDefault="0065073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65073E" w:rsidRDefault="0065073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65073E" w:rsidRDefault="0065073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65073E" w:rsidRDefault="0065073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65073E" w:rsidRDefault="0065073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65073E" w:rsidRDefault="0065073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65073E" w:rsidRDefault="0065073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65073E" w:rsidRDefault="0065073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65073E" w:rsidRDefault="0065073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65073E" w:rsidRDefault="0065073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65073E" w:rsidRDefault="006507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65073E" w:rsidRDefault="0065073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65073E" w:rsidRDefault="0065073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65073E" w:rsidRDefault="0065073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65073E" w:rsidRDefault="0065073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65073E" w:rsidRDefault="0065073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65073E" w:rsidRDefault="0065073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65073E" w:rsidRDefault="0065073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65073E" w:rsidRDefault="0065073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65073E" w:rsidRDefault="0065073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65073E" w:rsidRDefault="0065073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65073E" w:rsidRDefault="006507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65073E" w:rsidRDefault="0065073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65073E" w:rsidRDefault="0065073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65073E" w:rsidRDefault="0065073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65073E" w:rsidRDefault="0065073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65073E" w:rsidRDefault="0065073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65073E" w:rsidRDefault="0065073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65073E" w:rsidRDefault="0065073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65073E" w:rsidRDefault="0065073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65073E" w:rsidRDefault="0065073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65073E" w:rsidRDefault="0065073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65073E" w:rsidRDefault="006507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65073E" w:rsidRDefault="0065073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65073E" w:rsidRDefault="0065073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65073E" w:rsidRDefault="0065073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65073E" w:rsidRDefault="0065073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65073E" w:rsidRDefault="0065073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65073E" w:rsidRDefault="0065073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65073E" w:rsidRDefault="0065073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65073E" w:rsidRDefault="0065073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65073E" w:rsidRDefault="0065073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65073E" w:rsidRDefault="0065073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65073E" w:rsidRDefault="00650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D06E840E"/>
    <w:lvl w:ilvl="0" w:tplc="7B281CE4">
      <w:start w:val="1"/>
      <w:numFmt w:val="lowerRoman"/>
      <w:lvlText w:val="%1."/>
      <w:lvlJc w:val="right"/>
      <w:pPr>
        <w:ind w:left="1440" w:hanging="360"/>
      </w:pPr>
      <w:rPr>
        <w:b w:val="0"/>
        <w:bCs/>
        <w:color w:val="auto"/>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8F269B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5"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6"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7"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50"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1" w15:restartNumberingAfterBreak="0">
    <w:nsid w:val="3A575E44"/>
    <w:multiLevelType w:val="hybridMultilevel"/>
    <w:tmpl w:val="E3B643F2"/>
    <w:lvl w:ilvl="0" w:tplc="0A940E3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3A7C5413"/>
    <w:multiLevelType w:val="hybridMultilevel"/>
    <w:tmpl w:val="E9A63D5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3"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4"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5"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6"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8"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1"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2"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3"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4"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5"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6"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7"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8"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0"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1"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3"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4"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5"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8"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9"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80"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81"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2"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6"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7"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8"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9"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0"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2"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4"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5"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6"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7" w15:restartNumberingAfterBreak="0">
    <w:nsid w:val="43485A25"/>
    <w:multiLevelType w:val="hybridMultilevel"/>
    <w:tmpl w:val="BD0AC6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9"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402"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3"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4"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5"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6"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7"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8"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9"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1"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5"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6"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8"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9"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0"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21"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2"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3"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5"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6"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7"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30"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32"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3"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4"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5"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6"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7"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8"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9"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41"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42"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3"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4"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6"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9"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50"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1"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52"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3"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4"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5"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6"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7"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9"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0"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61"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2"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3"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4"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5"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6"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7"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9"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1"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72"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3"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4"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5"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6"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7"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8"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9"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80"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81"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4"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5"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6"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7"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8"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9"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90"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2"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4"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5"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6"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7"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9"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500"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1"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3"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4"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5"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8"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9"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0"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11"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3"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4"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5"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7"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0"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1"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22"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3"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5"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6"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7"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9"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31"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32"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3"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5"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6"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7"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8"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9"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0"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41"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42"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3"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4"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5"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6"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7"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50"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1"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2"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3"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4"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5"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7"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8"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60"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61"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62"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4"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5"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6"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7"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8"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9"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0"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4"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5"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7"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8"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9"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80"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1"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3"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5"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6"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7"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8"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9"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0"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3"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4"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5"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7"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8"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600"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601"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602"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3"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4"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6"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8"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0"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3"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4"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5"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6"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7"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9" w15:restartNumberingAfterBreak="0">
    <w:nsid w:val="66F2106C"/>
    <w:multiLevelType w:val="multilevel"/>
    <w:tmpl w:val="FA7AD638"/>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2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2"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3"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6"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7"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9"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3"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4"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6"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7"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8"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9" w15:restartNumberingAfterBreak="0">
    <w:nsid w:val="6B002138"/>
    <w:multiLevelType w:val="hybridMultilevel"/>
    <w:tmpl w:val="D0303806"/>
    <w:lvl w:ilvl="0" w:tplc="85768B32">
      <w:start w:val="1"/>
      <w:numFmt w:val="lowerRoman"/>
      <w:lvlText w:val="%1."/>
      <w:lvlJc w:val="right"/>
      <w:pPr>
        <w:ind w:left="720" w:hanging="360"/>
      </w:pPr>
      <w:rPr>
        <w:color w:val="auto"/>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0"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41"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2"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3"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4"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5"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6"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8"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9"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51"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52"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4"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5"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7"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0"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61"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2"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3"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4"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5"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6"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7"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8"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9"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0"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1"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72"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4"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6"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8"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0"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1"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82"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3"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5"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6"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3C5BA9"/>
    <w:multiLevelType w:val="hybridMultilevel"/>
    <w:tmpl w:val="99C0C08E"/>
    <w:lvl w:ilvl="0" w:tplc="0409000F">
      <w:start w:val="1"/>
      <w:numFmt w:val="decimal"/>
      <w:lvlText w:val="%1."/>
      <w:lvlJc w:val="left"/>
      <w:pPr>
        <w:ind w:left="-3872" w:hanging="360"/>
      </w:pPr>
    </w:lvl>
    <w:lvl w:ilvl="1" w:tplc="04090019">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start w:val="1"/>
      <w:numFmt w:val="lowerRoman"/>
      <w:lvlText w:val="%9."/>
      <w:lvlJc w:val="right"/>
      <w:pPr>
        <w:ind w:left="1888" w:hanging="180"/>
      </w:pPr>
    </w:lvl>
  </w:abstractNum>
  <w:abstractNum w:abstractNumId="688"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9"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0"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1"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6"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7"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8"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9"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00"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2"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3"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4"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5" w15:restartNumberingAfterBreak="0">
    <w:nsid w:val="76E74A32"/>
    <w:multiLevelType w:val="hybridMultilevel"/>
    <w:tmpl w:val="C9A425C0"/>
    <w:lvl w:ilvl="0" w:tplc="90D6F4B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6"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7"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8"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9"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10" w15:restartNumberingAfterBreak="0">
    <w:nsid w:val="77D4553C"/>
    <w:multiLevelType w:val="hybridMultilevel"/>
    <w:tmpl w:val="F622FD7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1"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12"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3"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5"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6"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7"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8"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9"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20"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3"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5"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6"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7"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8"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9"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30"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31"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4"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5"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6"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7"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8"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0"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41"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3"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4"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5"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6"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7"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8"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51"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2"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4"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5"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6" w15:restartNumberingAfterBreak="0">
    <w:nsid w:val="7FBE6D60"/>
    <w:multiLevelType w:val="hybridMultilevel"/>
    <w:tmpl w:val="7DEA0444"/>
    <w:lvl w:ilvl="0" w:tplc="A3768CF0">
      <w:start w:val="1"/>
      <w:numFmt w:val="lowerLetter"/>
      <w:lvlText w:val="%1)"/>
      <w:lvlJc w:val="left"/>
      <w:pPr>
        <w:ind w:left="720" w:hanging="36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7"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9"/>
  </w:num>
  <w:num w:numId="2">
    <w:abstractNumId w:val="133"/>
  </w:num>
  <w:num w:numId="3">
    <w:abstractNumId w:val="534"/>
  </w:num>
  <w:num w:numId="4">
    <w:abstractNumId w:val="602"/>
  </w:num>
  <w:num w:numId="5">
    <w:abstractNumId w:val="715"/>
  </w:num>
  <w:num w:numId="6">
    <w:abstractNumId w:val="372"/>
  </w:num>
  <w:num w:numId="7">
    <w:abstractNumId w:val="596"/>
  </w:num>
  <w:num w:numId="8">
    <w:abstractNumId w:val="425"/>
  </w:num>
  <w:num w:numId="9">
    <w:abstractNumId w:val="588"/>
  </w:num>
  <w:num w:numId="10">
    <w:abstractNumId w:val="58"/>
  </w:num>
  <w:num w:numId="11">
    <w:abstractNumId w:val="651"/>
  </w:num>
  <w:num w:numId="12">
    <w:abstractNumId w:val="201"/>
  </w:num>
  <w:num w:numId="13">
    <w:abstractNumId w:val="170"/>
  </w:num>
  <w:num w:numId="14">
    <w:abstractNumId w:val="620"/>
  </w:num>
  <w:num w:numId="15">
    <w:abstractNumId w:val="415"/>
  </w:num>
  <w:num w:numId="16">
    <w:abstractNumId w:val="167"/>
  </w:num>
  <w:num w:numId="17">
    <w:abstractNumId w:val="754"/>
  </w:num>
  <w:num w:numId="18">
    <w:abstractNumId w:val="525"/>
  </w:num>
  <w:num w:numId="19">
    <w:abstractNumId w:val="703"/>
  </w:num>
  <w:num w:numId="20">
    <w:abstractNumId w:val="204"/>
  </w:num>
  <w:num w:numId="21">
    <w:abstractNumId w:val="221"/>
  </w:num>
  <w:num w:numId="22">
    <w:abstractNumId w:val="350"/>
  </w:num>
  <w:num w:numId="23">
    <w:abstractNumId w:val="508"/>
  </w:num>
  <w:num w:numId="24">
    <w:abstractNumId w:val="200"/>
  </w:num>
  <w:num w:numId="25">
    <w:abstractNumId w:val="662"/>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5"/>
  </w:num>
  <w:num w:numId="33">
    <w:abstractNumId w:val="265"/>
  </w:num>
  <w:num w:numId="34">
    <w:abstractNumId w:val="115"/>
  </w:num>
  <w:num w:numId="35">
    <w:abstractNumId w:val="182"/>
  </w:num>
  <w:num w:numId="36">
    <w:abstractNumId w:val="82"/>
  </w:num>
  <w:num w:numId="37">
    <w:abstractNumId w:val="695"/>
  </w:num>
  <w:num w:numId="38">
    <w:abstractNumId w:val="540"/>
  </w:num>
  <w:num w:numId="39">
    <w:abstractNumId w:val="44"/>
  </w:num>
  <w:num w:numId="40">
    <w:abstractNumId w:val="304"/>
  </w:num>
  <w:num w:numId="41">
    <w:abstractNumId w:val="228"/>
  </w:num>
  <w:num w:numId="42">
    <w:abstractNumId w:val="599"/>
  </w:num>
  <w:num w:numId="43">
    <w:abstractNumId w:val="380"/>
  </w:num>
  <w:num w:numId="44">
    <w:abstractNumId w:val="289"/>
  </w:num>
  <w:num w:numId="45">
    <w:abstractNumId w:val="559"/>
  </w:num>
  <w:num w:numId="46">
    <w:abstractNumId w:val="393"/>
  </w:num>
  <w:num w:numId="47">
    <w:abstractNumId w:val="621"/>
  </w:num>
  <w:num w:numId="48">
    <w:abstractNumId w:val="271"/>
  </w:num>
  <w:num w:numId="49">
    <w:abstractNumId w:val="396"/>
  </w:num>
  <w:num w:numId="50">
    <w:abstractNumId w:val="219"/>
  </w:num>
  <w:num w:numId="51">
    <w:abstractNumId w:val="603"/>
  </w:num>
  <w:num w:numId="52">
    <w:abstractNumId w:val="169"/>
  </w:num>
  <w:num w:numId="53">
    <w:abstractNumId w:val="417"/>
  </w:num>
  <w:num w:numId="54">
    <w:abstractNumId w:val="552"/>
  </w:num>
  <w:num w:numId="55">
    <w:abstractNumId w:val="554"/>
  </w:num>
  <w:num w:numId="56">
    <w:abstractNumId w:val="270"/>
  </w:num>
  <w:num w:numId="57">
    <w:abstractNumId w:val="516"/>
  </w:num>
  <w:num w:numId="58">
    <w:abstractNumId w:val="742"/>
  </w:num>
  <w:num w:numId="59">
    <w:abstractNumId w:val="4"/>
  </w:num>
  <w:num w:numId="60">
    <w:abstractNumId w:val="2"/>
  </w:num>
  <w:num w:numId="61">
    <w:abstractNumId w:val="1"/>
  </w:num>
  <w:num w:numId="62">
    <w:abstractNumId w:val="0"/>
  </w:num>
  <w:num w:numId="63">
    <w:abstractNumId w:val="615"/>
  </w:num>
  <w:num w:numId="64">
    <w:abstractNumId w:val="492"/>
  </w:num>
  <w:num w:numId="65">
    <w:abstractNumId w:val="493"/>
  </w:num>
  <w:num w:numId="66">
    <w:abstractNumId w:val="503"/>
  </w:num>
  <w:num w:numId="67">
    <w:abstractNumId w:val="16"/>
  </w:num>
  <w:num w:numId="68">
    <w:abstractNumId w:val="208"/>
  </w:num>
  <w:num w:numId="69">
    <w:abstractNumId w:val="179"/>
  </w:num>
  <w:num w:numId="70">
    <w:abstractNumId w:val="403"/>
  </w:num>
  <w:num w:numId="71">
    <w:abstractNumId w:val="74"/>
  </w:num>
  <w:num w:numId="72">
    <w:abstractNumId w:val="327"/>
  </w:num>
  <w:num w:numId="73">
    <w:abstractNumId w:val="344"/>
  </w:num>
  <w:num w:numId="74">
    <w:abstractNumId w:val="22"/>
  </w:num>
  <w:num w:numId="75">
    <w:abstractNumId w:val="255"/>
  </w:num>
  <w:num w:numId="76">
    <w:abstractNumId w:val="41"/>
  </w:num>
  <w:num w:numId="77">
    <w:abstractNumId w:val="614"/>
  </w:num>
  <w:num w:numId="78">
    <w:abstractNumId w:val="565"/>
  </w:num>
  <w:num w:numId="79">
    <w:abstractNumId w:val="494"/>
  </w:num>
  <w:num w:numId="80">
    <w:abstractNumId w:val="49"/>
  </w:num>
  <w:num w:numId="81">
    <w:abstractNumId w:val="543"/>
  </w:num>
  <w:num w:numId="82">
    <w:abstractNumId w:val="65"/>
  </w:num>
  <w:num w:numId="83">
    <w:abstractNumId w:val="36"/>
  </w:num>
  <w:num w:numId="84">
    <w:abstractNumId w:val="14"/>
  </w:num>
  <w:num w:numId="85">
    <w:abstractNumId w:val="413"/>
  </w:num>
  <w:num w:numId="86">
    <w:abstractNumId w:val="500"/>
  </w:num>
  <w:num w:numId="87">
    <w:abstractNumId w:val="480"/>
  </w:num>
  <w:num w:numId="88">
    <w:abstractNumId w:val="410"/>
  </w:num>
  <w:num w:numId="89">
    <w:abstractNumId w:val="229"/>
  </w:num>
  <w:num w:numId="90">
    <w:abstractNumId w:val="629"/>
  </w:num>
  <w:num w:numId="91">
    <w:abstractNumId w:val="574"/>
  </w:num>
  <w:num w:numId="92">
    <w:abstractNumId w:val="187"/>
  </w:num>
  <w:num w:numId="93">
    <w:abstractNumId w:val="249"/>
  </w:num>
  <w:num w:numId="94">
    <w:abstractNumId w:val="104"/>
  </w:num>
  <w:num w:numId="95">
    <w:abstractNumId w:val="38"/>
  </w:num>
  <w:num w:numId="96">
    <w:abstractNumId w:val="357"/>
  </w:num>
  <w:num w:numId="97">
    <w:abstractNumId w:val="607"/>
  </w:num>
  <w:num w:numId="98">
    <w:abstractNumId w:val="515"/>
  </w:num>
  <w:num w:numId="99">
    <w:abstractNumId w:val="522"/>
  </w:num>
  <w:num w:numId="100">
    <w:abstractNumId w:val="624"/>
  </w:num>
  <w:num w:numId="101">
    <w:abstractNumId w:val="517"/>
  </w:num>
  <w:num w:numId="102">
    <w:abstractNumId w:val="701"/>
  </w:num>
  <w:num w:numId="103">
    <w:abstractNumId w:val="60"/>
  </w:num>
  <w:num w:numId="104">
    <w:abstractNumId w:val="263"/>
  </w:num>
  <w:num w:numId="105">
    <w:abstractNumId w:val="314"/>
  </w:num>
  <w:num w:numId="106">
    <w:abstractNumId w:val="199"/>
  </w:num>
  <w:num w:numId="107">
    <w:abstractNumId w:val="421"/>
  </w:num>
  <w:num w:numId="108">
    <w:abstractNumId w:val="710"/>
  </w:num>
  <w:num w:numId="109">
    <w:abstractNumId w:val="645"/>
  </w:num>
  <w:num w:numId="110">
    <w:abstractNumId w:val="319"/>
  </w:num>
  <w:num w:numId="111">
    <w:abstractNumId w:val="127"/>
  </w:num>
  <w:num w:numId="112">
    <w:abstractNumId w:val="418"/>
  </w:num>
  <w:num w:numId="113">
    <w:abstractNumId w:val="305"/>
  </w:num>
  <w:num w:numId="114">
    <w:abstractNumId w:val="370"/>
  </w:num>
  <w:num w:numId="115">
    <w:abstractNumId w:val="489"/>
  </w:num>
  <w:num w:numId="116">
    <w:abstractNumId w:val="365"/>
  </w:num>
  <w:num w:numId="117">
    <w:abstractNumId w:val="256"/>
  </w:num>
  <w:num w:numId="118">
    <w:abstractNumId w:val="381"/>
  </w:num>
  <w:num w:numId="119">
    <w:abstractNumId w:val="643"/>
  </w:num>
  <w:num w:numId="120">
    <w:abstractNumId w:val="753"/>
  </w:num>
  <w:num w:numId="121">
    <w:abstractNumId w:val="40"/>
  </w:num>
  <w:num w:numId="122">
    <w:abstractNumId w:val="712"/>
  </w:num>
  <w:num w:numId="123">
    <w:abstractNumId w:val="100"/>
  </w:num>
  <w:num w:numId="124">
    <w:abstractNumId w:val="139"/>
  </w:num>
  <w:num w:numId="125">
    <w:abstractNumId w:val="303"/>
  </w:num>
  <w:num w:numId="126">
    <w:abstractNumId w:val="87"/>
  </w:num>
  <w:num w:numId="127">
    <w:abstractNumId w:val="427"/>
  </w:num>
  <w:num w:numId="128">
    <w:abstractNumId w:val="438"/>
  </w:num>
  <w:num w:numId="129">
    <w:abstractNumId w:val="752"/>
  </w:num>
  <w:num w:numId="130">
    <w:abstractNumId w:val="687"/>
  </w:num>
  <w:num w:numId="131">
    <w:abstractNumId w:val="560"/>
  </w:num>
  <w:num w:numId="132">
    <w:abstractNumId w:val="250"/>
  </w:num>
  <w:num w:numId="133">
    <w:abstractNumId w:val="318"/>
  </w:num>
  <w:num w:numId="134">
    <w:abstractNumId w:val="548"/>
  </w:num>
  <w:num w:numId="135">
    <w:abstractNumId w:val="86"/>
  </w:num>
  <w:num w:numId="136">
    <w:abstractNumId w:val="482"/>
  </w:num>
  <w:num w:numId="137">
    <w:abstractNumId w:val="416"/>
  </w:num>
  <w:num w:numId="138">
    <w:abstractNumId w:val="676"/>
  </w:num>
  <w:num w:numId="139">
    <w:abstractNumId w:val="275"/>
  </w:num>
  <w:num w:numId="140">
    <w:abstractNumId w:val="688"/>
  </w:num>
  <w:num w:numId="141">
    <w:abstractNumId w:val="258"/>
  </w:num>
  <w:num w:numId="142">
    <w:abstractNumId w:val="78"/>
  </w:num>
  <w:num w:numId="143">
    <w:abstractNumId w:val="429"/>
  </w:num>
  <w:num w:numId="144">
    <w:abstractNumId w:val="622"/>
  </w:num>
  <w:num w:numId="145">
    <w:abstractNumId w:val="288"/>
  </w:num>
  <w:num w:numId="146">
    <w:abstractNumId w:val="336"/>
  </w:num>
  <w:num w:numId="147">
    <w:abstractNumId w:val="632"/>
  </w:num>
  <w:num w:numId="148">
    <w:abstractNumId w:val="692"/>
  </w:num>
  <w:num w:numId="149">
    <w:abstractNumId w:val="246"/>
  </w:num>
  <w:num w:numId="150">
    <w:abstractNumId w:val="604"/>
  </w:num>
  <w:num w:numId="151">
    <w:abstractNumId w:val="409"/>
  </w:num>
  <w:num w:numId="152">
    <w:abstractNumId w:val="657"/>
  </w:num>
  <w:num w:numId="153">
    <w:abstractNumId w:val="544"/>
  </w:num>
  <w:num w:numId="154">
    <w:abstractNumId w:val="321"/>
  </w:num>
  <w:num w:numId="155">
    <w:abstractNumId w:val="726"/>
  </w:num>
  <w:num w:numId="156">
    <w:abstractNumId w:val="276"/>
  </w:num>
  <w:num w:numId="157">
    <w:abstractNumId w:val="683"/>
  </w:num>
  <w:num w:numId="158">
    <w:abstractNumId w:val="95"/>
  </w:num>
  <w:num w:numId="159">
    <w:abstractNumId w:val="310"/>
  </w:num>
  <w:num w:numId="160">
    <w:abstractNumId w:val="697"/>
  </w:num>
  <w:num w:numId="161">
    <w:abstractNumId w:val="118"/>
  </w:num>
  <w:num w:numId="162">
    <w:abstractNumId w:val="528"/>
  </w:num>
  <w:num w:numId="163">
    <w:abstractNumId w:val="405"/>
  </w:num>
  <w:num w:numId="164">
    <w:abstractNumId w:val="354"/>
  </w:num>
  <w:num w:numId="165">
    <w:abstractNumId w:val="640"/>
  </w:num>
  <w:num w:numId="166">
    <w:abstractNumId w:val="411"/>
  </w:num>
  <w:num w:numId="167">
    <w:abstractNumId w:val="464"/>
  </w:num>
  <w:num w:numId="168">
    <w:abstractNumId w:val="490"/>
  </w:num>
  <w:num w:numId="169">
    <w:abstractNumId w:val="655"/>
  </w:num>
  <w:num w:numId="170">
    <w:abstractNumId w:val="477"/>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92"/>
  </w:num>
  <w:num w:numId="183">
    <w:abstractNumId w:val="605"/>
  </w:num>
  <w:num w:numId="184">
    <w:abstractNumId w:val="484"/>
  </w:num>
  <w:num w:numId="185">
    <w:abstractNumId w:val="134"/>
  </w:num>
  <w:num w:numId="186">
    <w:abstractNumId w:val="550"/>
  </w:num>
  <w:num w:numId="187">
    <w:abstractNumId w:val="753"/>
  </w:num>
  <w:num w:numId="188">
    <w:abstractNumId w:val="40"/>
  </w:num>
  <w:num w:numId="189">
    <w:abstractNumId w:val="712"/>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5"/>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8"/>
  </w:num>
  <w:num w:numId="221">
    <w:abstractNumId w:val="53"/>
  </w:num>
  <w:num w:numId="222">
    <w:abstractNumId w:val="194"/>
  </w:num>
  <w:num w:numId="223">
    <w:abstractNumId w:val="21"/>
  </w:num>
  <w:num w:numId="224">
    <w:abstractNumId w:val="537"/>
  </w:num>
  <w:num w:numId="225">
    <w:abstractNumId w:val="225"/>
  </w:num>
  <w:num w:numId="226">
    <w:abstractNumId w:val="443"/>
  </w:num>
  <w:num w:numId="227">
    <w:abstractNumId w:val="711"/>
  </w:num>
  <w:num w:numId="228">
    <w:abstractNumId w:val="736"/>
  </w:num>
  <w:num w:numId="229">
    <w:abstractNumId w:val="162"/>
  </w:num>
  <w:num w:numId="230">
    <w:abstractNumId w:val="536"/>
  </w:num>
  <w:num w:numId="231">
    <w:abstractNumId w:val="719"/>
  </w:num>
  <w:num w:numId="232">
    <w:abstractNumId w:val="132"/>
  </w:num>
  <w:num w:numId="233">
    <w:abstractNumId w:val="531"/>
  </w:num>
  <w:num w:numId="234">
    <w:abstractNumId w:val="23"/>
  </w:num>
  <w:num w:numId="235">
    <w:abstractNumId w:val="366"/>
  </w:num>
  <w:num w:numId="236">
    <w:abstractNumId w:val="441"/>
  </w:num>
  <w:num w:numId="237">
    <w:abstractNumId w:val="682"/>
  </w:num>
  <w:num w:numId="238">
    <w:abstractNumId w:val="181"/>
  </w:num>
  <w:num w:numId="239">
    <w:abstractNumId w:val="660"/>
  </w:num>
  <w:num w:numId="240">
    <w:abstractNumId w:val="495"/>
  </w:num>
  <w:num w:numId="241">
    <w:abstractNumId w:val="173"/>
  </w:num>
  <w:num w:numId="242">
    <w:abstractNumId w:val="243"/>
  </w:num>
  <w:num w:numId="243">
    <w:abstractNumId w:val="90"/>
  </w:num>
  <w:num w:numId="244">
    <w:abstractNumId w:val="282"/>
  </w:num>
  <w:num w:numId="245">
    <w:abstractNumId w:val="633"/>
  </w:num>
  <w:num w:numId="246">
    <w:abstractNumId w:val="586"/>
  </w:num>
  <w:num w:numId="247">
    <w:abstractNumId w:val="437"/>
  </w:num>
  <w:num w:numId="248">
    <w:abstractNumId w:val="530"/>
  </w:num>
  <w:num w:numId="249">
    <w:abstractNumId w:val="254"/>
  </w:num>
  <w:num w:numId="250">
    <w:abstractNumId w:val="451"/>
  </w:num>
  <w:num w:numId="251">
    <w:abstractNumId w:val="740"/>
  </w:num>
  <w:num w:numId="252">
    <w:abstractNumId w:val="110"/>
  </w:num>
  <w:num w:numId="253">
    <w:abstractNumId w:val="498"/>
  </w:num>
  <w:num w:numId="254">
    <w:abstractNumId w:val="191"/>
  </w:num>
  <w:num w:numId="255">
    <w:abstractNumId w:val="558"/>
  </w:num>
  <w:num w:numId="256">
    <w:abstractNumId w:val="486"/>
  </w:num>
  <w:num w:numId="257">
    <w:abstractNumId w:val="126"/>
  </w:num>
  <w:num w:numId="258">
    <w:abstractNumId w:val="379"/>
  </w:num>
  <w:num w:numId="259">
    <w:abstractNumId w:val="120"/>
  </w:num>
  <w:num w:numId="260">
    <w:abstractNumId w:val="136"/>
  </w:num>
  <w:num w:numId="261">
    <w:abstractNumId w:val="747"/>
  </w:num>
  <w:num w:numId="262">
    <w:abstractNumId w:val="671"/>
  </w:num>
  <w:num w:numId="263">
    <w:abstractNumId w:val="46"/>
  </w:num>
  <w:num w:numId="264">
    <w:abstractNumId w:val="577"/>
  </w:num>
  <w:num w:numId="265">
    <w:abstractNumId w:val="12"/>
  </w:num>
  <w:num w:numId="266">
    <w:abstractNumId w:val="171"/>
  </w:num>
  <w:num w:numId="267">
    <w:abstractNumId w:val="420"/>
  </w:num>
  <w:num w:numId="268">
    <w:abstractNumId w:val="280"/>
  </w:num>
  <w:num w:numId="269">
    <w:abstractNumId w:val="334"/>
  </w:num>
  <w:num w:numId="270">
    <w:abstractNumId w:val="388"/>
  </w:num>
  <w:num w:numId="271">
    <w:abstractNumId w:val="628"/>
  </w:num>
  <w:num w:numId="272">
    <w:abstractNumId w:val="636"/>
  </w:num>
  <w:num w:numId="273">
    <w:abstractNumId w:val="727"/>
  </w:num>
  <w:num w:numId="274">
    <w:abstractNumId w:val="98"/>
  </w:num>
  <w:num w:numId="275">
    <w:abstractNumId w:val="329"/>
  </w:num>
  <w:num w:numId="276">
    <w:abstractNumId w:val="458"/>
  </w:num>
  <w:num w:numId="277">
    <w:abstractNumId w:val="426"/>
  </w:num>
  <w:num w:numId="278">
    <w:abstractNumId w:val="52"/>
  </w:num>
  <w:num w:numId="279">
    <w:abstractNumId w:val="331"/>
  </w:num>
  <w:num w:numId="280">
    <w:abstractNumId w:val="107"/>
  </w:num>
  <w:num w:numId="281">
    <w:abstractNumId w:val="140"/>
  </w:num>
  <w:num w:numId="282">
    <w:abstractNumId w:val="241"/>
  </w:num>
  <w:num w:numId="283">
    <w:abstractNumId w:val="434"/>
  </w:num>
  <w:num w:numId="284">
    <w:abstractNumId w:val="67"/>
  </w:num>
  <w:num w:numId="285">
    <w:abstractNumId w:val="59"/>
  </w:num>
  <w:num w:numId="286">
    <w:abstractNumId w:val="337"/>
  </w:num>
  <w:num w:numId="287">
    <w:abstractNumId w:val="452"/>
  </w:num>
  <w:num w:numId="288">
    <w:abstractNumId w:val="556"/>
  </w:num>
  <w:num w:numId="289">
    <w:abstractNumId w:val="55"/>
  </w:num>
  <w:num w:numId="290">
    <w:abstractNumId w:val="563"/>
  </w:num>
  <w:num w:numId="291">
    <w:abstractNumId w:val="650"/>
  </w:num>
  <w:num w:numId="292">
    <w:abstractNumId w:val="307"/>
  </w:num>
  <w:num w:numId="293">
    <w:abstractNumId w:val="203"/>
  </w:num>
  <w:num w:numId="294">
    <w:abstractNumId w:val="367"/>
  </w:num>
  <w:num w:numId="295">
    <w:abstractNumId w:val="755"/>
  </w:num>
  <w:num w:numId="296">
    <w:abstractNumId w:val="479"/>
  </w:num>
  <w:num w:numId="297">
    <w:abstractNumId w:val="236"/>
  </w:num>
  <w:num w:numId="298">
    <w:abstractNumId w:val="469"/>
  </w:num>
  <w:num w:numId="299">
    <w:abstractNumId w:val="235"/>
  </w:num>
  <w:num w:numId="300">
    <w:abstractNumId w:val="92"/>
  </w:num>
  <w:num w:numId="301">
    <w:abstractNumId w:val="400"/>
  </w:num>
  <w:num w:numId="302">
    <w:abstractNumId w:val="356"/>
  </w:num>
  <w:num w:numId="303">
    <w:abstractNumId w:val="460"/>
  </w:num>
  <w:num w:numId="304">
    <w:abstractNumId w:val="363"/>
  </w:num>
  <w:num w:numId="305">
    <w:abstractNumId w:val="684"/>
  </w:num>
  <w:num w:numId="306">
    <w:abstractNumId w:val="257"/>
  </w:num>
  <w:num w:numId="307">
    <w:abstractNumId w:val="600"/>
  </w:num>
  <w:num w:numId="308">
    <w:abstractNumId w:val="266"/>
  </w:num>
  <w:num w:numId="309">
    <w:abstractNumId w:val="80"/>
  </w:num>
  <w:num w:numId="310">
    <w:abstractNumId w:val="166"/>
  </w:num>
  <w:num w:numId="311">
    <w:abstractNumId w:val="324"/>
  </w:num>
  <w:num w:numId="312">
    <w:abstractNumId w:val="504"/>
  </w:num>
  <w:num w:numId="313">
    <w:abstractNumId w:val="185"/>
  </w:num>
  <w:num w:numId="314">
    <w:abstractNumId w:val="311"/>
  </w:num>
  <w:num w:numId="315">
    <w:abstractNumId w:val="707"/>
  </w:num>
  <w:num w:numId="316">
    <w:abstractNumId w:val="189"/>
  </w:num>
  <w:num w:numId="317">
    <w:abstractNumId w:val="468"/>
  </w:num>
  <w:num w:numId="318">
    <w:abstractNumId w:val="218"/>
  </w:num>
  <w:num w:numId="319">
    <w:abstractNumId w:val="364"/>
  </w:num>
  <w:num w:numId="320">
    <w:abstractNumId w:val="97"/>
  </w:num>
  <w:num w:numId="321">
    <w:abstractNumId w:val="545"/>
  </w:num>
  <w:num w:numId="322">
    <w:abstractNumId w:val="709"/>
  </w:num>
  <w:num w:numId="323">
    <w:abstractNumId w:val="353"/>
  </w:num>
  <w:num w:numId="324">
    <w:abstractNumId w:val="94"/>
  </w:num>
  <w:num w:numId="325">
    <w:abstractNumId w:val="733"/>
  </w:num>
  <w:num w:numId="326">
    <w:abstractNumId w:val="183"/>
  </w:num>
  <w:num w:numId="327">
    <w:abstractNumId w:val="297"/>
  </w:num>
  <w:num w:numId="328">
    <w:abstractNumId w:val="146"/>
  </w:num>
  <w:num w:numId="329">
    <w:abstractNumId w:val="186"/>
  </w:num>
  <w:num w:numId="330">
    <w:abstractNumId w:val="273"/>
  </w:num>
  <w:num w:numId="331">
    <w:abstractNumId w:val="523"/>
  </w:num>
  <w:num w:numId="332">
    <w:abstractNumId w:val="378"/>
  </w:num>
  <w:num w:numId="333">
    <w:abstractNumId w:val="29"/>
  </w:num>
  <w:num w:numId="334">
    <w:abstractNumId w:val="368"/>
  </w:num>
  <w:num w:numId="335">
    <w:abstractNumId w:val="111"/>
  </w:num>
  <w:num w:numId="336">
    <w:abstractNumId w:val="210"/>
  </w:num>
  <w:num w:numId="337">
    <w:abstractNumId w:val="750"/>
  </w:num>
  <w:num w:numId="338">
    <w:abstractNumId w:val="112"/>
  </w:num>
  <w:num w:numId="339">
    <w:abstractNumId w:val="612"/>
  </w:num>
  <w:num w:numId="340">
    <w:abstractNumId w:val="61"/>
  </w:num>
  <w:num w:numId="341">
    <w:abstractNumId w:val="656"/>
  </w:num>
  <w:num w:numId="342">
    <w:abstractNumId w:val="449"/>
  </w:num>
  <w:num w:numId="343">
    <w:abstractNumId w:val="442"/>
  </w:num>
  <w:num w:numId="344">
    <w:abstractNumId w:val="499"/>
  </w:num>
  <w:num w:numId="345">
    <w:abstractNumId w:val="116"/>
  </w:num>
  <w:num w:numId="346">
    <w:abstractNumId w:val="349"/>
  </w:num>
  <w:num w:numId="347">
    <w:abstractNumId w:val="177"/>
  </w:num>
  <w:num w:numId="348">
    <w:abstractNumId w:val="440"/>
  </w:num>
  <w:num w:numId="349">
    <w:abstractNumId w:val="361"/>
  </w:num>
  <w:num w:numId="350">
    <w:abstractNumId w:val="478"/>
  </w:num>
  <w:num w:numId="351">
    <w:abstractNumId w:val="737"/>
  </w:num>
  <w:num w:numId="352">
    <w:abstractNumId w:val="71"/>
  </w:num>
  <w:num w:numId="353">
    <w:abstractNumId w:val="635"/>
  </w:num>
  <w:num w:numId="354">
    <w:abstractNumId w:val="341"/>
  </w:num>
  <w:num w:numId="355">
    <w:abstractNumId w:val="106"/>
  </w:num>
  <w:num w:numId="356">
    <w:abstractNumId w:val="467"/>
  </w:num>
  <w:num w:numId="357">
    <w:abstractNumId w:val="197"/>
  </w:num>
  <w:num w:numId="358">
    <w:abstractNumId w:val="124"/>
  </w:num>
  <w:num w:numId="359">
    <w:abstractNumId w:val="572"/>
  </w:num>
  <w:num w:numId="360">
    <w:abstractNumId w:val="121"/>
  </w:num>
  <w:num w:numId="361">
    <w:abstractNumId w:val="608"/>
  </w:num>
  <w:num w:numId="362">
    <w:abstractNumId w:val="174"/>
  </w:num>
  <w:num w:numId="363">
    <w:abstractNumId w:val="423"/>
  </w:num>
  <w:num w:numId="364">
    <w:abstractNumId w:val="595"/>
  </w:num>
  <w:num w:numId="365">
    <w:abstractNumId w:val="691"/>
  </w:num>
  <w:num w:numId="366">
    <w:abstractNumId w:val="17"/>
  </w:num>
  <w:num w:numId="367">
    <w:abstractNumId w:val="721"/>
  </w:num>
  <w:num w:numId="368">
    <w:abstractNumId w:val="562"/>
  </w:num>
  <w:num w:numId="369">
    <w:abstractNumId w:val="481"/>
  </w:num>
  <w:num w:numId="370">
    <w:abstractNumId w:val="205"/>
  </w:num>
  <w:num w:numId="371">
    <w:abstractNumId w:val="371"/>
  </w:num>
  <w:num w:numId="372">
    <w:abstractNumId w:val="376"/>
  </w:num>
  <w:num w:numId="373">
    <w:abstractNumId w:val="214"/>
  </w:num>
  <w:num w:numId="374">
    <w:abstractNumId w:val="678"/>
  </w:num>
  <w:num w:numId="375">
    <w:abstractNumId w:val="69"/>
  </w:num>
  <w:num w:numId="376">
    <w:abstractNumId w:val="723"/>
  </w:num>
  <w:num w:numId="377">
    <w:abstractNumId w:val="222"/>
  </w:num>
  <w:num w:numId="378">
    <w:abstractNumId w:val="738"/>
  </w:num>
  <w:num w:numId="379">
    <w:abstractNumId w:val="172"/>
  </w:num>
  <w:num w:numId="380">
    <w:abstractNumId w:val="606"/>
  </w:num>
  <w:num w:numId="381">
    <w:abstractNumId w:val="224"/>
  </w:num>
  <w:num w:numId="382">
    <w:abstractNumId w:val="457"/>
  </w:num>
  <w:num w:numId="383">
    <w:abstractNumId w:val="213"/>
  </w:num>
  <w:num w:numId="384">
    <w:abstractNumId w:val="390"/>
  </w:num>
  <w:num w:numId="385">
    <w:abstractNumId w:val="533"/>
  </w:num>
  <w:num w:numId="386">
    <w:abstractNumId w:val="649"/>
  </w:num>
  <w:num w:numId="387">
    <w:abstractNumId w:val="19"/>
  </w:num>
  <w:num w:numId="388">
    <w:abstractNumId w:val="343"/>
  </w:num>
  <w:num w:numId="389">
    <w:abstractNumId w:val="501"/>
  </w:num>
  <w:num w:numId="390">
    <w:abstractNumId w:val="101"/>
  </w:num>
  <w:num w:numId="391">
    <w:abstractNumId w:val="731"/>
  </w:num>
  <w:num w:numId="392">
    <w:abstractNumId w:val="610"/>
  </w:num>
  <w:num w:numId="393">
    <w:abstractNumId w:val="137"/>
  </w:num>
  <w:num w:numId="394">
    <w:abstractNumId w:val="109"/>
  </w:num>
  <w:num w:numId="395">
    <w:abstractNumId w:val="630"/>
  </w:num>
  <w:num w:numId="396">
    <w:abstractNumId w:val="412"/>
  </w:num>
  <w:num w:numId="397">
    <w:abstractNumId w:val="627"/>
  </w:num>
  <w:num w:numId="398">
    <w:abstractNumId w:val="439"/>
  </w:num>
  <w:num w:numId="399">
    <w:abstractNumId w:val="125"/>
  </w:num>
  <w:num w:numId="400">
    <w:abstractNumId w:val="526"/>
  </w:num>
  <w:num w:numId="401">
    <w:abstractNumId w:val="685"/>
  </w:num>
  <w:num w:numId="402">
    <w:abstractNumId w:val="514"/>
  </w:num>
  <w:num w:numId="403">
    <w:abstractNumId w:val="732"/>
  </w:num>
  <w:num w:numId="404">
    <w:abstractNumId w:val="446"/>
  </w:num>
  <w:num w:numId="405">
    <w:abstractNumId w:val="623"/>
  </w:num>
  <w:num w:numId="406">
    <w:abstractNumId w:val="590"/>
  </w:num>
  <w:num w:numId="407">
    <w:abstractNumId w:val="51"/>
  </w:num>
  <w:num w:numId="408">
    <w:abstractNumId w:val="231"/>
  </w:num>
  <w:num w:numId="409">
    <w:abstractNumId w:val="547"/>
  </w:num>
  <w:num w:numId="410">
    <w:abstractNumId w:val="151"/>
  </w:num>
  <w:num w:numId="411">
    <w:abstractNumId w:val="164"/>
  </w:num>
  <w:num w:numId="412">
    <w:abstractNumId w:val="749"/>
  </w:num>
  <w:num w:numId="413">
    <w:abstractNumId w:val="277"/>
  </w:num>
  <w:num w:numId="414">
    <w:abstractNumId w:val="617"/>
  </w:num>
  <w:num w:numId="415">
    <w:abstractNumId w:val="384"/>
  </w:num>
  <w:num w:numId="416">
    <w:abstractNumId w:val="359"/>
  </w:num>
  <w:num w:numId="417">
    <w:abstractNumId w:val="178"/>
  </w:num>
  <w:num w:numId="418">
    <w:abstractNumId w:val="75"/>
  </w:num>
  <w:num w:numId="419">
    <w:abstractNumId w:val="272"/>
  </w:num>
  <w:num w:numId="420">
    <w:abstractNumId w:val="581"/>
  </w:num>
  <w:num w:numId="421">
    <w:abstractNumId w:val="130"/>
  </w:num>
  <w:num w:numId="422">
    <w:abstractNumId w:val="497"/>
  </w:num>
  <w:num w:numId="423">
    <w:abstractNumId w:val="25"/>
  </w:num>
  <w:num w:numId="424">
    <w:abstractNumId w:val="230"/>
  </w:num>
  <w:num w:numId="425">
    <w:abstractNumId w:val="119"/>
  </w:num>
  <w:num w:numId="426">
    <w:abstractNumId w:val="10"/>
  </w:num>
  <w:num w:numId="427">
    <w:abstractNumId w:val="646"/>
  </w:num>
  <w:num w:numId="428">
    <w:abstractNumId w:val="383"/>
  </w:num>
  <w:num w:numId="429">
    <w:abstractNumId w:val="269"/>
  </w:num>
  <w:num w:numId="430">
    <w:abstractNumId w:val="704"/>
  </w:num>
  <w:num w:numId="431">
    <w:abstractNumId w:val="414"/>
  </w:num>
  <w:num w:numId="432">
    <w:abstractNumId w:val="240"/>
  </w:num>
  <w:num w:numId="433">
    <w:abstractNumId w:val="158"/>
  </w:num>
  <w:num w:numId="434">
    <w:abstractNumId w:val="81"/>
  </w:num>
  <w:num w:numId="435">
    <w:abstractNumId w:val="444"/>
  </w:num>
  <w:num w:numId="436">
    <w:abstractNumId w:val="262"/>
  </w:num>
  <w:num w:numId="437">
    <w:abstractNumId w:val="145"/>
  </w:num>
  <w:num w:numId="438">
    <w:abstractNumId w:val="658"/>
  </w:num>
  <w:num w:numId="439">
    <w:abstractNumId w:val="32"/>
  </w:num>
  <w:num w:numId="440">
    <w:abstractNumId w:val="287"/>
  </w:num>
  <w:num w:numId="441">
    <w:abstractNumId w:val="672"/>
  </w:num>
  <w:num w:numId="442">
    <w:abstractNumId w:val="529"/>
  </w:num>
  <w:num w:numId="443">
    <w:abstractNumId w:val="217"/>
  </w:num>
  <w:num w:numId="444">
    <w:abstractNumId w:val="505"/>
  </w:num>
  <w:num w:numId="445">
    <w:abstractNumId w:val="673"/>
  </w:num>
  <w:num w:numId="446">
    <w:abstractNumId w:val="9"/>
  </w:num>
  <w:num w:numId="447">
    <w:abstractNumId w:val="474"/>
  </w:num>
  <w:num w:numId="448">
    <w:abstractNumId w:val="445"/>
  </w:num>
  <w:num w:numId="449">
    <w:abstractNumId w:val="212"/>
  </w:num>
  <w:num w:numId="450">
    <w:abstractNumId w:val="570"/>
  </w:num>
  <w:num w:numId="451">
    <w:abstractNumId w:val="251"/>
  </w:num>
  <w:num w:numId="452">
    <w:abstractNumId w:val="301"/>
  </w:num>
  <w:num w:numId="453">
    <w:abstractNumId w:val="428"/>
  </w:num>
  <w:num w:numId="454">
    <w:abstractNumId w:val="594"/>
  </w:num>
  <w:num w:numId="455">
    <w:abstractNumId w:val="402"/>
  </w:num>
  <w:num w:numId="456">
    <w:abstractNumId w:val="476"/>
  </w:num>
  <w:num w:numId="457">
    <w:abstractNumId w:val="39"/>
  </w:num>
  <w:num w:numId="458">
    <w:abstractNumId w:val="339"/>
  </w:num>
  <w:num w:numId="459">
    <w:abstractNumId w:val="320"/>
  </w:num>
  <w:num w:numId="460">
    <w:abstractNumId w:val="648"/>
  </w:num>
  <w:num w:numId="461">
    <w:abstractNumId w:val="34"/>
  </w:num>
  <w:num w:numId="462">
    <w:abstractNumId w:val="524"/>
  </w:num>
  <w:num w:numId="463">
    <w:abstractNumId w:val="382"/>
  </w:num>
  <w:num w:numId="464">
    <w:abstractNumId w:val="123"/>
  </w:num>
  <w:num w:numId="465">
    <w:abstractNumId w:val="399"/>
  </w:num>
  <w:num w:numId="466">
    <w:abstractNumId w:val="279"/>
  </w:num>
  <w:num w:numId="467">
    <w:abstractNumId w:val="488"/>
  </w:num>
  <w:num w:numId="468">
    <w:abstractNumId w:val="430"/>
  </w:num>
  <w:num w:numId="469">
    <w:abstractNumId w:val="323"/>
  </w:num>
  <w:num w:numId="470">
    <w:abstractNumId w:val="309"/>
  </w:num>
  <w:num w:numId="471">
    <w:abstractNumId w:val="663"/>
  </w:num>
  <w:num w:numId="472">
    <w:abstractNumId w:val="564"/>
  </w:num>
  <w:num w:numId="473">
    <w:abstractNumId w:val="456"/>
  </w:num>
  <w:num w:numId="474">
    <w:abstractNumId w:val="664"/>
  </w:num>
  <w:num w:numId="475">
    <w:abstractNumId w:val="24"/>
  </w:num>
  <w:num w:numId="476">
    <w:abstractNumId w:val="475"/>
  </w:num>
  <w:num w:numId="477">
    <w:abstractNumId w:val="506"/>
  </w:num>
  <w:num w:numId="478">
    <w:abstractNumId w:val="546"/>
  </w:num>
  <w:num w:numId="479">
    <w:abstractNumId w:val="176"/>
  </w:num>
  <w:num w:numId="480">
    <w:abstractNumId w:val="535"/>
  </w:num>
  <w:num w:numId="481">
    <w:abstractNumId w:val="295"/>
  </w:num>
  <w:num w:numId="482">
    <w:abstractNumId w:val="302"/>
  </w:num>
  <w:num w:numId="483">
    <w:abstractNumId w:val="328"/>
  </w:num>
  <w:num w:numId="484">
    <w:abstractNumId w:val="744"/>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5"/>
  </w:num>
  <w:num w:numId="494">
    <w:abstractNumId w:val="751"/>
  </w:num>
  <w:num w:numId="495">
    <w:abstractNumId w:val="598"/>
  </w:num>
  <w:num w:numId="496">
    <w:abstractNumId w:val="317"/>
  </w:num>
  <w:num w:numId="497">
    <w:abstractNumId w:val="192"/>
  </w:num>
  <w:num w:numId="498">
    <w:abstractNumId w:val="260"/>
  </w:num>
  <w:num w:numId="499">
    <w:abstractNumId w:val="745"/>
  </w:num>
  <w:num w:numId="500">
    <w:abstractNumId w:val="453"/>
  </w:num>
  <w:num w:numId="501">
    <w:abstractNumId w:val="117"/>
  </w:num>
  <w:num w:numId="502">
    <w:abstractNumId w:val="283"/>
  </w:num>
  <w:num w:numId="503">
    <w:abstractNumId w:val="264"/>
  </w:num>
  <w:num w:numId="504">
    <w:abstractNumId w:val="406"/>
  </w:num>
  <w:num w:numId="505">
    <w:abstractNumId w:val="242"/>
  </w:num>
  <w:num w:numId="506">
    <w:abstractNumId w:val="391"/>
  </w:num>
  <w:num w:numId="507">
    <w:abstractNumId w:val="375"/>
  </w:num>
  <w:num w:numId="508">
    <w:abstractNumId w:val="54"/>
  </w:num>
  <w:num w:numId="509">
    <w:abstractNumId w:val="291"/>
  </w:num>
  <w:num w:numId="510">
    <w:abstractNumId w:val="313"/>
  </w:num>
  <w:num w:numId="511">
    <w:abstractNumId w:val="247"/>
  </w:num>
  <w:num w:numId="512">
    <w:abstractNumId w:val="725"/>
  </w:num>
  <w:num w:numId="513">
    <w:abstractNumId w:val="8"/>
  </w:num>
  <w:num w:numId="514">
    <w:abstractNumId w:val="91"/>
  </w:num>
  <w:num w:numId="515">
    <w:abstractNumId w:val="670"/>
  </w:num>
  <w:num w:numId="516">
    <w:abstractNumId w:val="448"/>
  </w:num>
  <w:num w:numId="517">
    <w:abstractNumId w:val="114"/>
  </w:num>
  <w:num w:numId="518">
    <w:abstractNumId w:val="294"/>
  </w:num>
  <w:num w:numId="519">
    <w:abstractNumId w:val="72"/>
  </w:num>
  <w:num w:numId="520">
    <w:abstractNumId w:val="618"/>
  </w:num>
  <w:num w:numId="521">
    <w:abstractNumId w:val="234"/>
  </w:num>
  <w:num w:numId="522">
    <w:abstractNumId w:val="300"/>
  </w:num>
  <w:num w:numId="523">
    <w:abstractNumId w:val="138"/>
  </w:num>
  <w:num w:numId="524">
    <w:abstractNumId w:val="518"/>
  </w:num>
  <w:num w:numId="525">
    <w:abstractNumId w:val="466"/>
  </w:num>
  <w:num w:numId="526">
    <w:abstractNumId w:val="690"/>
  </w:num>
  <w:num w:numId="527">
    <w:abstractNumId w:val="593"/>
  </w:num>
  <w:num w:numId="528">
    <w:abstractNumId w:val="105"/>
  </w:num>
  <w:num w:numId="529">
    <w:abstractNumId w:val="148"/>
  </w:num>
  <w:num w:numId="530">
    <w:abstractNumId w:val="611"/>
  </w:num>
  <w:num w:numId="531">
    <w:abstractNumId w:val="238"/>
  </w:num>
  <w:num w:numId="532">
    <w:abstractNumId w:val="720"/>
  </w:num>
  <w:num w:numId="533">
    <w:abstractNumId w:val="202"/>
  </w:num>
  <w:num w:numId="534">
    <w:abstractNumId w:val="18"/>
  </w:num>
  <w:num w:numId="535">
    <w:abstractNumId w:val="699"/>
  </w:num>
  <w:num w:numId="536">
    <w:abstractNumId w:val="57"/>
  </w:num>
  <w:num w:numId="537">
    <w:abstractNumId w:val="462"/>
  </w:num>
  <w:num w:numId="538">
    <w:abstractNumId w:val="521"/>
  </w:num>
  <w:num w:numId="539">
    <w:abstractNumId w:val="398"/>
  </w:num>
  <w:num w:numId="540">
    <w:abstractNumId w:val="625"/>
  </w:num>
  <w:num w:numId="541">
    <w:abstractNumId w:val="188"/>
  </w:num>
  <w:num w:numId="542">
    <w:abstractNumId w:val="512"/>
  </w:num>
  <w:num w:numId="543">
    <w:abstractNumId w:val="555"/>
  </w:num>
  <w:num w:numId="544">
    <w:abstractNumId w:val="152"/>
  </w:num>
  <w:num w:numId="545">
    <w:abstractNumId w:val="422"/>
  </w:num>
  <w:num w:numId="546">
    <w:abstractNumId w:val="757"/>
  </w:num>
  <w:num w:numId="547">
    <w:abstractNumId w:val="66"/>
  </w:num>
  <w:num w:numId="548">
    <w:abstractNumId w:val="50"/>
  </w:num>
  <w:num w:numId="549">
    <w:abstractNumId w:val="369"/>
  </w:num>
  <w:num w:numId="550">
    <w:abstractNumId w:val="293"/>
  </w:num>
  <w:num w:numId="551">
    <w:abstractNumId w:val="510"/>
  </w:num>
  <w:num w:numId="552">
    <w:abstractNumId w:val="89"/>
  </w:num>
  <w:num w:numId="553">
    <w:abstractNumId w:val="433"/>
  </w:num>
  <w:num w:numId="554">
    <w:abstractNumId w:val="63"/>
  </w:num>
  <w:num w:numId="555">
    <w:abstractNumId w:val="696"/>
  </w:num>
  <w:num w:numId="556">
    <w:abstractNumId w:val="584"/>
  </w:num>
  <w:num w:numId="557">
    <w:abstractNumId w:val="113"/>
  </w:num>
  <w:num w:numId="558">
    <w:abstractNumId w:val="580"/>
  </w:num>
  <w:num w:numId="559">
    <w:abstractNumId w:val="491"/>
  </w:num>
  <w:num w:numId="560">
    <w:abstractNumId w:val="520"/>
  </w:num>
  <w:num w:numId="561">
    <w:abstractNumId w:val="404"/>
  </w:num>
  <w:num w:numId="562">
    <w:abstractNumId w:val="129"/>
  </w:num>
  <w:num w:numId="563">
    <w:abstractNumId w:val="734"/>
  </w:num>
  <w:num w:numId="564">
    <w:abstractNumId w:val="226"/>
  </w:num>
  <w:num w:numId="565">
    <w:abstractNumId w:val="609"/>
  </w:num>
  <w:num w:numId="566">
    <w:abstractNumId w:val="461"/>
  </w:num>
  <w:num w:numId="567">
    <w:abstractNumId w:val="335"/>
  </w:num>
  <w:num w:numId="568">
    <w:abstractNumId w:val="154"/>
  </w:num>
  <w:num w:numId="569">
    <w:abstractNumId w:val="694"/>
  </w:num>
  <w:num w:numId="570">
    <w:abstractNumId w:val="70"/>
  </w:num>
  <w:num w:numId="571">
    <w:abstractNumId w:val="583"/>
  </w:num>
  <w:num w:numId="572">
    <w:abstractNumId w:val="748"/>
  </w:num>
  <w:num w:numId="573">
    <w:abstractNumId w:val="42"/>
  </w:num>
  <w:num w:numId="574">
    <w:abstractNumId w:val="312"/>
  </w:num>
  <w:num w:numId="575">
    <w:abstractNumId w:val="693"/>
  </w:num>
  <w:num w:numId="576">
    <w:abstractNumId w:val="35"/>
  </w:num>
  <w:num w:numId="577">
    <w:abstractNumId w:val="198"/>
  </w:num>
  <w:num w:numId="578">
    <w:abstractNumId w:val="674"/>
  </w:num>
  <w:num w:numId="579">
    <w:abstractNumId w:val="587"/>
  </w:num>
  <w:num w:numId="580">
    <w:abstractNumId w:val="473"/>
  </w:num>
  <w:num w:numId="581">
    <w:abstractNumId w:val="93"/>
  </w:num>
  <w:num w:numId="582">
    <w:abstractNumId w:val="209"/>
  </w:num>
  <w:num w:numId="583">
    <w:abstractNumId w:val="347"/>
  </w:num>
  <w:num w:numId="584">
    <w:abstractNumId w:val="193"/>
  </w:num>
  <w:num w:numId="585">
    <w:abstractNumId w:val="84"/>
  </w:num>
  <w:num w:numId="586">
    <w:abstractNumId w:val="626"/>
  </w:num>
  <w:num w:numId="587">
    <w:abstractNumId w:val="286"/>
  </w:num>
  <w:num w:numId="588">
    <w:abstractNumId w:val="333"/>
  </w:num>
  <w:num w:numId="589">
    <w:abstractNumId w:val="519"/>
  </w:num>
  <w:num w:numId="590">
    <w:abstractNumId w:val="245"/>
  </w:num>
  <w:num w:numId="591">
    <w:abstractNumId w:val="432"/>
  </w:num>
  <w:num w:numId="592">
    <w:abstractNumId w:val="195"/>
  </w:num>
  <w:num w:numId="593">
    <w:abstractNumId w:val="401"/>
  </w:num>
  <w:num w:numId="594">
    <w:abstractNumId w:val="698"/>
  </w:num>
  <w:num w:numId="595">
    <w:abstractNumId w:val="549"/>
  </w:num>
  <w:num w:numId="596">
    <w:abstractNumId w:val="77"/>
  </w:num>
  <w:num w:numId="597">
    <w:abstractNumId w:val="143"/>
  </w:num>
  <w:num w:numId="598">
    <w:abstractNumId w:val="567"/>
  </w:num>
  <w:num w:numId="599">
    <w:abstractNumId w:val="582"/>
  </w:num>
  <w:num w:numId="600">
    <w:abstractNumId w:val="541"/>
  </w:num>
  <w:num w:numId="601">
    <w:abstractNumId w:val="330"/>
  </w:num>
  <w:num w:numId="602">
    <w:abstractNumId w:val="666"/>
  </w:num>
  <w:num w:numId="603">
    <w:abstractNumId w:val="308"/>
  </w:num>
  <w:num w:numId="604">
    <w:abstractNumId w:val="568"/>
  </w:num>
  <w:num w:numId="605">
    <w:abstractNumId w:val="161"/>
  </w:num>
  <w:num w:numId="606">
    <w:abstractNumId w:val="502"/>
  </w:num>
  <w:num w:numId="607">
    <w:abstractNumId w:val="496"/>
  </w:num>
  <w:num w:numId="608">
    <w:abstractNumId w:val="681"/>
  </w:num>
  <w:num w:numId="609">
    <w:abstractNumId w:val="76"/>
  </w:num>
  <w:num w:numId="610">
    <w:abstractNumId w:val="122"/>
  </w:num>
  <w:num w:numId="611">
    <w:abstractNumId w:val="702"/>
  </w:num>
  <w:num w:numId="612">
    <w:abstractNumId w:val="642"/>
  </w:num>
  <w:num w:numId="613">
    <w:abstractNumId w:val="144"/>
  </w:num>
  <w:num w:numId="614">
    <w:abstractNumId w:val="355"/>
  </w:num>
  <w:num w:numId="615">
    <w:abstractNumId w:val="196"/>
  </w:num>
  <w:num w:numId="616">
    <w:abstractNumId w:val="362"/>
  </w:num>
  <w:num w:numId="617">
    <w:abstractNumId w:val="102"/>
  </w:num>
  <w:num w:numId="618">
    <w:abstractNumId w:val="675"/>
  </w:num>
  <w:num w:numId="619">
    <w:abstractNumId w:val="27"/>
  </w:num>
  <w:num w:numId="620">
    <w:abstractNumId w:val="141"/>
  </w:num>
  <w:num w:numId="621">
    <w:abstractNumId w:val="647"/>
  </w:num>
  <w:num w:numId="622">
    <w:abstractNumId w:val="561"/>
  </w:num>
  <w:num w:numId="623">
    <w:abstractNumId w:val="377"/>
  </w:num>
  <w:num w:numId="624">
    <w:abstractNumId w:val="131"/>
  </w:num>
  <w:num w:numId="625">
    <w:abstractNumId w:val="465"/>
  </w:num>
  <w:num w:numId="626">
    <w:abstractNumId w:val="267"/>
  </w:num>
  <w:num w:numId="627">
    <w:abstractNumId w:val="215"/>
  </w:num>
  <w:num w:numId="628">
    <w:abstractNumId w:val="741"/>
  </w:num>
  <w:num w:numId="629">
    <w:abstractNumId w:val="450"/>
  </w:num>
  <w:num w:numId="630">
    <w:abstractNumId w:val="407"/>
  </w:num>
  <w:num w:numId="631">
    <w:abstractNumId w:val="659"/>
  </w:num>
  <w:num w:numId="632">
    <w:abstractNumId w:val="285"/>
  </w:num>
  <w:num w:numId="633">
    <w:abstractNumId w:val="638"/>
  </w:num>
  <w:num w:numId="634">
    <w:abstractNumId w:val="233"/>
  </w:num>
  <w:num w:numId="635">
    <w:abstractNumId w:val="332"/>
  </w:num>
  <w:num w:numId="636">
    <w:abstractNumId w:val="149"/>
  </w:num>
  <w:num w:numId="637">
    <w:abstractNumId w:val="667"/>
  </w:num>
  <w:num w:numId="638">
    <w:abstractNumId w:val="509"/>
  </w:num>
  <w:num w:numId="639">
    <w:abstractNumId w:val="513"/>
  </w:num>
  <w:num w:numId="640">
    <w:abstractNumId w:val="578"/>
  </w:num>
  <w:num w:numId="641">
    <w:abstractNumId w:val="237"/>
  </w:num>
  <w:num w:numId="642">
    <w:abstractNumId w:val="64"/>
  </w:num>
  <w:num w:numId="643">
    <w:abstractNumId w:val="653"/>
  </w:num>
  <w:num w:numId="644">
    <w:abstractNumId w:val="729"/>
  </w:num>
  <w:num w:numId="645">
    <w:abstractNumId w:val="147"/>
  </w:num>
  <w:num w:numId="646">
    <w:abstractNumId w:val="724"/>
  </w:num>
  <w:num w:numId="647">
    <w:abstractNumId w:val="677"/>
  </w:num>
  <w:num w:numId="648">
    <w:abstractNumId w:val="708"/>
  </w:num>
  <w:num w:numId="649">
    <w:abstractNumId w:val="487"/>
  </w:num>
  <w:num w:numId="650">
    <w:abstractNumId w:val="472"/>
  </w:num>
  <w:num w:numId="651">
    <w:abstractNumId w:val="216"/>
  </w:num>
  <w:num w:numId="652">
    <w:abstractNumId w:val="553"/>
  </w:num>
  <w:num w:numId="653">
    <w:abstractNumId w:val="717"/>
  </w:num>
  <w:num w:numId="654">
    <w:abstractNumId w:val="722"/>
  </w:num>
  <w:num w:numId="655">
    <w:abstractNumId w:val="532"/>
  </w:num>
  <w:num w:numId="656">
    <w:abstractNumId w:val="26"/>
  </w:num>
  <w:num w:numId="657">
    <w:abstractNumId w:val="387"/>
  </w:num>
  <w:num w:numId="658">
    <w:abstractNumId w:val="716"/>
  </w:num>
  <w:num w:numId="659">
    <w:abstractNumId w:val="155"/>
  </w:num>
  <w:num w:numId="660">
    <w:abstractNumId w:val="743"/>
  </w:num>
  <w:num w:numId="661">
    <w:abstractNumId w:val="253"/>
  </w:num>
  <w:num w:numId="662">
    <w:abstractNumId w:val="408"/>
  </w:num>
  <w:num w:numId="663">
    <w:abstractNumId w:val="135"/>
  </w:num>
  <w:num w:numId="664">
    <w:abstractNumId w:val="511"/>
  </w:num>
  <w:num w:numId="665">
    <w:abstractNumId w:val="156"/>
  </w:num>
  <w:num w:numId="666">
    <w:abstractNumId w:val="223"/>
  </w:num>
  <w:num w:numId="667">
    <w:abstractNumId w:val="539"/>
  </w:num>
  <w:num w:numId="668">
    <w:abstractNumId w:val="322"/>
  </w:num>
  <w:num w:numId="669">
    <w:abstractNumId w:val="180"/>
  </w:num>
  <w:num w:numId="670">
    <w:abstractNumId w:val="159"/>
  </w:num>
  <w:num w:numId="671">
    <w:abstractNumId w:val="7"/>
  </w:num>
  <w:num w:numId="672">
    <w:abstractNumId w:val="575"/>
  </w:num>
  <w:num w:numId="673">
    <w:abstractNumId w:val="631"/>
  </w:num>
  <w:num w:numId="674">
    <w:abstractNumId w:val="128"/>
  </w:num>
  <w:num w:numId="675">
    <w:abstractNumId w:val="419"/>
  </w:num>
  <w:num w:numId="676">
    <w:abstractNumId w:val="153"/>
  </w:num>
  <w:num w:numId="677">
    <w:abstractNumId w:val="83"/>
  </w:num>
  <w:num w:numId="678">
    <w:abstractNumId w:val="207"/>
  </w:num>
  <w:num w:numId="679">
    <w:abstractNumId w:val="652"/>
  </w:num>
  <w:num w:numId="680">
    <w:abstractNumId w:val="463"/>
  </w:num>
  <w:num w:numId="681">
    <w:abstractNumId w:val="591"/>
  </w:num>
  <w:num w:numId="682">
    <w:abstractNumId w:val="569"/>
  </w:num>
  <w:num w:numId="683">
    <w:abstractNumId w:val="713"/>
  </w:num>
  <w:num w:numId="684">
    <w:abstractNumId w:val="373"/>
  </w:num>
  <w:num w:numId="685">
    <w:abstractNumId w:val="641"/>
  </w:num>
  <w:num w:numId="686">
    <w:abstractNumId w:val="190"/>
  </w:num>
  <w:num w:numId="687">
    <w:abstractNumId w:val="459"/>
  </w:num>
  <w:num w:numId="688">
    <w:abstractNumId w:val="471"/>
  </w:num>
  <w:num w:numId="689">
    <w:abstractNumId w:val="15"/>
  </w:num>
  <w:num w:numId="690">
    <w:abstractNumId w:val="261"/>
  </w:num>
  <w:num w:numId="691">
    <w:abstractNumId w:val="227"/>
  </w:num>
  <w:num w:numId="692">
    <w:abstractNumId w:val="345"/>
  </w:num>
  <w:num w:numId="693">
    <w:abstractNumId w:val="165"/>
  </w:num>
  <w:num w:numId="694">
    <w:abstractNumId w:val="616"/>
  </w:num>
  <w:num w:numId="695">
    <w:abstractNumId w:val="386"/>
  </w:num>
  <w:num w:numId="696">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6"/>
  </w:num>
  <w:num w:numId="699">
    <w:abstractNumId w:val="507"/>
  </w:num>
  <w:num w:numId="700">
    <w:abstractNumId w:val="566"/>
  </w:num>
  <w:num w:numId="701">
    <w:abstractNumId w:val="346"/>
  </w:num>
  <w:num w:numId="702">
    <w:abstractNumId w:val="47"/>
  </w:num>
  <w:num w:numId="703">
    <w:abstractNumId w:val="62"/>
  </w:num>
  <w:num w:numId="704">
    <w:abstractNumId w:val="483"/>
  </w:num>
  <w:num w:numId="705">
    <w:abstractNumId w:val="281"/>
  </w:num>
  <w:num w:numId="706">
    <w:abstractNumId w:val="576"/>
  </w:num>
  <w:num w:numId="707">
    <w:abstractNumId w:val="316"/>
  </w:num>
  <w:num w:numId="708">
    <w:abstractNumId w:val="601"/>
  </w:num>
  <w:num w:numId="709">
    <w:abstractNumId w:val="175"/>
  </w:num>
  <w:num w:numId="710">
    <w:abstractNumId w:val="292"/>
  </w:num>
  <w:num w:numId="711">
    <w:abstractNumId w:val="278"/>
  </w:num>
  <w:num w:numId="712">
    <w:abstractNumId w:val="436"/>
  </w:num>
  <w:num w:numId="713">
    <w:abstractNumId w:val="11"/>
  </w:num>
  <w:num w:numId="714">
    <w:abstractNumId w:val="73"/>
  </w:num>
  <w:num w:numId="715">
    <w:abstractNumId w:val="639"/>
  </w:num>
  <w:num w:numId="716">
    <w:abstractNumId w:val="298"/>
  </w:num>
  <w:num w:numId="717">
    <w:abstractNumId w:val="184"/>
  </w:num>
  <w:num w:numId="718">
    <w:abstractNumId w:val="542"/>
  </w:num>
  <w:num w:numId="719">
    <w:abstractNumId w:val="728"/>
  </w:num>
  <w:num w:numId="720">
    <w:abstractNumId w:val="394"/>
  </w:num>
  <w:num w:numId="721">
    <w:abstractNumId w:val="613"/>
  </w:num>
  <w:num w:numId="722">
    <w:abstractNumId w:val="573"/>
  </w:num>
  <w:num w:numId="723">
    <w:abstractNumId w:val="746"/>
  </w:num>
  <w:num w:numId="724">
    <w:abstractNumId w:val="668"/>
  </w:num>
  <w:num w:numId="725">
    <w:abstractNumId w:val="385"/>
  </w:num>
  <w:num w:numId="726">
    <w:abstractNumId w:val="714"/>
  </w:num>
  <w:num w:numId="727">
    <w:abstractNumId w:val="374"/>
  </w:num>
  <w:num w:numId="728">
    <w:abstractNumId w:val="30"/>
  </w:num>
  <w:num w:numId="729">
    <w:abstractNumId w:val="730"/>
  </w:num>
  <w:num w:numId="730">
    <w:abstractNumId w:val="669"/>
  </w:num>
  <w:num w:numId="731">
    <w:abstractNumId w:val="644"/>
  </w:num>
  <w:num w:numId="732">
    <w:abstractNumId w:val="232"/>
  </w:num>
  <w:num w:numId="733">
    <w:abstractNumId w:val="431"/>
  </w:num>
  <w:num w:numId="734">
    <w:abstractNumId w:val="454"/>
  </w:num>
  <w:num w:numId="735">
    <w:abstractNumId w:val="470"/>
  </w:num>
  <w:num w:numId="736">
    <w:abstractNumId w:val="739"/>
  </w:num>
  <w:num w:numId="737">
    <w:abstractNumId w:val="296"/>
  </w:num>
  <w:num w:numId="738">
    <w:abstractNumId w:val="395"/>
  </w:num>
  <w:num w:numId="739">
    <w:abstractNumId w:val="103"/>
  </w:num>
  <w:num w:numId="740">
    <w:abstractNumId w:val="351"/>
  </w:num>
  <w:num w:numId="741">
    <w:abstractNumId w:val="637"/>
  </w:num>
  <w:num w:numId="742">
    <w:abstractNumId w:val="597"/>
  </w:num>
  <w:num w:numId="743">
    <w:abstractNumId w:val="735"/>
  </w:num>
  <w:num w:numId="744">
    <w:abstractNumId w:val="157"/>
  </w:num>
  <w:num w:numId="745">
    <w:abstractNumId w:val="619"/>
  </w:num>
  <w:num w:numId="746">
    <w:abstractNumId w:val="551"/>
  </w:num>
  <w:num w:numId="747">
    <w:abstractNumId w:val="689"/>
  </w:num>
  <w:num w:numId="748">
    <w:abstractNumId w:val="168"/>
  </w:num>
  <w:num w:numId="749">
    <w:abstractNumId w:val="20"/>
  </w:num>
  <w:num w:numId="750">
    <w:abstractNumId w:val="665"/>
  </w:num>
  <w:num w:numId="751">
    <w:abstractNumId w:val="268"/>
  </w:num>
  <w:num w:numId="752">
    <w:abstractNumId w:val="686"/>
  </w:num>
  <w:num w:numId="753">
    <w:abstractNumId w:val="485"/>
  </w:num>
  <w:num w:numId="754">
    <w:abstractNumId w:val="589"/>
  </w:num>
  <w:num w:numId="755">
    <w:abstractNumId w:val="284"/>
  </w:num>
  <w:num w:numId="756">
    <w:abstractNumId w:val="358"/>
  </w:num>
  <w:num w:numId="757">
    <w:abstractNumId w:val="13"/>
  </w:num>
  <w:num w:numId="758">
    <w:abstractNumId w:val="315"/>
  </w:num>
  <w:num w:numId="759">
    <w:abstractNumId w:val="338"/>
  </w:num>
  <w:num w:numId="760">
    <w:abstractNumId w:val="700"/>
  </w:num>
  <w:num w:numId="761">
    <w:abstractNumId w:val="290"/>
  </w:num>
  <w:num w:numId="762">
    <w:abstractNumId w:val="571"/>
  </w:num>
  <w:num w:numId="763">
    <w:abstractNumId w:val="48"/>
  </w:num>
  <w:num w:numId="764">
    <w:abstractNumId w:val="392"/>
  </w:num>
  <w:num w:numId="765">
    <w:abstractNumId w:val="56"/>
  </w:num>
  <w:num w:numId="766">
    <w:abstractNumId w:val="447"/>
  </w:num>
  <w:num w:numId="767">
    <w:abstractNumId w:val="634"/>
  </w:num>
  <w:num w:numId="768">
    <w:abstractNumId w:val="43"/>
  </w:num>
  <w:num w:numId="769">
    <w:abstractNumId w:val="68"/>
  </w:num>
  <w:num w:numId="770">
    <w:abstractNumId w:val="557"/>
  </w:num>
  <w:num w:numId="771">
    <w:abstractNumId w:val="348"/>
  </w:num>
  <w:num w:numId="772">
    <w:abstractNumId w:val="661"/>
  </w:num>
  <w:num w:numId="773">
    <w:abstractNumId w:val="705"/>
  </w:num>
  <w:num w:numId="774">
    <w:abstractNumId w:val="360"/>
  </w:num>
  <w:num w:numId="775">
    <w:abstractNumId w:val="654"/>
  </w:num>
  <w:num w:numId="776">
    <w:abstractNumId w:val="211"/>
  </w:num>
  <w:num w:numId="777">
    <w:abstractNumId w:val="718"/>
  </w:num>
  <w:num w:numId="778">
    <w:abstractNumId w:val="679"/>
  </w:num>
  <w:num w:numId="779">
    <w:abstractNumId w:val="527"/>
  </w:num>
  <w:num w:numId="780">
    <w:abstractNumId w:val="99"/>
  </w:num>
  <w:num w:numId="781">
    <w:abstractNumId w:val="45"/>
  </w:num>
  <w:num w:numId="782">
    <w:abstractNumId w:val="424"/>
  </w:num>
  <w:num w:numId="783">
    <w:abstractNumId w:val="389"/>
  </w:num>
  <w:num w:numId="784">
    <w:abstractNumId w:val="326"/>
  </w:num>
  <w:num w:numId="785">
    <w:abstractNumId w:val="108"/>
  </w:num>
  <w:num w:numId="786">
    <w:abstractNumId w:val="85"/>
  </w:num>
  <w:num w:numId="787">
    <w:abstractNumId w:val="220"/>
  </w:num>
  <w:num w:numId="788">
    <w:abstractNumId w:val="680"/>
  </w:num>
  <w:num w:numId="7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756"/>
  </w:num>
  <w:num w:numId="791">
    <w:abstractNumId w:val="342"/>
  </w:num>
  <w:num w:numId="792">
    <w:abstractNumId w:val="397"/>
  </w:num>
  <w:numIdMacAtCleanup w:val="7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de-DE" w:vendorID="64" w:dllVersion="0" w:nlCheck="1" w:checkStyle="0"/>
  <w:activeWritingStyle w:appName="MSWord" w:lang="en-IE" w:vendorID="64" w:dllVersion="0" w:nlCheck="1" w:checkStyle="0"/>
  <w:activeWritingStyle w:appName="MSWord" w:lang="es-ES" w:vendorID="64" w:dllVersion="0" w:nlCheck="1" w:checkStyle="0"/>
  <w:activeWritingStyle w:appName="MSWord" w:lang="fi-FI" w:vendorID="64" w:dllVersion="0" w:nlCheck="1" w:checkStyle="0"/>
  <w:activeWritingStyle w:appName="MSWord" w:lang="fr-BE"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8.5&quot; technicalblockguid=&quot;479711144602663075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9&lt;/text&gt;_x000d__x000a_  &lt;/metadata&gt;_x000d__x000a_  &lt;metadata key=&quot;md_Prefix&quot;&gt;_x000d__x000a_    &lt;text&gt;&lt;/text&gt;_x000d__x000a_  &lt;/metadata&gt;_x000d__x000a_  &lt;metadata key=&quot;md_DocumentNumber&quot;&gt;_x000d__x000a_    &lt;text&gt;13695&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1&lt;/text&gt;_x000d__x000a_      &lt;text&gt;FIN 1004&lt;/text&gt;_x000d__x000a_      &lt;text&gt;UEM 26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0150 2021; ST 10150 2021 ADD 1 REV 1) of 13 July 2021 on the approval of the assessment of the recovery and resilience plan for Spain&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DE&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4759591765606516958&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2&lt;/text&gt;_x000d__x000a_  &lt;/metadata&gt;_x000d__x000a_  &lt;metadata key=&quot;md_Prefix&quot;&gt;_x000d__x000a_    &lt;text&gt;&lt;/text&gt;_x000d__x000a_  &lt;/metadata&gt;_x000d__x000a_  &lt;metadata key=&quot;md_DocumentNumber&quot;&gt;_x000d__x000a_    &lt;text&gt;13692&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0&lt;/text&gt;_x000d__x000a_      &lt;text&gt;FIN 1003&lt;/text&gt;_x000d__x000a_      &lt;text&gt;UEM 26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10-02&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3) 576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0150 2021; ST 10150 2021 ADD 1 REV 1) of 13 July 2021 on the approval of the assessment of the recovery and resilience plan for Spain&quot;&gt;&amp;lt;FlowDocument FontFamily=&quot;Segoe UI&quot; FontSize=&quot;12&quot; PagePadding=&quot;5,0,5,0&quot; AllowDrop=&quot;False&quot; xmlns=&quot;http://schemas.microsoft.com/winfx/2006/xaml/presentation&quot;&amp;gt;&amp;lt;Paragraph&amp;gt;ANNEX to the Proposal for a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DE&lt;/text&gt;_x000d__x000a_  &lt;/metadata&gt;_x000d__x000a_  &lt;metadata key=&quot;md_SourceDocType&quot;&gt;_x000d__x000a_    &lt;text&gt;ANNEX_x000d__x000a_&lt;/text&gt;_x000d__x000a_  &lt;/metadata&gt;_x000d__x000a_  &lt;metadata key=&quot;md_SourceDocTitle&quot;&gt;_x000d__x000a_    &lt;text&gt;to the _x000d__x000a_Proposal for a COUNCIL IMPLEMENTING DECISION _x000d__x000a_amending Implementing Decision (EU) (ST 10150 2021; ST 10150 2021 ADD 1 REV 1) of 13 July 2021 on the approval of the assessment of the recovery and resilience plan for Spain&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siakirjaan"/>
    <w:docVar w:name="LW_ANNEX_NBR_FIRST" w:val="1"/>
    <w:docVar w:name="LW_ANNEX_NBR_LAST" w:val="1"/>
    <w:docVar w:name="LW_ANNEX_UNIQUE" w:val="1"/>
    <w:docVar w:name="LW_CORRIGENDUM" w:val="&lt;UNUSED&gt;"/>
    <w:docVar w:name="LW_COVERPAGE_EXISTS" w:val="True"/>
    <w:docVar w:name="LW_COVERPAGE_GUID" w:val="17225BC9-61B1-483A-9206-C49FC62183DD"/>
    <w:docVar w:name="LW_COVERPAGE_TYPE" w:val="1"/>
    <w:docVar w:name="LW_CROSSREFERENCE" w:val="&lt;UNUSED&gt;"/>
    <w:docVar w:name="LW_DocType" w:val="NORMAL"/>
    <w:docVar w:name="LW_EMISSION" w:val="22.4.2024"/>
    <w:docVar w:name="LW_EMISSION_ISODATE" w:val="2024-04-22"/>
    <w:docVar w:name="LW_EMISSION_LOCATION" w:val="BRX"/>
    <w:docVar w:name="LW_EMISSION_PREFIX" w:val="Bryssel "/>
    <w:docVar w:name="LW_EMISSION_SUFFIX" w:val=" "/>
    <w:docVar w:name="LW_ID_DOCTYPE_NONLW" w:val="CP-036"/>
    <w:docVar w:name="LW_LANGUE" w:val="FI"/>
    <w:docVar w:name="LW_LEVEL_OF_SENSITIVITY" w:val="Standard treatment"/>
    <w:docVar w:name="LW_NOM.INST" w:val="EUROOPAN KOMISSIO"/>
    <w:docVar w:name="LW_NOM.INST_JOINTDOC" w:val="&lt;EMPTY&gt;"/>
    <w:docVar w:name="LW_OBJETACTEPRINCIPAL.CP" w:val="Espanjan elpymis- ja palautumissuunnitelmasta tehdyn arvion hyväksymisestä 13 päivänä heinäkuuta 2021 annetun täytäntöönpanopäätöksen (EU) (ST 10150/21; ST 10150/21 ADD 1 REV 2) muuttamisesta"/>
    <w:docVar w:name="LW_PART_NBR" w:val="1"/>
    <w:docVar w:name="LW_PART_NBR_TOTAL" w:val="1"/>
    <w:docVar w:name="LW_REF.INST.NEW" w:val="COM"/>
    <w:docVar w:name="LW_REF.INST.NEW_ADOPTED" w:val="final"/>
    <w:docVar w:name="LW_REF.INST.NEW_TEXT" w:val="(2024) 1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LIITE_x000b_"/>
    <w:docVar w:name="LW_TYPEACTEPRINCIPAL.CP" w:val="Ehdotus_x000b__x000b_NEUVOSTON TÄYTÄNTÖÖNPANOPÄÄTÖS"/>
    <w:docVar w:name="LwApiVersions" w:val="LW4CoDe 1.24.5.0; LW 9.0, Build 20240221"/>
  </w:docVars>
  <w:rsids>
    <w:rsidRoot w:val="00D554E1"/>
    <w:rsid w:val="000005D9"/>
    <w:rsid w:val="00000782"/>
    <w:rsid w:val="0000094D"/>
    <w:rsid w:val="00000EA9"/>
    <w:rsid w:val="00001001"/>
    <w:rsid w:val="00001233"/>
    <w:rsid w:val="000018A3"/>
    <w:rsid w:val="00001F33"/>
    <w:rsid w:val="000020D7"/>
    <w:rsid w:val="00002316"/>
    <w:rsid w:val="00002684"/>
    <w:rsid w:val="00002D2C"/>
    <w:rsid w:val="00002E9D"/>
    <w:rsid w:val="00003785"/>
    <w:rsid w:val="00003AD6"/>
    <w:rsid w:val="00003D5A"/>
    <w:rsid w:val="000040F4"/>
    <w:rsid w:val="00004337"/>
    <w:rsid w:val="0000436A"/>
    <w:rsid w:val="000048BC"/>
    <w:rsid w:val="00004B0D"/>
    <w:rsid w:val="00004FDD"/>
    <w:rsid w:val="00004FE8"/>
    <w:rsid w:val="000054DB"/>
    <w:rsid w:val="00005831"/>
    <w:rsid w:val="000058E5"/>
    <w:rsid w:val="00006DA6"/>
    <w:rsid w:val="00007054"/>
    <w:rsid w:val="00007132"/>
    <w:rsid w:val="00007198"/>
    <w:rsid w:val="00007556"/>
    <w:rsid w:val="00007D12"/>
    <w:rsid w:val="00007D85"/>
    <w:rsid w:val="00007EF8"/>
    <w:rsid w:val="00007F0E"/>
    <w:rsid w:val="00010037"/>
    <w:rsid w:val="00010BD8"/>
    <w:rsid w:val="00010CD1"/>
    <w:rsid w:val="00010FCF"/>
    <w:rsid w:val="0001105A"/>
    <w:rsid w:val="00011B30"/>
    <w:rsid w:val="00011EA2"/>
    <w:rsid w:val="000120A0"/>
    <w:rsid w:val="00012132"/>
    <w:rsid w:val="000121C3"/>
    <w:rsid w:val="00012577"/>
    <w:rsid w:val="00012998"/>
    <w:rsid w:val="000132B4"/>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6EBE"/>
    <w:rsid w:val="000171B9"/>
    <w:rsid w:val="000173C5"/>
    <w:rsid w:val="00017932"/>
    <w:rsid w:val="00017A67"/>
    <w:rsid w:val="00017CAC"/>
    <w:rsid w:val="00017D16"/>
    <w:rsid w:val="00017F1A"/>
    <w:rsid w:val="000203FF"/>
    <w:rsid w:val="00020A13"/>
    <w:rsid w:val="00020F4E"/>
    <w:rsid w:val="0002238D"/>
    <w:rsid w:val="0002251F"/>
    <w:rsid w:val="00022597"/>
    <w:rsid w:val="00022898"/>
    <w:rsid w:val="00023051"/>
    <w:rsid w:val="00023179"/>
    <w:rsid w:val="00023246"/>
    <w:rsid w:val="0002362B"/>
    <w:rsid w:val="00023CE0"/>
    <w:rsid w:val="00023DBD"/>
    <w:rsid w:val="00023EB3"/>
    <w:rsid w:val="00023F18"/>
    <w:rsid w:val="00023F78"/>
    <w:rsid w:val="00023F8C"/>
    <w:rsid w:val="00024246"/>
    <w:rsid w:val="000246B3"/>
    <w:rsid w:val="00024717"/>
    <w:rsid w:val="00024847"/>
    <w:rsid w:val="00024F59"/>
    <w:rsid w:val="00024F78"/>
    <w:rsid w:val="000258C1"/>
    <w:rsid w:val="00026187"/>
    <w:rsid w:val="00026300"/>
    <w:rsid w:val="00026F22"/>
    <w:rsid w:val="00026F3E"/>
    <w:rsid w:val="0002714E"/>
    <w:rsid w:val="000271F9"/>
    <w:rsid w:val="000274E0"/>
    <w:rsid w:val="00027DE0"/>
    <w:rsid w:val="00027FC5"/>
    <w:rsid w:val="0003056F"/>
    <w:rsid w:val="000308F6"/>
    <w:rsid w:val="00030968"/>
    <w:rsid w:val="00030B21"/>
    <w:rsid w:val="00030BDF"/>
    <w:rsid w:val="0003174D"/>
    <w:rsid w:val="00031C74"/>
    <w:rsid w:val="0003270A"/>
    <w:rsid w:val="00032C73"/>
    <w:rsid w:val="00033473"/>
    <w:rsid w:val="0003380A"/>
    <w:rsid w:val="000339AD"/>
    <w:rsid w:val="00033BF8"/>
    <w:rsid w:val="00034133"/>
    <w:rsid w:val="00034167"/>
    <w:rsid w:val="000343EE"/>
    <w:rsid w:val="00034497"/>
    <w:rsid w:val="00034798"/>
    <w:rsid w:val="00034C9D"/>
    <w:rsid w:val="00034CEF"/>
    <w:rsid w:val="00035270"/>
    <w:rsid w:val="000355E4"/>
    <w:rsid w:val="00035607"/>
    <w:rsid w:val="00035A6F"/>
    <w:rsid w:val="00035D5B"/>
    <w:rsid w:val="00035FA1"/>
    <w:rsid w:val="00036FD8"/>
    <w:rsid w:val="0003728E"/>
    <w:rsid w:val="00037B55"/>
    <w:rsid w:val="000401EE"/>
    <w:rsid w:val="0004098A"/>
    <w:rsid w:val="00040BB5"/>
    <w:rsid w:val="00040C53"/>
    <w:rsid w:val="00040D91"/>
    <w:rsid w:val="000410C1"/>
    <w:rsid w:val="00041223"/>
    <w:rsid w:val="000417AE"/>
    <w:rsid w:val="00041856"/>
    <w:rsid w:val="00041CD4"/>
    <w:rsid w:val="00042384"/>
    <w:rsid w:val="00042696"/>
    <w:rsid w:val="000426F9"/>
    <w:rsid w:val="00042A04"/>
    <w:rsid w:val="00042C39"/>
    <w:rsid w:val="000432AA"/>
    <w:rsid w:val="00043852"/>
    <w:rsid w:val="000438E4"/>
    <w:rsid w:val="00043CF0"/>
    <w:rsid w:val="0004406D"/>
    <w:rsid w:val="000443EC"/>
    <w:rsid w:val="00044C0D"/>
    <w:rsid w:val="00044D7B"/>
    <w:rsid w:val="00044FC2"/>
    <w:rsid w:val="00045B59"/>
    <w:rsid w:val="00045BBB"/>
    <w:rsid w:val="000460B9"/>
    <w:rsid w:val="000465B7"/>
    <w:rsid w:val="000469DD"/>
    <w:rsid w:val="00046AA2"/>
    <w:rsid w:val="00046B9D"/>
    <w:rsid w:val="000471B4"/>
    <w:rsid w:val="000471D1"/>
    <w:rsid w:val="000476AA"/>
    <w:rsid w:val="000476E7"/>
    <w:rsid w:val="00047B28"/>
    <w:rsid w:val="000504C4"/>
    <w:rsid w:val="00050578"/>
    <w:rsid w:val="00051D89"/>
    <w:rsid w:val="00051FFE"/>
    <w:rsid w:val="0005263B"/>
    <w:rsid w:val="000533C7"/>
    <w:rsid w:val="00053406"/>
    <w:rsid w:val="0005346D"/>
    <w:rsid w:val="00053A18"/>
    <w:rsid w:val="00053C0E"/>
    <w:rsid w:val="00053D02"/>
    <w:rsid w:val="00054559"/>
    <w:rsid w:val="0005485B"/>
    <w:rsid w:val="0005489C"/>
    <w:rsid w:val="00054AF4"/>
    <w:rsid w:val="00054D32"/>
    <w:rsid w:val="00054F5E"/>
    <w:rsid w:val="000552B8"/>
    <w:rsid w:val="0005553B"/>
    <w:rsid w:val="0005573A"/>
    <w:rsid w:val="000559AB"/>
    <w:rsid w:val="000559E4"/>
    <w:rsid w:val="00055E42"/>
    <w:rsid w:val="00056095"/>
    <w:rsid w:val="000562D0"/>
    <w:rsid w:val="000566FE"/>
    <w:rsid w:val="00056813"/>
    <w:rsid w:val="00056CA7"/>
    <w:rsid w:val="00056D9F"/>
    <w:rsid w:val="00056E1F"/>
    <w:rsid w:val="00056FBE"/>
    <w:rsid w:val="000570DF"/>
    <w:rsid w:val="000571E4"/>
    <w:rsid w:val="00057EE3"/>
    <w:rsid w:val="00060052"/>
    <w:rsid w:val="000601ED"/>
    <w:rsid w:val="00060330"/>
    <w:rsid w:val="00060457"/>
    <w:rsid w:val="0006058B"/>
    <w:rsid w:val="0006163F"/>
    <w:rsid w:val="000620A6"/>
    <w:rsid w:val="000620DF"/>
    <w:rsid w:val="00062112"/>
    <w:rsid w:val="000623AE"/>
    <w:rsid w:val="000628C7"/>
    <w:rsid w:val="00062A52"/>
    <w:rsid w:val="00062CB8"/>
    <w:rsid w:val="00063025"/>
    <w:rsid w:val="00063250"/>
    <w:rsid w:val="0006362D"/>
    <w:rsid w:val="00063640"/>
    <w:rsid w:val="000636C2"/>
    <w:rsid w:val="00063925"/>
    <w:rsid w:val="000639FF"/>
    <w:rsid w:val="00063BED"/>
    <w:rsid w:val="000640B3"/>
    <w:rsid w:val="0006417C"/>
    <w:rsid w:val="00064C2E"/>
    <w:rsid w:val="00064E45"/>
    <w:rsid w:val="00064F0A"/>
    <w:rsid w:val="00064F8E"/>
    <w:rsid w:val="000653D6"/>
    <w:rsid w:val="00065A7C"/>
    <w:rsid w:val="00065CBE"/>
    <w:rsid w:val="000665F0"/>
    <w:rsid w:val="00066617"/>
    <w:rsid w:val="00066747"/>
    <w:rsid w:val="00066A44"/>
    <w:rsid w:val="00066C82"/>
    <w:rsid w:val="00066CCB"/>
    <w:rsid w:val="000672A1"/>
    <w:rsid w:val="00067666"/>
    <w:rsid w:val="000676AC"/>
    <w:rsid w:val="00067739"/>
    <w:rsid w:val="00067E33"/>
    <w:rsid w:val="000702AA"/>
    <w:rsid w:val="00070831"/>
    <w:rsid w:val="00070C20"/>
    <w:rsid w:val="00070F2E"/>
    <w:rsid w:val="000710F4"/>
    <w:rsid w:val="00071E41"/>
    <w:rsid w:val="00072125"/>
    <w:rsid w:val="000722B4"/>
    <w:rsid w:val="000722E4"/>
    <w:rsid w:val="00072522"/>
    <w:rsid w:val="000729AB"/>
    <w:rsid w:val="00072AC5"/>
    <w:rsid w:val="00072EE5"/>
    <w:rsid w:val="0007308C"/>
    <w:rsid w:val="00073E4F"/>
    <w:rsid w:val="0007410F"/>
    <w:rsid w:val="00074601"/>
    <w:rsid w:val="00074EBD"/>
    <w:rsid w:val="0007507E"/>
    <w:rsid w:val="00075898"/>
    <w:rsid w:val="00075B53"/>
    <w:rsid w:val="00075FA4"/>
    <w:rsid w:val="00076541"/>
    <w:rsid w:val="00076B4F"/>
    <w:rsid w:val="00076C9E"/>
    <w:rsid w:val="00077301"/>
    <w:rsid w:val="00077465"/>
    <w:rsid w:val="00077986"/>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17"/>
    <w:rsid w:val="00085B3C"/>
    <w:rsid w:val="00085E59"/>
    <w:rsid w:val="00085F66"/>
    <w:rsid w:val="0008624A"/>
    <w:rsid w:val="0008639B"/>
    <w:rsid w:val="00086442"/>
    <w:rsid w:val="00086B2E"/>
    <w:rsid w:val="00086B98"/>
    <w:rsid w:val="00087406"/>
    <w:rsid w:val="000874A5"/>
    <w:rsid w:val="00087C05"/>
    <w:rsid w:val="00087E17"/>
    <w:rsid w:val="00087E7A"/>
    <w:rsid w:val="00087F05"/>
    <w:rsid w:val="00087F3F"/>
    <w:rsid w:val="00090FC1"/>
    <w:rsid w:val="00091017"/>
    <w:rsid w:val="00091499"/>
    <w:rsid w:val="000918B8"/>
    <w:rsid w:val="00092324"/>
    <w:rsid w:val="00092806"/>
    <w:rsid w:val="000929B0"/>
    <w:rsid w:val="00092A2A"/>
    <w:rsid w:val="000934EC"/>
    <w:rsid w:val="0009375E"/>
    <w:rsid w:val="000938FF"/>
    <w:rsid w:val="00093C08"/>
    <w:rsid w:val="000940A1"/>
    <w:rsid w:val="000940B4"/>
    <w:rsid w:val="00094507"/>
    <w:rsid w:val="00094C90"/>
    <w:rsid w:val="00094F7E"/>
    <w:rsid w:val="00095092"/>
    <w:rsid w:val="000955C0"/>
    <w:rsid w:val="0009588B"/>
    <w:rsid w:val="00095897"/>
    <w:rsid w:val="00095DCA"/>
    <w:rsid w:val="000963D8"/>
    <w:rsid w:val="00096675"/>
    <w:rsid w:val="00097312"/>
    <w:rsid w:val="00097400"/>
    <w:rsid w:val="00097702"/>
    <w:rsid w:val="00097A4F"/>
    <w:rsid w:val="00097C3A"/>
    <w:rsid w:val="000A0175"/>
    <w:rsid w:val="000A050D"/>
    <w:rsid w:val="000A0566"/>
    <w:rsid w:val="000A0998"/>
    <w:rsid w:val="000A0B9E"/>
    <w:rsid w:val="000A0DFD"/>
    <w:rsid w:val="000A1155"/>
    <w:rsid w:val="000A12EE"/>
    <w:rsid w:val="000A16C6"/>
    <w:rsid w:val="000A1A7C"/>
    <w:rsid w:val="000A1AF5"/>
    <w:rsid w:val="000A1B3B"/>
    <w:rsid w:val="000A1FF8"/>
    <w:rsid w:val="000A21E1"/>
    <w:rsid w:val="000A2437"/>
    <w:rsid w:val="000A263A"/>
    <w:rsid w:val="000A2A07"/>
    <w:rsid w:val="000A2F3D"/>
    <w:rsid w:val="000A359D"/>
    <w:rsid w:val="000A3681"/>
    <w:rsid w:val="000A36C9"/>
    <w:rsid w:val="000A36CF"/>
    <w:rsid w:val="000A3D07"/>
    <w:rsid w:val="000A4295"/>
    <w:rsid w:val="000A4B79"/>
    <w:rsid w:val="000A555D"/>
    <w:rsid w:val="000A5DBA"/>
    <w:rsid w:val="000A5E4E"/>
    <w:rsid w:val="000A632B"/>
    <w:rsid w:val="000A6676"/>
    <w:rsid w:val="000A715B"/>
    <w:rsid w:val="000A726F"/>
    <w:rsid w:val="000A74F4"/>
    <w:rsid w:val="000A75C4"/>
    <w:rsid w:val="000A767B"/>
    <w:rsid w:val="000A781B"/>
    <w:rsid w:val="000A7C3F"/>
    <w:rsid w:val="000A7E4C"/>
    <w:rsid w:val="000A7EB7"/>
    <w:rsid w:val="000A7EB9"/>
    <w:rsid w:val="000B0433"/>
    <w:rsid w:val="000B0CB2"/>
    <w:rsid w:val="000B102E"/>
    <w:rsid w:val="000B10E3"/>
    <w:rsid w:val="000B1247"/>
    <w:rsid w:val="000B1500"/>
    <w:rsid w:val="000B1BEC"/>
    <w:rsid w:val="000B1C60"/>
    <w:rsid w:val="000B1D6A"/>
    <w:rsid w:val="000B1F60"/>
    <w:rsid w:val="000B22DA"/>
    <w:rsid w:val="000B2473"/>
    <w:rsid w:val="000B2493"/>
    <w:rsid w:val="000B258E"/>
    <w:rsid w:val="000B298E"/>
    <w:rsid w:val="000B2AF4"/>
    <w:rsid w:val="000B2FB4"/>
    <w:rsid w:val="000B3049"/>
    <w:rsid w:val="000B3154"/>
    <w:rsid w:val="000B318E"/>
    <w:rsid w:val="000B327B"/>
    <w:rsid w:val="000B3292"/>
    <w:rsid w:val="000B3593"/>
    <w:rsid w:val="000B39BE"/>
    <w:rsid w:val="000B3A1A"/>
    <w:rsid w:val="000B3C23"/>
    <w:rsid w:val="000B40BF"/>
    <w:rsid w:val="000B42BE"/>
    <w:rsid w:val="000B453F"/>
    <w:rsid w:val="000B45AD"/>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1E9"/>
    <w:rsid w:val="000B77BB"/>
    <w:rsid w:val="000B7838"/>
    <w:rsid w:val="000B7D52"/>
    <w:rsid w:val="000B7EBD"/>
    <w:rsid w:val="000C010E"/>
    <w:rsid w:val="000C0B2F"/>
    <w:rsid w:val="000C0EF9"/>
    <w:rsid w:val="000C0F4B"/>
    <w:rsid w:val="000C1037"/>
    <w:rsid w:val="000C126C"/>
    <w:rsid w:val="000C13D0"/>
    <w:rsid w:val="000C1536"/>
    <w:rsid w:val="000C1AFB"/>
    <w:rsid w:val="000C1E20"/>
    <w:rsid w:val="000C20AF"/>
    <w:rsid w:val="000C2924"/>
    <w:rsid w:val="000C2930"/>
    <w:rsid w:val="000C2A95"/>
    <w:rsid w:val="000C305C"/>
    <w:rsid w:val="000C32C3"/>
    <w:rsid w:val="000C37A6"/>
    <w:rsid w:val="000C3A6D"/>
    <w:rsid w:val="000C474A"/>
    <w:rsid w:val="000C4E67"/>
    <w:rsid w:val="000C5177"/>
    <w:rsid w:val="000C5516"/>
    <w:rsid w:val="000C574E"/>
    <w:rsid w:val="000C5FCB"/>
    <w:rsid w:val="000C6459"/>
    <w:rsid w:val="000C6C68"/>
    <w:rsid w:val="000C7215"/>
    <w:rsid w:val="000C779C"/>
    <w:rsid w:val="000C79EE"/>
    <w:rsid w:val="000C7B74"/>
    <w:rsid w:val="000C7DEE"/>
    <w:rsid w:val="000D0012"/>
    <w:rsid w:val="000D00F6"/>
    <w:rsid w:val="000D0E02"/>
    <w:rsid w:val="000D0F03"/>
    <w:rsid w:val="000D132E"/>
    <w:rsid w:val="000D1F35"/>
    <w:rsid w:val="000D21DC"/>
    <w:rsid w:val="000D2B18"/>
    <w:rsid w:val="000D2B48"/>
    <w:rsid w:val="000D2D7B"/>
    <w:rsid w:val="000D2DC7"/>
    <w:rsid w:val="000D2EC0"/>
    <w:rsid w:val="000D32B4"/>
    <w:rsid w:val="000D3F35"/>
    <w:rsid w:val="000D40CB"/>
    <w:rsid w:val="000D56B2"/>
    <w:rsid w:val="000D623C"/>
    <w:rsid w:val="000D6644"/>
    <w:rsid w:val="000D6A2F"/>
    <w:rsid w:val="000D6BC9"/>
    <w:rsid w:val="000D6E9C"/>
    <w:rsid w:val="000D7101"/>
    <w:rsid w:val="000D7201"/>
    <w:rsid w:val="000D75A4"/>
    <w:rsid w:val="000D7882"/>
    <w:rsid w:val="000D7CF0"/>
    <w:rsid w:val="000D7DEE"/>
    <w:rsid w:val="000D7EBE"/>
    <w:rsid w:val="000E09FE"/>
    <w:rsid w:val="000E0BAC"/>
    <w:rsid w:val="000E0BF0"/>
    <w:rsid w:val="000E0E04"/>
    <w:rsid w:val="000E0FCD"/>
    <w:rsid w:val="000E1912"/>
    <w:rsid w:val="000E1F74"/>
    <w:rsid w:val="000E2180"/>
    <w:rsid w:val="000E2BA4"/>
    <w:rsid w:val="000E2FA8"/>
    <w:rsid w:val="000E3082"/>
    <w:rsid w:val="000E349A"/>
    <w:rsid w:val="000E3656"/>
    <w:rsid w:val="000E367D"/>
    <w:rsid w:val="000E36C5"/>
    <w:rsid w:val="000E3CC7"/>
    <w:rsid w:val="000E405D"/>
    <w:rsid w:val="000E4262"/>
    <w:rsid w:val="000E4577"/>
    <w:rsid w:val="000E4749"/>
    <w:rsid w:val="000E4965"/>
    <w:rsid w:val="000E4B9A"/>
    <w:rsid w:val="000E5048"/>
    <w:rsid w:val="000E573B"/>
    <w:rsid w:val="000E5FE6"/>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0FEA"/>
    <w:rsid w:val="000F10F1"/>
    <w:rsid w:val="000F1278"/>
    <w:rsid w:val="000F13CF"/>
    <w:rsid w:val="000F1597"/>
    <w:rsid w:val="000F160C"/>
    <w:rsid w:val="000F161C"/>
    <w:rsid w:val="000F1829"/>
    <w:rsid w:val="000F1CCA"/>
    <w:rsid w:val="000F1D39"/>
    <w:rsid w:val="000F1F8F"/>
    <w:rsid w:val="000F1FAF"/>
    <w:rsid w:val="000F2312"/>
    <w:rsid w:val="000F23DD"/>
    <w:rsid w:val="000F25B8"/>
    <w:rsid w:val="000F2779"/>
    <w:rsid w:val="000F2D78"/>
    <w:rsid w:val="000F3F2B"/>
    <w:rsid w:val="000F3FBE"/>
    <w:rsid w:val="000F4037"/>
    <w:rsid w:val="000F4C4F"/>
    <w:rsid w:val="000F5132"/>
    <w:rsid w:val="000F5469"/>
    <w:rsid w:val="000F5D26"/>
    <w:rsid w:val="000F7306"/>
    <w:rsid w:val="000F7689"/>
    <w:rsid w:val="000F76C0"/>
    <w:rsid w:val="000F7AB3"/>
    <w:rsid w:val="000F7CD9"/>
    <w:rsid w:val="000F7F33"/>
    <w:rsid w:val="001004D2"/>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247"/>
    <w:rsid w:val="00104490"/>
    <w:rsid w:val="00104897"/>
    <w:rsid w:val="00104CC7"/>
    <w:rsid w:val="00105038"/>
    <w:rsid w:val="00105D39"/>
    <w:rsid w:val="00105F58"/>
    <w:rsid w:val="00105FD1"/>
    <w:rsid w:val="001061B9"/>
    <w:rsid w:val="001062F2"/>
    <w:rsid w:val="00106902"/>
    <w:rsid w:val="00106AE3"/>
    <w:rsid w:val="0010701E"/>
    <w:rsid w:val="00107178"/>
    <w:rsid w:val="001071DB"/>
    <w:rsid w:val="00107283"/>
    <w:rsid w:val="00107341"/>
    <w:rsid w:val="0010792E"/>
    <w:rsid w:val="00107DE7"/>
    <w:rsid w:val="0010BA3C"/>
    <w:rsid w:val="00110061"/>
    <w:rsid w:val="001103B2"/>
    <w:rsid w:val="001106D6"/>
    <w:rsid w:val="0011094D"/>
    <w:rsid w:val="0011114D"/>
    <w:rsid w:val="0011134F"/>
    <w:rsid w:val="0011154E"/>
    <w:rsid w:val="001117EE"/>
    <w:rsid w:val="0011187C"/>
    <w:rsid w:val="00111CEF"/>
    <w:rsid w:val="00112187"/>
    <w:rsid w:val="001121C1"/>
    <w:rsid w:val="00112219"/>
    <w:rsid w:val="0011223B"/>
    <w:rsid w:val="0011237C"/>
    <w:rsid w:val="00112CC3"/>
    <w:rsid w:val="00112F4C"/>
    <w:rsid w:val="00112FA2"/>
    <w:rsid w:val="00113060"/>
    <w:rsid w:val="00114167"/>
    <w:rsid w:val="00114180"/>
    <w:rsid w:val="001144EF"/>
    <w:rsid w:val="0011489F"/>
    <w:rsid w:val="00114A42"/>
    <w:rsid w:val="00114B3B"/>
    <w:rsid w:val="00115000"/>
    <w:rsid w:val="0011530B"/>
    <w:rsid w:val="00115980"/>
    <w:rsid w:val="0011631F"/>
    <w:rsid w:val="00116D1D"/>
    <w:rsid w:val="0011760C"/>
    <w:rsid w:val="00117B06"/>
    <w:rsid w:val="00117DD4"/>
    <w:rsid w:val="00117E1A"/>
    <w:rsid w:val="00117F05"/>
    <w:rsid w:val="001205DA"/>
    <w:rsid w:val="001205F2"/>
    <w:rsid w:val="00120ECF"/>
    <w:rsid w:val="00121043"/>
    <w:rsid w:val="001210A9"/>
    <w:rsid w:val="0012140A"/>
    <w:rsid w:val="0012151B"/>
    <w:rsid w:val="00121BB7"/>
    <w:rsid w:val="00121C3F"/>
    <w:rsid w:val="00121CEC"/>
    <w:rsid w:val="00121F82"/>
    <w:rsid w:val="001220F6"/>
    <w:rsid w:val="001226B8"/>
    <w:rsid w:val="00122756"/>
    <w:rsid w:val="001227A3"/>
    <w:rsid w:val="001231C8"/>
    <w:rsid w:val="00123A7B"/>
    <w:rsid w:val="00123ABC"/>
    <w:rsid w:val="00123F33"/>
    <w:rsid w:val="00124051"/>
    <w:rsid w:val="0012463A"/>
    <w:rsid w:val="0012470D"/>
    <w:rsid w:val="00124F25"/>
    <w:rsid w:val="0012513F"/>
    <w:rsid w:val="00125844"/>
    <w:rsid w:val="00126110"/>
    <w:rsid w:val="001261D7"/>
    <w:rsid w:val="00126F2A"/>
    <w:rsid w:val="0012726A"/>
    <w:rsid w:val="0012797F"/>
    <w:rsid w:val="00127F3F"/>
    <w:rsid w:val="00127F82"/>
    <w:rsid w:val="00130769"/>
    <w:rsid w:val="00130BF2"/>
    <w:rsid w:val="00130F8E"/>
    <w:rsid w:val="00131102"/>
    <w:rsid w:val="00131718"/>
    <w:rsid w:val="00131D68"/>
    <w:rsid w:val="001321C2"/>
    <w:rsid w:val="001322B3"/>
    <w:rsid w:val="001324A6"/>
    <w:rsid w:val="00132559"/>
    <w:rsid w:val="00132586"/>
    <w:rsid w:val="00132D9C"/>
    <w:rsid w:val="0013345B"/>
    <w:rsid w:val="00133656"/>
    <w:rsid w:val="00133AC2"/>
    <w:rsid w:val="00133C4F"/>
    <w:rsid w:val="00133D0F"/>
    <w:rsid w:val="00134439"/>
    <w:rsid w:val="00134931"/>
    <w:rsid w:val="0013536C"/>
    <w:rsid w:val="00135C58"/>
    <w:rsid w:val="00135D5F"/>
    <w:rsid w:val="0013685F"/>
    <w:rsid w:val="001373DB"/>
    <w:rsid w:val="001376F7"/>
    <w:rsid w:val="00137980"/>
    <w:rsid w:val="00137A92"/>
    <w:rsid w:val="00137F08"/>
    <w:rsid w:val="00137FAC"/>
    <w:rsid w:val="00140325"/>
    <w:rsid w:val="0014041C"/>
    <w:rsid w:val="0014100A"/>
    <w:rsid w:val="00141964"/>
    <w:rsid w:val="00141A86"/>
    <w:rsid w:val="00141B22"/>
    <w:rsid w:val="00141E57"/>
    <w:rsid w:val="001429B7"/>
    <w:rsid w:val="00142C93"/>
    <w:rsid w:val="001430C9"/>
    <w:rsid w:val="001430FD"/>
    <w:rsid w:val="0014311E"/>
    <w:rsid w:val="00143233"/>
    <w:rsid w:val="00143720"/>
    <w:rsid w:val="00143A53"/>
    <w:rsid w:val="001440AE"/>
    <w:rsid w:val="001441EC"/>
    <w:rsid w:val="00144206"/>
    <w:rsid w:val="00144272"/>
    <w:rsid w:val="00144428"/>
    <w:rsid w:val="00144A5A"/>
    <w:rsid w:val="0014516C"/>
    <w:rsid w:val="00146191"/>
    <w:rsid w:val="001464BA"/>
    <w:rsid w:val="00146A34"/>
    <w:rsid w:val="001478DA"/>
    <w:rsid w:val="00147BFE"/>
    <w:rsid w:val="00150012"/>
    <w:rsid w:val="001509DA"/>
    <w:rsid w:val="0015148B"/>
    <w:rsid w:val="00151523"/>
    <w:rsid w:val="001516EC"/>
    <w:rsid w:val="0015171D"/>
    <w:rsid w:val="0015172C"/>
    <w:rsid w:val="00151ADF"/>
    <w:rsid w:val="00151E06"/>
    <w:rsid w:val="00151FDC"/>
    <w:rsid w:val="0015229E"/>
    <w:rsid w:val="00152673"/>
    <w:rsid w:val="001533E8"/>
    <w:rsid w:val="00153A3D"/>
    <w:rsid w:val="00153F23"/>
    <w:rsid w:val="00154147"/>
    <w:rsid w:val="001544E0"/>
    <w:rsid w:val="00154649"/>
    <w:rsid w:val="0015482B"/>
    <w:rsid w:val="00154AD7"/>
    <w:rsid w:val="00154B37"/>
    <w:rsid w:val="00154C32"/>
    <w:rsid w:val="001553EA"/>
    <w:rsid w:val="001554C2"/>
    <w:rsid w:val="00155A51"/>
    <w:rsid w:val="001566D2"/>
    <w:rsid w:val="00156AFE"/>
    <w:rsid w:val="00156BDF"/>
    <w:rsid w:val="00156FB7"/>
    <w:rsid w:val="0015722B"/>
    <w:rsid w:val="001574E1"/>
    <w:rsid w:val="00157B02"/>
    <w:rsid w:val="00157C69"/>
    <w:rsid w:val="00157EC5"/>
    <w:rsid w:val="001606AE"/>
    <w:rsid w:val="0016095B"/>
    <w:rsid w:val="00160A66"/>
    <w:rsid w:val="00160AFB"/>
    <w:rsid w:val="00161985"/>
    <w:rsid w:val="00162040"/>
    <w:rsid w:val="001621F0"/>
    <w:rsid w:val="0016303B"/>
    <w:rsid w:val="0016311F"/>
    <w:rsid w:val="00163919"/>
    <w:rsid w:val="00163B4A"/>
    <w:rsid w:val="001643CC"/>
    <w:rsid w:val="00164B95"/>
    <w:rsid w:val="00164EEA"/>
    <w:rsid w:val="00165408"/>
    <w:rsid w:val="00165675"/>
    <w:rsid w:val="00165F5F"/>
    <w:rsid w:val="0016615D"/>
    <w:rsid w:val="00166BE4"/>
    <w:rsid w:val="00166C55"/>
    <w:rsid w:val="00166D80"/>
    <w:rsid w:val="00167057"/>
    <w:rsid w:val="00167297"/>
    <w:rsid w:val="0016742E"/>
    <w:rsid w:val="00167469"/>
    <w:rsid w:val="001674BE"/>
    <w:rsid w:val="0016751F"/>
    <w:rsid w:val="00167766"/>
    <w:rsid w:val="00170493"/>
    <w:rsid w:val="00170661"/>
    <w:rsid w:val="00170858"/>
    <w:rsid w:val="00170BE3"/>
    <w:rsid w:val="00170EF2"/>
    <w:rsid w:val="00170FDF"/>
    <w:rsid w:val="00171177"/>
    <w:rsid w:val="00171339"/>
    <w:rsid w:val="001715FB"/>
    <w:rsid w:val="00171983"/>
    <w:rsid w:val="001722C4"/>
    <w:rsid w:val="001724E5"/>
    <w:rsid w:val="0017275F"/>
    <w:rsid w:val="00172832"/>
    <w:rsid w:val="00172AA4"/>
    <w:rsid w:val="00172CF2"/>
    <w:rsid w:val="00172DAF"/>
    <w:rsid w:val="00172E1B"/>
    <w:rsid w:val="0017321D"/>
    <w:rsid w:val="00173E76"/>
    <w:rsid w:val="00173FFF"/>
    <w:rsid w:val="0017418A"/>
    <w:rsid w:val="00174377"/>
    <w:rsid w:val="00174674"/>
    <w:rsid w:val="00174848"/>
    <w:rsid w:val="0017596D"/>
    <w:rsid w:val="00175D7D"/>
    <w:rsid w:val="0017655C"/>
    <w:rsid w:val="00176BFD"/>
    <w:rsid w:val="00177030"/>
    <w:rsid w:val="00177980"/>
    <w:rsid w:val="00177D5C"/>
    <w:rsid w:val="00177F6D"/>
    <w:rsid w:val="00180596"/>
    <w:rsid w:val="00180829"/>
    <w:rsid w:val="00180B2F"/>
    <w:rsid w:val="00181D7E"/>
    <w:rsid w:val="0018224E"/>
    <w:rsid w:val="001828C6"/>
    <w:rsid w:val="00182A83"/>
    <w:rsid w:val="00182CD9"/>
    <w:rsid w:val="001831C5"/>
    <w:rsid w:val="00183505"/>
    <w:rsid w:val="00183E35"/>
    <w:rsid w:val="00183F1D"/>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329"/>
    <w:rsid w:val="001875F5"/>
    <w:rsid w:val="00187B35"/>
    <w:rsid w:val="00187ECB"/>
    <w:rsid w:val="00187F04"/>
    <w:rsid w:val="00190C18"/>
    <w:rsid w:val="00191230"/>
    <w:rsid w:val="00191263"/>
    <w:rsid w:val="00191430"/>
    <w:rsid w:val="001914E6"/>
    <w:rsid w:val="001914E9"/>
    <w:rsid w:val="00191A26"/>
    <w:rsid w:val="00191CCE"/>
    <w:rsid w:val="001921F0"/>
    <w:rsid w:val="0019244A"/>
    <w:rsid w:val="00192572"/>
    <w:rsid w:val="00192FB6"/>
    <w:rsid w:val="001931A5"/>
    <w:rsid w:val="00193BCC"/>
    <w:rsid w:val="00194564"/>
    <w:rsid w:val="001945D4"/>
    <w:rsid w:val="00194DC6"/>
    <w:rsid w:val="00194EBF"/>
    <w:rsid w:val="00194F5F"/>
    <w:rsid w:val="001950A8"/>
    <w:rsid w:val="001952A5"/>
    <w:rsid w:val="001959FD"/>
    <w:rsid w:val="00195A52"/>
    <w:rsid w:val="00195A68"/>
    <w:rsid w:val="00195FA8"/>
    <w:rsid w:val="001961E5"/>
    <w:rsid w:val="00196DCF"/>
    <w:rsid w:val="00197363"/>
    <w:rsid w:val="00197765"/>
    <w:rsid w:val="00197F5D"/>
    <w:rsid w:val="001A0835"/>
    <w:rsid w:val="001A0D08"/>
    <w:rsid w:val="001A1314"/>
    <w:rsid w:val="001A1378"/>
    <w:rsid w:val="001A2010"/>
    <w:rsid w:val="001A24C5"/>
    <w:rsid w:val="001A2E1E"/>
    <w:rsid w:val="001A3128"/>
    <w:rsid w:val="001A33CB"/>
    <w:rsid w:val="001A3668"/>
    <w:rsid w:val="001A4498"/>
    <w:rsid w:val="001A452D"/>
    <w:rsid w:val="001A46CC"/>
    <w:rsid w:val="001A495B"/>
    <w:rsid w:val="001A4E3A"/>
    <w:rsid w:val="001A5109"/>
    <w:rsid w:val="001A51AC"/>
    <w:rsid w:val="001A543D"/>
    <w:rsid w:val="001A5E4F"/>
    <w:rsid w:val="001A60A6"/>
    <w:rsid w:val="001A6C40"/>
    <w:rsid w:val="001A6E95"/>
    <w:rsid w:val="001A7130"/>
    <w:rsid w:val="001A7230"/>
    <w:rsid w:val="001A7265"/>
    <w:rsid w:val="001A7577"/>
    <w:rsid w:val="001A7894"/>
    <w:rsid w:val="001A79ED"/>
    <w:rsid w:val="001A79FB"/>
    <w:rsid w:val="001A7D6C"/>
    <w:rsid w:val="001B0764"/>
    <w:rsid w:val="001B09FF"/>
    <w:rsid w:val="001B0C35"/>
    <w:rsid w:val="001B0DF6"/>
    <w:rsid w:val="001B128E"/>
    <w:rsid w:val="001B1467"/>
    <w:rsid w:val="001B1A02"/>
    <w:rsid w:val="001B1B66"/>
    <w:rsid w:val="001B1CB4"/>
    <w:rsid w:val="001B1E94"/>
    <w:rsid w:val="001B2031"/>
    <w:rsid w:val="001B2168"/>
    <w:rsid w:val="001B2A02"/>
    <w:rsid w:val="001B2CD2"/>
    <w:rsid w:val="001B2CEA"/>
    <w:rsid w:val="001B2D1D"/>
    <w:rsid w:val="001B2ED3"/>
    <w:rsid w:val="001B2F94"/>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5B2"/>
    <w:rsid w:val="001C06A8"/>
    <w:rsid w:val="001C093C"/>
    <w:rsid w:val="001C095F"/>
    <w:rsid w:val="001C0BA7"/>
    <w:rsid w:val="001C14C0"/>
    <w:rsid w:val="001C18F1"/>
    <w:rsid w:val="001C21FF"/>
    <w:rsid w:val="001C252B"/>
    <w:rsid w:val="001C2EC1"/>
    <w:rsid w:val="001C348B"/>
    <w:rsid w:val="001C3639"/>
    <w:rsid w:val="001C38DD"/>
    <w:rsid w:val="001C3CF0"/>
    <w:rsid w:val="001C3D94"/>
    <w:rsid w:val="001C4DD1"/>
    <w:rsid w:val="001C50B1"/>
    <w:rsid w:val="001C51D8"/>
    <w:rsid w:val="001C5208"/>
    <w:rsid w:val="001C543C"/>
    <w:rsid w:val="001C557F"/>
    <w:rsid w:val="001C5597"/>
    <w:rsid w:val="001C57D8"/>
    <w:rsid w:val="001C5E87"/>
    <w:rsid w:val="001C6182"/>
    <w:rsid w:val="001C6CCE"/>
    <w:rsid w:val="001C6D10"/>
    <w:rsid w:val="001C7162"/>
    <w:rsid w:val="001C74F1"/>
    <w:rsid w:val="001C75C3"/>
    <w:rsid w:val="001C7802"/>
    <w:rsid w:val="001C7D0C"/>
    <w:rsid w:val="001C7D39"/>
    <w:rsid w:val="001D01D8"/>
    <w:rsid w:val="001D0C4F"/>
    <w:rsid w:val="001D0D45"/>
    <w:rsid w:val="001D1444"/>
    <w:rsid w:val="001D14C1"/>
    <w:rsid w:val="001D202D"/>
    <w:rsid w:val="001D2981"/>
    <w:rsid w:val="001D29E2"/>
    <w:rsid w:val="001D2CEA"/>
    <w:rsid w:val="001D39B3"/>
    <w:rsid w:val="001D39CB"/>
    <w:rsid w:val="001D3CA9"/>
    <w:rsid w:val="001D3E42"/>
    <w:rsid w:val="001D4083"/>
    <w:rsid w:val="001D4471"/>
    <w:rsid w:val="001D548B"/>
    <w:rsid w:val="001D54DB"/>
    <w:rsid w:val="001D5609"/>
    <w:rsid w:val="001D5615"/>
    <w:rsid w:val="001D5B15"/>
    <w:rsid w:val="001D6008"/>
    <w:rsid w:val="001D6BF0"/>
    <w:rsid w:val="001D6CD5"/>
    <w:rsid w:val="001D6E08"/>
    <w:rsid w:val="001D6E30"/>
    <w:rsid w:val="001D6EEF"/>
    <w:rsid w:val="001D7108"/>
    <w:rsid w:val="001D723F"/>
    <w:rsid w:val="001D7566"/>
    <w:rsid w:val="001D7696"/>
    <w:rsid w:val="001D79A6"/>
    <w:rsid w:val="001E054E"/>
    <w:rsid w:val="001E05F8"/>
    <w:rsid w:val="001E0721"/>
    <w:rsid w:val="001E097F"/>
    <w:rsid w:val="001E0D0F"/>
    <w:rsid w:val="001E1050"/>
    <w:rsid w:val="001E1138"/>
    <w:rsid w:val="001E13BE"/>
    <w:rsid w:val="001E142E"/>
    <w:rsid w:val="001E1596"/>
    <w:rsid w:val="001E1665"/>
    <w:rsid w:val="001E192D"/>
    <w:rsid w:val="001E1D3C"/>
    <w:rsid w:val="001E2084"/>
    <w:rsid w:val="001E2224"/>
    <w:rsid w:val="001E25CA"/>
    <w:rsid w:val="001E2742"/>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4D6B"/>
    <w:rsid w:val="001E4DB1"/>
    <w:rsid w:val="001E5573"/>
    <w:rsid w:val="001E57F6"/>
    <w:rsid w:val="001E5AC3"/>
    <w:rsid w:val="001E5EEF"/>
    <w:rsid w:val="001E6010"/>
    <w:rsid w:val="001E7017"/>
    <w:rsid w:val="001E7EB9"/>
    <w:rsid w:val="001F05DB"/>
    <w:rsid w:val="001F0B58"/>
    <w:rsid w:val="001F0BDC"/>
    <w:rsid w:val="001F0F19"/>
    <w:rsid w:val="001F11AD"/>
    <w:rsid w:val="001F1397"/>
    <w:rsid w:val="001F14B2"/>
    <w:rsid w:val="001F1B38"/>
    <w:rsid w:val="001F1C26"/>
    <w:rsid w:val="001F1E0B"/>
    <w:rsid w:val="001F2585"/>
    <w:rsid w:val="001F27E4"/>
    <w:rsid w:val="001F3199"/>
    <w:rsid w:val="001F3486"/>
    <w:rsid w:val="001F3A3D"/>
    <w:rsid w:val="001F3CEF"/>
    <w:rsid w:val="001F40E0"/>
    <w:rsid w:val="001F4897"/>
    <w:rsid w:val="001F4D33"/>
    <w:rsid w:val="001F4E72"/>
    <w:rsid w:val="001F519C"/>
    <w:rsid w:val="001F52FC"/>
    <w:rsid w:val="001F558F"/>
    <w:rsid w:val="001F58EC"/>
    <w:rsid w:val="001F59E0"/>
    <w:rsid w:val="001F5A3B"/>
    <w:rsid w:val="001F5AA5"/>
    <w:rsid w:val="001F6133"/>
    <w:rsid w:val="001F67C2"/>
    <w:rsid w:val="001F6F6A"/>
    <w:rsid w:val="001F701D"/>
    <w:rsid w:val="001F7305"/>
    <w:rsid w:val="001F75E6"/>
    <w:rsid w:val="001F79E0"/>
    <w:rsid w:val="001F7BCF"/>
    <w:rsid w:val="001F7CB6"/>
    <w:rsid w:val="001F7D2A"/>
    <w:rsid w:val="001F7D81"/>
    <w:rsid w:val="00200459"/>
    <w:rsid w:val="00200599"/>
    <w:rsid w:val="00200687"/>
    <w:rsid w:val="00200B5A"/>
    <w:rsid w:val="00200E14"/>
    <w:rsid w:val="00200F0D"/>
    <w:rsid w:val="0020155C"/>
    <w:rsid w:val="0020178D"/>
    <w:rsid w:val="00201CC4"/>
    <w:rsid w:val="00201EB1"/>
    <w:rsid w:val="0020291E"/>
    <w:rsid w:val="00202E5C"/>
    <w:rsid w:val="0020334F"/>
    <w:rsid w:val="0020395D"/>
    <w:rsid w:val="00203AB3"/>
    <w:rsid w:val="0020410D"/>
    <w:rsid w:val="0020440E"/>
    <w:rsid w:val="00204C4E"/>
    <w:rsid w:val="00204D6C"/>
    <w:rsid w:val="0020558E"/>
    <w:rsid w:val="002056A4"/>
    <w:rsid w:val="00205757"/>
    <w:rsid w:val="00205FB2"/>
    <w:rsid w:val="00206067"/>
    <w:rsid w:val="0020628E"/>
    <w:rsid w:val="00206817"/>
    <w:rsid w:val="00206A0B"/>
    <w:rsid w:val="00206C1F"/>
    <w:rsid w:val="00206C82"/>
    <w:rsid w:val="0020752B"/>
    <w:rsid w:val="002079C8"/>
    <w:rsid w:val="00207A17"/>
    <w:rsid w:val="002101F2"/>
    <w:rsid w:val="0021022D"/>
    <w:rsid w:val="002105D0"/>
    <w:rsid w:val="0021063F"/>
    <w:rsid w:val="0021167B"/>
    <w:rsid w:val="00211732"/>
    <w:rsid w:val="00211CB5"/>
    <w:rsid w:val="00211FB1"/>
    <w:rsid w:val="002125A7"/>
    <w:rsid w:val="00212738"/>
    <w:rsid w:val="00212849"/>
    <w:rsid w:val="00213494"/>
    <w:rsid w:val="002136EC"/>
    <w:rsid w:val="00213918"/>
    <w:rsid w:val="0021418F"/>
    <w:rsid w:val="002147EF"/>
    <w:rsid w:val="002147F7"/>
    <w:rsid w:val="00215480"/>
    <w:rsid w:val="002158C9"/>
    <w:rsid w:val="0021629D"/>
    <w:rsid w:val="0021644E"/>
    <w:rsid w:val="0021696B"/>
    <w:rsid w:val="00217311"/>
    <w:rsid w:val="0021775D"/>
    <w:rsid w:val="00217BF5"/>
    <w:rsid w:val="00217E0D"/>
    <w:rsid w:val="00217E57"/>
    <w:rsid w:val="002201AE"/>
    <w:rsid w:val="00220409"/>
    <w:rsid w:val="00220657"/>
    <w:rsid w:val="00220F02"/>
    <w:rsid w:val="00220F72"/>
    <w:rsid w:val="00221045"/>
    <w:rsid w:val="002213F6"/>
    <w:rsid w:val="0022191B"/>
    <w:rsid w:val="002226D9"/>
    <w:rsid w:val="00223124"/>
    <w:rsid w:val="00223541"/>
    <w:rsid w:val="00223884"/>
    <w:rsid w:val="002238CF"/>
    <w:rsid w:val="0022400F"/>
    <w:rsid w:val="00224178"/>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79B"/>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6E8F"/>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995"/>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5B6C"/>
    <w:rsid w:val="0025610D"/>
    <w:rsid w:val="00256508"/>
    <w:rsid w:val="0025651C"/>
    <w:rsid w:val="0025664E"/>
    <w:rsid w:val="002566E0"/>
    <w:rsid w:val="002569CF"/>
    <w:rsid w:val="00256DF9"/>
    <w:rsid w:val="002575C8"/>
    <w:rsid w:val="00257D0A"/>
    <w:rsid w:val="00257DD9"/>
    <w:rsid w:val="00260274"/>
    <w:rsid w:val="00260BC2"/>
    <w:rsid w:val="00261C6A"/>
    <w:rsid w:val="00262199"/>
    <w:rsid w:val="0026269B"/>
    <w:rsid w:val="002626FE"/>
    <w:rsid w:val="00263101"/>
    <w:rsid w:val="00263B3C"/>
    <w:rsid w:val="00263D34"/>
    <w:rsid w:val="002644B8"/>
    <w:rsid w:val="00264A57"/>
    <w:rsid w:val="00264D85"/>
    <w:rsid w:val="00264FB3"/>
    <w:rsid w:val="00264FC3"/>
    <w:rsid w:val="00265299"/>
    <w:rsid w:val="0026588D"/>
    <w:rsid w:val="002658A9"/>
    <w:rsid w:val="00265A72"/>
    <w:rsid w:val="00265E10"/>
    <w:rsid w:val="002660A0"/>
    <w:rsid w:val="002663E5"/>
    <w:rsid w:val="0026666F"/>
    <w:rsid w:val="0026677F"/>
    <w:rsid w:val="00267355"/>
    <w:rsid w:val="00267C4C"/>
    <w:rsid w:val="00267F8B"/>
    <w:rsid w:val="00270787"/>
    <w:rsid w:val="00270921"/>
    <w:rsid w:val="00270963"/>
    <w:rsid w:val="00271132"/>
    <w:rsid w:val="00271708"/>
    <w:rsid w:val="00271950"/>
    <w:rsid w:val="00271C2D"/>
    <w:rsid w:val="00271DFC"/>
    <w:rsid w:val="00271F19"/>
    <w:rsid w:val="0027270C"/>
    <w:rsid w:val="00272C2B"/>
    <w:rsid w:val="00272E5D"/>
    <w:rsid w:val="002730E7"/>
    <w:rsid w:val="00273101"/>
    <w:rsid w:val="00273706"/>
    <w:rsid w:val="00273D6D"/>
    <w:rsid w:val="00274143"/>
    <w:rsid w:val="00274151"/>
    <w:rsid w:val="00274537"/>
    <w:rsid w:val="0027469F"/>
    <w:rsid w:val="00274A3A"/>
    <w:rsid w:val="00274BF6"/>
    <w:rsid w:val="002752E6"/>
    <w:rsid w:val="00275502"/>
    <w:rsid w:val="00275675"/>
    <w:rsid w:val="00275CF2"/>
    <w:rsid w:val="0027667F"/>
    <w:rsid w:val="00276A06"/>
    <w:rsid w:val="00276D84"/>
    <w:rsid w:val="002771EA"/>
    <w:rsid w:val="002777B8"/>
    <w:rsid w:val="0028002E"/>
    <w:rsid w:val="00280506"/>
    <w:rsid w:val="00280ABC"/>
    <w:rsid w:val="002810BB"/>
    <w:rsid w:val="00281548"/>
    <w:rsid w:val="00281D1E"/>
    <w:rsid w:val="002820C3"/>
    <w:rsid w:val="0028222F"/>
    <w:rsid w:val="00282368"/>
    <w:rsid w:val="002828B2"/>
    <w:rsid w:val="00282EC7"/>
    <w:rsid w:val="002834C4"/>
    <w:rsid w:val="002837A7"/>
    <w:rsid w:val="00283B2E"/>
    <w:rsid w:val="00284238"/>
    <w:rsid w:val="00284C88"/>
    <w:rsid w:val="0028506E"/>
    <w:rsid w:val="00285735"/>
    <w:rsid w:val="002857ED"/>
    <w:rsid w:val="00285969"/>
    <w:rsid w:val="00285BB5"/>
    <w:rsid w:val="0028600F"/>
    <w:rsid w:val="0028601F"/>
    <w:rsid w:val="00287873"/>
    <w:rsid w:val="00287A57"/>
    <w:rsid w:val="00290236"/>
    <w:rsid w:val="002905A5"/>
    <w:rsid w:val="00290E13"/>
    <w:rsid w:val="0029104B"/>
    <w:rsid w:val="002918C7"/>
    <w:rsid w:val="00291D0D"/>
    <w:rsid w:val="00291E4C"/>
    <w:rsid w:val="002920CE"/>
    <w:rsid w:val="0029219F"/>
    <w:rsid w:val="002924CA"/>
    <w:rsid w:val="00292B61"/>
    <w:rsid w:val="00292CC0"/>
    <w:rsid w:val="00293179"/>
    <w:rsid w:val="002939B2"/>
    <w:rsid w:val="00293C5E"/>
    <w:rsid w:val="00293DF4"/>
    <w:rsid w:val="0029407C"/>
    <w:rsid w:val="002942F0"/>
    <w:rsid w:val="00294D25"/>
    <w:rsid w:val="0029507C"/>
    <w:rsid w:val="0029512F"/>
    <w:rsid w:val="00295280"/>
    <w:rsid w:val="00295C5A"/>
    <w:rsid w:val="00296264"/>
    <w:rsid w:val="00296A7F"/>
    <w:rsid w:val="00296D11"/>
    <w:rsid w:val="00296FC9"/>
    <w:rsid w:val="0029708B"/>
    <w:rsid w:val="00297CF1"/>
    <w:rsid w:val="00297D80"/>
    <w:rsid w:val="00297F85"/>
    <w:rsid w:val="002A02B5"/>
    <w:rsid w:val="002A042C"/>
    <w:rsid w:val="002A0481"/>
    <w:rsid w:val="002A09BA"/>
    <w:rsid w:val="002A0EDC"/>
    <w:rsid w:val="002A1353"/>
    <w:rsid w:val="002A19F0"/>
    <w:rsid w:val="002A2532"/>
    <w:rsid w:val="002A27C6"/>
    <w:rsid w:val="002A2B3A"/>
    <w:rsid w:val="002A2D3E"/>
    <w:rsid w:val="002A2E4E"/>
    <w:rsid w:val="002A2E76"/>
    <w:rsid w:val="002A302D"/>
    <w:rsid w:val="002A39D4"/>
    <w:rsid w:val="002A39E5"/>
    <w:rsid w:val="002A3BA8"/>
    <w:rsid w:val="002A3FDE"/>
    <w:rsid w:val="002A4B22"/>
    <w:rsid w:val="002A4BAD"/>
    <w:rsid w:val="002A503B"/>
    <w:rsid w:val="002A5123"/>
    <w:rsid w:val="002A55FB"/>
    <w:rsid w:val="002A5656"/>
    <w:rsid w:val="002A5EE0"/>
    <w:rsid w:val="002A60E0"/>
    <w:rsid w:val="002A6398"/>
    <w:rsid w:val="002A63B0"/>
    <w:rsid w:val="002A6527"/>
    <w:rsid w:val="002A680F"/>
    <w:rsid w:val="002A6913"/>
    <w:rsid w:val="002A7484"/>
    <w:rsid w:val="002A779C"/>
    <w:rsid w:val="002A783D"/>
    <w:rsid w:val="002A7D03"/>
    <w:rsid w:val="002A7FB4"/>
    <w:rsid w:val="002B02E8"/>
    <w:rsid w:val="002B0A88"/>
    <w:rsid w:val="002B0FC0"/>
    <w:rsid w:val="002B120E"/>
    <w:rsid w:val="002B1679"/>
    <w:rsid w:val="002B1867"/>
    <w:rsid w:val="002B1BB5"/>
    <w:rsid w:val="002B1E15"/>
    <w:rsid w:val="002B2300"/>
    <w:rsid w:val="002B25A2"/>
    <w:rsid w:val="002B25DA"/>
    <w:rsid w:val="002B25DB"/>
    <w:rsid w:val="002B2601"/>
    <w:rsid w:val="002B26A2"/>
    <w:rsid w:val="002B279D"/>
    <w:rsid w:val="002B2B24"/>
    <w:rsid w:val="002B2CC3"/>
    <w:rsid w:val="002B3577"/>
    <w:rsid w:val="002B3923"/>
    <w:rsid w:val="002B3A73"/>
    <w:rsid w:val="002B3C48"/>
    <w:rsid w:val="002B40C4"/>
    <w:rsid w:val="002B421E"/>
    <w:rsid w:val="002B43BB"/>
    <w:rsid w:val="002B47FB"/>
    <w:rsid w:val="002B4970"/>
    <w:rsid w:val="002B4E40"/>
    <w:rsid w:val="002B54BF"/>
    <w:rsid w:val="002B5645"/>
    <w:rsid w:val="002B56E7"/>
    <w:rsid w:val="002B596B"/>
    <w:rsid w:val="002B59E5"/>
    <w:rsid w:val="002B5FDF"/>
    <w:rsid w:val="002B68BC"/>
    <w:rsid w:val="002B7453"/>
    <w:rsid w:val="002B7489"/>
    <w:rsid w:val="002B750A"/>
    <w:rsid w:val="002B7716"/>
    <w:rsid w:val="002B7901"/>
    <w:rsid w:val="002B7BA7"/>
    <w:rsid w:val="002B7F2F"/>
    <w:rsid w:val="002B7FAC"/>
    <w:rsid w:val="002C00C5"/>
    <w:rsid w:val="002C0E50"/>
    <w:rsid w:val="002C1050"/>
    <w:rsid w:val="002C1374"/>
    <w:rsid w:val="002C1604"/>
    <w:rsid w:val="002C1DDB"/>
    <w:rsid w:val="002C1E60"/>
    <w:rsid w:val="002C1F4A"/>
    <w:rsid w:val="002C241D"/>
    <w:rsid w:val="002C2CE5"/>
    <w:rsid w:val="002C3578"/>
    <w:rsid w:val="002C3808"/>
    <w:rsid w:val="002C3914"/>
    <w:rsid w:val="002C3C6B"/>
    <w:rsid w:val="002C3FEA"/>
    <w:rsid w:val="002C449C"/>
    <w:rsid w:val="002C4D30"/>
    <w:rsid w:val="002C505B"/>
    <w:rsid w:val="002C58DB"/>
    <w:rsid w:val="002C5FB7"/>
    <w:rsid w:val="002C70EF"/>
    <w:rsid w:val="002C73BD"/>
    <w:rsid w:val="002C79B5"/>
    <w:rsid w:val="002C7A88"/>
    <w:rsid w:val="002C7C65"/>
    <w:rsid w:val="002D10F3"/>
    <w:rsid w:val="002D1462"/>
    <w:rsid w:val="002D1576"/>
    <w:rsid w:val="002D16BF"/>
    <w:rsid w:val="002D198A"/>
    <w:rsid w:val="002D2413"/>
    <w:rsid w:val="002D2869"/>
    <w:rsid w:val="002D287E"/>
    <w:rsid w:val="002D2AAE"/>
    <w:rsid w:val="002D2F8B"/>
    <w:rsid w:val="002D3194"/>
    <w:rsid w:val="002D3331"/>
    <w:rsid w:val="002D33CC"/>
    <w:rsid w:val="002D3736"/>
    <w:rsid w:val="002D41D5"/>
    <w:rsid w:val="002D431F"/>
    <w:rsid w:val="002D4541"/>
    <w:rsid w:val="002D49D2"/>
    <w:rsid w:val="002D4E86"/>
    <w:rsid w:val="002D4FFB"/>
    <w:rsid w:val="002D51B0"/>
    <w:rsid w:val="002D5428"/>
    <w:rsid w:val="002D5553"/>
    <w:rsid w:val="002D5824"/>
    <w:rsid w:val="002D588C"/>
    <w:rsid w:val="002D5D25"/>
    <w:rsid w:val="002D61A6"/>
    <w:rsid w:val="002D62DC"/>
    <w:rsid w:val="002D6381"/>
    <w:rsid w:val="002D677F"/>
    <w:rsid w:val="002D6DCD"/>
    <w:rsid w:val="002D6E0C"/>
    <w:rsid w:val="002D6F4E"/>
    <w:rsid w:val="002D7A2F"/>
    <w:rsid w:val="002D7D54"/>
    <w:rsid w:val="002D7F7D"/>
    <w:rsid w:val="002E01A3"/>
    <w:rsid w:val="002E03FE"/>
    <w:rsid w:val="002E077F"/>
    <w:rsid w:val="002E0798"/>
    <w:rsid w:val="002E0A7D"/>
    <w:rsid w:val="002E1D5B"/>
    <w:rsid w:val="002E2037"/>
    <w:rsid w:val="002E263D"/>
    <w:rsid w:val="002E295F"/>
    <w:rsid w:val="002E2BE3"/>
    <w:rsid w:val="002E2E59"/>
    <w:rsid w:val="002E30E4"/>
    <w:rsid w:val="002E3653"/>
    <w:rsid w:val="002E36F4"/>
    <w:rsid w:val="002E3D1A"/>
    <w:rsid w:val="002E3E30"/>
    <w:rsid w:val="002E489E"/>
    <w:rsid w:val="002E5445"/>
    <w:rsid w:val="002E58C9"/>
    <w:rsid w:val="002E58EC"/>
    <w:rsid w:val="002E59CC"/>
    <w:rsid w:val="002E5D2F"/>
    <w:rsid w:val="002E5D55"/>
    <w:rsid w:val="002E6091"/>
    <w:rsid w:val="002E682A"/>
    <w:rsid w:val="002E683C"/>
    <w:rsid w:val="002E7613"/>
    <w:rsid w:val="002E7803"/>
    <w:rsid w:val="002E78F9"/>
    <w:rsid w:val="002E7CA6"/>
    <w:rsid w:val="002E7F1E"/>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39A"/>
    <w:rsid w:val="002F4B90"/>
    <w:rsid w:val="002F5222"/>
    <w:rsid w:val="002F556D"/>
    <w:rsid w:val="002F57E9"/>
    <w:rsid w:val="002F57FF"/>
    <w:rsid w:val="002F58F5"/>
    <w:rsid w:val="002F6044"/>
    <w:rsid w:val="002F60F9"/>
    <w:rsid w:val="002F624A"/>
    <w:rsid w:val="002F62B4"/>
    <w:rsid w:val="002F65CE"/>
    <w:rsid w:val="002F6A60"/>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49C"/>
    <w:rsid w:val="003047DA"/>
    <w:rsid w:val="003049E4"/>
    <w:rsid w:val="00304D16"/>
    <w:rsid w:val="00305300"/>
    <w:rsid w:val="0030574E"/>
    <w:rsid w:val="00305E43"/>
    <w:rsid w:val="00305EC0"/>
    <w:rsid w:val="00305EFC"/>
    <w:rsid w:val="00306AE4"/>
    <w:rsid w:val="00307252"/>
    <w:rsid w:val="003072B2"/>
    <w:rsid w:val="0030739E"/>
    <w:rsid w:val="003074FB"/>
    <w:rsid w:val="00307501"/>
    <w:rsid w:val="0030761C"/>
    <w:rsid w:val="00307BC2"/>
    <w:rsid w:val="003100F1"/>
    <w:rsid w:val="003100FF"/>
    <w:rsid w:val="003101F7"/>
    <w:rsid w:val="00310BFD"/>
    <w:rsid w:val="00311A8E"/>
    <w:rsid w:val="00311FF3"/>
    <w:rsid w:val="00312023"/>
    <w:rsid w:val="00312344"/>
    <w:rsid w:val="003129B7"/>
    <w:rsid w:val="00312A6F"/>
    <w:rsid w:val="00312ACA"/>
    <w:rsid w:val="00312C13"/>
    <w:rsid w:val="00312FA8"/>
    <w:rsid w:val="003130A3"/>
    <w:rsid w:val="00313250"/>
    <w:rsid w:val="00313332"/>
    <w:rsid w:val="00313459"/>
    <w:rsid w:val="00313A39"/>
    <w:rsid w:val="00313CDD"/>
    <w:rsid w:val="00314AB5"/>
    <w:rsid w:val="003159B1"/>
    <w:rsid w:val="00315AD8"/>
    <w:rsid w:val="00315B40"/>
    <w:rsid w:val="00316476"/>
    <w:rsid w:val="003167D5"/>
    <w:rsid w:val="00316A18"/>
    <w:rsid w:val="00316C41"/>
    <w:rsid w:val="00316F6E"/>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08B"/>
    <w:rsid w:val="003231AD"/>
    <w:rsid w:val="00323446"/>
    <w:rsid w:val="003238E1"/>
    <w:rsid w:val="00323E12"/>
    <w:rsid w:val="00323E61"/>
    <w:rsid w:val="00323E73"/>
    <w:rsid w:val="00324129"/>
    <w:rsid w:val="0032414E"/>
    <w:rsid w:val="00324739"/>
    <w:rsid w:val="00324819"/>
    <w:rsid w:val="00324CA2"/>
    <w:rsid w:val="00324CE1"/>
    <w:rsid w:val="00324EAB"/>
    <w:rsid w:val="003250B2"/>
    <w:rsid w:val="00325158"/>
    <w:rsid w:val="003252E5"/>
    <w:rsid w:val="003253F0"/>
    <w:rsid w:val="0032583A"/>
    <w:rsid w:val="0032588E"/>
    <w:rsid w:val="00325970"/>
    <w:rsid w:val="0032628B"/>
    <w:rsid w:val="003264BF"/>
    <w:rsid w:val="003268BD"/>
    <w:rsid w:val="0032698E"/>
    <w:rsid w:val="003269B2"/>
    <w:rsid w:val="00327565"/>
    <w:rsid w:val="00327BF5"/>
    <w:rsid w:val="00330067"/>
    <w:rsid w:val="00330374"/>
    <w:rsid w:val="00330390"/>
    <w:rsid w:val="00330519"/>
    <w:rsid w:val="003309E4"/>
    <w:rsid w:val="00330AE2"/>
    <w:rsid w:val="00330E50"/>
    <w:rsid w:val="00330F8B"/>
    <w:rsid w:val="003314A9"/>
    <w:rsid w:val="00331541"/>
    <w:rsid w:val="00331B9D"/>
    <w:rsid w:val="00331BF9"/>
    <w:rsid w:val="00331EA2"/>
    <w:rsid w:val="00331F03"/>
    <w:rsid w:val="00331F88"/>
    <w:rsid w:val="003321BF"/>
    <w:rsid w:val="003323F8"/>
    <w:rsid w:val="00332B6F"/>
    <w:rsid w:val="00333167"/>
    <w:rsid w:val="003332AE"/>
    <w:rsid w:val="003332FE"/>
    <w:rsid w:val="00333531"/>
    <w:rsid w:val="00333967"/>
    <w:rsid w:val="00333A10"/>
    <w:rsid w:val="003345BD"/>
    <w:rsid w:val="0033491C"/>
    <w:rsid w:val="00334E29"/>
    <w:rsid w:val="00335201"/>
    <w:rsid w:val="0033563A"/>
    <w:rsid w:val="0033572C"/>
    <w:rsid w:val="0033577B"/>
    <w:rsid w:val="00335811"/>
    <w:rsid w:val="00335AE5"/>
    <w:rsid w:val="00335E25"/>
    <w:rsid w:val="003362A4"/>
    <w:rsid w:val="0033648C"/>
    <w:rsid w:val="003369B9"/>
    <w:rsid w:val="00336AA6"/>
    <w:rsid w:val="00336CEF"/>
    <w:rsid w:val="00336D24"/>
    <w:rsid w:val="003370B1"/>
    <w:rsid w:val="0033718E"/>
    <w:rsid w:val="0033744E"/>
    <w:rsid w:val="00337827"/>
    <w:rsid w:val="00340101"/>
    <w:rsid w:val="00340190"/>
    <w:rsid w:val="003404EE"/>
    <w:rsid w:val="003407C3"/>
    <w:rsid w:val="00341DF4"/>
    <w:rsid w:val="00342CB9"/>
    <w:rsid w:val="00343183"/>
    <w:rsid w:val="0034429B"/>
    <w:rsid w:val="003442BB"/>
    <w:rsid w:val="00344664"/>
    <w:rsid w:val="00345ED9"/>
    <w:rsid w:val="00346033"/>
    <w:rsid w:val="003463C6"/>
    <w:rsid w:val="00346401"/>
    <w:rsid w:val="003467C1"/>
    <w:rsid w:val="0034686B"/>
    <w:rsid w:val="003469CE"/>
    <w:rsid w:val="00346E48"/>
    <w:rsid w:val="0034793B"/>
    <w:rsid w:val="00347A5A"/>
    <w:rsid w:val="00347C49"/>
    <w:rsid w:val="00347DBC"/>
    <w:rsid w:val="003501A8"/>
    <w:rsid w:val="00350314"/>
    <w:rsid w:val="00350457"/>
    <w:rsid w:val="0035050F"/>
    <w:rsid w:val="003509A4"/>
    <w:rsid w:val="00350AC3"/>
    <w:rsid w:val="00350D74"/>
    <w:rsid w:val="00350F46"/>
    <w:rsid w:val="00351074"/>
    <w:rsid w:val="003510EC"/>
    <w:rsid w:val="003512B4"/>
    <w:rsid w:val="003514E1"/>
    <w:rsid w:val="003514E2"/>
    <w:rsid w:val="00351674"/>
    <w:rsid w:val="00351E2C"/>
    <w:rsid w:val="00352186"/>
    <w:rsid w:val="003522CE"/>
    <w:rsid w:val="003524DB"/>
    <w:rsid w:val="00352585"/>
    <w:rsid w:val="00352C52"/>
    <w:rsid w:val="00353192"/>
    <w:rsid w:val="0035364E"/>
    <w:rsid w:val="00353AF7"/>
    <w:rsid w:val="00354419"/>
    <w:rsid w:val="003546C1"/>
    <w:rsid w:val="00354810"/>
    <w:rsid w:val="00355111"/>
    <w:rsid w:val="0035528A"/>
    <w:rsid w:val="00355291"/>
    <w:rsid w:val="0035659C"/>
    <w:rsid w:val="0035792E"/>
    <w:rsid w:val="003600BB"/>
    <w:rsid w:val="00360628"/>
    <w:rsid w:val="00360D6E"/>
    <w:rsid w:val="00361287"/>
    <w:rsid w:val="0036144E"/>
    <w:rsid w:val="00361BD0"/>
    <w:rsid w:val="00361D62"/>
    <w:rsid w:val="00361E84"/>
    <w:rsid w:val="00361F6D"/>
    <w:rsid w:val="00363170"/>
    <w:rsid w:val="003642C3"/>
    <w:rsid w:val="003644C4"/>
    <w:rsid w:val="0036472B"/>
    <w:rsid w:val="003648D1"/>
    <w:rsid w:val="003651F3"/>
    <w:rsid w:val="00365612"/>
    <w:rsid w:val="00365648"/>
    <w:rsid w:val="00365958"/>
    <w:rsid w:val="003673A0"/>
    <w:rsid w:val="003674F4"/>
    <w:rsid w:val="003677A9"/>
    <w:rsid w:val="00367D32"/>
    <w:rsid w:val="00370078"/>
    <w:rsid w:val="003705CA"/>
    <w:rsid w:val="003708F7"/>
    <w:rsid w:val="00370DA7"/>
    <w:rsid w:val="0037165A"/>
    <w:rsid w:val="00371E5B"/>
    <w:rsid w:val="0037235B"/>
    <w:rsid w:val="0037240D"/>
    <w:rsid w:val="0037268F"/>
    <w:rsid w:val="00372CD2"/>
    <w:rsid w:val="00372EC4"/>
    <w:rsid w:val="0037330F"/>
    <w:rsid w:val="00373BA2"/>
    <w:rsid w:val="00374788"/>
    <w:rsid w:val="003749D2"/>
    <w:rsid w:val="00374C6B"/>
    <w:rsid w:val="003750B3"/>
    <w:rsid w:val="003751A5"/>
    <w:rsid w:val="0037546A"/>
    <w:rsid w:val="003755CE"/>
    <w:rsid w:val="00375859"/>
    <w:rsid w:val="0037589D"/>
    <w:rsid w:val="00376053"/>
    <w:rsid w:val="0037613A"/>
    <w:rsid w:val="0037683A"/>
    <w:rsid w:val="00376A6A"/>
    <w:rsid w:val="00376B15"/>
    <w:rsid w:val="003773C9"/>
    <w:rsid w:val="0037741C"/>
    <w:rsid w:val="003775AF"/>
    <w:rsid w:val="003775CE"/>
    <w:rsid w:val="0037787B"/>
    <w:rsid w:val="00377B83"/>
    <w:rsid w:val="0038013B"/>
    <w:rsid w:val="0038030D"/>
    <w:rsid w:val="0038089B"/>
    <w:rsid w:val="003809F3"/>
    <w:rsid w:val="00380AB0"/>
    <w:rsid w:val="00380F64"/>
    <w:rsid w:val="00381069"/>
    <w:rsid w:val="00381403"/>
    <w:rsid w:val="003814D5"/>
    <w:rsid w:val="00381FC2"/>
    <w:rsid w:val="003822F4"/>
    <w:rsid w:val="003826F2"/>
    <w:rsid w:val="00382F6B"/>
    <w:rsid w:val="00382F9E"/>
    <w:rsid w:val="003830CF"/>
    <w:rsid w:val="00383723"/>
    <w:rsid w:val="00383780"/>
    <w:rsid w:val="00383BFD"/>
    <w:rsid w:val="00383D33"/>
    <w:rsid w:val="00383F9C"/>
    <w:rsid w:val="003843B8"/>
    <w:rsid w:val="00384923"/>
    <w:rsid w:val="00384C2D"/>
    <w:rsid w:val="00384CAC"/>
    <w:rsid w:val="00385688"/>
    <w:rsid w:val="00385FFE"/>
    <w:rsid w:val="00386268"/>
    <w:rsid w:val="00386A71"/>
    <w:rsid w:val="00386EE1"/>
    <w:rsid w:val="00386F84"/>
    <w:rsid w:val="003878F0"/>
    <w:rsid w:val="00387B73"/>
    <w:rsid w:val="00387BC4"/>
    <w:rsid w:val="00387F18"/>
    <w:rsid w:val="0039027F"/>
    <w:rsid w:val="00390B70"/>
    <w:rsid w:val="003915A4"/>
    <w:rsid w:val="00391949"/>
    <w:rsid w:val="00391AA5"/>
    <w:rsid w:val="003922D8"/>
    <w:rsid w:val="00392606"/>
    <w:rsid w:val="00392759"/>
    <w:rsid w:val="00392A79"/>
    <w:rsid w:val="00392CE4"/>
    <w:rsid w:val="003931A6"/>
    <w:rsid w:val="0039331F"/>
    <w:rsid w:val="00393AE9"/>
    <w:rsid w:val="00393CBC"/>
    <w:rsid w:val="0039424D"/>
    <w:rsid w:val="003948CE"/>
    <w:rsid w:val="00394A31"/>
    <w:rsid w:val="0039530A"/>
    <w:rsid w:val="00395860"/>
    <w:rsid w:val="00395870"/>
    <w:rsid w:val="003966EB"/>
    <w:rsid w:val="00396DF9"/>
    <w:rsid w:val="00396FA7"/>
    <w:rsid w:val="003973D1"/>
    <w:rsid w:val="00397702"/>
    <w:rsid w:val="00397AE2"/>
    <w:rsid w:val="00397BE6"/>
    <w:rsid w:val="003A00C7"/>
    <w:rsid w:val="003A057B"/>
    <w:rsid w:val="003A0939"/>
    <w:rsid w:val="003A0CA8"/>
    <w:rsid w:val="003A0D56"/>
    <w:rsid w:val="003A0D84"/>
    <w:rsid w:val="003A1026"/>
    <w:rsid w:val="003A12D5"/>
    <w:rsid w:val="003A13B9"/>
    <w:rsid w:val="003A14FB"/>
    <w:rsid w:val="003A1BA0"/>
    <w:rsid w:val="003A1CF2"/>
    <w:rsid w:val="003A1EF4"/>
    <w:rsid w:val="003A20A6"/>
    <w:rsid w:val="003A20D3"/>
    <w:rsid w:val="003A231B"/>
    <w:rsid w:val="003A2591"/>
    <w:rsid w:val="003A2E6E"/>
    <w:rsid w:val="003A31AC"/>
    <w:rsid w:val="003A3301"/>
    <w:rsid w:val="003A3423"/>
    <w:rsid w:val="003A37F7"/>
    <w:rsid w:val="003A3E27"/>
    <w:rsid w:val="003A41A0"/>
    <w:rsid w:val="003A4236"/>
    <w:rsid w:val="003A430F"/>
    <w:rsid w:val="003A471E"/>
    <w:rsid w:val="003A4900"/>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4AA5"/>
    <w:rsid w:val="003B540A"/>
    <w:rsid w:val="003B5901"/>
    <w:rsid w:val="003B5B24"/>
    <w:rsid w:val="003B5C6C"/>
    <w:rsid w:val="003B5DEE"/>
    <w:rsid w:val="003B644C"/>
    <w:rsid w:val="003B658C"/>
    <w:rsid w:val="003B6F51"/>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87B"/>
    <w:rsid w:val="003C094B"/>
    <w:rsid w:val="003C0AA2"/>
    <w:rsid w:val="003C141C"/>
    <w:rsid w:val="003C15D3"/>
    <w:rsid w:val="003C1C5E"/>
    <w:rsid w:val="003C2390"/>
    <w:rsid w:val="003C23D3"/>
    <w:rsid w:val="003C2664"/>
    <w:rsid w:val="003C2A2C"/>
    <w:rsid w:val="003C2FFD"/>
    <w:rsid w:val="003C3300"/>
    <w:rsid w:val="003C3FF9"/>
    <w:rsid w:val="003C447A"/>
    <w:rsid w:val="003C46AF"/>
    <w:rsid w:val="003C48D6"/>
    <w:rsid w:val="003C5583"/>
    <w:rsid w:val="003C568B"/>
    <w:rsid w:val="003C59D9"/>
    <w:rsid w:val="003C5C06"/>
    <w:rsid w:val="003C631E"/>
    <w:rsid w:val="003C63B5"/>
    <w:rsid w:val="003C6974"/>
    <w:rsid w:val="003C6B34"/>
    <w:rsid w:val="003C7CA4"/>
    <w:rsid w:val="003C7E2D"/>
    <w:rsid w:val="003D01C8"/>
    <w:rsid w:val="003D08C1"/>
    <w:rsid w:val="003D0AE3"/>
    <w:rsid w:val="003D0C19"/>
    <w:rsid w:val="003D0F7C"/>
    <w:rsid w:val="003D1077"/>
    <w:rsid w:val="003D1632"/>
    <w:rsid w:val="003D1F28"/>
    <w:rsid w:val="003D2693"/>
    <w:rsid w:val="003D2B37"/>
    <w:rsid w:val="003D2C0C"/>
    <w:rsid w:val="003D2C4A"/>
    <w:rsid w:val="003D2EDD"/>
    <w:rsid w:val="003D30ED"/>
    <w:rsid w:val="003D3302"/>
    <w:rsid w:val="003D33FA"/>
    <w:rsid w:val="003D34B7"/>
    <w:rsid w:val="003D37D6"/>
    <w:rsid w:val="003D3F64"/>
    <w:rsid w:val="003D43AC"/>
    <w:rsid w:val="003D4527"/>
    <w:rsid w:val="003D4BCE"/>
    <w:rsid w:val="003D4DAE"/>
    <w:rsid w:val="003D541D"/>
    <w:rsid w:val="003D548C"/>
    <w:rsid w:val="003D5E50"/>
    <w:rsid w:val="003D5EAA"/>
    <w:rsid w:val="003D5F29"/>
    <w:rsid w:val="003D5F73"/>
    <w:rsid w:val="003D607D"/>
    <w:rsid w:val="003D65BD"/>
    <w:rsid w:val="003D661F"/>
    <w:rsid w:val="003D66F6"/>
    <w:rsid w:val="003D770F"/>
    <w:rsid w:val="003E03BE"/>
    <w:rsid w:val="003E046C"/>
    <w:rsid w:val="003E0539"/>
    <w:rsid w:val="003E0AE8"/>
    <w:rsid w:val="003E0F17"/>
    <w:rsid w:val="003E2378"/>
    <w:rsid w:val="003E2736"/>
    <w:rsid w:val="003E2F3F"/>
    <w:rsid w:val="003E3120"/>
    <w:rsid w:val="003E321C"/>
    <w:rsid w:val="003E385D"/>
    <w:rsid w:val="003E38F1"/>
    <w:rsid w:val="003E39F0"/>
    <w:rsid w:val="003E3B9F"/>
    <w:rsid w:val="003E3EAC"/>
    <w:rsid w:val="003E3F05"/>
    <w:rsid w:val="003E4092"/>
    <w:rsid w:val="003E4A57"/>
    <w:rsid w:val="003E4E3B"/>
    <w:rsid w:val="003E4F22"/>
    <w:rsid w:val="003E511A"/>
    <w:rsid w:val="003E513F"/>
    <w:rsid w:val="003E5BF0"/>
    <w:rsid w:val="003E5E63"/>
    <w:rsid w:val="003E60AF"/>
    <w:rsid w:val="003E6A49"/>
    <w:rsid w:val="003E6AD6"/>
    <w:rsid w:val="003E6C28"/>
    <w:rsid w:val="003E6C8B"/>
    <w:rsid w:val="003E6F73"/>
    <w:rsid w:val="003E7071"/>
    <w:rsid w:val="003E7588"/>
    <w:rsid w:val="003F00B8"/>
    <w:rsid w:val="003F0105"/>
    <w:rsid w:val="003F0428"/>
    <w:rsid w:val="003F06B9"/>
    <w:rsid w:val="003F0CD4"/>
    <w:rsid w:val="003F121E"/>
    <w:rsid w:val="003F12B1"/>
    <w:rsid w:val="003F12E5"/>
    <w:rsid w:val="003F1933"/>
    <w:rsid w:val="003F1D82"/>
    <w:rsid w:val="003F1E20"/>
    <w:rsid w:val="003F239B"/>
    <w:rsid w:val="003F2722"/>
    <w:rsid w:val="003F2868"/>
    <w:rsid w:val="003F29B9"/>
    <w:rsid w:val="003F2AE1"/>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6D65"/>
    <w:rsid w:val="003F7127"/>
    <w:rsid w:val="003F758B"/>
    <w:rsid w:val="003F7920"/>
    <w:rsid w:val="003F7A43"/>
    <w:rsid w:val="003F7AE3"/>
    <w:rsid w:val="004000C2"/>
    <w:rsid w:val="0040044A"/>
    <w:rsid w:val="0040067D"/>
    <w:rsid w:val="004008AF"/>
    <w:rsid w:val="004008E9"/>
    <w:rsid w:val="004009F8"/>
    <w:rsid w:val="00400C39"/>
    <w:rsid w:val="00400E5F"/>
    <w:rsid w:val="00400F6A"/>
    <w:rsid w:val="00400FD7"/>
    <w:rsid w:val="0040129E"/>
    <w:rsid w:val="004014C4"/>
    <w:rsid w:val="004018EF"/>
    <w:rsid w:val="00401C0B"/>
    <w:rsid w:val="00401E07"/>
    <w:rsid w:val="004028A8"/>
    <w:rsid w:val="00402919"/>
    <w:rsid w:val="00402B71"/>
    <w:rsid w:val="00402C6A"/>
    <w:rsid w:val="00402EE7"/>
    <w:rsid w:val="0040306A"/>
    <w:rsid w:val="00403342"/>
    <w:rsid w:val="00403553"/>
    <w:rsid w:val="00403937"/>
    <w:rsid w:val="00403D2C"/>
    <w:rsid w:val="00403F7C"/>
    <w:rsid w:val="00404259"/>
    <w:rsid w:val="004043DB"/>
    <w:rsid w:val="00404C70"/>
    <w:rsid w:val="004054B3"/>
    <w:rsid w:val="00405835"/>
    <w:rsid w:val="004058EA"/>
    <w:rsid w:val="00405F8C"/>
    <w:rsid w:val="004063EE"/>
    <w:rsid w:val="0040699A"/>
    <w:rsid w:val="004069EB"/>
    <w:rsid w:val="00406A14"/>
    <w:rsid w:val="00406B3A"/>
    <w:rsid w:val="00406C30"/>
    <w:rsid w:val="00406DA9"/>
    <w:rsid w:val="00407204"/>
    <w:rsid w:val="00407521"/>
    <w:rsid w:val="0040793D"/>
    <w:rsid w:val="0041067E"/>
    <w:rsid w:val="004107DD"/>
    <w:rsid w:val="004108BC"/>
    <w:rsid w:val="00410ACD"/>
    <w:rsid w:val="00410D70"/>
    <w:rsid w:val="00411041"/>
    <w:rsid w:val="0041109D"/>
    <w:rsid w:val="00411AF9"/>
    <w:rsid w:val="00411C4E"/>
    <w:rsid w:val="0041268A"/>
    <w:rsid w:val="00412A67"/>
    <w:rsid w:val="00412C6F"/>
    <w:rsid w:val="0041303F"/>
    <w:rsid w:val="00413589"/>
    <w:rsid w:val="00413955"/>
    <w:rsid w:val="0041480A"/>
    <w:rsid w:val="0041483E"/>
    <w:rsid w:val="00414B0C"/>
    <w:rsid w:val="00414D9A"/>
    <w:rsid w:val="00415396"/>
    <w:rsid w:val="00415659"/>
    <w:rsid w:val="00415A55"/>
    <w:rsid w:val="00415F13"/>
    <w:rsid w:val="00416C0A"/>
    <w:rsid w:val="00416D7C"/>
    <w:rsid w:val="004171B2"/>
    <w:rsid w:val="004172EF"/>
    <w:rsid w:val="00417DF6"/>
    <w:rsid w:val="004201FC"/>
    <w:rsid w:val="004202DD"/>
    <w:rsid w:val="0042037B"/>
    <w:rsid w:val="00420A2C"/>
    <w:rsid w:val="00420B96"/>
    <w:rsid w:val="00420C47"/>
    <w:rsid w:val="00420D67"/>
    <w:rsid w:val="00420E30"/>
    <w:rsid w:val="0042113F"/>
    <w:rsid w:val="00421308"/>
    <w:rsid w:val="00421A83"/>
    <w:rsid w:val="00421D08"/>
    <w:rsid w:val="00421FD0"/>
    <w:rsid w:val="004220B2"/>
    <w:rsid w:val="00422277"/>
    <w:rsid w:val="004224B3"/>
    <w:rsid w:val="00422804"/>
    <w:rsid w:val="00422B78"/>
    <w:rsid w:val="004231D7"/>
    <w:rsid w:val="0042349D"/>
    <w:rsid w:val="00423876"/>
    <w:rsid w:val="004238BD"/>
    <w:rsid w:val="00423A41"/>
    <w:rsid w:val="00423BA5"/>
    <w:rsid w:val="00423C1D"/>
    <w:rsid w:val="00423CCC"/>
    <w:rsid w:val="00423D26"/>
    <w:rsid w:val="00423E4D"/>
    <w:rsid w:val="00424295"/>
    <w:rsid w:val="00425091"/>
    <w:rsid w:val="004252C3"/>
    <w:rsid w:val="00425556"/>
    <w:rsid w:val="004256CF"/>
    <w:rsid w:val="00425F26"/>
    <w:rsid w:val="00425F27"/>
    <w:rsid w:val="004270C6"/>
    <w:rsid w:val="00427180"/>
    <w:rsid w:val="00427550"/>
    <w:rsid w:val="00427832"/>
    <w:rsid w:val="00427EF9"/>
    <w:rsid w:val="00430168"/>
    <w:rsid w:val="004302B1"/>
    <w:rsid w:val="004302F7"/>
    <w:rsid w:val="0043042C"/>
    <w:rsid w:val="0043089A"/>
    <w:rsid w:val="00430B99"/>
    <w:rsid w:val="00432049"/>
    <w:rsid w:val="00432240"/>
    <w:rsid w:val="004324DC"/>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15"/>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3F6"/>
    <w:rsid w:val="00444CF4"/>
    <w:rsid w:val="00444DCA"/>
    <w:rsid w:val="00444E08"/>
    <w:rsid w:val="0044537C"/>
    <w:rsid w:val="00445547"/>
    <w:rsid w:val="00445B07"/>
    <w:rsid w:val="00445B76"/>
    <w:rsid w:val="00445B92"/>
    <w:rsid w:val="00445D10"/>
    <w:rsid w:val="00445DC4"/>
    <w:rsid w:val="004465CC"/>
    <w:rsid w:val="004466D6"/>
    <w:rsid w:val="004467D6"/>
    <w:rsid w:val="00446B97"/>
    <w:rsid w:val="00446F01"/>
    <w:rsid w:val="00446F8C"/>
    <w:rsid w:val="0044706B"/>
    <w:rsid w:val="004476BB"/>
    <w:rsid w:val="004476C4"/>
    <w:rsid w:val="004476D9"/>
    <w:rsid w:val="00447943"/>
    <w:rsid w:val="00447DE4"/>
    <w:rsid w:val="00447E38"/>
    <w:rsid w:val="00447E6F"/>
    <w:rsid w:val="004504BF"/>
    <w:rsid w:val="004506EB"/>
    <w:rsid w:val="00450D40"/>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0A4"/>
    <w:rsid w:val="0045446C"/>
    <w:rsid w:val="0045465B"/>
    <w:rsid w:val="00454ACD"/>
    <w:rsid w:val="00454E14"/>
    <w:rsid w:val="00454EAF"/>
    <w:rsid w:val="004556AA"/>
    <w:rsid w:val="0045597A"/>
    <w:rsid w:val="00455A96"/>
    <w:rsid w:val="00455D30"/>
    <w:rsid w:val="0045631E"/>
    <w:rsid w:val="004565EC"/>
    <w:rsid w:val="00456A82"/>
    <w:rsid w:val="00456FC2"/>
    <w:rsid w:val="00457077"/>
    <w:rsid w:val="004576BD"/>
    <w:rsid w:val="00457814"/>
    <w:rsid w:val="00460167"/>
    <w:rsid w:val="004602FD"/>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38E4"/>
    <w:rsid w:val="00463B4E"/>
    <w:rsid w:val="00463D10"/>
    <w:rsid w:val="004647B6"/>
    <w:rsid w:val="00464DDB"/>
    <w:rsid w:val="0046527F"/>
    <w:rsid w:val="00465D35"/>
    <w:rsid w:val="00466335"/>
    <w:rsid w:val="00466D52"/>
    <w:rsid w:val="00466F9A"/>
    <w:rsid w:val="004675BA"/>
    <w:rsid w:val="00467C94"/>
    <w:rsid w:val="00470585"/>
    <w:rsid w:val="00470D3E"/>
    <w:rsid w:val="00470E07"/>
    <w:rsid w:val="004711A2"/>
    <w:rsid w:val="0047179A"/>
    <w:rsid w:val="00471B26"/>
    <w:rsid w:val="00471C97"/>
    <w:rsid w:val="00471DA2"/>
    <w:rsid w:val="00471DA9"/>
    <w:rsid w:val="00471F8E"/>
    <w:rsid w:val="004724BF"/>
    <w:rsid w:val="0047262B"/>
    <w:rsid w:val="0047268D"/>
    <w:rsid w:val="00472A0E"/>
    <w:rsid w:val="0047319C"/>
    <w:rsid w:val="004734C0"/>
    <w:rsid w:val="004736CE"/>
    <w:rsid w:val="00473C49"/>
    <w:rsid w:val="004742C9"/>
    <w:rsid w:val="004745A6"/>
    <w:rsid w:val="00474818"/>
    <w:rsid w:val="00474DCB"/>
    <w:rsid w:val="0047536B"/>
    <w:rsid w:val="0047542A"/>
    <w:rsid w:val="00475D4F"/>
    <w:rsid w:val="00475DFA"/>
    <w:rsid w:val="00476572"/>
    <w:rsid w:val="00476A08"/>
    <w:rsid w:val="00476F13"/>
    <w:rsid w:val="004772A2"/>
    <w:rsid w:val="004775B7"/>
    <w:rsid w:val="00478836"/>
    <w:rsid w:val="0047D039"/>
    <w:rsid w:val="0048029D"/>
    <w:rsid w:val="004802B7"/>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5A46"/>
    <w:rsid w:val="004862D2"/>
    <w:rsid w:val="004863CE"/>
    <w:rsid w:val="00486774"/>
    <w:rsid w:val="00486918"/>
    <w:rsid w:val="00486B49"/>
    <w:rsid w:val="00486B88"/>
    <w:rsid w:val="0048707E"/>
    <w:rsid w:val="004870E4"/>
    <w:rsid w:val="00487114"/>
    <w:rsid w:val="004873A0"/>
    <w:rsid w:val="00487A67"/>
    <w:rsid w:val="0049003B"/>
    <w:rsid w:val="00491147"/>
    <w:rsid w:val="004911D8"/>
    <w:rsid w:val="00491636"/>
    <w:rsid w:val="00491C33"/>
    <w:rsid w:val="00491DAD"/>
    <w:rsid w:val="00492701"/>
    <w:rsid w:val="00492983"/>
    <w:rsid w:val="00492BA6"/>
    <w:rsid w:val="00492FCF"/>
    <w:rsid w:val="004934A6"/>
    <w:rsid w:val="00493A3E"/>
    <w:rsid w:val="004940BF"/>
    <w:rsid w:val="004940CD"/>
    <w:rsid w:val="00494125"/>
    <w:rsid w:val="00494A5C"/>
    <w:rsid w:val="00494A6A"/>
    <w:rsid w:val="0049537B"/>
    <w:rsid w:val="00495443"/>
    <w:rsid w:val="00495551"/>
    <w:rsid w:val="00495754"/>
    <w:rsid w:val="004958F8"/>
    <w:rsid w:val="00496116"/>
    <w:rsid w:val="00496171"/>
    <w:rsid w:val="004966C6"/>
    <w:rsid w:val="004966D0"/>
    <w:rsid w:val="00496C19"/>
    <w:rsid w:val="00497A12"/>
    <w:rsid w:val="00497AE9"/>
    <w:rsid w:val="00497E6D"/>
    <w:rsid w:val="004A0614"/>
    <w:rsid w:val="004A08EC"/>
    <w:rsid w:val="004A0CB0"/>
    <w:rsid w:val="004A0D20"/>
    <w:rsid w:val="004A0DE2"/>
    <w:rsid w:val="004A141B"/>
    <w:rsid w:val="004A14B8"/>
    <w:rsid w:val="004A1643"/>
    <w:rsid w:val="004A1694"/>
    <w:rsid w:val="004A1975"/>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A7E39"/>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679"/>
    <w:rsid w:val="004B498C"/>
    <w:rsid w:val="004B4D36"/>
    <w:rsid w:val="004B4EEE"/>
    <w:rsid w:val="004B5331"/>
    <w:rsid w:val="004B56ED"/>
    <w:rsid w:val="004B5896"/>
    <w:rsid w:val="004B647C"/>
    <w:rsid w:val="004B6A10"/>
    <w:rsid w:val="004B6D6D"/>
    <w:rsid w:val="004B7A4E"/>
    <w:rsid w:val="004C0266"/>
    <w:rsid w:val="004C07F1"/>
    <w:rsid w:val="004C0A52"/>
    <w:rsid w:val="004C0EB1"/>
    <w:rsid w:val="004C1059"/>
    <w:rsid w:val="004C135D"/>
    <w:rsid w:val="004C1D27"/>
    <w:rsid w:val="004C1FBD"/>
    <w:rsid w:val="004C2BC3"/>
    <w:rsid w:val="004C2C9B"/>
    <w:rsid w:val="004C3EDB"/>
    <w:rsid w:val="004C3EFA"/>
    <w:rsid w:val="004C514E"/>
    <w:rsid w:val="004C54C1"/>
    <w:rsid w:val="004C56A9"/>
    <w:rsid w:val="004C5F10"/>
    <w:rsid w:val="004C6348"/>
    <w:rsid w:val="004C6952"/>
    <w:rsid w:val="004C7159"/>
    <w:rsid w:val="004C721C"/>
    <w:rsid w:val="004C7A31"/>
    <w:rsid w:val="004C7D6F"/>
    <w:rsid w:val="004D0052"/>
    <w:rsid w:val="004D0094"/>
    <w:rsid w:val="004D021D"/>
    <w:rsid w:val="004D09F7"/>
    <w:rsid w:val="004D0E83"/>
    <w:rsid w:val="004D1248"/>
    <w:rsid w:val="004D27CC"/>
    <w:rsid w:val="004D337B"/>
    <w:rsid w:val="004D3594"/>
    <w:rsid w:val="004D3605"/>
    <w:rsid w:val="004D3D6E"/>
    <w:rsid w:val="004D3E5E"/>
    <w:rsid w:val="004D3F22"/>
    <w:rsid w:val="004D45C9"/>
    <w:rsid w:val="004D47B9"/>
    <w:rsid w:val="004D4A50"/>
    <w:rsid w:val="004D4A68"/>
    <w:rsid w:val="004D526B"/>
    <w:rsid w:val="004D555C"/>
    <w:rsid w:val="004D5904"/>
    <w:rsid w:val="004D5A07"/>
    <w:rsid w:val="004D5A14"/>
    <w:rsid w:val="004D5CBC"/>
    <w:rsid w:val="004D6133"/>
    <w:rsid w:val="004D63E5"/>
    <w:rsid w:val="004D6672"/>
    <w:rsid w:val="004D69E5"/>
    <w:rsid w:val="004D6B27"/>
    <w:rsid w:val="004D711F"/>
    <w:rsid w:val="004D7228"/>
    <w:rsid w:val="004D7F25"/>
    <w:rsid w:val="004E0D34"/>
    <w:rsid w:val="004E1072"/>
    <w:rsid w:val="004E1080"/>
    <w:rsid w:val="004E14B0"/>
    <w:rsid w:val="004E1BC7"/>
    <w:rsid w:val="004E1BFF"/>
    <w:rsid w:val="004E1E28"/>
    <w:rsid w:val="004E1EB5"/>
    <w:rsid w:val="004E2ED7"/>
    <w:rsid w:val="004E360E"/>
    <w:rsid w:val="004E3904"/>
    <w:rsid w:val="004E3F18"/>
    <w:rsid w:val="004E3FD3"/>
    <w:rsid w:val="004E4181"/>
    <w:rsid w:val="004E43DD"/>
    <w:rsid w:val="004E464B"/>
    <w:rsid w:val="004E4CFA"/>
    <w:rsid w:val="004E4EE6"/>
    <w:rsid w:val="004E4FA3"/>
    <w:rsid w:val="004E5007"/>
    <w:rsid w:val="004E5265"/>
    <w:rsid w:val="004E52C8"/>
    <w:rsid w:val="004E54FC"/>
    <w:rsid w:val="004E55C9"/>
    <w:rsid w:val="004E5819"/>
    <w:rsid w:val="004E5863"/>
    <w:rsid w:val="004E60FF"/>
    <w:rsid w:val="004E68A7"/>
    <w:rsid w:val="004E6D16"/>
    <w:rsid w:val="004E7BC9"/>
    <w:rsid w:val="004E7C8E"/>
    <w:rsid w:val="004F0596"/>
    <w:rsid w:val="004F0626"/>
    <w:rsid w:val="004F0858"/>
    <w:rsid w:val="004F12D8"/>
    <w:rsid w:val="004F13E0"/>
    <w:rsid w:val="004F19A6"/>
    <w:rsid w:val="004F1AA7"/>
    <w:rsid w:val="004F1EC3"/>
    <w:rsid w:val="004F235F"/>
    <w:rsid w:val="004F270F"/>
    <w:rsid w:val="004F2C60"/>
    <w:rsid w:val="004F2CB7"/>
    <w:rsid w:val="004F2D76"/>
    <w:rsid w:val="004F2E47"/>
    <w:rsid w:val="004F2E6A"/>
    <w:rsid w:val="004F37B3"/>
    <w:rsid w:val="004F3E48"/>
    <w:rsid w:val="004F41B7"/>
    <w:rsid w:val="004F4268"/>
    <w:rsid w:val="004F43EB"/>
    <w:rsid w:val="004F45DA"/>
    <w:rsid w:val="004F4CB4"/>
    <w:rsid w:val="004F52EA"/>
    <w:rsid w:val="004F5461"/>
    <w:rsid w:val="004F5CE1"/>
    <w:rsid w:val="004F61BC"/>
    <w:rsid w:val="004F6AA5"/>
    <w:rsid w:val="004F70AC"/>
    <w:rsid w:val="004F7196"/>
    <w:rsid w:val="004F75ED"/>
    <w:rsid w:val="004F7AF3"/>
    <w:rsid w:val="005004EE"/>
    <w:rsid w:val="005007FA"/>
    <w:rsid w:val="005009CF"/>
    <w:rsid w:val="00500DDE"/>
    <w:rsid w:val="00500F5E"/>
    <w:rsid w:val="005012FC"/>
    <w:rsid w:val="00501DDC"/>
    <w:rsid w:val="00501E1E"/>
    <w:rsid w:val="00502060"/>
    <w:rsid w:val="0050265C"/>
    <w:rsid w:val="005026DE"/>
    <w:rsid w:val="005026E8"/>
    <w:rsid w:val="00502CD8"/>
    <w:rsid w:val="00502E44"/>
    <w:rsid w:val="00502F5A"/>
    <w:rsid w:val="00502FB8"/>
    <w:rsid w:val="005030A1"/>
    <w:rsid w:val="00503175"/>
    <w:rsid w:val="00503254"/>
    <w:rsid w:val="005032E9"/>
    <w:rsid w:val="00503BD0"/>
    <w:rsid w:val="00503D25"/>
    <w:rsid w:val="0050416B"/>
    <w:rsid w:val="00504AEE"/>
    <w:rsid w:val="00504C0D"/>
    <w:rsid w:val="00504D67"/>
    <w:rsid w:val="00505170"/>
    <w:rsid w:val="00505320"/>
    <w:rsid w:val="0050532B"/>
    <w:rsid w:val="00505352"/>
    <w:rsid w:val="00505915"/>
    <w:rsid w:val="00505D3B"/>
    <w:rsid w:val="00506E67"/>
    <w:rsid w:val="00506E81"/>
    <w:rsid w:val="00507481"/>
    <w:rsid w:val="0050766B"/>
    <w:rsid w:val="0050794A"/>
    <w:rsid w:val="00507D58"/>
    <w:rsid w:val="00507E2E"/>
    <w:rsid w:val="00510ED7"/>
    <w:rsid w:val="00511134"/>
    <w:rsid w:val="005111F7"/>
    <w:rsid w:val="00511286"/>
    <w:rsid w:val="005117F6"/>
    <w:rsid w:val="00511931"/>
    <w:rsid w:val="0051232B"/>
    <w:rsid w:val="00512384"/>
    <w:rsid w:val="005125D2"/>
    <w:rsid w:val="00512AA1"/>
    <w:rsid w:val="00513B93"/>
    <w:rsid w:val="00513ED6"/>
    <w:rsid w:val="00514121"/>
    <w:rsid w:val="005143F2"/>
    <w:rsid w:val="00514606"/>
    <w:rsid w:val="00514761"/>
    <w:rsid w:val="00514B33"/>
    <w:rsid w:val="00514BDB"/>
    <w:rsid w:val="005152E4"/>
    <w:rsid w:val="00515A18"/>
    <w:rsid w:val="00515B6B"/>
    <w:rsid w:val="00515C4C"/>
    <w:rsid w:val="005160B0"/>
    <w:rsid w:val="00516732"/>
    <w:rsid w:val="00516FDA"/>
    <w:rsid w:val="0051720A"/>
    <w:rsid w:val="005173CC"/>
    <w:rsid w:val="005176C6"/>
    <w:rsid w:val="00517972"/>
    <w:rsid w:val="0051798D"/>
    <w:rsid w:val="00517C5C"/>
    <w:rsid w:val="00519D74"/>
    <w:rsid w:val="005201FE"/>
    <w:rsid w:val="00520216"/>
    <w:rsid w:val="00520834"/>
    <w:rsid w:val="005208DE"/>
    <w:rsid w:val="00521090"/>
    <w:rsid w:val="005212D2"/>
    <w:rsid w:val="00521844"/>
    <w:rsid w:val="00522183"/>
    <w:rsid w:val="00522500"/>
    <w:rsid w:val="00522A59"/>
    <w:rsid w:val="00522D44"/>
    <w:rsid w:val="00522F61"/>
    <w:rsid w:val="0052343E"/>
    <w:rsid w:val="0052351C"/>
    <w:rsid w:val="005244FF"/>
    <w:rsid w:val="00524A0B"/>
    <w:rsid w:val="00524C83"/>
    <w:rsid w:val="00525869"/>
    <w:rsid w:val="00525CC0"/>
    <w:rsid w:val="005262C3"/>
    <w:rsid w:val="0052635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1C4"/>
    <w:rsid w:val="00534423"/>
    <w:rsid w:val="00534576"/>
    <w:rsid w:val="0053512B"/>
    <w:rsid w:val="005351E8"/>
    <w:rsid w:val="00535392"/>
    <w:rsid w:val="0053594F"/>
    <w:rsid w:val="00535FB0"/>
    <w:rsid w:val="00536042"/>
    <w:rsid w:val="005360C3"/>
    <w:rsid w:val="00536777"/>
    <w:rsid w:val="00536822"/>
    <w:rsid w:val="00536F06"/>
    <w:rsid w:val="005371FB"/>
    <w:rsid w:val="00537262"/>
    <w:rsid w:val="005374BC"/>
    <w:rsid w:val="0053777A"/>
    <w:rsid w:val="00537EF7"/>
    <w:rsid w:val="005402A7"/>
    <w:rsid w:val="005402CB"/>
    <w:rsid w:val="00540B00"/>
    <w:rsid w:val="0054133C"/>
    <w:rsid w:val="00541DAC"/>
    <w:rsid w:val="0054218E"/>
    <w:rsid w:val="005425D3"/>
    <w:rsid w:val="00542BAB"/>
    <w:rsid w:val="00542CB3"/>
    <w:rsid w:val="0054304C"/>
    <w:rsid w:val="00543056"/>
    <w:rsid w:val="005430B8"/>
    <w:rsid w:val="0054314E"/>
    <w:rsid w:val="00543463"/>
    <w:rsid w:val="00543820"/>
    <w:rsid w:val="00543C2A"/>
    <w:rsid w:val="00543E15"/>
    <w:rsid w:val="00543EF3"/>
    <w:rsid w:val="00544465"/>
    <w:rsid w:val="0054483C"/>
    <w:rsid w:val="005448F8"/>
    <w:rsid w:val="00544A75"/>
    <w:rsid w:val="00545032"/>
    <w:rsid w:val="00545171"/>
    <w:rsid w:val="005451B8"/>
    <w:rsid w:val="00545381"/>
    <w:rsid w:val="0054580B"/>
    <w:rsid w:val="005459ED"/>
    <w:rsid w:val="00545AE0"/>
    <w:rsid w:val="00545B7D"/>
    <w:rsid w:val="00545DC1"/>
    <w:rsid w:val="0054607D"/>
    <w:rsid w:val="005460A6"/>
    <w:rsid w:val="0054623F"/>
    <w:rsid w:val="005467D0"/>
    <w:rsid w:val="00546A7A"/>
    <w:rsid w:val="00546C59"/>
    <w:rsid w:val="00546CB1"/>
    <w:rsid w:val="00546DE3"/>
    <w:rsid w:val="005472F3"/>
    <w:rsid w:val="0054737A"/>
    <w:rsid w:val="0054753C"/>
    <w:rsid w:val="005478C6"/>
    <w:rsid w:val="00547DBE"/>
    <w:rsid w:val="00547FBA"/>
    <w:rsid w:val="0055000F"/>
    <w:rsid w:val="005500B2"/>
    <w:rsid w:val="005501A6"/>
    <w:rsid w:val="005502F9"/>
    <w:rsid w:val="00550386"/>
    <w:rsid w:val="0055046F"/>
    <w:rsid w:val="00551120"/>
    <w:rsid w:val="00551375"/>
    <w:rsid w:val="0055164E"/>
    <w:rsid w:val="00551B54"/>
    <w:rsid w:val="00552185"/>
    <w:rsid w:val="0055233E"/>
    <w:rsid w:val="0055241C"/>
    <w:rsid w:val="00552429"/>
    <w:rsid w:val="00552788"/>
    <w:rsid w:val="005529D4"/>
    <w:rsid w:val="00552EA7"/>
    <w:rsid w:val="00552F30"/>
    <w:rsid w:val="005532A4"/>
    <w:rsid w:val="005534A6"/>
    <w:rsid w:val="005535DE"/>
    <w:rsid w:val="00553698"/>
    <w:rsid w:val="005536CC"/>
    <w:rsid w:val="00553DA8"/>
    <w:rsid w:val="00554390"/>
    <w:rsid w:val="005546D8"/>
    <w:rsid w:val="00554878"/>
    <w:rsid w:val="00554BE1"/>
    <w:rsid w:val="00554ED3"/>
    <w:rsid w:val="00554EE8"/>
    <w:rsid w:val="00555141"/>
    <w:rsid w:val="0055546A"/>
    <w:rsid w:val="00555565"/>
    <w:rsid w:val="00555749"/>
    <w:rsid w:val="005559F0"/>
    <w:rsid w:val="00555A30"/>
    <w:rsid w:val="00555B23"/>
    <w:rsid w:val="00555FDF"/>
    <w:rsid w:val="00556064"/>
    <w:rsid w:val="005562E3"/>
    <w:rsid w:val="005562E4"/>
    <w:rsid w:val="005566FC"/>
    <w:rsid w:val="005568C9"/>
    <w:rsid w:val="00557134"/>
    <w:rsid w:val="0055720D"/>
    <w:rsid w:val="005574C0"/>
    <w:rsid w:val="0055755D"/>
    <w:rsid w:val="0055771D"/>
    <w:rsid w:val="00557A64"/>
    <w:rsid w:val="0056037A"/>
    <w:rsid w:val="00561156"/>
    <w:rsid w:val="005613F9"/>
    <w:rsid w:val="0056174C"/>
    <w:rsid w:val="005617BA"/>
    <w:rsid w:val="00561DD4"/>
    <w:rsid w:val="00561F9E"/>
    <w:rsid w:val="0056210F"/>
    <w:rsid w:val="00562137"/>
    <w:rsid w:val="005622F7"/>
    <w:rsid w:val="005625D7"/>
    <w:rsid w:val="00562997"/>
    <w:rsid w:val="005630D5"/>
    <w:rsid w:val="00563509"/>
    <w:rsid w:val="00564A82"/>
    <w:rsid w:val="00564F13"/>
    <w:rsid w:val="00564FD6"/>
    <w:rsid w:val="00565179"/>
    <w:rsid w:val="00565203"/>
    <w:rsid w:val="00565C75"/>
    <w:rsid w:val="00566930"/>
    <w:rsid w:val="00566EE8"/>
    <w:rsid w:val="00567024"/>
    <w:rsid w:val="005670E2"/>
    <w:rsid w:val="005671ED"/>
    <w:rsid w:val="00567E65"/>
    <w:rsid w:val="0057037E"/>
    <w:rsid w:val="005704C6"/>
    <w:rsid w:val="0057056D"/>
    <w:rsid w:val="00571405"/>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44D"/>
    <w:rsid w:val="00574658"/>
    <w:rsid w:val="00574A9E"/>
    <w:rsid w:val="0057510A"/>
    <w:rsid w:val="005758C7"/>
    <w:rsid w:val="00575AE6"/>
    <w:rsid w:val="00575C31"/>
    <w:rsid w:val="0057683A"/>
    <w:rsid w:val="00576843"/>
    <w:rsid w:val="00577154"/>
    <w:rsid w:val="00577290"/>
    <w:rsid w:val="0057756C"/>
    <w:rsid w:val="005776AC"/>
    <w:rsid w:val="00577C51"/>
    <w:rsid w:val="00577F81"/>
    <w:rsid w:val="0058037F"/>
    <w:rsid w:val="00580A69"/>
    <w:rsid w:val="00580E3B"/>
    <w:rsid w:val="00581031"/>
    <w:rsid w:val="0058107B"/>
    <w:rsid w:val="00581303"/>
    <w:rsid w:val="005813FE"/>
    <w:rsid w:val="005818BE"/>
    <w:rsid w:val="00581B96"/>
    <w:rsid w:val="005825DE"/>
    <w:rsid w:val="0058263F"/>
    <w:rsid w:val="00582DC4"/>
    <w:rsid w:val="005831D7"/>
    <w:rsid w:val="0058426C"/>
    <w:rsid w:val="00584477"/>
    <w:rsid w:val="00584657"/>
    <w:rsid w:val="0058467D"/>
    <w:rsid w:val="00584763"/>
    <w:rsid w:val="00584970"/>
    <w:rsid w:val="005856DD"/>
    <w:rsid w:val="00585824"/>
    <w:rsid w:val="0058583E"/>
    <w:rsid w:val="00585B4F"/>
    <w:rsid w:val="00585D47"/>
    <w:rsid w:val="005861BC"/>
    <w:rsid w:val="005870ED"/>
    <w:rsid w:val="00587121"/>
    <w:rsid w:val="0058756A"/>
    <w:rsid w:val="00587DE6"/>
    <w:rsid w:val="00587EEE"/>
    <w:rsid w:val="00590015"/>
    <w:rsid w:val="0059024A"/>
    <w:rsid w:val="00590601"/>
    <w:rsid w:val="0059069C"/>
    <w:rsid w:val="00590BED"/>
    <w:rsid w:val="00590C35"/>
    <w:rsid w:val="00590CDA"/>
    <w:rsid w:val="005919FE"/>
    <w:rsid w:val="00591AB7"/>
    <w:rsid w:val="0059221D"/>
    <w:rsid w:val="00592763"/>
    <w:rsid w:val="005928DF"/>
    <w:rsid w:val="0059297C"/>
    <w:rsid w:val="00592B59"/>
    <w:rsid w:val="00592E99"/>
    <w:rsid w:val="0059332D"/>
    <w:rsid w:val="005935C9"/>
    <w:rsid w:val="00593A6F"/>
    <w:rsid w:val="00593BA9"/>
    <w:rsid w:val="00593E31"/>
    <w:rsid w:val="00593E4E"/>
    <w:rsid w:val="00595915"/>
    <w:rsid w:val="0059622A"/>
    <w:rsid w:val="005964E3"/>
    <w:rsid w:val="005964E9"/>
    <w:rsid w:val="005965C2"/>
    <w:rsid w:val="00596BC2"/>
    <w:rsid w:val="00597639"/>
    <w:rsid w:val="005977E6"/>
    <w:rsid w:val="00597996"/>
    <w:rsid w:val="005979C3"/>
    <w:rsid w:val="00597C57"/>
    <w:rsid w:val="005A01E2"/>
    <w:rsid w:val="005A0239"/>
    <w:rsid w:val="005A0475"/>
    <w:rsid w:val="005A0587"/>
    <w:rsid w:val="005A0632"/>
    <w:rsid w:val="005A06E6"/>
    <w:rsid w:val="005A0CF4"/>
    <w:rsid w:val="005A0D30"/>
    <w:rsid w:val="005A1109"/>
    <w:rsid w:val="005A1411"/>
    <w:rsid w:val="005A1CE3"/>
    <w:rsid w:val="005A1FF9"/>
    <w:rsid w:val="005A25F6"/>
    <w:rsid w:val="005A30A7"/>
    <w:rsid w:val="005A3AE1"/>
    <w:rsid w:val="005A3B7A"/>
    <w:rsid w:val="005A401B"/>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6E5F"/>
    <w:rsid w:val="005A7277"/>
    <w:rsid w:val="005A72D0"/>
    <w:rsid w:val="005A76AA"/>
    <w:rsid w:val="005A779F"/>
    <w:rsid w:val="005A7950"/>
    <w:rsid w:val="005A7B5D"/>
    <w:rsid w:val="005B022D"/>
    <w:rsid w:val="005B0726"/>
    <w:rsid w:val="005B0898"/>
    <w:rsid w:val="005B0968"/>
    <w:rsid w:val="005B1420"/>
    <w:rsid w:val="005B155E"/>
    <w:rsid w:val="005B18B8"/>
    <w:rsid w:val="005B1B11"/>
    <w:rsid w:val="005B1DC2"/>
    <w:rsid w:val="005B256A"/>
    <w:rsid w:val="005B28FF"/>
    <w:rsid w:val="005B2E4B"/>
    <w:rsid w:val="005B2E56"/>
    <w:rsid w:val="005B2EDA"/>
    <w:rsid w:val="005B3067"/>
    <w:rsid w:val="005B340C"/>
    <w:rsid w:val="005B3682"/>
    <w:rsid w:val="005B3A94"/>
    <w:rsid w:val="005B426F"/>
    <w:rsid w:val="005B4592"/>
    <w:rsid w:val="005B47BD"/>
    <w:rsid w:val="005B48EA"/>
    <w:rsid w:val="005B4C29"/>
    <w:rsid w:val="005B4C9F"/>
    <w:rsid w:val="005B5BD9"/>
    <w:rsid w:val="005B626F"/>
    <w:rsid w:val="005B65AD"/>
    <w:rsid w:val="005B69E6"/>
    <w:rsid w:val="005B6A65"/>
    <w:rsid w:val="005B7822"/>
    <w:rsid w:val="005B7DF4"/>
    <w:rsid w:val="005B7EF6"/>
    <w:rsid w:val="005C02F1"/>
    <w:rsid w:val="005C04E5"/>
    <w:rsid w:val="005C13A3"/>
    <w:rsid w:val="005C13D2"/>
    <w:rsid w:val="005C1419"/>
    <w:rsid w:val="005C2024"/>
    <w:rsid w:val="005C23F7"/>
    <w:rsid w:val="005C268A"/>
    <w:rsid w:val="005C2710"/>
    <w:rsid w:val="005C294A"/>
    <w:rsid w:val="005C2D19"/>
    <w:rsid w:val="005C3249"/>
    <w:rsid w:val="005C331D"/>
    <w:rsid w:val="005C36C6"/>
    <w:rsid w:val="005C37A8"/>
    <w:rsid w:val="005C3BDF"/>
    <w:rsid w:val="005C3EA5"/>
    <w:rsid w:val="005C490B"/>
    <w:rsid w:val="005C4961"/>
    <w:rsid w:val="005C4BF3"/>
    <w:rsid w:val="005C4BFA"/>
    <w:rsid w:val="005C5220"/>
    <w:rsid w:val="005C55C7"/>
    <w:rsid w:val="005C5F68"/>
    <w:rsid w:val="005C623D"/>
    <w:rsid w:val="005C68E1"/>
    <w:rsid w:val="005C6B1F"/>
    <w:rsid w:val="005C6BA5"/>
    <w:rsid w:val="005C6C3D"/>
    <w:rsid w:val="005C7053"/>
    <w:rsid w:val="005C7135"/>
    <w:rsid w:val="005C7580"/>
    <w:rsid w:val="005C75A5"/>
    <w:rsid w:val="005C7AB1"/>
    <w:rsid w:val="005C7CA1"/>
    <w:rsid w:val="005C7E64"/>
    <w:rsid w:val="005D05C4"/>
    <w:rsid w:val="005D05E9"/>
    <w:rsid w:val="005D0832"/>
    <w:rsid w:val="005D0AE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50AA"/>
    <w:rsid w:val="005D54B7"/>
    <w:rsid w:val="005D5894"/>
    <w:rsid w:val="005D630A"/>
    <w:rsid w:val="005D6405"/>
    <w:rsid w:val="005D6A78"/>
    <w:rsid w:val="005D76FB"/>
    <w:rsid w:val="005D79AD"/>
    <w:rsid w:val="005D7D42"/>
    <w:rsid w:val="005E01D2"/>
    <w:rsid w:val="005E0678"/>
    <w:rsid w:val="005E09FE"/>
    <w:rsid w:val="005E1CE5"/>
    <w:rsid w:val="005E1E6D"/>
    <w:rsid w:val="005E23D0"/>
    <w:rsid w:val="005E247F"/>
    <w:rsid w:val="005E264D"/>
    <w:rsid w:val="005E269F"/>
    <w:rsid w:val="005E2806"/>
    <w:rsid w:val="005E28AA"/>
    <w:rsid w:val="005E3317"/>
    <w:rsid w:val="005E3518"/>
    <w:rsid w:val="005E389D"/>
    <w:rsid w:val="005E3C27"/>
    <w:rsid w:val="005E3DB5"/>
    <w:rsid w:val="005E4704"/>
    <w:rsid w:val="005E4959"/>
    <w:rsid w:val="005E4B60"/>
    <w:rsid w:val="005E4FED"/>
    <w:rsid w:val="005E5694"/>
    <w:rsid w:val="005E5852"/>
    <w:rsid w:val="005E5A1E"/>
    <w:rsid w:val="005E60E3"/>
    <w:rsid w:val="005E6AA4"/>
    <w:rsid w:val="005E7065"/>
    <w:rsid w:val="005E7077"/>
    <w:rsid w:val="005E7223"/>
    <w:rsid w:val="005E77E1"/>
    <w:rsid w:val="005E7BEF"/>
    <w:rsid w:val="005F00B4"/>
    <w:rsid w:val="005F060C"/>
    <w:rsid w:val="005F0BFA"/>
    <w:rsid w:val="005F1318"/>
    <w:rsid w:val="005F18C2"/>
    <w:rsid w:val="005F20B0"/>
    <w:rsid w:val="005F2245"/>
    <w:rsid w:val="005F22CB"/>
    <w:rsid w:val="005F2C65"/>
    <w:rsid w:val="005F2E0A"/>
    <w:rsid w:val="005F3265"/>
    <w:rsid w:val="005F33B6"/>
    <w:rsid w:val="005F3513"/>
    <w:rsid w:val="005F3E40"/>
    <w:rsid w:val="005F3FA2"/>
    <w:rsid w:val="005F41E8"/>
    <w:rsid w:val="005F4846"/>
    <w:rsid w:val="005F48ED"/>
    <w:rsid w:val="005F4B78"/>
    <w:rsid w:val="005F4B85"/>
    <w:rsid w:val="005F53E1"/>
    <w:rsid w:val="005F5DB5"/>
    <w:rsid w:val="005F5EB8"/>
    <w:rsid w:val="005F5EEA"/>
    <w:rsid w:val="005F6D37"/>
    <w:rsid w:val="005F782B"/>
    <w:rsid w:val="005F7FF7"/>
    <w:rsid w:val="00600A07"/>
    <w:rsid w:val="00601C48"/>
    <w:rsid w:val="00602060"/>
    <w:rsid w:val="00602FB8"/>
    <w:rsid w:val="0060339D"/>
    <w:rsid w:val="00603D3B"/>
    <w:rsid w:val="00604019"/>
    <w:rsid w:val="00604401"/>
    <w:rsid w:val="00605336"/>
    <w:rsid w:val="006055F5"/>
    <w:rsid w:val="00605C4F"/>
    <w:rsid w:val="00605D95"/>
    <w:rsid w:val="00606420"/>
    <w:rsid w:val="006066E3"/>
    <w:rsid w:val="00606928"/>
    <w:rsid w:val="00606C8C"/>
    <w:rsid w:val="00606D7F"/>
    <w:rsid w:val="00606FF6"/>
    <w:rsid w:val="00607120"/>
    <w:rsid w:val="00607CD8"/>
    <w:rsid w:val="00607D95"/>
    <w:rsid w:val="0061010E"/>
    <w:rsid w:val="006102AD"/>
    <w:rsid w:val="0061044E"/>
    <w:rsid w:val="00610FEE"/>
    <w:rsid w:val="00611682"/>
    <w:rsid w:val="00611A38"/>
    <w:rsid w:val="00611B24"/>
    <w:rsid w:val="00611C8C"/>
    <w:rsid w:val="00611FD4"/>
    <w:rsid w:val="0061254F"/>
    <w:rsid w:val="00612E1C"/>
    <w:rsid w:val="0061311C"/>
    <w:rsid w:val="006136EC"/>
    <w:rsid w:val="0061393B"/>
    <w:rsid w:val="00613FAB"/>
    <w:rsid w:val="006142A9"/>
    <w:rsid w:val="00615194"/>
    <w:rsid w:val="006158B2"/>
    <w:rsid w:val="006159B8"/>
    <w:rsid w:val="00615E29"/>
    <w:rsid w:val="00615F2D"/>
    <w:rsid w:val="00615FA4"/>
    <w:rsid w:val="006160F3"/>
    <w:rsid w:val="00616195"/>
    <w:rsid w:val="006165C9"/>
    <w:rsid w:val="00616689"/>
    <w:rsid w:val="006167E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8C0"/>
    <w:rsid w:val="006238EB"/>
    <w:rsid w:val="0062391D"/>
    <w:rsid w:val="00623A47"/>
    <w:rsid w:val="00623AC3"/>
    <w:rsid w:val="00623D36"/>
    <w:rsid w:val="00623DF0"/>
    <w:rsid w:val="006240BC"/>
    <w:rsid w:val="006241AC"/>
    <w:rsid w:val="00624423"/>
    <w:rsid w:val="0062444B"/>
    <w:rsid w:val="00624802"/>
    <w:rsid w:val="00624A3A"/>
    <w:rsid w:val="00624ED9"/>
    <w:rsid w:val="006252F3"/>
    <w:rsid w:val="00625444"/>
    <w:rsid w:val="0062550C"/>
    <w:rsid w:val="00625E07"/>
    <w:rsid w:val="00625E0F"/>
    <w:rsid w:val="006261EF"/>
    <w:rsid w:val="006264EB"/>
    <w:rsid w:val="00626C65"/>
    <w:rsid w:val="00627721"/>
    <w:rsid w:val="006278D2"/>
    <w:rsid w:val="00627B9F"/>
    <w:rsid w:val="00627FAB"/>
    <w:rsid w:val="00630312"/>
    <w:rsid w:val="00630989"/>
    <w:rsid w:val="00630A9D"/>
    <w:rsid w:val="00630AD3"/>
    <w:rsid w:val="00630DCD"/>
    <w:rsid w:val="00630E62"/>
    <w:rsid w:val="00630F2B"/>
    <w:rsid w:val="0063157E"/>
    <w:rsid w:val="00632006"/>
    <w:rsid w:val="006320FF"/>
    <w:rsid w:val="00632115"/>
    <w:rsid w:val="0063211B"/>
    <w:rsid w:val="0063242D"/>
    <w:rsid w:val="00632861"/>
    <w:rsid w:val="006328B4"/>
    <w:rsid w:val="00632CD4"/>
    <w:rsid w:val="00632E07"/>
    <w:rsid w:val="00632EE1"/>
    <w:rsid w:val="00633233"/>
    <w:rsid w:val="00633497"/>
    <w:rsid w:val="0063349D"/>
    <w:rsid w:val="006337D0"/>
    <w:rsid w:val="006339A9"/>
    <w:rsid w:val="00633E3E"/>
    <w:rsid w:val="00633FCF"/>
    <w:rsid w:val="00634158"/>
    <w:rsid w:val="006342BA"/>
    <w:rsid w:val="006345DC"/>
    <w:rsid w:val="00634953"/>
    <w:rsid w:val="00634982"/>
    <w:rsid w:val="006350F9"/>
    <w:rsid w:val="00635118"/>
    <w:rsid w:val="0063521A"/>
    <w:rsid w:val="00635781"/>
    <w:rsid w:val="006357B6"/>
    <w:rsid w:val="00635874"/>
    <w:rsid w:val="00635C7D"/>
    <w:rsid w:val="00635F3C"/>
    <w:rsid w:val="00636017"/>
    <w:rsid w:val="00636519"/>
    <w:rsid w:val="00636618"/>
    <w:rsid w:val="00636E8D"/>
    <w:rsid w:val="00637501"/>
    <w:rsid w:val="0063796C"/>
    <w:rsid w:val="006403FE"/>
    <w:rsid w:val="00640B8E"/>
    <w:rsid w:val="00640BC5"/>
    <w:rsid w:val="00640E90"/>
    <w:rsid w:val="00641543"/>
    <w:rsid w:val="0064167F"/>
    <w:rsid w:val="00641A7A"/>
    <w:rsid w:val="00641B55"/>
    <w:rsid w:val="00641B6D"/>
    <w:rsid w:val="006424E9"/>
    <w:rsid w:val="006427F1"/>
    <w:rsid w:val="00643553"/>
    <w:rsid w:val="00643EF7"/>
    <w:rsid w:val="00643F06"/>
    <w:rsid w:val="00643F4A"/>
    <w:rsid w:val="006441EC"/>
    <w:rsid w:val="00644601"/>
    <w:rsid w:val="0064476B"/>
    <w:rsid w:val="00644CAB"/>
    <w:rsid w:val="00644F35"/>
    <w:rsid w:val="0064516D"/>
    <w:rsid w:val="006452ED"/>
    <w:rsid w:val="0064532D"/>
    <w:rsid w:val="006465EF"/>
    <w:rsid w:val="006466BD"/>
    <w:rsid w:val="00646917"/>
    <w:rsid w:val="00646E27"/>
    <w:rsid w:val="00647649"/>
    <w:rsid w:val="0064771E"/>
    <w:rsid w:val="00647A93"/>
    <w:rsid w:val="00647EDD"/>
    <w:rsid w:val="006502FF"/>
    <w:rsid w:val="00650368"/>
    <w:rsid w:val="0065054A"/>
    <w:rsid w:val="0065061B"/>
    <w:rsid w:val="0065073E"/>
    <w:rsid w:val="006508BA"/>
    <w:rsid w:val="00650AFC"/>
    <w:rsid w:val="0065137E"/>
    <w:rsid w:val="00651401"/>
    <w:rsid w:val="00651FA3"/>
    <w:rsid w:val="00652612"/>
    <w:rsid w:val="0065262A"/>
    <w:rsid w:val="00652988"/>
    <w:rsid w:val="00652CCC"/>
    <w:rsid w:val="00652CCD"/>
    <w:rsid w:val="00652D13"/>
    <w:rsid w:val="00653319"/>
    <w:rsid w:val="006537BC"/>
    <w:rsid w:val="006537FF"/>
    <w:rsid w:val="0065388D"/>
    <w:rsid w:val="00653C61"/>
    <w:rsid w:val="00653F70"/>
    <w:rsid w:val="00654065"/>
    <w:rsid w:val="006549CF"/>
    <w:rsid w:val="00654A8C"/>
    <w:rsid w:val="00654FB6"/>
    <w:rsid w:val="00655311"/>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1166"/>
    <w:rsid w:val="006611AF"/>
    <w:rsid w:val="00661952"/>
    <w:rsid w:val="00661A68"/>
    <w:rsid w:val="00661B1C"/>
    <w:rsid w:val="006620A7"/>
    <w:rsid w:val="00662DFE"/>
    <w:rsid w:val="00663307"/>
    <w:rsid w:val="00663A24"/>
    <w:rsid w:val="00663CD5"/>
    <w:rsid w:val="00664885"/>
    <w:rsid w:val="00664971"/>
    <w:rsid w:val="00664EF1"/>
    <w:rsid w:val="006652DC"/>
    <w:rsid w:val="00665CCB"/>
    <w:rsid w:val="00665F21"/>
    <w:rsid w:val="0066621A"/>
    <w:rsid w:val="006663BB"/>
    <w:rsid w:val="00666754"/>
    <w:rsid w:val="00666828"/>
    <w:rsid w:val="00666AA4"/>
    <w:rsid w:val="006673ED"/>
    <w:rsid w:val="006675B9"/>
    <w:rsid w:val="0066777D"/>
    <w:rsid w:val="00667785"/>
    <w:rsid w:val="00667918"/>
    <w:rsid w:val="00667C46"/>
    <w:rsid w:val="0067010A"/>
    <w:rsid w:val="00670255"/>
    <w:rsid w:val="00670E59"/>
    <w:rsid w:val="0067113F"/>
    <w:rsid w:val="00671473"/>
    <w:rsid w:val="0067150B"/>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692"/>
    <w:rsid w:val="00676A96"/>
    <w:rsid w:val="00676ED3"/>
    <w:rsid w:val="00677255"/>
    <w:rsid w:val="00677293"/>
    <w:rsid w:val="0067772C"/>
    <w:rsid w:val="00677739"/>
    <w:rsid w:val="00677B91"/>
    <w:rsid w:val="00680192"/>
    <w:rsid w:val="00680600"/>
    <w:rsid w:val="00680790"/>
    <w:rsid w:val="00680BD6"/>
    <w:rsid w:val="00680E8D"/>
    <w:rsid w:val="00681034"/>
    <w:rsid w:val="00681905"/>
    <w:rsid w:val="00681B95"/>
    <w:rsid w:val="00681F87"/>
    <w:rsid w:val="00681FA3"/>
    <w:rsid w:val="00682654"/>
    <w:rsid w:val="00682989"/>
    <w:rsid w:val="00682D23"/>
    <w:rsid w:val="00683139"/>
    <w:rsid w:val="0068334C"/>
    <w:rsid w:val="006836D8"/>
    <w:rsid w:val="00683819"/>
    <w:rsid w:val="00683F7A"/>
    <w:rsid w:val="0068436B"/>
    <w:rsid w:val="00684376"/>
    <w:rsid w:val="00685185"/>
    <w:rsid w:val="006853FF"/>
    <w:rsid w:val="006854A0"/>
    <w:rsid w:val="006856DC"/>
    <w:rsid w:val="00685CAB"/>
    <w:rsid w:val="00685DB9"/>
    <w:rsid w:val="00686429"/>
    <w:rsid w:val="00686516"/>
    <w:rsid w:val="00686D55"/>
    <w:rsid w:val="00687997"/>
    <w:rsid w:val="00687FED"/>
    <w:rsid w:val="006907A0"/>
    <w:rsid w:val="00690A92"/>
    <w:rsid w:val="00690AB0"/>
    <w:rsid w:val="0069146E"/>
    <w:rsid w:val="00691A32"/>
    <w:rsid w:val="00691CE9"/>
    <w:rsid w:val="0069204D"/>
    <w:rsid w:val="006923C0"/>
    <w:rsid w:val="00692798"/>
    <w:rsid w:val="0069282F"/>
    <w:rsid w:val="0069284C"/>
    <w:rsid w:val="00692C51"/>
    <w:rsid w:val="00692CEB"/>
    <w:rsid w:val="00693263"/>
    <w:rsid w:val="00693D07"/>
    <w:rsid w:val="00694272"/>
    <w:rsid w:val="00694468"/>
    <w:rsid w:val="006944BE"/>
    <w:rsid w:val="006945C1"/>
    <w:rsid w:val="00694954"/>
    <w:rsid w:val="006949F0"/>
    <w:rsid w:val="0069539D"/>
    <w:rsid w:val="00695AA4"/>
    <w:rsid w:val="00695B67"/>
    <w:rsid w:val="006961D2"/>
    <w:rsid w:val="00696615"/>
    <w:rsid w:val="00696723"/>
    <w:rsid w:val="006971C3"/>
    <w:rsid w:val="006972A4"/>
    <w:rsid w:val="00697579"/>
    <w:rsid w:val="006976D3"/>
    <w:rsid w:val="00697982"/>
    <w:rsid w:val="00697A13"/>
    <w:rsid w:val="00697D86"/>
    <w:rsid w:val="006A00B5"/>
    <w:rsid w:val="006A0820"/>
    <w:rsid w:val="006A09B2"/>
    <w:rsid w:val="006A1620"/>
    <w:rsid w:val="006A16D7"/>
    <w:rsid w:val="006A1C13"/>
    <w:rsid w:val="006A2062"/>
    <w:rsid w:val="006A2381"/>
    <w:rsid w:val="006A2D4A"/>
    <w:rsid w:val="006A31C6"/>
    <w:rsid w:val="006A3277"/>
    <w:rsid w:val="006A352C"/>
    <w:rsid w:val="006A39AD"/>
    <w:rsid w:val="006A3C15"/>
    <w:rsid w:val="006A4024"/>
    <w:rsid w:val="006A40CF"/>
    <w:rsid w:val="006A4269"/>
    <w:rsid w:val="006A4807"/>
    <w:rsid w:val="006A4A35"/>
    <w:rsid w:val="006A4AB2"/>
    <w:rsid w:val="006A4FE5"/>
    <w:rsid w:val="006A5241"/>
    <w:rsid w:val="006A543A"/>
    <w:rsid w:val="006A5630"/>
    <w:rsid w:val="006A5846"/>
    <w:rsid w:val="006A5920"/>
    <w:rsid w:val="006A5AFF"/>
    <w:rsid w:val="006A5FC2"/>
    <w:rsid w:val="006A5FDB"/>
    <w:rsid w:val="006A61F1"/>
    <w:rsid w:val="006A645E"/>
    <w:rsid w:val="006A6578"/>
    <w:rsid w:val="006A6732"/>
    <w:rsid w:val="006A6BAC"/>
    <w:rsid w:val="006A6E14"/>
    <w:rsid w:val="006A6F9D"/>
    <w:rsid w:val="006A7154"/>
    <w:rsid w:val="006A71D3"/>
    <w:rsid w:val="006A75D9"/>
    <w:rsid w:val="006A768E"/>
    <w:rsid w:val="006A78B3"/>
    <w:rsid w:val="006A7D3D"/>
    <w:rsid w:val="006A7E46"/>
    <w:rsid w:val="006B02B0"/>
    <w:rsid w:val="006B043C"/>
    <w:rsid w:val="006B0580"/>
    <w:rsid w:val="006B0605"/>
    <w:rsid w:val="006B0A3E"/>
    <w:rsid w:val="006B10B5"/>
    <w:rsid w:val="006B11A8"/>
    <w:rsid w:val="006B121B"/>
    <w:rsid w:val="006B130C"/>
    <w:rsid w:val="006B13F1"/>
    <w:rsid w:val="006B1625"/>
    <w:rsid w:val="006B19AC"/>
    <w:rsid w:val="006B1B5B"/>
    <w:rsid w:val="006B1D30"/>
    <w:rsid w:val="006B2025"/>
    <w:rsid w:val="006B2323"/>
    <w:rsid w:val="006B33C9"/>
    <w:rsid w:val="006B4018"/>
    <w:rsid w:val="006B43D3"/>
    <w:rsid w:val="006B4A1A"/>
    <w:rsid w:val="006B4B10"/>
    <w:rsid w:val="006B4D6B"/>
    <w:rsid w:val="006B5129"/>
    <w:rsid w:val="006B51BB"/>
    <w:rsid w:val="006B557D"/>
    <w:rsid w:val="006B5586"/>
    <w:rsid w:val="006B5CBB"/>
    <w:rsid w:val="006B666F"/>
    <w:rsid w:val="006B66EF"/>
    <w:rsid w:val="006B69E1"/>
    <w:rsid w:val="006B75C2"/>
    <w:rsid w:val="006C0369"/>
    <w:rsid w:val="006C0900"/>
    <w:rsid w:val="006C09A5"/>
    <w:rsid w:val="006C0FD6"/>
    <w:rsid w:val="006C0FDB"/>
    <w:rsid w:val="006C1056"/>
    <w:rsid w:val="006C151F"/>
    <w:rsid w:val="006C16ED"/>
    <w:rsid w:val="006C19BF"/>
    <w:rsid w:val="006C1DA9"/>
    <w:rsid w:val="006C1ECA"/>
    <w:rsid w:val="006C22FD"/>
    <w:rsid w:val="006C386A"/>
    <w:rsid w:val="006C4218"/>
    <w:rsid w:val="006C4620"/>
    <w:rsid w:val="006C4A17"/>
    <w:rsid w:val="006C4F4F"/>
    <w:rsid w:val="006C5105"/>
    <w:rsid w:val="006C5285"/>
    <w:rsid w:val="006C53DE"/>
    <w:rsid w:val="006C54FB"/>
    <w:rsid w:val="006C5723"/>
    <w:rsid w:val="006C5BB2"/>
    <w:rsid w:val="006C5BE1"/>
    <w:rsid w:val="006C5BE6"/>
    <w:rsid w:val="006C6198"/>
    <w:rsid w:val="006C6704"/>
    <w:rsid w:val="006C6C01"/>
    <w:rsid w:val="006C7202"/>
    <w:rsid w:val="006C72B2"/>
    <w:rsid w:val="006C79D1"/>
    <w:rsid w:val="006C7EB8"/>
    <w:rsid w:val="006D0336"/>
    <w:rsid w:val="006D05A2"/>
    <w:rsid w:val="006D0A32"/>
    <w:rsid w:val="006D0E1C"/>
    <w:rsid w:val="006D0E83"/>
    <w:rsid w:val="006D0F1E"/>
    <w:rsid w:val="006D14CB"/>
    <w:rsid w:val="006D1A0E"/>
    <w:rsid w:val="006D29D1"/>
    <w:rsid w:val="006D2B22"/>
    <w:rsid w:val="006D2D1F"/>
    <w:rsid w:val="006D307F"/>
    <w:rsid w:val="006D334B"/>
    <w:rsid w:val="006D34D6"/>
    <w:rsid w:val="006D3691"/>
    <w:rsid w:val="006D3A4C"/>
    <w:rsid w:val="006D3B4C"/>
    <w:rsid w:val="006D3E76"/>
    <w:rsid w:val="006D3ED8"/>
    <w:rsid w:val="006D537D"/>
    <w:rsid w:val="006D5690"/>
    <w:rsid w:val="006D5E24"/>
    <w:rsid w:val="006D6B56"/>
    <w:rsid w:val="006D6D87"/>
    <w:rsid w:val="006D6DB4"/>
    <w:rsid w:val="006D6FD5"/>
    <w:rsid w:val="006D776D"/>
    <w:rsid w:val="006D7BCB"/>
    <w:rsid w:val="006D7C36"/>
    <w:rsid w:val="006D7C83"/>
    <w:rsid w:val="006E0247"/>
    <w:rsid w:val="006E04E2"/>
    <w:rsid w:val="006E05DA"/>
    <w:rsid w:val="006E064B"/>
    <w:rsid w:val="006E107A"/>
    <w:rsid w:val="006E1262"/>
    <w:rsid w:val="006E1338"/>
    <w:rsid w:val="006E134E"/>
    <w:rsid w:val="006E135E"/>
    <w:rsid w:val="006E1612"/>
    <w:rsid w:val="006E18DA"/>
    <w:rsid w:val="006E1CCB"/>
    <w:rsid w:val="006E1E26"/>
    <w:rsid w:val="006E1F81"/>
    <w:rsid w:val="006E1F92"/>
    <w:rsid w:val="006E201E"/>
    <w:rsid w:val="006E203C"/>
    <w:rsid w:val="006E2040"/>
    <w:rsid w:val="006E21C3"/>
    <w:rsid w:val="006E2282"/>
    <w:rsid w:val="006E241F"/>
    <w:rsid w:val="006E2487"/>
    <w:rsid w:val="006E28F5"/>
    <w:rsid w:val="006E33F7"/>
    <w:rsid w:val="006E4190"/>
    <w:rsid w:val="006E44A5"/>
    <w:rsid w:val="006E4740"/>
    <w:rsid w:val="006E4ADB"/>
    <w:rsid w:val="006E5EC4"/>
    <w:rsid w:val="006E62D2"/>
    <w:rsid w:val="006E66CF"/>
    <w:rsid w:val="006E674A"/>
    <w:rsid w:val="006E6D8A"/>
    <w:rsid w:val="006E709F"/>
    <w:rsid w:val="006E74F1"/>
    <w:rsid w:val="006E7CE6"/>
    <w:rsid w:val="006F0266"/>
    <w:rsid w:val="006F03E9"/>
    <w:rsid w:val="006F0724"/>
    <w:rsid w:val="006F0A85"/>
    <w:rsid w:val="006F0BDD"/>
    <w:rsid w:val="006F0C8F"/>
    <w:rsid w:val="006F0CBD"/>
    <w:rsid w:val="006F0E9F"/>
    <w:rsid w:val="006F16C2"/>
    <w:rsid w:val="006F173E"/>
    <w:rsid w:val="006F1EBF"/>
    <w:rsid w:val="006F2185"/>
    <w:rsid w:val="006F27EE"/>
    <w:rsid w:val="006F288E"/>
    <w:rsid w:val="006F29D9"/>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63A"/>
    <w:rsid w:val="00701845"/>
    <w:rsid w:val="00701B9A"/>
    <w:rsid w:val="00701E2B"/>
    <w:rsid w:val="00702140"/>
    <w:rsid w:val="00702277"/>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09174"/>
    <w:rsid w:val="00710421"/>
    <w:rsid w:val="00710E3E"/>
    <w:rsid w:val="00710F72"/>
    <w:rsid w:val="007112D0"/>
    <w:rsid w:val="007114BE"/>
    <w:rsid w:val="00711DEA"/>
    <w:rsid w:val="007120DC"/>
    <w:rsid w:val="00712189"/>
    <w:rsid w:val="007125FF"/>
    <w:rsid w:val="0071262F"/>
    <w:rsid w:val="007126A4"/>
    <w:rsid w:val="00712E23"/>
    <w:rsid w:val="0071340A"/>
    <w:rsid w:val="00713900"/>
    <w:rsid w:val="00713B9C"/>
    <w:rsid w:val="00713BAC"/>
    <w:rsid w:val="00713F83"/>
    <w:rsid w:val="007140A0"/>
    <w:rsid w:val="00714364"/>
    <w:rsid w:val="007148D9"/>
    <w:rsid w:val="00715418"/>
    <w:rsid w:val="0071565D"/>
    <w:rsid w:val="00715F7C"/>
    <w:rsid w:val="007160EB"/>
    <w:rsid w:val="00716356"/>
    <w:rsid w:val="007166E1"/>
    <w:rsid w:val="00716824"/>
    <w:rsid w:val="00716A4A"/>
    <w:rsid w:val="00716B39"/>
    <w:rsid w:val="00716CA9"/>
    <w:rsid w:val="007170F1"/>
    <w:rsid w:val="00717698"/>
    <w:rsid w:val="00717919"/>
    <w:rsid w:val="00717AB3"/>
    <w:rsid w:val="00720272"/>
    <w:rsid w:val="00720D89"/>
    <w:rsid w:val="00720FCC"/>
    <w:rsid w:val="007210CC"/>
    <w:rsid w:val="00721276"/>
    <w:rsid w:val="0072172F"/>
    <w:rsid w:val="00721B8F"/>
    <w:rsid w:val="00721F6D"/>
    <w:rsid w:val="00722DE4"/>
    <w:rsid w:val="00722ED1"/>
    <w:rsid w:val="007231C1"/>
    <w:rsid w:val="00723935"/>
    <w:rsid w:val="00723A07"/>
    <w:rsid w:val="00723C63"/>
    <w:rsid w:val="00723D93"/>
    <w:rsid w:val="007243AD"/>
    <w:rsid w:val="00724699"/>
    <w:rsid w:val="00724A41"/>
    <w:rsid w:val="007255ED"/>
    <w:rsid w:val="00725723"/>
    <w:rsid w:val="007257EE"/>
    <w:rsid w:val="00725C72"/>
    <w:rsid w:val="00725DF8"/>
    <w:rsid w:val="0072615B"/>
    <w:rsid w:val="0072677A"/>
    <w:rsid w:val="007268A0"/>
    <w:rsid w:val="00726AA5"/>
    <w:rsid w:val="00726BA5"/>
    <w:rsid w:val="00727073"/>
    <w:rsid w:val="007276C5"/>
    <w:rsid w:val="00727E17"/>
    <w:rsid w:val="0073046A"/>
    <w:rsid w:val="007304D7"/>
    <w:rsid w:val="007306B3"/>
    <w:rsid w:val="00730E31"/>
    <w:rsid w:val="00731876"/>
    <w:rsid w:val="00731A16"/>
    <w:rsid w:val="00732621"/>
    <w:rsid w:val="00732D44"/>
    <w:rsid w:val="00733141"/>
    <w:rsid w:val="00733384"/>
    <w:rsid w:val="00733E3A"/>
    <w:rsid w:val="00734D71"/>
    <w:rsid w:val="00734EE5"/>
    <w:rsid w:val="0073605B"/>
    <w:rsid w:val="007366AA"/>
    <w:rsid w:val="00737459"/>
    <w:rsid w:val="007375B4"/>
    <w:rsid w:val="00737616"/>
    <w:rsid w:val="007378BC"/>
    <w:rsid w:val="00737B26"/>
    <w:rsid w:val="0074016E"/>
    <w:rsid w:val="0074061B"/>
    <w:rsid w:val="00740652"/>
    <w:rsid w:val="007406F0"/>
    <w:rsid w:val="00740855"/>
    <w:rsid w:val="0074140F"/>
    <w:rsid w:val="00741FBA"/>
    <w:rsid w:val="0074272B"/>
    <w:rsid w:val="00742AA3"/>
    <w:rsid w:val="00743027"/>
    <w:rsid w:val="007432FC"/>
    <w:rsid w:val="007434F4"/>
    <w:rsid w:val="00743EF4"/>
    <w:rsid w:val="00744116"/>
    <w:rsid w:val="00744164"/>
    <w:rsid w:val="00744E59"/>
    <w:rsid w:val="00744F46"/>
    <w:rsid w:val="00745079"/>
    <w:rsid w:val="007451A9"/>
    <w:rsid w:val="007452E8"/>
    <w:rsid w:val="00745736"/>
    <w:rsid w:val="007457FA"/>
    <w:rsid w:val="00745BC4"/>
    <w:rsid w:val="00746145"/>
    <w:rsid w:val="0074664B"/>
    <w:rsid w:val="00746BD0"/>
    <w:rsid w:val="007477D3"/>
    <w:rsid w:val="007477D5"/>
    <w:rsid w:val="007478E0"/>
    <w:rsid w:val="00747926"/>
    <w:rsid w:val="00747D6D"/>
    <w:rsid w:val="00747E53"/>
    <w:rsid w:val="0075111B"/>
    <w:rsid w:val="0075162B"/>
    <w:rsid w:val="00751685"/>
    <w:rsid w:val="00751768"/>
    <w:rsid w:val="00751FE4"/>
    <w:rsid w:val="00752901"/>
    <w:rsid w:val="00752A55"/>
    <w:rsid w:val="00752B6C"/>
    <w:rsid w:val="00752BD1"/>
    <w:rsid w:val="00752D97"/>
    <w:rsid w:val="0075304B"/>
    <w:rsid w:val="00753BE4"/>
    <w:rsid w:val="0075406C"/>
    <w:rsid w:val="0075476B"/>
    <w:rsid w:val="007549D3"/>
    <w:rsid w:val="00754C4B"/>
    <w:rsid w:val="00754D0B"/>
    <w:rsid w:val="00755170"/>
    <w:rsid w:val="00755275"/>
    <w:rsid w:val="007552F3"/>
    <w:rsid w:val="007555CB"/>
    <w:rsid w:val="007556C2"/>
    <w:rsid w:val="00755A36"/>
    <w:rsid w:val="0075604E"/>
    <w:rsid w:val="00756B05"/>
    <w:rsid w:val="00756B44"/>
    <w:rsid w:val="00757086"/>
    <w:rsid w:val="0075771C"/>
    <w:rsid w:val="00757D63"/>
    <w:rsid w:val="007604D9"/>
    <w:rsid w:val="00760785"/>
    <w:rsid w:val="0076087D"/>
    <w:rsid w:val="007608B5"/>
    <w:rsid w:val="00760DD8"/>
    <w:rsid w:val="0076155E"/>
    <w:rsid w:val="00761618"/>
    <w:rsid w:val="00761B41"/>
    <w:rsid w:val="00762491"/>
    <w:rsid w:val="00762ACE"/>
    <w:rsid w:val="0076322F"/>
    <w:rsid w:val="0076326E"/>
    <w:rsid w:val="00763663"/>
    <w:rsid w:val="007636A9"/>
    <w:rsid w:val="00764081"/>
    <w:rsid w:val="007643DE"/>
    <w:rsid w:val="0076455B"/>
    <w:rsid w:val="00764865"/>
    <w:rsid w:val="00764942"/>
    <w:rsid w:val="007655A1"/>
    <w:rsid w:val="00765AB0"/>
    <w:rsid w:val="007663C8"/>
    <w:rsid w:val="0076668B"/>
    <w:rsid w:val="007666A7"/>
    <w:rsid w:val="00766716"/>
    <w:rsid w:val="00766DC6"/>
    <w:rsid w:val="00766EA7"/>
    <w:rsid w:val="0076749F"/>
    <w:rsid w:val="0076759E"/>
    <w:rsid w:val="00767619"/>
    <w:rsid w:val="00767C9D"/>
    <w:rsid w:val="00767D6D"/>
    <w:rsid w:val="00767FC8"/>
    <w:rsid w:val="00770113"/>
    <w:rsid w:val="007701D0"/>
    <w:rsid w:val="00770B10"/>
    <w:rsid w:val="00770B7E"/>
    <w:rsid w:val="00770B94"/>
    <w:rsid w:val="007720FA"/>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6B52"/>
    <w:rsid w:val="00776E7B"/>
    <w:rsid w:val="007773ED"/>
    <w:rsid w:val="00777789"/>
    <w:rsid w:val="00777853"/>
    <w:rsid w:val="007779C8"/>
    <w:rsid w:val="00777B3F"/>
    <w:rsid w:val="007800CC"/>
    <w:rsid w:val="007803C3"/>
    <w:rsid w:val="00780BA5"/>
    <w:rsid w:val="00780C67"/>
    <w:rsid w:val="0078140B"/>
    <w:rsid w:val="00781557"/>
    <w:rsid w:val="007821C4"/>
    <w:rsid w:val="00782233"/>
    <w:rsid w:val="007822A3"/>
    <w:rsid w:val="0078245D"/>
    <w:rsid w:val="007827A2"/>
    <w:rsid w:val="007832BA"/>
    <w:rsid w:val="00783658"/>
    <w:rsid w:val="007837F4"/>
    <w:rsid w:val="007838FB"/>
    <w:rsid w:val="007840B2"/>
    <w:rsid w:val="0078432C"/>
    <w:rsid w:val="00784DE7"/>
    <w:rsid w:val="00785230"/>
    <w:rsid w:val="0078527A"/>
    <w:rsid w:val="00785739"/>
    <w:rsid w:val="00785D3B"/>
    <w:rsid w:val="0078633D"/>
    <w:rsid w:val="007864CB"/>
    <w:rsid w:val="0078653A"/>
    <w:rsid w:val="00786DA7"/>
    <w:rsid w:val="00787C5F"/>
    <w:rsid w:val="00787CAB"/>
    <w:rsid w:val="0079005F"/>
    <w:rsid w:val="0079033E"/>
    <w:rsid w:val="00790477"/>
    <w:rsid w:val="007904D1"/>
    <w:rsid w:val="00790701"/>
    <w:rsid w:val="00790F70"/>
    <w:rsid w:val="00791340"/>
    <w:rsid w:val="0079141F"/>
    <w:rsid w:val="00791683"/>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412"/>
    <w:rsid w:val="00797C40"/>
    <w:rsid w:val="007A072A"/>
    <w:rsid w:val="007A09AE"/>
    <w:rsid w:val="007A09DC"/>
    <w:rsid w:val="007A0CB2"/>
    <w:rsid w:val="007A0E21"/>
    <w:rsid w:val="007A1709"/>
    <w:rsid w:val="007A17D2"/>
    <w:rsid w:val="007A19A4"/>
    <w:rsid w:val="007A1C8D"/>
    <w:rsid w:val="007A1E1A"/>
    <w:rsid w:val="007A261D"/>
    <w:rsid w:val="007A267E"/>
    <w:rsid w:val="007A276D"/>
    <w:rsid w:val="007A27E4"/>
    <w:rsid w:val="007A3382"/>
    <w:rsid w:val="007A367A"/>
    <w:rsid w:val="007A3CC4"/>
    <w:rsid w:val="007A3D23"/>
    <w:rsid w:val="007A41D6"/>
    <w:rsid w:val="007A4268"/>
    <w:rsid w:val="007A42CD"/>
    <w:rsid w:val="007A4934"/>
    <w:rsid w:val="007A533E"/>
    <w:rsid w:val="007A5720"/>
    <w:rsid w:val="007A5A01"/>
    <w:rsid w:val="007A602D"/>
    <w:rsid w:val="007A610C"/>
    <w:rsid w:val="007A611F"/>
    <w:rsid w:val="007A61F2"/>
    <w:rsid w:val="007A653B"/>
    <w:rsid w:val="007A665B"/>
    <w:rsid w:val="007A6BED"/>
    <w:rsid w:val="007A7004"/>
    <w:rsid w:val="007A74EC"/>
    <w:rsid w:val="007B0561"/>
    <w:rsid w:val="007B0A89"/>
    <w:rsid w:val="007B0E74"/>
    <w:rsid w:val="007B0EF9"/>
    <w:rsid w:val="007B0FCD"/>
    <w:rsid w:val="007B1010"/>
    <w:rsid w:val="007B1394"/>
    <w:rsid w:val="007B16C8"/>
    <w:rsid w:val="007B1A94"/>
    <w:rsid w:val="007B1E67"/>
    <w:rsid w:val="007B1E78"/>
    <w:rsid w:val="007B1EB2"/>
    <w:rsid w:val="007B1FC0"/>
    <w:rsid w:val="007B2452"/>
    <w:rsid w:val="007B2BE4"/>
    <w:rsid w:val="007B4206"/>
    <w:rsid w:val="007B43C1"/>
    <w:rsid w:val="007B4E54"/>
    <w:rsid w:val="007B4EF5"/>
    <w:rsid w:val="007B5938"/>
    <w:rsid w:val="007B5A2A"/>
    <w:rsid w:val="007B5B05"/>
    <w:rsid w:val="007B5E30"/>
    <w:rsid w:val="007B5E90"/>
    <w:rsid w:val="007B61FF"/>
    <w:rsid w:val="007B66B8"/>
    <w:rsid w:val="007B6B0F"/>
    <w:rsid w:val="007B6CFB"/>
    <w:rsid w:val="007B7A87"/>
    <w:rsid w:val="007B7E30"/>
    <w:rsid w:val="007C008E"/>
    <w:rsid w:val="007C0476"/>
    <w:rsid w:val="007C0690"/>
    <w:rsid w:val="007C0C2B"/>
    <w:rsid w:val="007C1747"/>
    <w:rsid w:val="007C1F5B"/>
    <w:rsid w:val="007C25F6"/>
    <w:rsid w:val="007C3153"/>
    <w:rsid w:val="007C41CB"/>
    <w:rsid w:val="007C4A7C"/>
    <w:rsid w:val="007C4C99"/>
    <w:rsid w:val="007C4E94"/>
    <w:rsid w:val="007C503C"/>
    <w:rsid w:val="007C5383"/>
    <w:rsid w:val="007C54EC"/>
    <w:rsid w:val="007C5688"/>
    <w:rsid w:val="007C5A3B"/>
    <w:rsid w:val="007C5C39"/>
    <w:rsid w:val="007C5C8B"/>
    <w:rsid w:val="007C624E"/>
    <w:rsid w:val="007C6575"/>
    <w:rsid w:val="007C67F1"/>
    <w:rsid w:val="007C6CA6"/>
    <w:rsid w:val="007C6CE5"/>
    <w:rsid w:val="007C71AB"/>
    <w:rsid w:val="007C7753"/>
    <w:rsid w:val="007C7859"/>
    <w:rsid w:val="007C78DF"/>
    <w:rsid w:val="007C7AA7"/>
    <w:rsid w:val="007C7AF8"/>
    <w:rsid w:val="007C7E57"/>
    <w:rsid w:val="007C7E87"/>
    <w:rsid w:val="007D01F6"/>
    <w:rsid w:val="007D0384"/>
    <w:rsid w:val="007D0543"/>
    <w:rsid w:val="007D06AB"/>
    <w:rsid w:val="007D0D46"/>
    <w:rsid w:val="007D161F"/>
    <w:rsid w:val="007D1757"/>
    <w:rsid w:val="007D1957"/>
    <w:rsid w:val="007D19AC"/>
    <w:rsid w:val="007D1B82"/>
    <w:rsid w:val="007D1D64"/>
    <w:rsid w:val="007D1DB6"/>
    <w:rsid w:val="007D1E42"/>
    <w:rsid w:val="007D1F1A"/>
    <w:rsid w:val="007D2066"/>
    <w:rsid w:val="007D21C6"/>
    <w:rsid w:val="007D24BD"/>
    <w:rsid w:val="007D2D07"/>
    <w:rsid w:val="007D3571"/>
    <w:rsid w:val="007D3641"/>
    <w:rsid w:val="007D3AB9"/>
    <w:rsid w:val="007D3DA1"/>
    <w:rsid w:val="007D3E09"/>
    <w:rsid w:val="007D3E97"/>
    <w:rsid w:val="007D435E"/>
    <w:rsid w:val="007D45FB"/>
    <w:rsid w:val="007D4DAA"/>
    <w:rsid w:val="007D4DBA"/>
    <w:rsid w:val="007D5049"/>
    <w:rsid w:val="007D5BA3"/>
    <w:rsid w:val="007D5D9A"/>
    <w:rsid w:val="007D5EF3"/>
    <w:rsid w:val="007D5FC3"/>
    <w:rsid w:val="007D6056"/>
    <w:rsid w:val="007D6058"/>
    <w:rsid w:val="007D6A16"/>
    <w:rsid w:val="007D6B5C"/>
    <w:rsid w:val="007D6C30"/>
    <w:rsid w:val="007D7023"/>
    <w:rsid w:val="007D7BFF"/>
    <w:rsid w:val="007D7D50"/>
    <w:rsid w:val="007E06BE"/>
    <w:rsid w:val="007E0778"/>
    <w:rsid w:val="007E11E7"/>
    <w:rsid w:val="007E122E"/>
    <w:rsid w:val="007E151E"/>
    <w:rsid w:val="007E1550"/>
    <w:rsid w:val="007E299F"/>
    <w:rsid w:val="007E2D75"/>
    <w:rsid w:val="007E368A"/>
    <w:rsid w:val="007E3875"/>
    <w:rsid w:val="007E3D26"/>
    <w:rsid w:val="007E40C7"/>
    <w:rsid w:val="007E424F"/>
    <w:rsid w:val="007E45E2"/>
    <w:rsid w:val="007E4B12"/>
    <w:rsid w:val="007E4EE7"/>
    <w:rsid w:val="007E5026"/>
    <w:rsid w:val="007E5328"/>
    <w:rsid w:val="007E5A9E"/>
    <w:rsid w:val="007E6301"/>
    <w:rsid w:val="007E651C"/>
    <w:rsid w:val="007E6793"/>
    <w:rsid w:val="007E75DE"/>
    <w:rsid w:val="007E75F1"/>
    <w:rsid w:val="007E7FDD"/>
    <w:rsid w:val="007E7FEC"/>
    <w:rsid w:val="007F006B"/>
    <w:rsid w:val="007F061F"/>
    <w:rsid w:val="007F065B"/>
    <w:rsid w:val="007F0E7D"/>
    <w:rsid w:val="007F1314"/>
    <w:rsid w:val="007F176C"/>
    <w:rsid w:val="007F17FC"/>
    <w:rsid w:val="007F1E79"/>
    <w:rsid w:val="007F2539"/>
    <w:rsid w:val="007F28D4"/>
    <w:rsid w:val="007F29E6"/>
    <w:rsid w:val="007F2BAA"/>
    <w:rsid w:val="007F30BD"/>
    <w:rsid w:val="007F3249"/>
    <w:rsid w:val="007F3302"/>
    <w:rsid w:val="007F33EE"/>
    <w:rsid w:val="007F352D"/>
    <w:rsid w:val="007F39A4"/>
    <w:rsid w:val="007F3A7B"/>
    <w:rsid w:val="007F3D0D"/>
    <w:rsid w:val="007F3E17"/>
    <w:rsid w:val="007F4A9D"/>
    <w:rsid w:val="007F4B06"/>
    <w:rsid w:val="007F4BAE"/>
    <w:rsid w:val="007F55AE"/>
    <w:rsid w:val="007F57AA"/>
    <w:rsid w:val="007F5886"/>
    <w:rsid w:val="007F5C4B"/>
    <w:rsid w:val="007F6025"/>
    <w:rsid w:val="007F667B"/>
    <w:rsid w:val="007F6921"/>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3B3A"/>
    <w:rsid w:val="008040F2"/>
    <w:rsid w:val="00804629"/>
    <w:rsid w:val="00804B05"/>
    <w:rsid w:val="008053BC"/>
    <w:rsid w:val="008053CA"/>
    <w:rsid w:val="00805846"/>
    <w:rsid w:val="00805885"/>
    <w:rsid w:val="00805A13"/>
    <w:rsid w:val="00806059"/>
    <w:rsid w:val="008061D9"/>
    <w:rsid w:val="0080682D"/>
    <w:rsid w:val="00806836"/>
    <w:rsid w:val="00806D58"/>
    <w:rsid w:val="00806F7C"/>
    <w:rsid w:val="00807040"/>
    <w:rsid w:val="00807057"/>
    <w:rsid w:val="00807344"/>
    <w:rsid w:val="00807A7E"/>
    <w:rsid w:val="00810209"/>
    <w:rsid w:val="00810323"/>
    <w:rsid w:val="0081088F"/>
    <w:rsid w:val="008109A2"/>
    <w:rsid w:val="008109DB"/>
    <w:rsid w:val="00810AA5"/>
    <w:rsid w:val="00811106"/>
    <w:rsid w:val="00812521"/>
    <w:rsid w:val="00812A10"/>
    <w:rsid w:val="00812BCE"/>
    <w:rsid w:val="00812C66"/>
    <w:rsid w:val="00813104"/>
    <w:rsid w:val="00813EEA"/>
    <w:rsid w:val="00813F7B"/>
    <w:rsid w:val="00813FB9"/>
    <w:rsid w:val="0081431A"/>
    <w:rsid w:val="00814E14"/>
    <w:rsid w:val="00815515"/>
    <w:rsid w:val="0081599C"/>
    <w:rsid w:val="00815B5F"/>
    <w:rsid w:val="00815D31"/>
    <w:rsid w:val="00815EE8"/>
    <w:rsid w:val="00815FF2"/>
    <w:rsid w:val="008160B5"/>
    <w:rsid w:val="00816527"/>
    <w:rsid w:val="008165A9"/>
    <w:rsid w:val="00816662"/>
    <w:rsid w:val="0081666F"/>
    <w:rsid w:val="00816741"/>
    <w:rsid w:val="00816E19"/>
    <w:rsid w:val="0081765A"/>
    <w:rsid w:val="0081770D"/>
    <w:rsid w:val="00817F60"/>
    <w:rsid w:val="0081A1F9"/>
    <w:rsid w:val="008204B5"/>
    <w:rsid w:val="008207EE"/>
    <w:rsid w:val="00821616"/>
    <w:rsid w:val="00821910"/>
    <w:rsid w:val="00821BDD"/>
    <w:rsid w:val="00822640"/>
    <w:rsid w:val="00822F43"/>
    <w:rsid w:val="00823362"/>
    <w:rsid w:val="008233A6"/>
    <w:rsid w:val="00823469"/>
    <w:rsid w:val="00823747"/>
    <w:rsid w:val="00823A88"/>
    <w:rsid w:val="00823B3A"/>
    <w:rsid w:val="00824132"/>
    <w:rsid w:val="008241FB"/>
    <w:rsid w:val="00824A79"/>
    <w:rsid w:val="00824D28"/>
    <w:rsid w:val="00824E5C"/>
    <w:rsid w:val="0082548C"/>
    <w:rsid w:val="00825B84"/>
    <w:rsid w:val="00825D28"/>
    <w:rsid w:val="00825EC7"/>
    <w:rsid w:val="00825F0D"/>
    <w:rsid w:val="008270E2"/>
    <w:rsid w:val="00827154"/>
    <w:rsid w:val="0082747E"/>
    <w:rsid w:val="008275AD"/>
    <w:rsid w:val="0082771F"/>
    <w:rsid w:val="00827822"/>
    <w:rsid w:val="00827852"/>
    <w:rsid w:val="0082793D"/>
    <w:rsid w:val="00827AF6"/>
    <w:rsid w:val="00827B92"/>
    <w:rsid w:val="00827C90"/>
    <w:rsid w:val="0083064D"/>
    <w:rsid w:val="00830A83"/>
    <w:rsid w:val="00830DFA"/>
    <w:rsid w:val="00830E0D"/>
    <w:rsid w:val="00831675"/>
    <w:rsid w:val="00831A56"/>
    <w:rsid w:val="00831C72"/>
    <w:rsid w:val="008320D6"/>
    <w:rsid w:val="0083232F"/>
    <w:rsid w:val="008326AE"/>
    <w:rsid w:val="00832721"/>
    <w:rsid w:val="00832B69"/>
    <w:rsid w:val="00832B7D"/>
    <w:rsid w:val="00832C3D"/>
    <w:rsid w:val="00832EDB"/>
    <w:rsid w:val="0083321C"/>
    <w:rsid w:val="00833736"/>
    <w:rsid w:val="00833C5F"/>
    <w:rsid w:val="00834ADF"/>
    <w:rsid w:val="00835811"/>
    <w:rsid w:val="008358AD"/>
    <w:rsid w:val="00835A25"/>
    <w:rsid w:val="00835BA0"/>
    <w:rsid w:val="00835CB1"/>
    <w:rsid w:val="00835D80"/>
    <w:rsid w:val="00836391"/>
    <w:rsid w:val="00836504"/>
    <w:rsid w:val="0083659B"/>
    <w:rsid w:val="00836CE8"/>
    <w:rsid w:val="00836D60"/>
    <w:rsid w:val="00836DF8"/>
    <w:rsid w:val="00837B1F"/>
    <w:rsid w:val="008401EA"/>
    <w:rsid w:val="0084079F"/>
    <w:rsid w:val="00840DE4"/>
    <w:rsid w:val="00840E53"/>
    <w:rsid w:val="008411FE"/>
    <w:rsid w:val="0084120E"/>
    <w:rsid w:val="00841280"/>
    <w:rsid w:val="0084149B"/>
    <w:rsid w:val="00841837"/>
    <w:rsid w:val="008418D0"/>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65"/>
    <w:rsid w:val="00845FBF"/>
    <w:rsid w:val="00846253"/>
    <w:rsid w:val="0084671F"/>
    <w:rsid w:val="00846BC4"/>
    <w:rsid w:val="00846FE7"/>
    <w:rsid w:val="0084764A"/>
    <w:rsid w:val="00847686"/>
    <w:rsid w:val="008477C1"/>
    <w:rsid w:val="008503FA"/>
    <w:rsid w:val="0085061D"/>
    <w:rsid w:val="00850A4F"/>
    <w:rsid w:val="00851396"/>
    <w:rsid w:val="008517EE"/>
    <w:rsid w:val="0085181B"/>
    <w:rsid w:val="00852B6C"/>
    <w:rsid w:val="00852E74"/>
    <w:rsid w:val="00853237"/>
    <w:rsid w:val="00853755"/>
    <w:rsid w:val="0085444B"/>
    <w:rsid w:val="00854508"/>
    <w:rsid w:val="008547AA"/>
    <w:rsid w:val="00854B50"/>
    <w:rsid w:val="00855894"/>
    <w:rsid w:val="008559EB"/>
    <w:rsid w:val="00855A01"/>
    <w:rsid w:val="00855BD8"/>
    <w:rsid w:val="00856198"/>
    <w:rsid w:val="008576EA"/>
    <w:rsid w:val="00857F06"/>
    <w:rsid w:val="00857F67"/>
    <w:rsid w:val="00860375"/>
    <w:rsid w:val="008604A8"/>
    <w:rsid w:val="0086087F"/>
    <w:rsid w:val="00860A30"/>
    <w:rsid w:val="00860AA5"/>
    <w:rsid w:val="00860C58"/>
    <w:rsid w:val="00860E62"/>
    <w:rsid w:val="0086105D"/>
    <w:rsid w:val="00861619"/>
    <w:rsid w:val="008616A9"/>
    <w:rsid w:val="008617FB"/>
    <w:rsid w:val="0086180E"/>
    <w:rsid w:val="00861FD7"/>
    <w:rsid w:val="0086220A"/>
    <w:rsid w:val="0086314B"/>
    <w:rsid w:val="00863923"/>
    <w:rsid w:val="0086433D"/>
    <w:rsid w:val="00864763"/>
    <w:rsid w:val="0086481F"/>
    <w:rsid w:val="00864A24"/>
    <w:rsid w:val="00864C6E"/>
    <w:rsid w:val="00864D7B"/>
    <w:rsid w:val="00864FBD"/>
    <w:rsid w:val="008650E0"/>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10C"/>
    <w:rsid w:val="008724F5"/>
    <w:rsid w:val="008726E4"/>
    <w:rsid w:val="00872822"/>
    <w:rsid w:val="00872B96"/>
    <w:rsid w:val="00872D00"/>
    <w:rsid w:val="00872F85"/>
    <w:rsid w:val="008734E3"/>
    <w:rsid w:val="00873886"/>
    <w:rsid w:val="008738BE"/>
    <w:rsid w:val="00873A4C"/>
    <w:rsid w:val="00873AE6"/>
    <w:rsid w:val="0087422F"/>
    <w:rsid w:val="00874914"/>
    <w:rsid w:val="00874B67"/>
    <w:rsid w:val="00874E5A"/>
    <w:rsid w:val="008759CD"/>
    <w:rsid w:val="00875A9E"/>
    <w:rsid w:val="00876221"/>
    <w:rsid w:val="008765FA"/>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2D8"/>
    <w:rsid w:val="008825B7"/>
    <w:rsid w:val="008826F9"/>
    <w:rsid w:val="00882E67"/>
    <w:rsid w:val="00883102"/>
    <w:rsid w:val="0088331A"/>
    <w:rsid w:val="00883C56"/>
    <w:rsid w:val="00883D10"/>
    <w:rsid w:val="008841A7"/>
    <w:rsid w:val="00884CCD"/>
    <w:rsid w:val="00884DE9"/>
    <w:rsid w:val="00886291"/>
    <w:rsid w:val="00886F82"/>
    <w:rsid w:val="00887491"/>
    <w:rsid w:val="008878FB"/>
    <w:rsid w:val="00887C40"/>
    <w:rsid w:val="008900A9"/>
    <w:rsid w:val="008901D3"/>
    <w:rsid w:val="008902C5"/>
    <w:rsid w:val="0089061D"/>
    <w:rsid w:val="00890897"/>
    <w:rsid w:val="00890C90"/>
    <w:rsid w:val="00890CAE"/>
    <w:rsid w:val="00890D3E"/>
    <w:rsid w:val="008916C5"/>
    <w:rsid w:val="008919B1"/>
    <w:rsid w:val="00891CDF"/>
    <w:rsid w:val="00891F1A"/>
    <w:rsid w:val="00891F8B"/>
    <w:rsid w:val="0089203C"/>
    <w:rsid w:val="008921F4"/>
    <w:rsid w:val="00892406"/>
    <w:rsid w:val="00892C46"/>
    <w:rsid w:val="00893D43"/>
    <w:rsid w:val="00893D44"/>
    <w:rsid w:val="008940D9"/>
    <w:rsid w:val="00894507"/>
    <w:rsid w:val="0089475C"/>
    <w:rsid w:val="008947A6"/>
    <w:rsid w:val="00894D95"/>
    <w:rsid w:val="00895A00"/>
    <w:rsid w:val="00895AAF"/>
    <w:rsid w:val="00896930"/>
    <w:rsid w:val="00896ACE"/>
    <w:rsid w:val="00896D99"/>
    <w:rsid w:val="00897178"/>
    <w:rsid w:val="00897665"/>
    <w:rsid w:val="00897A86"/>
    <w:rsid w:val="008A00AB"/>
    <w:rsid w:val="008A019C"/>
    <w:rsid w:val="008A0804"/>
    <w:rsid w:val="008A0D85"/>
    <w:rsid w:val="008A1090"/>
    <w:rsid w:val="008A1631"/>
    <w:rsid w:val="008A1EDA"/>
    <w:rsid w:val="008A25F4"/>
    <w:rsid w:val="008A2AFD"/>
    <w:rsid w:val="008A2EF8"/>
    <w:rsid w:val="008A35EA"/>
    <w:rsid w:val="008A3605"/>
    <w:rsid w:val="008A3644"/>
    <w:rsid w:val="008A36A3"/>
    <w:rsid w:val="008A383A"/>
    <w:rsid w:val="008A3A89"/>
    <w:rsid w:val="008A42A7"/>
    <w:rsid w:val="008A4C99"/>
    <w:rsid w:val="008A4CE4"/>
    <w:rsid w:val="008A529B"/>
    <w:rsid w:val="008A5A57"/>
    <w:rsid w:val="008A6029"/>
    <w:rsid w:val="008A6171"/>
    <w:rsid w:val="008A6654"/>
    <w:rsid w:val="008A6A94"/>
    <w:rsid w:val="008A6B33"/>
    <w:rsid w:val="008A6CD9"/>
    <w:rsid w:val="008A6E22"/>
    <w:rsid w:val="008A7016"/>
    <w:rsid w:val="008A704A"/>
    <w:rsid w:val="008B042C"/>
    <w:rsid w:val="008B046C"/>
    <w:rsid w:val="008B06D9"/>
    <w:rsid w:val="008B0BCA"/>
    <w:rsid w:val="008B0C65"/>
    <w:rsid w:val="008B0DAC"/>
    <w:rsid w:val="008B0E48"/>
    <w:rsid w:val="008B0F87"/>
    <w:rsid w:val="008B1171"/>
    <w:rsid w:val="008B1561"/>
    <w:rsid w:val="008B1DF8"/>
    <w:rsid w:val="008B1E3B"/>
    <w:rsid w:val="008B246E"/>
    <w:rsid w:val="008B2729"/>
    <w:rsid w:val="008B2733"/>
    <w:rsid w:val="008B286A"/>
    <w:rsid w:val="008B2E89"/>
    <w:rsid w:val="008B309A"/>
    <w:rsid w:val="008B372F"/>
    <w:rsid w:val="008B3B60"/>
    <w:rsid w:val="008B3E93"/>
    <w:rsid w:val="008B4290"/>
    <w:rsid w:val="008B42EA"/>
    <w:rsid w:val="008B43B4"/>
    <w:rsid w:val="008B4765"/>
    <w:rsid w:val="008B4835"/>
    <w:rsid w:val="008B4A55"/>
    <w:rsid w:val="008B5394"/>
    <w:rsid w:val="008B59CB"/>
    <w:rsid w:val="008B5BE8"/>
    <w:rsid w:val="008B609B"/>
    <w:rsid w:val="008B63F2"/>
    <w:rsid w:val="008B64D8"/>
    <w:rsid w:val="008B6C19"/>
    <w:rsid w:val="008B75FA"/>
    <w:rsid w:val="008C0193"/>
    <w:rsid w:val="008C04A1"/>
    <w:rsid w:val="008C0593"/>
    <w:rsid w:val="008C0689"/>
    <w:rsid w:val="008C0925"/>
    <w:rsid w:val="008C12AE"/>
    <w:rsid w:val="008C1352"/>
    <w:rsid w:val="008C196B"/>
    <w:rsid w:val="008C1B35"/>
    <w:rsid w:val="008C25E4"/>
    <w:rsid w:val="008C2FDE"/>
    <w:rsid w:val="008C32A2"/>
    <w:rsid w:val="008C34B7"/>
    <w:rsid w:val="008C35FB"/>
    <w:rsid w:val="008C375E"/>
    <w:rsid w:val="008C3D80"/>
    <w:rsid w:val="008C3DA7"/>
    <w:rsid w:val="008C3F06"/>
    <w:rsid w:val="008C4039"/>
    <w:rsid w:val="008C43D6"/>
    <w:rsid w:val="008C47F8"/>
    <w:rsid w:val="008C49E4"/>
    <w:rsid w:val="008C4A81"/>
    <w:rsid w:val="008C5111"/>
    <w:rsid w:val="008C5648"/>
    <w:rsid w:val="008C5775"/>
    <w:rsid w:val="008C5B7C"/>
    <w:rsid w:val="008C5C93"/>
    <w:rsid w:val="008C5D98"/>
    <w:rsid w:val="008C5DF8"/>
    <w:rsid w:val="008C6082"/>
    <w:rsid w:val="008C62DC"/>
    <w:rsid w:val="008C7404"/>
    <w:rsid w:val="008C75A3"/>
    <w:rsid w:val="008C75B4"/>
    <w:rsid w:val="008C77B2"/>
    <w:rsid w:val="008C7C8D"/>
    <w:rsid w:val="008D03E2"/>
    <w:rsid w:val="008D0B93"/>
    <w:rsid w:val="008D18B7"/>
    <w:rsid w:val="008D1EA4"/>
    <w:rsid w:val="008D288E"/>
    <w:rsid w:val="008D29F8"/>
    <w:rsid w:val="008D34B9"/>
    <w:rsid w:val="008D34D6"/>
    <w:rsid w:val="008D35B2"/>
    <w:rsid w:val="008D3797"/>
    <w:rsid w:val="008D3CB1"/>
    <w:rsid w:val="008D3D1B"/>
    <w:rsid w:val="008D4027"/>
    <w:rsid w:val="008D4157"/>
    <w:rsid w:val="008D44D4"/>
    <w:rsid w:val="008D475A"/>
    <w:rsid w:val="008D4AD3"/>
    <w:rsid w:val="008D4B36"/>
    <w:rsid w:val="008D50E3"/>
    <w:rsid w:val="008D519D"/>
    <w:rsid w:val="008D55DB"/>
    <w:rsid w:val="008D5DAA"/>
    <w:rsid w:val="008D6229"/>
    <w:rsid w:val="008D6F73"/>
    <w:rsid w:val="008D6FED"/>
    <w:rsid w:val="008D78A6"/>
    <w:rsid w:val="008D7EE9"/>
    <w:rsid w:val="008E079F"/>
    <w:rsid w:val="008E10BA"/>
    <w:rsid w:val="008E132E"/>
    <w:rsid w:val="008E13AA"/>
    <w:rsid w:val="008E1567"/>
    <w:rsid w:val="008E1D38"/>
    <w:rsid w:val="008E31E1"/>
    <w:rsid w:val="008E32C1"/>
    <w:rsid w:val="008E3764"/>
    <w:rsid w:val="008E3D78"/>
    <w:rsid w:val="008E3EF3"/>
    <w:rsid w:val="008E3FD9"/>
    <w:rsid w:val="008E434E"/>
    <w:rsid w:val="008E4575"/>
    <w:rsid w:val="008E46CC"/>
    <w:rsid w:val="008E477E"/>
    <w:rsid w:val="008E4791"/>
    <w:rsid w:val="008E4BC4"/>
    <w:rsid w:val="008E4C68"/>
    <w:rsid w:val="008E5258"/>
    <w:rsid w:val="008E60BA"/>
    <w:rsid w:val="008E631A"/>
    <w:rsid w:val="008E69A2"/>
    <w:rsid w:val="008E69DE"/>
    <w:rsid w:val="008E6ECC"/>
    <w:rsid w:val="008E7A4B"/>
    <w:rsid w:val="008E7D88"/>
    <w:rsid w:val="008E7E8F"/>
    <w:rsid w:val="008F0196"/>
    <w:rsid w:val="008F0600"/>
    <w:rsid w:val="008F082F"/>
    <w:rsid w:val="008F09F6"/>
    <w:rsid w:val="008F1520"/>
    <w:rsid w:val="008F1EB7"/>
    <w:rsid w:val="008F1EE8"/>
    <w:rsid w:val="008F1F8A"/>
    <w:rsid w:val="008F20F1"/>
    <w:rsid w:val="008F2153"/>
    <w:rsid w:val="008F25C0"/>
    <w:rsid w:val="008F2771"/>
    <w:rsid w:val="008F2AFD"/>
    <w:rsid w:val="008F2BFE"/>
    <w:rsid w:val="008F2C28"/>
    <w:rsid w:val="008F2D6F"/>
    <w:rsid w:val="008F30BE"/>
    <w:rsid w:val="008F367E"/>
    <w:rsid w:val="008F37DC"/>
    <w:rsid w:val="008F388B"/>
    <w:rsid w:val="008F3C00"/>
    <w:rsid w:val="008F3F6F"/>
    <w:rsid w:val="008F4B5E"/>
    <w:rsid w:val="008F4E89"/>
    <w:rsid w:val="008F533C"/>
    <w:rsid w:val="008F5441"/>
    <w:rsid w:val="008F57BA"/>
    <w:rsid w:val="008F5CD2"/>
    <w:rsid w:val="008F6775"/>
    <w:rsid w:val="008F6918"/>
    <w:rsid w:val="008F6AAD"/>
    <w:rsid w:val="008F6BAF"/>
    <w:rsid w:val="008F74C6"/>
    <w:rsid w:val="008F771C"/>
    <w:rsid w:val="008F7D56"/>
    <w:rsid w:val="00900064"/>
    <w:rsid w:val="00900212"/>
    <w:rsid w:val="0090091E"/>
    <w:rsid w:val="00900B95"/>
    <w:rsid w:val="00901205"/>
    <w:rsid w:val="0090158E"/>
    <w:rsid w:val="009016FF"/>
    <w:rsid w:val="00901B5B"/>
    <w:rsid w:val="00902068"/>
    <w:rsid w:val="009028DF"/>
    <w:rsid w:val="00903089"/>
    <w:rsid w:val="009031AE"/>
    <w:rsid w:val="009035F1"/>
    <w:rsid w:val="009036B0"/>
    <w:rsid w:val="009037A2"/>
    <w:rsid w:val="00903A50"/>
    <w:rsid w:val="00903A52"/>
    <w:rsid w:val="009041FE"/>
    <w:rsid w:val="009042B5"/>
    <w:rsid w:val="00904562"/>
    <w:rsid w:val="009045F6"/>
    <w:rsid w:val="00905115"/>
    <w:rsid w:val="0090541A"/>
    <w:rsid w:val="00905BA0"/>
    <w:rsid w:val="00905CE7"/>
    <w:rsid w:val="00905DEF"/>
    <w:rsid w:val="00905F70"/>
    <w:rsid w:val="00905F95"/>
    <w:rsid w:val="009062ED"/>
    <w:rsid w:val="009066FF"/>
    <w:rsid w:val="00906A24"/>
    <w:rsid w:val="00906ABA"/>
    <w:rsid w:val="00907447"/>
    <w:rsid w:val="00907983"/>
    <w:rsid w:val="009079A6"/>
    <w:rsid w:val="0091034B"/>
    <w:rsid w:val="00910656"/>
    <w:rsid w:val="00910E90"/>
    <w:rsid w:val="00911449"/>
    <w:rsid w:val="0091153B"/>
    <w:rsid w:val="00911588"/>
    <w:rsid w:val="009122A4"/>
    <w:rsid w:val="009127F2"/>
    <w:rsid w:val="00912FF8"/>
    <w:rsid w:val="0091315C"/>
    <w:rsid w:val="009131EF"/>
    <w:rsid w:val="0091348B"/>
    <w:rsid w:val="009135AF"/>
    <w:rsid w:val="00913889"/>
    <w:rsid w:val="00913B89"/>
    <w:rsid w:val="00913D7F"/>
    <w:rsid w:val="00913E0C"/>
    <w:rsid w:val="00913F7E"/>
    <w:rsid w:val="009144BD"/>
    <w:rsid w:val="0091464A"/>
    <w:rsid w:val="00914CBF"/>
    <w:rsid w:val="00914DC4"/>
    <w:rsid w:val="00914F0B"/>
    <w:rsid w:val="009151CE"/>
    <w:rsid w:val="00915341"/>
    <w:rsid w:val="0091577A"/>
    <w:rsid w:val="00916455"/>
    <w:rsid w:val="00916849"/>
    <w:rsid w:val="00916A13"/>
    <w:rsid w:val="00916A7C"/>
    <w:rsid w:val="00916F01"/>
    <w:rsid w:val="009172E7"/>
    <w:rsid w:val="009174DC"/>
    <w:rsid w:val="0091753A"/>
    <w:rsid w:val="0091782F"/>
    <w:rsid w:val="00917C2C"/>
    <w:rsid w:val="00917D7F"/>
    <w:rsid w:val="0092021D"/>
    <w:rsid w:val="00920516"/>
    <w:rsid w:val="0092055F"/>
    <w:rsid w:val="00920567"/>
    <w:rsid w:val="0092063F"/>
    <w:rsid w:val="00920862"/>
    <w:rsid w:val="00920878"/>
    <w:rsid w:val="00920E46"/>
    <w:rsid w:val="00920E7E"/>
    <w:rsid w:val="009212B1"/>
    <w:rsid w:val="009212E6"/>
    <w:rsid w:val="0092185C"/>
    <w:rsid w:val="009218A4"/>
    <w:rsid w:val="00921A95"/>
    <w:rsid w:val="00921AB5"/>
    <w:rsid w:val="00921C9A"/>
    <w:rsid w:val="00921E57"/>
    <w:rsid w:val="009221E3"/>
    <w:rsid w:val="0092237B"/>
    <w:rsid w:val="00922387"/>
    <w:rsid w:val="009223A3"/>
    <w:rsid w:val="00922695"/>
    <w:rsid w:val="00922872"/>
    <w:rsid w:val="00922AA0"/>
    <w:rsid w:val="00922D03"/>
    <w:rsid w:val="0092311C"/>
    <w:rsid w:val="0092346E"/>
    <w:rsid w:val="009241F5"/>
    <w:rsid w:val="0092421F"/>
    <w:rsid w:val="0092466F"/>
    <w:rsid w:val="00924AAC"/>
    <w:rsid w:val="009252B4"/>
    <w:rsid w:val="00925789"/>
    <w:rsid w:val="00925B8B"/>
    <w:rsid w:val="00925CC3"/>
    <w:rsid w:val="009267D4"/>
    <w:rsid w:val="009268FC"/>
    <w:rsid w:val="00926BDC"/>
    <w:rsid w:val="00926ED0"/>
    <w:rsid w:val="0092701E"/>
    <w:rsid w:val="009271B5"/>
    <w:rsid w:val="00927393"/>
    <w:rsid w:val="009273A7"/>
    <w:rsid w:val="009273F8"/>
    <w:rsid w:val="00927483"/>
    <w:rsid w:val="00927C68"/>
    <w:rsid w:val="0093021E"/>
    <w:rsid w:val="00930411"/>
    <w:rsid w:val="009308DA"/>
    <w:rsid w:val="009311C9"/>
    <w:rsid w:val="0093135A"/>
    <w:rsid w:val="009313C4"/>
    <w:rsid w:val="00931773"/>
    <w:rsid w:val="0093179A"/>
    <w:rsid w:val="009317A2"/>
    <w:rsid w:val="009317AC"/>
    <w:rsid w:val="00931964"/>
    <w:rsid w:val="00931DDA"/>
    <w:rsid w:val="009320B7"/>
    <w:rsid w:val="009327F1"/>
    <w:rsid w:val="00932C72"/>
    <w:rsid w:val="00932F2B"/>
    <w:rsid w:val="00933A30"/>
    <w:rsid w:val="00933DB2"/>
    <w:rsid w:val="00933DC0"/>
    <w:rsid w:val="00933DE0"/>
    <w:rsid w:val="00933E50"/>
    <w:rsid w:val="00934795"/>
    <w:rsid w:val="00934927"/>
    <w:rsid w:val="0093494E"/>
    <w:rsid w:val="009351AE"/>
    <w:rsid w:val="00935307"/>
    <w:rsid w:val="00935580"/>
    <w:rsid w:val="0093596E"/>
    <w:rsid w:val="00935984"/>
    <w:rsid w:val="00935A07"/>
    <w:rsid w:val="00936021"/>
    <w:rsid w:val="009360E7"/>
    <w:rsid w:val="009362BC"/>
    <w:rsid w:val="00936462"/>
    <w:rsid w:val="00936494"/>
    <w:rsid w:val="0093707F"/>
    <w:rsid w:val="009373D3"/>
    <w:rsid w:val="00937C0F"/>
    <w:rsid w:val="00937E7B"/>
    <w:rsid w:val="00937F01"/>
    <w:rsid w:val="00940335"/>
    <w:rsid w:val="00940342"/>
    <w:rsid w:val="00940365"/>
    <w:rsid w:val="00940501"/>
    <w:rsid w:val="00940B26"/>
    <w:rsid w:val="00940B3E"/>
    <w:rsid w:val="00940C14"/>
    <w:rsid w:val="009410CA"/>
    <w:rsid w:val="009411FC"/>
    <w:rsid w:val="00941467"/>
    <w:rsid w:val="00941620"/>
    <w:rsid w:val="009417DB"/>
    <w:rsid w:val="0094213E"/>
    <w:rsid w:val="0094238D"/>
    <w:rsid w:val="0094246B"/>
    <w:rsid w:val="009424F4"/>
    <w:rsid w:val="0094265B"/>
    <w:rsid w:val="00942C95"/>
    <w:rsid w:val="00943737"/>
    <w:rsid w:val="00943A3F"/>
    <w:rsid w:val="00943DF2"/>
    <w:rsid w:val="00944370"/>
    <w:rsid w:val="009446DE"/>
    <w:rsid w:val="00945123"/>
    <w:rsid w:val="009451CE"/>
    <w:rsid w:val="0094584D"/>
    <w:rsid w:val="00946029"/>
    <w:rsid w:val="0094653E"/>
    <w:rsid w:val="009467B5"/>
    <w:rsid w:val="009475AE"/>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D76"/>
    <w:rsid w:val="00953FDE"/>
    <w:rsid w:val="009543CD"/>
    <w:rsid w:val="009546A8"/>
    <w:rsid w:val="009549CB"/>
    <w:rsid w:val="009554FB"/>
    <w:rsid w:val="00955D8B"/>
    <w:rsid w:val="00955E00"/>
    <w:rsid w:val="0095624A"/>
    <w:rsid w:val="00956432"/>
    <w:rsid w:val="00956AA6"/>
    <w:rsid w:val="00956B40"/>
    <w:rsid w:val="00956CB9"/>
    <w:rsid w:val="00956F36"/>
    <w:rsid w:val="0095706A"/>
    <w:rsid w:val="0095745F"/>
    <w:rsid w:val="009574E6"/>
    <w:rsid w:val="00957F2F"/>
    <w:rsid w:val="009606D0"/>
    <w:rsid w:val="0096076F"/>
    <w:rsid w:val="00961671"/>
    <w:rsid w:val="00961C88"/>
    <w:rsid w:val="0096218D"/>
    <w:rsid w:val="0096234E"/>
    <w:rsid w:val="00962631"/>
    <w:rsid w:val="009627B8"/>
    <w:rsid w:val="00962B03"/>
    <w:rsid w:val="00962B68"/>
    <w:rsid w:val="00962C60"/>
    <w:rsid w:val="00962DC4"/>
    <w:rsid w:val="00963FB7"/>
    <w:rsid w:val="00964C51"/>
    <w:rsid w:val="00965205"/>
    <w:rsid w:val="00965283"/>
    <w:rsid w:val="009652E4"/>
    <w:rsid w:val="0096545A"/>
    <w:rsid w:val="009658E2"/>
    <w:rsid w:val="00965E44"/>
    <w:rsid w:val="009666F4"/>
    <w:rsid w:val="00967077"/>
    <w:rsid w:val="00967379"/>
    <w:rsid w:val="00967FAA"/>
    <w:rsid w:val="00970A49"/>
    <w:rsid w:val="00970A91"/>
    <w:rsid w:val="00970CFF"/>
    <w:rsid w:val="00970D70"/>
    <w:rsid w:val="00971865"/>
    <w:rsid w:val="00971914"/>
    <w:rsid w:val="00971A26"/>
    <w:rsid w:val="0097241D"/>
    <w:rsid w:val="00972484"/>
    <w:rsid w:val="009724A2"/>
    <w:rsid w:val="00972B0A"/>
    <w:rsid w:val="00973031"/>
    <w:rsid w:val="00973280"/>
    <w:rsid w:val="009734AE"/>
    <w:rsid w:val="009735E9"/>
    <w:rsid w:val="009739A9"/>
    <w:rsid w:val="00973D7A"/>
    <w:rsid w:val="0097437A"/>
    <w:rsid w:val="009745B6"/>
    <w:rsid w:val="00974832"/>
    <w:rsid w:val="00974BB1"/>
    <w:rsid w:val="00974D18"/>
    <w:rsid w:val="00974D62"/>
    <w:rsid w:val="00976021"/>
    <w:rsid w:val="009763FD"/>
    <w:rsid w:val="00976434"/>
    <w:rsid w:val="00976F33"/>
    <w:rsid w:val="00977028"/>
    <w:rsid w:val="009772A0"/>
    <w:rsid w:val="00977588"/>
    <w:rsid w:val="00977956"/>
    <w:rsid w:val="00977BBB"/>
    <w:rsid w:val="0098049A"/>
    <w:rsid w:val="00980E0E"/>
    <w:rsid w:val="009810E7"/>
    <w:rsid w:val="009812EB"/>
    <w:rsid w:val="0098174A"/>
    <w:rsid w:val="00981C4C"/>
    <w:rsid w:val="00981E62"/>
    <w:rsid w:val="00982BD2"/>
    <w:rsid w:val="00982C41"/>
    <w:rsid w:val="009837B7"/>
    <w:rsid w:val="00983A23"/>
    <w:rsid w:val="00983F68"/>
    <w:rsid w:val="00983FE9"/>
    <w:rsid w:val="009840B5"/>
    <w:rsid w:val="009843C4"/>
    <w:rsid w:val="00984431"/>
    <w:rsid w:val="00984438"/>
    <w:rsid w:val="00984DCE"/>
    <w:rsid w:val="00984E95"/>
    <w:rsid w:val="0098505A"/>
    <w:rsid w:val="0098529C"/>
    <w:rsid w:val="009858EE"/>
    <w:rsid w:val="0098652F"/>
    <w:rsid w:val="00986644"/>
    <w:rsid w:val="009867EF"/>
    <w:rsid w:val="0098707C"/>
    <w:rsid w:val="0098718F"/>
    <w:rsid w:val="00987315"/>
    <w:rsid w:val="00987886"/>
    <w:rsid w:val="00987A27"/>
    <w:rsid w:val="00987D74"/>
    <w:rsid w:val="009900F8"/>
    <w:rsid w:val="00990DD0"/>
    <w:rsid w:val="009917AA"/>
    <w:rsid w:val="00991BFC"/>
    <w:rsid w:val="00992E4E"/>
    <w:rsid w:val="00992EF4"/>
    <w:rsid w:val="00992F5F"/>
    <w:rsid w:val="00992FEB"/>
    <w:rsid w:val="00993433"/>
    <w:rsid w:val="00993AC0"/>
    <w:rsid w:val="00993D8C"/>
    <w:rsid w:val="00994000"/>
    <w:rsid w:val="0099414B"/>
    <w:rsid w:val="0099439C"/>
    <w:rsid w:val="009944ED"/>
    <w:rsid w:val="0099475B"/>
    <w:rsid w:val="00994AC5"/>
    <w:rsid w:val="0099542A"/>
    <w:rsid w:val="00995604"/>
    <w:rsid w:val="009959FA"/>
    <w:rsid w:val="00995BE2"/>
    <w:rsid w:val="00995C67"/>
    <w:rsid w:val="00995E25"/>
    <w:rsid w:val="009962CB"/>
    <w:rsid w:val="009962FB"/>
    <w:rsid w:val="009965EF"/>
    <w:rsid w:val="009966A5"/>
    <w:rsid w:val="0099717E"/>
    <w:rsid w:val="009971CA"/>
    <w:rsid w:val="0099794A"/>
    <w:rsid w:val="00997C73"/>
    <w:rsid w:val="00997CE5"/>
    <w:rsid w:val="00997E27"/>
    <w:rsid w:val="00997F15"/>
    <w:rsid w:val="009A04CE"/>
    <w:rsid w:val="009A0F23"/>
    <w:rsid w:val="009A121E"/>
    <w:rsid w:val="009A1832"/>
    <w:rsid w:val="009A1A33"/>
    <w:rsid w:val="009A2803"/>
    <w:rsid w:val="009A2A90"/>
    <w:rsid w:val="009A31D9"/>
    <w:rsid w:val="009A3414"/>
    <w:rsid w:val="009A34FA"/>
    <w:rsid w:val="009A3D58"/>
    <w:rsid w:val="009A43AD"/>
    <w:rsid w:val="009A45F1"/>
    <w:rsid w:val="009A561C"/>
    <w:rsid w:val="009A579B"/>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37D"/>
    <w:rsid w:val="009B475D"/>
    <w:rsid w:val="009B4CE8"/>
    <w:rsid w:val="009B4E23"/>
    <w:rsid w:val="009B4FA7"/>
    <w:rsid w:val="009B5C3A"/>
    <w:rsid w:val="009B5D81"/>
    <w:rsid w:val="009B5E3B"/>
    <w:rsid w:val="009B6566"/>
    <w:rsid w:val="009B664A"/>
    <w:rsid w:val="009B66EC"/>
    <w:rsid w:val="009B6CEC"/>
    <w:rsid w:val="009B6DAF"/>
    <w:rsid w:val="009B743F"/>
    <w:rsid w:val="009B77EF"/>
    <w:rsid w:val="009B7C46"/>
    <w:rsid w:val="009B7E6B"/>
    <w:rsid w:val="009C0186"/>
    <w:rsid w:val="009C0EAB"/>
    <w:rsid w:val="009C0F20"/>
    <w:rsid w:val="009C10AC"/>
    <w:rsid w:val="009C10AF"/>
    <w:rsid w:val="009C1284"/>
    <w:rsid w:val="009C1303"/>
    <w:rsid w:val="009C1311"/>
    <w:rsid w:val="009C18A8"/>
    <w:rsid w:val="009C1E10"/>
    <w:rsid w:val="009C1EA6"/>
    <w:rsid w:val="009C21DF"/>
    <w:rsid w:val="009C21F4"/>
    <w:rsid w:val="009C2456"/>
    <w:rsid w:val="009C269B"/>
    <w:rsid w:val="009C271F"/>
    <w:rsid w:val="009C2AA6"/>
    <w:rsid w:val="009C3046"/>
    <w:rsid w:val="009C30C2"/>
    <w:rsid w:val="009C3119"/>
    <w:rsid w:val="009C3627"/>
    <w:rsid w:val="009C3715"/>
    <w:rsid w:val="009C3800"/>
    <w:rsid w:val="009C4122"/>
    <w:rsid w:val="009C442A"/>
    <w:rsid w:val="009C4561"/>
    <w:rsid w:val="009C47EA"/>
    <w:rsid w:val="009C523B"/>
    <w:rsid w:val="009C53DE"/>
    <w:rsid w:val="009C5896"/>
    <w:rsid w:val="009C5C56"/>
    <w:rsid w:val="009C5CAC"/>
    <w:rsid w:val="009C5D27"/>
    <w:rsid w:val="009C6089"/>
    <w:rsid w:val="009C63D6"/>
    <w:rsid w:val="009C6B60"/>
    <w:rsid w:val="009C6D9C"/>
    <w:rsid w:val="009C72F6"/>
    <w:rsid w:val="009C7350"/>
    <w:rsid w:val="009C7E02"/>
    <w:rsid w:val="009C7E76"/>
    <w:rsid w:val="009D01F6"/>
    <w:rsid w:val="009D0B72"/>
    <w:rsid w:val="009D136B"/>
    <w:rsid w:val="009D13D6"/>
    <w:rsid w:val="009D179D"/>
    <w:rsid w:val="009D18AF"/>
    <w:rsid w:val="009D2916"/>
    <w:rsid w:val="009D2931"/>
    <w:rsid w:val="009D30C8"/>
    <w:rsid w:val="009D3599"/>
    <w:rsid w:val="009D3D5A"/>
    <w:rsid w:val="009D4E63"/>
    <w:rsid w:val="009D518A"/>
    <w:rsid w:val="009D5753"/>
    <w:rsid w:val="009D6242"/>
    <w:rsid w:val="009D6DC0"/>
    <w:rsid w:val="009D733F"/>
    <w:rsid w:val="009D769A"/>
    <w:rsid w:val="009D7C77"/>
    <w:rsid w:val="009D7CF0"/>
    <w:rsid w:val="009D7EC5"/>
    <w:rsid w:val="009E0542"/>
    <w:rsid w:val="009E0957"/>
    <w:rsid w:val="009E0CBF"/>
    <w:rsid w:val="009E0E86"/>
    <w:rsid w:val="009E0F0A"/>
    <w:rsid w:val="009E1A69"/>
    <w:rsid w:val="009E1EBB"/>
    <w:rsid w:val="009E1F4A"/>
    <w:rsid w:val="009E2452"/>
    <w:rsid w:val="009E2BB8"/>
    <w:rsid w:val="009E301B"/>
    <w:rsid w:val="009E33E4"/>
    <w:rsid w:val="009E35E7"/>
    <w:rsid w:val="009E392F"/>
    <w:rsid w:val="009E39F4"/>
    <w:rsid w:val="009E3A2B"/>
    <w:rsid w:val="009E3B99"/>
    <w:rsid w:val="009E40F0"/>
    <w:rsid w:val="009E4201"/>
    <w:rsid w:val="009E43D0"/>
    <w:rsid w:val="009E481A"/>
    <w:rsid w:val="009E4961"/>
    <w:rsid w:val="009E5194"/>
    <w:rsid w:val="009E52F7"/>
    <w:rsid w:val="009E5364"/>
    <w:rsid w:val="009E56A0"/>
    <w:rsid w:val="009E57E5"/>
    <w:rsid w:val="009E5C97"/>
    <w:rsid w:val="009E5CF8"/>
    <w:rsid w:val="009E63F4"/>
    <w:rsid w:val="009E727A"/>
    <w:rsid w:val="009E742A"/>
    <w:rsid w:val="009E7603"/>
    <w:rsid w:val="009E76C3"/>
    <w:rsid w:val="009E77B0"/>
    <w:rsid w:val="009E7AC0"/>
    <w:rsid w:val="009F0DC3"/>
    <w:rsid w:val="009F1379"/>
    <w:rsid w:val="009F14DC"/>
    <w:rsid w:val="009F15CE"/>
    <w:rsid w:val="009F16A5"/>
    <w:rsid w:val="009F1805"/>
    <w:rsid w:val="009F1AE0"/>
    <w:rsid w:val="009F1BCC"/>
    <w:rsid w:val="009F1D61"/>
    <w:rsid w:val="009F1EE6"/>
    <w:rsid w:val="009F20A6"/>
    <w:rsid w:val="009F250D"/>
    <w:rsid w:val="009F2CE5"/>
    <w:rsid w:val="009F3EBA"/>
    <w:rsid w:val="009F418D"/>
    <w:rsid w:val="009F4311"/>
    <w:rsid w:val="009F4751"/>
    <w:rsid w:val="009F546D"/>
    <w:rsid w:val="009F54CA"/>
    <w:rsid w:val="009F555C"/>
    <w:rsid w:val="009F5831"/>
    <w:rsid w:val="009F5F8F"/>
    <w:rsid w:val="009F614B"/>
    <w:rsid w:val="009F6151"/>
    <w:rsid w:val="009F661C"/>
    <w:rsid w:val="009F6656"/>
    <w:rsid w:val="009F6781"/>
    <w:rsid w:val="009F6A68"/>
    <w:rsid w:val="009F6A9B"/>
    <w:rsid w:val="009F6BFE"/>
    <w:rsid w:val="009F708B"/>
    <w:rsid w:val="009F70E0"/>
    <w:rsid w:val="009F75C5"/>
    <w:rsid w:val="009F7AAD"/>
    <w:rsid w:val="00A001F1"/>
    <w:rsid w:val="00A00466"/>
    <w:rsid w:val="00A00853"/>
    <w:rsid w:val="00A00A08"/>
    <w:rsid w:val="00A00BF1"/>
    <w:rsid w:val="00A010D9"/>
    <w:rsid w:val="00A013D9"/>
    <w:rsid w:val="00A015D8"/>
    <w:rsid w:val="00A01648"/>
    <w:rsid w:val="00A01CD6"/>
    <w:rsid w:val="00A0207A"/>
    <w:rsid w:val="00A020A3"/>
    <w:rsid w:val="00A021CF"/>
    <w:rsid w:val="00A02421"/>
    <w:rsid w:val="00A02481"/>
    <w:rsid w:val="00A02B28"/>
    <w:rsid w:val="00A02D04"/>
    <w:rsid w:val="00A02E30"/>
    <w:rsid w:val="00A02ED9"/>
    <w:rsid w:val="00A02F7B"/>
    <w:rsid w:val="00A02FCD"/>
    <w:rsid w:val="00A033CD"/>
    <w:rsid w:val="00A03541"/>
    <w:rsid w:val="00A03E93"/>
    <w:rsid w:val="00A0406B"/>
    <w:rsid w:val="00A045B2"/>
    <w:rsid w:val="00A046BF"/>
    <w:rsid w:val="00A04CF9"/>
    <w:rsid w:val="00A04D98"/>
    <w:rsid w:val="00A058A5"/>
    <w:rsid w:val="00A05BB4"/>
    <w:rsid w:val="00A05CA1"/>
    <w:rsid w:val="00A06640"/>
    <w:rsid w:val="00A06B5C"/>
    <w:rsid w:val="00A07877"/>
    <w:rsid w:val="00A1060F"/>
    <w:rsid w:val="00A10D45"/>
    <w:rsid w:val="00A11D25"/>
    <w:rsid w:val="00A1206D"/>
    <w:rsid w:val="00A121D4"/>
    <w:rsid w:val="00A12717"/>
    <w:rsid w:val="00A12912"/>
    <w:rsid w:val="00A13039"/>
    <w:rsid w:val="00A13179"/>
    <w:rsid w:val="00A13182"/>
    <w:rsid w:val="00A13190"/>
    <w:rsid w:val="00A1334A"/>
    <w:rsid w:val="00A1344C"/>
    <w:rsid w:val="00A137E6"/>
    <w:rsid w:val="00A13DBE"/>
    <w:rsid w:val="00A1404D"/>
    <w:rsid w:val="00A14360"/>
    <w:rsid w:val="00A146D1"/>
    <w:rsid w:val="00A14C24"/>
    <w:rsid w:val="00A154C1"/>
    <w:rsid w:val="00A158A3"/>
    <w:rsid w:val="00A158C8"/>
    <w:rsid w:val="00A159AB"/>
    <w:rsid w:val="00A15A54"/>
    <w:rsid w:val="00A15E21"/>
    <w:rsid w:val="00A15EA1"/>
    <w:rsid w:val="00A15F19"/>
    <w:rsid w:val="00A16EC0"/>
    <w:rsid w:val="00A178BD"/>
    <w:rsid w:val="00A17B89"/>
    <w:rsid w:val="00A203DD"/>
    <w:rsid w:val="00A20411"/>
    <w:rsid w:val="00A2048D"/>
    <w:rsid w:val="00A2073B"/>
    <w:rsid w:val="00A210D1"/>
    <w:rsid w:val="00A21208"/>
    <w:rsid w:val="00A2172E"/>
    <w:rsid w:val="00A21A18"/>
    <w:rsid w:val="00A21D95"/>
    <w:rsid w:val="00A22763"/>
    <w:rsid w:val="00A22B7E"/>
    <w:rsid w:val="00A232AF"/>
    <w:rsid w:val="00A232D5"/>
    <w:rsid w:val="00A236A7"/>
    <w:rsid w:val="00A23F64"/>
    <w:rsid w:val="00A246DA"/>
    <w:rsid w:val="00A246FA"/>
    <w:rsid w:val="00A250C4"/>
    <w:rsid w:val="00A253E1"/>
    <w:rsid w:val="00A259FA"/>
    <w:rsid w:val="00A25D94"/>
    <w:rsid w:val="00A26713"/>
    <w:rsid w:val="00A26D96"/>
    <w:rsid w:val="00A270C5"/>
    <w:rsid w:val="00A2725A"/>
    <w:rsid w:val="00A2789D"/>
    <w:rsid w:val="00A27901"/>
    <w:rsid w:val="00A27A9B"/>
    <w:rsid w:val="00A27D4F"/>
    <w:rsid w:val="00A27D56"/>
    <w:rsid w:val="00A27F69"/>
    <w:rsid w:val="00A30A14"/>
    <w:rsid w:val="00A30A27"/>
    <w:rsid w:val="00A30B4E"/>
    <w:rsid w:val="00A30DA6"/>
    <w:rsid w:val="00A30DF0"/>
    <w:rsid w:val="00A31265"/>
    <w:rsid w:val="00A3145E"/>
    <w:rsid w:val="00A32C36"/>
    <w:rsid w:val="00A3315C"/>
    <w:rsid w:val="00A338ED"/>
    <w:rsid w:val="00A3392C"/>
    <w:rsid w:val="00A33954"/>
    <w:rsid w:val="00A33E43"/>
    <w:rsid w:val="00A3408D"/>
    <w:rsid w:val="00A34216"/>
    <w:rsid w:val="00A344A1"/>
    <w:rsid w:val="00A34943"/>
    <w:rsid w:val="00A34B22"/>
    <w:rsid w:val="00A34D55"/>
    <w:rsid w:val="00A34DE3"/>
    <w:rsid w:val="00A35072"/>
    <w:rsid w:val="00A35237"/>
    <w:rsid w:val="00A35C4C"/>
    <w:rsid w:val="00A35E14"/>
    <w:rsid w:val="00A35EC6"/>
    <w:rsid w:val="00A35FA2"/>
    <w:rsid w:val="00A363CC"/>
    <w:rsid w:val="00A36A96"/>
    <w:rsid w:val="00A36B50"/>
    <w:rsid w:val="00A36C06"/>
    <w:rsid w:val="00A36DBD"/>
    <w:rsid w:val="00A372A2"/>
    <w:rsid w:val="00A37574"/>
    <w:rsid w:val="00A3766B"/>
    <w:rsid w:val="00A3794E"/>
    <w:rsid w:val="00A37CB8"/>
    <w:rsid w:val="00A37E00"/>
    <w:rsid w:val="00A40099"/>
    <w:rsid w:val="00A40DC5"/>
    <w:rsid w:val="00A411BE"/>
    <w:rsid w:val="00A412CA"/>
    <w:rsid w:val="00A41334"/>
    <w:rsid w:val="00A414F1"/>
    <w:rsid w:val="00A415D6"/>
    <w:rsid w:val="00A41712"/>
    <w:rsid w:val="00A417CB"/>
    <w:rsid w:val="00A41B5B"/>
    <w:rsid w:val="00A41BE5"/>
    <w:rsid w:val="00A4291B"/>
    <w:rsid w:val="00A42A82"/>
    <w:rsid w:val="00A42B5C"/>
    <w:rsid w:val="00A42EC4"/>
    <w:rsid w:val="00A43AAB"/>
    <w:rsid w:val="00A43AB0"/>
    <w:rsid w:val="00A44394"/>
    <w:rsid w:val="00A443F4"/>
    <w:rsid w:val="00A4494F"/>
    <w:rsid w:val="00A44C36"/>
    <w:rsid w:val="00A44D77"/>
    <w:rsid w:val="00A45CE8"/>
    <w:rsid w:val="00A45FE7"/>
    <w:rsid w:val="00A465E7"/>
    <w:rsid w:val="00A46A1B"/>
    <w:rsid w:val="00A46E0B"/>
    <w:rsid w:val="00A472E8"/>
    <w:rsid w:val="00A47683"/>
    <w:rsid w:val="00A478BC"/>
    <w:rsid w:val="00A47933"/>
    <w:rsid w:val="00A507F1"/>
    <w:rsid w:val="00A50C83"/>
    <w:rsid w:val="00A50D22"/>
    <w:rsid w:val="00A50FE8"/>
    <w:rsid w:val="00A511EA"/>
    <w:rsid w:val="00A518D0"/>
    <w:rsid w:val="00A52590"/>
    <w:rsid w:val="00A5290E"/>
    <w:rsid w:val="00A53571"/>
    <w:rsid w:val="00A53660"/>
    <w:rsid w:val="00A537D9"/>
    <w:rsid w:val="00A53A5F"/>
    <w:rsid w:val="00A53F1D"/>
    <w:rsid w:val="00A54572"/>
    <w:rsid w:val="00A54837"/>
    <w:rsid w:val="00A54891"/>
    <w:rsid w:val="00A54DCB"/>
    <w:rsid w:val="00A54E37"/>
    <w:rsid w:val="00A55010"/>
    <w:rsid w:val="00A554C7"/>
    <w:rsid w:val="00A5575B"/>
    <w:rsid w:val="00A55C95"/>
    <w:rsid w:val="00A56063"/>
    <w:rsid w:val="00A56103"/>
    <w:rsid w:val="00A5633A"/>
    <w:rsid w:val="00A56531"/>
    <w:rsid w:val="00A565CC"/>
    <w:rsid w:val="00A571D8"/>
    <w:rsid w:val="00A57214"/>
    <w:rsid w:val="00A5722D"/>
    <w:rsid w:val="00A57437"/>
    <w:rsid w:val="00A575E7"/>
    <w:rsid w:val="00A5794E"/>
    <w:rsid w:val="00A57A64"/>
    <w:rsid w:val="00A57FF0"/>
    <w:rsid w:val="00A6048A"/>
    <w:rsid w:val="00A6059F"/>
    <w:rsid w:val="00A60890"/>
    <w:rsid w:val="00A60951"/>
    <w:rsid w:val="00A609C0"/>
    <w:rsid w:val="00A60ADA"/>
    <w:rsid w:val="00A60AED"/>
    <w:rsid w:val="00A610E2"/>
    <w:rsid w:val="00A613FC"/>
    <w:rsid w:val="00A61725"/>
    <w:rsid w:val="00A61727"/>
    <w:rsid w:val="00A61874"/>
    <w:rsid w:val="00A626CB"/>
    <w:rsid w:val="00A62782"/>
    <w:rsid w:val="00A62CA9"/>
    <w:rsid w:val="00A62F4B"/>
    <w:rsid w:val="00A63233"/>
    <w:rsid w:val="00A63C02"/>
    <w:rsid w:val="00A64443"/>
    <w:rsid w:val="00A6457B"/>
    <w:rsid w:val="00A6556F"/>
    <w:rsid w:val="00A655A4"/>
    <w:rsid w:val="00A6584B"/>
    <w:rsid w:val="00A65943"/>
    <w:rsid w:val="00A65F99"/>
    <w:rsid w:val="00A66045"/>
    <w:rsid w:val="00A666BD"/>
    <w:rsid w:val="00A667AA"/>
    <w:rsid w:val="00A66A12"/>
    <w:rsid w:val="00A66AEA"/>
    <w:rsid w:val="00A66D63"/>
    <w:rsid w:val="00A670CB"/>
    <w:rsid w:val="00A6730B"/>
    <w:rsid w:val="00A7026C"/>
    <w:rsid w:val="00A708D7"/>
    <w:rsid w:val="00A7097A"/>
    <w:rsid w:val="00A70AE5"/>
    <w:rsid w:val="00A70BC2"/>
    <w:rsid w:val="00A70BE5"/>
    <w:rsid w:val="00A71559"/>
    <w:rsid w:val="00A715F6"/>
    <w:rsid w:val="00A7167D"/>
    <w:rsid w:val="00A71829"/>
    <w:rsid w:val="00A71830"/>
    <w:rsid w:val="00A71A18"/>
    <w:rsid w:val="00A71C15"/>
    <w:rsid w:val="00A7294B"/>
    <w:rsid w:val="00A72D2A"/>
    <w:rsid w:val="00A72F3E"/>
    <w:rsid w:val="00A72F87"/>
    <w:rsid w:val="00A7348F"/>
    <w:rsid w:val="00A737B8"/>
    <w:rsid w:val="00A738E0"/>
    <w:rsid w:val="00A73A87"/>
    <w:rsid w:val="00A73C3E"/>
    <w:rsid w:val="00A7409D"/>
    <w:rsid w:val="00A74370"/>
    <w:rsid w:val="00A743D1"/>
    <w:rsid w:val="00A74A9F"/>
    <w:rsid w:val="00A75084"/>
    <w:rsid w:val="00A75499"/>
    <w:rsid w:val="00A75A91"/>
    <w:rsid w:val="00A75B6B"/>
    <w:rsid w:val="00A75BC4"/>
    <w:rsid w:val="00A7618A"/>
    <w:rsid w:val="00A7679D"/>
    <w:rsid w:val="00A768B3"/>
    <w:rsid w:val="00A76A9C"/>
    <w:rsid w:val="00A7711F"/>
    <w:rsid w:val="00A776AE"/>
    <w:rsid w:val="00A77F32"/>
    <w:rsid w:val="00A77FA5"/>
    <w:rsid w:val="00A80BB7"/>
    <w:rsid w:val="00A80F2B"/>
    <w:rsid w:val="00A816D3"/>
    <w:rsid w:val="00A81C49"/>
    <w:rsid w:val="00A81FCB"/>
    <w:rsid w:val="00A82061"/>
    <w:rsid w:val="00A82C30"/>
    <w:rsid w:val="00A82DED"/>
    <w:rsid w:val="00A832E1"/>
    <w:rsid w:val="00A8330B"/>
    <w:rsid w:val="00A83673"/>
    <w:rsid w:val="00A83D1E"/>
    <w:rsid w:val="00A83F67"/>
    <w:rsid w:val="00A84BA1"/>
    <w:rsid w:val="00A851B7"/>
    <w:rsid w:val="00A853FD"/>
    <w:rsid w:val="00A85B04"/>
    <w:rsid w:val="00A85C86"/>
    <w:rsid w:val="00A85D1A"/>
    <w:rsid w:val="00A85E21"/>
    <w:rsid w:val="00A861E8"/>
    <w:rsid w:val="00A86294"/>
    <w:rsid w:val="00A8713C"/>
    <w:rsid w:val="00A8720C"/>
    <w:rsid w:val="00A87424"/>
    <w:rsid w:val="00A905D9"/>
    <w:rsid w:val="00A90D7A"/>
    <w:rsid w:val="00A9157E"/>
    <w:rsid w:val="00A916C1"/>
    <w:rsid w:val="00A91BC4"/>
    <w:rsid w:val="00A9205B"/>
    <w:rsid w:val="00A923DC"/>
    <w:rsid w:val="00A924E0"/>
    <w:rsid w:val="00A927DF"/>
    <w:rsid w:val="00A929D6"/>
    <w:rsid w:val="00A92BD4"/>
    <w:rsid w:val="00A93257"/>
    <w:rsid w:val="00A933FF"/>
    <w:rsid w:val="00A93638"/>
    <w:rsid w:val="00A9377B"/>
    <w:rsid w:val="00A9383A"/>
    <w:rsid w:val="00A93CFD"/>
    <w:rsid w:val="00A93F9F"/>
    <w:rsid w:val="00A94190"/>
    <w:rsid w:val="00A9445D"/>
    <w:rsid w:val="00A9477C"/>
    <w:rsid w:val="00A94C74"/>
    <w:rsid w:val="00A94E9F"/>
    <w:rsid w:val="00A94EF8"/>
    <w:rsid w:val="00A95553"/>
    <w:rsid w:val="00A957DC"/>
    <w:rsid w:val="00A95C1B"/>
    <w:rsid w:val="00A95E0C"/>
    <w:rsid w:val="00A95E6B"/>
    <w:rsid w:val="00A96329"/>
    <w:rsid w:val="00A970F3"/>
    <w:rsid w:val="00A97299"/>
    <w:rsid w:val="00A975C1"/>
    <w:rsid w:val="00A9788F"/>
    <w:rsid w:val="00A978FF"/>
    <w:rsid w:val="00AA0237"/>
    <w:rsid w:val="00AA0736"/>
    <w:rsid w:val="00AA0955"/>
    <w:rsid w:val="00AA09A7"/>
    <w:rsid w:val="00AA0CCB"/>
    <w:rsid w:val="00AA0E1F"/>
    <w:rsid w:val="00AA0FAD"/>
    <w:rsid w:val="00AA105C"/>
    <w:rsid w:val="00AA11A0"/>
    <w:rsid w:val="00AA1219"/>
    <w:rsid w:val="00AA141F"/>
    <w:rsid w:val="00AA1467"/>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0CC"/>
    <w:rsid w:val="00AA5975"/>
    <w:rsid w:val="00AA5E6F"/>
    <w:rsid w:val="00AA5EAA"/>
    <w:rsid w:val="00AA6308"/>
    <w:rsid w:val="00AA6527"/>
    <w:rsid w:val="00AA65D4"/>
    <w:rsid w:val="00AA68BC"/>
    <w:rsid w:val="00AA6A00"/>
    <w:rsid w:val="00AA6CDE"/>
    <w:rsid w:val="00AA6D98"/>
    <w:rsid w:val="00AA74A7"/>
    <w:rsid w:val="00AA78D9"/>
    <w:rsid w:val="00AA79FC"/>
    <w:rsid w:val="00AA7C13"/>
    <w:rsid w:val="00AA7C96"/>
    <w:rsid w:val="00AA7FDD"/>
    <w:rsid w:val="00AB004B"/>
    <w:rsid w:val="00AB00A1"/>
    <w:rsid w:val="00AB068E"/>
    <w:rsid w:val="00AB0829"/>
    <w:rsid w:val="00AB091A"/>
    <w:rsid w:val="00AB0DA2"/>
    <w:rsid w:val="00AB152B"/>
    <w:rsid w:val="00AB1A14"/>
    <w:rsid w:val="00AB1EA9"/>
    <w:rsid w:val="00AB218C"/>
    <w:rsid w:val="00AB222B"/>
    <w:rsid w:val="00AB2326"/>
    <w:rsid w:val="00AB23F9"/>
    <w:rsid w:val="00AB2784"/>
    <w:rsid w:val="00AB326F"/>
    <w:rsid w:val="00AB334E"/>
    <w:rsid w:val="00AB36D5"/>
    <w:rsid w:val="00AB3807"/>
    <w:rsid w:val="00AB390A"/>
    <w:rsid w:val="00AB3A19"/>
    <w:rsid w:val="00AB3AFD"/>
    <w:rsid w:val="00AB3C1B"/>
    <w:rsid w:val="00AB3CC6"/>
    <w:rsid w:val="00AB3F82"/>
    <w:rsid w:val="00AB3F95"/>
    <w:rsid w:val="00AB4E11"/>
    <w:rsid w:val="00AB4E22"/>
    <w:rsid w:val="00AB51C9"/>
    <w:rsid w:val="00AB5538"/>
    <w:rsid w:val="00AB5819"/>
    <w:rsid w:val="00AB5E73"/>
    <w:rsid w:val="00AB7437"/>
    <w:rsid w:val="00AB7652"/>
    <w:rsid w:val="00AB7CB3"/>
    <w:rsid w:val="00AB7DFC"/>
    <w:rsid w:val="00AB7FBD"/>
    <w:rsid w:val="00AC0544"/>
    <w:rsid w:val="00AC06EE"/>
    <w:rsid w:val="00AC0751"/>
    <w:rsid w:val="00AC0ADA"/>
    <w:rsid w:val="00AC0E14"/>
    <w:rsid w:val="00AC0E92"/>
    <w:rsid w:val="00AC130C"/>
    <w:rsid w:val="00AC196F"/>
    <w:rsid w:val="00AC1B23"/>
    <w:rsid w:val="00AC1DDA"/>
    <w:rsid w:val="00AC1E13"/>
    <w:rsid w:val="00AC1EA8"/>
    <w:rsid w:val="00AC1ECF"/>
    <w:rsid w:val="00AC2389"/>
    <w:rsid w:val="00AC28AD"/>
    <w:rsid w:val="00AC2996"/>
    <w:rsid w:val="00AC2AF6"/>
    <w:rsid w:val="00AC2E8A"/>
    <w:rsid w:val="00AC30FD"/>
    <w:rsid w:val="00AC367A"/>
    <w:rsid w:val="00AC4095"/>
    <w:rsid w:val="00AC430D"/>
    <w:rsid w:val="00AC43E0"/>
    <w:rsid w:val="00AC456A"/>
    <w:rsid w:val="00AC48C7"/>
    <w:rsid w:val="00AC4B0E"/>
    <w:rsid w:val="00AC4F53"/>
    <w:rsid w:val="00AC50D0"/>
    <w:rsid w:val="00AC548E"/>
    <w:rsid w:val="00AC6054"/>
    <w:rsid w:val="00AC60A7"/>
    <w:rsid w:val="00AC6663"/>
    <w:rsid w:val="00AC6A26"/>
    <w:rsid w:val="00AC6DB3"/>
    <w:rsid w:val="00AC6DEA"/>
    <w:rsid w:val="00AC7119"/>
    <w:rsid w:val="00AC7140"/>
    <w:rsid w:val="00AC737E"/>
    <w:rsid w:val="00AD058E"/>
    <w:rsid w:val="00AD08EF"/>
    <w:rsid w:val="00AD0BD0"/>
    <w:rsid w:val="00AD17C1"/>
    <w:rsid w:val="00AD1A89"/>
    <w:rsid w:val="00AD1BBB"/>
    <w:rsid w:val="00AD1CC4"/>
    <w:rsid w:val="00AD1F42"/>
    <w:rsid w:val="00AD20B3"/>
    <w:rsid w:val="00AD2721"/>
    <w:rsid w:val="00AD38C3"/>
    <w:rsid w:val="00AD4173"/>
    <w:rsid w:val="00AD462A"/>
    <w:rsid w:val="00AD4715"/>
    <w:rsid w:val="00AD49CD"/>
    <w:rsid w:val="00AD4DA4"/>
    <w:rsid w:val="00AD505A"/>
    <w:rsid w:val="00AD524C"/>
    <w:rsid w:val="00AD5602"/>
    <w:rsid w:val="00AD5DBD"/>
    <w:rsid w:val="00AD64CD"/>
    <w:rsid w:val="00AD6B61"/>
    <w:rsid w:val="00AD6C42"/>
    <w:rsid w:val="00AD6D3C"/>
    <w:rsid w:val="00AD6E0E"/>
    <w:rsid w:val="00AD7606"/>
    <w:rsid w:val="00AD795C"/>
    <w:rsid w:val="00AD7A5E"/>
    <w:rsid w:val="00AD7CEE"/>
    <w:rsid w:val="00AD7D86"/>
    <w:rsid w:val="00AE0108"/>
    <w:rsid w:val="00AE0F47"/>
    <w:rsid w:val="00AE0F5D"/>
    <w:rsid w:val="00AE1018"/>
    <w:rsid w:val="00AE17F0"/>
    <w:rsid w:val="00AE1836"/>
    <w:rsid w:val="00AE2039"/>
    <w:rsid w:val="00AE22D5"/>
    <w:rsid w:val="00AE24CA"/>
    <w:rsid w:val="00AE2522"/>
    <w:rsid w:val="00AE2587"/>
    <w:rsid w:val="00AE27A8"/>
    <w:rsid w:val="00AE27D9"/>
    <w:rsid w:val="00AE2A74"/>
    <w:rsid w:val="00AE2CD1"/>
    <w:rsid w:val="00AE32C2"/>
    <w:rsid w:val="00AE34F2"/>
    <w:rsid w:val="00AE3E52"/>
    <w:rsid w:val="00AE3ECB"/>
    <w:rsid w:val="00AE40DA"/>
    <w:rsid w:val="00AE4962"/>
    <w:rsid w:val="00AE5111"/>
    <w:rsid w:val="00AE5403"/>
    <w:rsid w:val="00AE58AC"/>
    <w:rsid w:val="00AE58C8"/>
    <w:rsid w:val="00AE59C4"/>
    <w:rsid w:val="00AE5DEC"/>
    <w:rsid w:val="00AE6C48"/>
    <w:rsid w:val="00AE6C8A"/>
    <w:rsid w:val="00AE77A3"/>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2A2"/>
    <w:rsid w:val="00AF4664"/>
    <w:rsid w:val="00AF50AA"/>
    <w:rsid w:val="00AF5205"/>
    <w:rsid w:val="00AF56F8"/>
    <w:rsid w:val="00AF5E77"/>
    <w:rsid w:val="00AF627B"/>
    <w:rsid w:val="00AF6713"/>
    <w:rsid w:val="00AF691B"/>
    <w:rsid w:val="00AF6C1E"/>
    <w:rsid w:val="00AF6CFA"/>
    <w:rsid w:val="00AF6DA2"/>
    <w:rsid w:val="00AF7833"/>
    <w:rsid w:val="00AF7C00"/>
    <w:rsid w:val="00AF7CC1"/>
    <w:rsid w:val="00AF7D02"/>
    <w:rsid w:val="00AF7FEA"/>
    <w:rsid w:val="00B0001F"/>
    <w:rsid w:val="00B00BC1"/>
    <w:rsid w:val="00B00DC4"/>
    <w:rsid w:val="00B015A4"/>
    <w:rsid w:val="00B01D5F"/>
    <w:rsid w:val="00B01E45"/>
    <w:rsid w:val="00B023C8"/>
    <w:rsid w:val="00B024A7"/>
    <w:rsid w:val="00B02EFA"/>
    <w:rsid w:val="00B02F09"/>
    <w:rsid w:val="00B02F7C"/>
    <w:rsid w:val="00B02FCC"/>
    <w:rsid w:val="00B031B0"/>
    <w:rsid w:val="00B033A5"/>
    <w:rsid w:val="00B035FA"/>
    <w:rsid w:val="00B0397E"/>
    <w:rsid w:val="00B03B46"/>
    <w:rsid w:val="00B03E48"/>
    <w:rsid w:val="00B03E8A"/>
    <w:rsid w:val="00B03F79"/>
    <w:rsid w:val="00B04173"/>
    <w:rsid w:val="00B04291"/>
    <w:rsid w:val="00B04390"/>
    <w:rsid w:val="00B04CAE"/>
    <w:rsid w:val="00B04F5F"/>
    <w:rsid w:val="00B051E2"/>
    <w:rsid w:val="00B05C33"/>
    <w:rsid w:val="00B0660E"/>
    <w:rsid w:val="00B067C2"/>
    <w:rsid w:val="00B0719E"/>
    <w:rsid w:val="00B079E7"/>
    <w:rsid w:val="00B07FED"/>
    <w:rsid w:val="00B10A4D"/>
    <w:rsid w:val="00B10BAF"/>
    <w:rsid w:val="00B11567"/>
    <w:rsid w:val="00B1187A"/>
    <w:rsid w:val="00B11B53"/>
    <w:rsid w:val="00B11D45"/>
    <w:rsid w:val="00B12C33"/>
    <w:rsid w:val="00B12E39"/>
    <w:rsid w:val="00B130B6"/>
    <w:rsid w:val="00B133C8"/>
    <w:rsid w:val="00B1362C"/>
    <w:rsid w:val="00B13D1A"/>
    <w:rsid w:val="00B13F61"/>
    <w:rsid w:val="00B1479F"/>
    <w:rsid w:val="00B147C4"/>
    <w:rsid w:val="00B14980"/>
    <w:rsid w:val="00B14C17"/>
    <w:rsid w:val="00B150A4"/>
    <w:rsid w:val="00B151B8"/>
    <w:rsid w:val="00B152D0"/>
    <w:rsid w:val="00B15378"/>
    <w:rsid w:val="00B154AC"/>
    <w:rsid w:val="00B1553D"/>
    <w:rsid w:val="00B1570C"/>
    <w:rsid w:val="00B15EB2"/>
    <w:rsid w:val="00B163D0"/>
    <w:rsid w:val="00B165C0"/>
    <w:rsid w:val="00B16A52"/>
    <w:rsid w:val="00B16FCA"/>
    <w:rsid w:val="00B17A2C"/>
    <w:rsid w:val="00B17B6E"/>
    <w:rsid w:val="00B20003"/>
    <w:rsid w:val="00B202C8"/>
    <w:rsid w:val="00B20329"/>
    <w:rsid w:val="00B205B2"/>
    <w:rsid w:val="00B20682"/>
    <w:rsid w:val="00B20AAE"/>
    <w:rsid w:val="00B21073"/>
    <w:rsid w:val="00B211BE"/>
    <w:rsid w:val="00B21218"/>
    <w:rsid w:val="00B221CA"/>
    <w:rsid w:val="00B22746"/>
    <w:rsid w:val="00B22863"/>
    <w:rsid w:val="00B228D6"/>
    <w:rsid w:val="00B22ABB"/>
    <w:rsid w:val="00B22F92"/>
    <w:rsid w:val="00B23270"/>
    <w:rsid w:val="00B23B62"/>
    <w:rsid w:val="00B23CA8"/>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0639"/>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66D"/>
    <w:rsid w:val="00B34A5C"/>
    <w:rsid w:val="00B34D30"/>
    <w:rsid w:val="00B352B9"/>
    <w:rsid w:val="00B35570"/>
    <w:rsid w:val="00B35AFB"/>
    <w:rsid w:val="00B3624C"/>
    <w:rsid w:val="00B3630A"/>
    <w:rsid w:val="00B36B34"/>
    <w:rsid w:val="00B373B3"/>
    <w:rsid w:val="00B37484"/>
    <w:rsid w:val="00B4015B"/>
    <w:rsid w:val="00B401DA"/>
    <w:rsid w:val="00B4088E"/>
    <w:rsid w:val="00B409E4"/>
    <w:rsid w:val="00B418C4"/>
    <w:rsid w:val="00B42020"/>
    <w:rsid w:val="00B42275"/>
    <w:rsid w:val="00B422B5"/>
    <w:rsid w:val="00B42F9B"/>
    <w:rsid w:val="00B4390A"/>
    <w:rsid w:val="00B43AAE"/>
    <w:rsid w:val="00B44618"/>
    <w:rsid w:val="00B447E5"/>
    <w:rsid w:val="00B449A8"/>
    <w:rsid w:val="00B44EE5"/>
    <w:rsid w:val="00B45E53"/>
    <w:rsid w:val="00B46101"/>
    <w:rsid w:val="00B46373"/>
    <w:rsid w:val="00B46526"/>
    <w:rsid w:val="00B46552"/>
    <w:rsid w:val="00B4685C"/>
    <w:rsid w:val="00B47272"/>
    <w:rsid w:val="00B47723"/>
    <w:rsid w:val="00B500D9"/>
    <w:rsid w:val="00B50901"/>
    <w:rsid w:val="00B50A3A"/>
    <w:rsid w:val="00B50BCF"/>
    <w:rsid w:val="00B50E0D"/>
    <w:rsid w:val="00B50EA5"/>
    <w:rsid w:val="00B51085"/>
    <w:rsid w:val="00B511EF"/>
    <w:rsid w:val="00B51429"/>
    <w:rsid w:val="00B518CD"/>
    <w:rsid w:val="00B52980"/>
    <w:rsid w:val="00B52BA4"/>
    <w:rsid w:val="00B532C9"/>
    <w:rsid w:val="00B53597"/>
    <w:rsid w:val="00B53BBC"/>
    <w:rsid w:val="00B542EF"/>
    <w:rsid w:val="00B545DA"/>
    <w:rsid w:val="00B54B4A"/>
    <w:rsid w:val="00B54E4A"/>
    <w:rsid w:val="00B5516B"/>
    <w:rsid w:val="00B554F4"/>
    <w:rsid w:val="00B55854"/>
    <w:rsid w:val="00B55863"/>
    <w:rsid w:val="00B55E1D"/>
    <w:rsid w:val="00B55E30"/>
    <w:rsid w:val="00B55F1A"/>
    <w:rsid w:val="00B56077"/>
    <w:rsid w:val="00B5697B"/>
    <w:rsid w:val="00B569D5"/>
    <w:rsid w:val="00B56C85"/>
    <w:rsid w:val="00B575B1"/>
    <w:rsid w:val="00B57864"/>
    <w:rsid w:val="00B57A50"/>
    <w:rsid w:val="00B57B75"/>
    <w:rsid w:val="00B57D47"/>
    <w:rsid w:val="00B600C1"/>
    <w:rsid w:val="00B60227"/>
    <w:rsid w:val="00B60B0E"/>
    <w:rsid w:val="00B60D15"/>
    <w:rsid w:val="00B60D37"/>
    <w:rsid w:val="00B60DAF"/>
    <w:rsid w:val="00B613BF"/>
    <w:rsid w:val="00B61903"/>
    <w:rsid w:val="00B62262"/>
    <w:rsid w:val="00B628C3"/>
    <w:rsid w:val="00B6290B"/>
    <w:rsid w:val="00B62A1F"/>
    <w:rsid w:val="00B62E2A"/>
    <w:rsid w:val="00B632D3"/>
    <w:rsid w:val="00B6334F"/>
    <w:rsid w:val="00B6392E"/>
    <w:rsid w:val="00B63DFF"/>
    <w:rsid w:val="00B63F3C"/>
    <w:rsid w:val="00B64379"/>
    <w:rsid w:val="00B64395"/>
    <w:rsid w:val="00B64C61"/>
    <w:rsid w:val="00B651C8"/>
    <w:rsid w:val="00B65E2B"/>
    <w:rsid w:val="00B65EF9"/>
    <w:rsid w:val="00B66C18"/>
    <w:rsid w:val="00B670A3"/>
    <w:rsid w:val="00B676BD"/>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6FC"/>
    <w:rsid w:val="00B72AF0"/>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986"/>
    <w:rsid w:val="00B80C1C"/>
    <w:rsid w:val="00B80C67"/>
    <w:rsid w:val="00B80E7A"/>
    <w:rsid w:val="00B80F69"/>
    <w:rsid w:val="00B81577"/>
    <w:rsid w:val="00B815A3"/>
    <w:rsid w:val="00B8184C"/>
    <w:rsid w:val="00B8224C"/>
    <w:rsid w:val="00B82570"/>
    <w:rsid w:val="00B83829"/>
    <w:rsid w:val="00B83CC4"/>
    <w:rsid w:val="00B84D0B"/>
    <w:rsid w:val="00B855F2"/>
    <w:rsid w:val="00B85847"/>
    <w:rsid w:val="00B85895"/>
    <w:rsid w:val="00B85AC6"/>
    <w:rsid w:val="00B86125"/>
    <w:rsid w:val="00B8698F"/>
    <w:rsid w:val="00B86B80"/>
    <w:rsid w:val="00B87798"/>
    <w:rsid w:val="00B879A8"/>
    <w:rsid w:val="00B90148"/>
    <w:rsid w:val="00B90723"/>
    <w:rsid w:val="00B907D7"/>
    <w:rsid w:val="00B90987"/>
    <w:rsid w:val="00B90A7B"/>
    <w:rsid w:val="00B90E2C"/>
    <w:rsid w:val="00B91345"/>
    <w:rsid w:val="00B91468"/>
    <w:rsid w:val="00B9146F"/>
    <w:rsid w:val="00B9163C"/>
    <w:rsid w:val="00B9163E"/>
    <w:rsid w:val="00B91975"/>
    <w:rsid w:val="00B91B51"/>
    <w:rsid w:val="00B91DEC"/>
    <w:rsid w:val="00B9235B"/>
    <w:rsid w:val="00B92472"/>
    <w:rsid w:val="00B924F2"/>
    <w:rsid w:val="00B9250A"/>
    <w:rsid w:val="00B92AF1"/>
    <w:rsid w:val="00B92E14"/>
    <w:rsid w:val="00B93176"/>
    <w:rsid w:val="00B932EF"/>
    <w:rsid w:val="00B940D2"/>
    <w:rsid w:val="00B94579"/>
    <w:rsid w:val="00B945AE"/>
    <w:rsid w:val="00B9566F"/>
    <w:rsid w:val="00B95751"/>
    <w:rsid w:val="00B959E5"/>
    <w:rsid w:val="00B95A4A"/>
    <w:rsid w:val="00B96039"/>
    <w:rsid w:val="00B96710"/>
    <w:rsid w:val="00B96B52"/>
    <w:rsid w:val="00B96F4E"/>
    <w:rsid w:val="00B9749B"/>
    <w:rsid w:val="00B9783E"/>
    <w:rsid w:val="00B978F1"/>
    <w:rsid w:val="00B97AE2"/>
    <w:rsid w:val="00BA006F"/>
    <w:rsid w:val="00BA02A3"/>
    <w:rsid w:val="00BA074D"/>
    <w:rsid w:val="00BA0B65"/>
    <w:rsid w:val="00BA0B8A"/>
    <w:rsid w:val="00BA0D63"/>
    <w:rsid w:val="00BA0EF0"/>
    <w:rsid w:val="00BA112A"/>
    <w:rsid w:val="00BA137B"/>
    <w:rsid w:val="00BA156D"/>
    <w:rsid w:val="00BA18EC"/>
    <w:rsid w:val="00BA19BD"/>
    <w:rsid w:val="00BA1B6B"/>
    <w:rsid w:val="00BA262B"/>
    <w:rsid w:val="00BA2C99"/>
    <w:rsid w:val="00BA311C"/>
    <w:rsid w:val="00BA3737"/>
    <w:rsid w:val="00BA3E5B"/>
    <w:rsid w:val="00BA4973"/>
    <w:rsid w:val="00BA5395"/>
    <w:rsid w:val="00BA59A3"/>
    <w:rsid w:val="00BA5DA8"/>
    <w:rsid w:val="00BA6462"/>
    <w:rsid w:val="00BA6610"/>
    <w:rsid w:val="00BA66B5"/>
    <w:rsid w:val="00BA6709"/>
    <w:rsid w:val="00BA6889"/>
    <w:rsid w:val="00BA698B"/>
    <w:rsid w:val="00BA7205"/>
    <w:rsid w:val="00BA7B85"/>
    <w:rsid w:val="00BB0222"/>
    <w:rsid w:val="00BB026C"/>
    <w:rsid w:val="00BB0372"/>
    <w:rsid w:val="00BB1293"/>
    <w:rsid w:val="00BB12DD"/>
    <w:rsid w:val="00BB25B6"/>
    <w:rsid w:val="00BB27C9"/>
    <w:rsid w:val="00BB27D1"/>
    <w:rsid w:val="00BB27F7"/>
    <w:rsid w:val="00BB2B6F"/>
    <w:rsid w:val="00BB2E30"/>
    <w:rsid w:val="00BB2E47"/>
    <w:rsid w:val="00BB327C"/>
    <w:rsid w:val="00BB35F5"/>
    <w:rsid w:val="00BB3C32"/>
    <w:rsid w:val="00BB3CB1"/>
    <w:rsid w:val="00BB3DB7"/>
    <w:rsid w:val="00BB3F15"/>
    <w:rsid w:val="00BB4DFE"/>
    <w:rsid w:val="00BB4F76"/>
    <w:rsid w:val="00BB56E2"/>
    <w:rsid w:val="00BB5788"/>
    <w:rsid w:val="00BB5A7B"/>
    <w:rsid w:val="00BB5C86"/>
    <w:rsid w:val="00BB5DED"/>
    <w:rsid w:val="00BB6413"/>
    <w:rsid w:val="00BB67EF"/>
    <w:rsid w:val="00BB6C3B"/>
    <w:rsid w:val="00BB7104"/>
    <w:rsid w:val="00BB72A6"/>
    <w:rsid w:val="00BB7570"/>
    <w:rsid w:val="00BB75BA"/>
    <w:rsid w:val="00BB79A4"/>
    <w:rsid w:val="00BB7A7C"/>
    <w:rsid w:val="00BB7BF5"/>
    <w:rsid w:val="00BB7BFB"/>
    <w:rsid w:val="00BB7E4E"/>
    <w:rsid w:val="00BB7E9B"/>
    <w:rsid w:val="00BC015C"/>
    <w:rsid w:val="00BC021F"/>
    <w:rsid w:val="00BC0560"/>
    <w:rsid w:val="00BC075B"/>
    <w:rsid w:val="00BC07A4"/>
    <w:rsid w:val="00BC0E6A"/>
    <w:rsid w:val="00BC0F37"/>
    <w:rsid w:val="00BC11F3"/>
    <w:rsid w:val="00BC127F"/>
    <w:rsid w:val="00BC1CD3"/>
    <w:rsid w:val="00BC1D21"/>
    <w:rsid w:val="00BC1E94"/>
    <w:rsid w:val="00BC211C"/>
    <w:rsid w:val="00BC2AC8"/>
    <w:rsid w:val="00BC3655"/>
    <w:rsid w:val="00BC37D8"/>
    <w:rsid w:val="00BC4487"/>
    <w:rsid w:val="00BC455C"/>
    <w:rsid w:val="00BC46AD"/>
    <w:rsid w:val="00BC5898"/>
    <w:rsid w:val="00BC5C88"/>
    <w:rsid w:val="00BC5D53"/>
    <w:rsid w:val="00BC60B5"/>
    <w:rsid w:val="00BC6176"/>
    <w:rsid w:val="00BC6227"/>
    <w:rsid w:val="00BC65EE"/>
    <w:rsid w:val="00BC6EAF"/>
    <w:rsid w:val="00BC6F57"/>
    <w:rsid w:val="00BC70C6"/>
    <w:rsid w:val="00BC7384"/>
    <w:rsid w:val="00BC7671"/>
    <w:rsid w:val="00BC7783"/>
    <w:rsid w:val="00BC7B7D"/>
    <w:rsid w:val="00BC7BEE"/>
    <w:rsid w:val="00BC7CA7"/>
    <w:rsid w:val="00BD082B"/>
    <w:rsid w:val="00BD0F77"/>
    <w:rsid w:val="00BD134D"/>
    <w:rsid w:val="00BD1C38"/>
    <w:rsid w:val="00BD29E8"/>
    <w:rsid w:val="00BD3206"/>
    <w:rsid w:val="00BD4000"/>
    <w:rsid w:val="00BD408D"/>
    <w:rsid w:val="00BD40DE"/>
    <w:rsid w:val="00BD419F"/>
    <w:rsid w:val="00BD4444"/>
    <w:rsid w:val="00BD4D17"/>
    <w:rsid w:val="00BD4DF8"/>
    <w:rsid w:val="00BD4FD9"/>
    <w:rsid w:val="00BD4FF6"/>
    <w:rsid w:val="00BD5199"/>
    <w:rsid w:val="00BD53B2"/>
    <w:rsid w:val="00BD56EC"/>
    <w:rsid w:val="00BD5710"/>
    <w:rsid w:val="00BD576A"/>
    <w:rsid w:val="00BD5A00"/>
    <w:rsid w:val="00BD5C8F"/>
    <w:rsid w:val="00BD5C9C"/>
    <w:rsid w:val="00BD5EB8"/>
    <w:rsid w:val="00BD6145"/>
    <w:rsid w:val="00BD6715"/>
    <w:rsid w:val="00BD68AA"/>
    <w:rsid w:val="00BD68D0"/>
    <w:rsid w:val="00BD6968"/>
    <w:rsid w:val="00BD6A3A"/>
    <w:rsid w:val="00BD6DCC"/>
    <w:rsid w:val="00BD782C"/>
    <w:rsid w:val="00BE06D4"/>
    <w:rsid w:val="00BE06E3"/>
    <w:rsid w:val="00BE0B65"/>
    <w:rsid w:val="00BE1107"/>
    <w:rsid w:val="00BE1137"/>
    <w:rsid w:val="00BE190E"/>
    <w:rsid w:val="00BE1B58"/>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CD0"/>
    <w:rsid w:val="00BE6E5F"/>
    <w:rsid w:val="00BE6F40"/>
    <w:rsid w:val="00BE7139"/>
    <w:rsid w:val="00BE74AD"/>
    <w:rsid w:val="00BE7564"/>
    <w:rsid w:val="00BE7CA8"/>
    <w:rsid w:val="00BF0075"/>
    <w:rsid w:val="00BF02DB"/>
    <w:rsid w:val="00BF0683"/>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4979"/>
    <w:rsid w:val="00BF598B"/>
    <w:rsid w:val="00BF611A"/>
    <w:rsid w:val="00BF6BFF"/>
    <w:rsid w:val="00BF6ECF"/>
    <w:rsid w:val="00BF7132"/>
    <w:rsid w:val="00BF7304"/>
    <w:rsid w:val="00BF76F6"/>
    <w:rsid w:val="00BF7A4D"/>
    <w:rsid w:val="00BF7C7E"/>
    <w:rsid w:val="00BF7DFA"/>
    <w:rsid w:val="00C002FB"/>
    <w:rsid w:val="00C00506"/>
    <w:rsid w:val="00C0070D"/>
    <w:rsid w:val="00C007A9"/>
    <w:rsid w:val="00C01130"/>
    <w:rsid w:val="00C011FE"/>
    <w:rsid w:val="00C014C0"/>
    <w:rsid w:val="00C01901"/>
    <w:rsid w:val="00C024A4"/>
    <w:rsid w:val="00C027E1"/>
    <w:rsid w:val="00C02C81"/>
    <w:rsid w:val="00C03445"/>
    <w:rsid w:val="00C03542"/>
    <w:rsid w:val="00C04271"/>
    <w:rsid w:val="00C043FD"/>
    <w:rsid w:val="00C04611"/>
    <w:rsid w:val="00C04D58"/>
    <w:rsid w:val="00C05970"/>
    <w:rsid w:val="00C05D4D"/>
    <w:rsid w:val="00C0639E"/>
    <w:rsid w:val="00C063DE"/>
    <w:rsid w:val="00C06A5F"/>
    <w:rsid w:val="00C06B62"/>
    <w:rsid w:val="00C06D2A"/>
    <w:rsid w:val="00C06E65"/>
    <w:rsid w:val="00C06FEA"/>
    <w:rsid w:val="00C0758D"/>
    <w:rsid w:val="00C07D3C"/>
    <w:rsid w:val="00C07F69"/>
    <w:rsid w:val="00C07F92"/>
    <w:rsid w:val="00C1016B"/>
    <w:rsid w:val="00C10466"/>
    <w:rsid w:val="00C104FC"/>
    <w:rsid w:val="00C10686"/>
    <w:rsid w:val="00C108A3"/>
    <w:rsid w:val="00C10F3C"/>
    <w:rsid w:val="00C11078"/>
    <w:rsid w:val="00C110BB"/>
    <w:rsid w:val="00C111C1"/>
    <w:rsid w:val="00C1139F"/>
    <w:rsid w:val="00C11D10"/>
    <w:rsid w:val="00C13211"/>
    <w:rsid w:val="00C1339F"/>
    <w:rsid w:val="00C1354E"/>
    <w:rsid w:val="00C1364A"/>
    <w:rsid w:val="00C13B34"/>
    <w:rsid w:val="00C14048"/>
    <w:rsid w:val="00C14081"/>
    <w:rsid w:val="00C14857"/>
    <w:rsid w:val="00C148AB"/>
    <w:rsid w:val="00C14BEB"/>
    <w:rsid w:val="00C14D6E"/>
    <w:rsid w:val="00C14E43"/>
    <w:rsid w:val="00C15120"/>
    <w:rsid w:val="00C15350"/>
    <w:rsid w:val="00C15723"/>
    <w:rsid w:val="00C15F10"/>
    <w:rsid w:val="00C15F1B"/>
    <w:rsid w:val="00C16155"/>
    <w:rsid w:val="00C16245"/>
    <w:rsid w:val="00C1651B"/>
    <w:rsid w:val="00C1681B"/>
    <w:rsid w:val="00C16888"/>
    <w:rsid w:val="00C17027"/>
    <w:rsid w:val="00C174C0"/>
    <w:rsid w:val="00C17572"/>
    <w:rsid w:val="00C17F6F"/>
    <w:rsid w:val="00C202D3"/>
    <w:rsid w:val="00C20707"/>
    <w:rsid w:val="00C20C06"/>
    <w:rsid w:val="00C20DFC"/>
    <w:rsid w:val="00C20F1F"/>
    <w:rsid w:val="00C20FB8"/>
    <w:rsid w:val="00C21595"/>
    <w:rsid w:val="00C21629"/>
    <w:rsid w:val="00C21786"/>
    <w:rsid w:val="00C21916"/>
    <w:rsid w:val="00C21A6A"/>
    <w:rsid w:val="00C21D80"/>
    <w:rsid w:val="00C22099"/>
    <w:rsid w:val="00C223CF"/>
    <w:rsid w:val="00C2255B"/>
    <w:rsid w:val="00C22CE8"/>
    <w:rsid w:val="00C22D92"/>
    <w:rsid w:val="00C22DCE"/>
    <w:rsid w:val="00C22FBF"/>
    <w:rsid w:val="00C233BD"/>
    <w:rsid w:val="00C23BB1"/>
    <w:rsid w:val="00C23E4A"/>
    <w:rsid w:val="00C24327"/>
    <w:rsid w:val="00C2476B"/>
    <w:rsid w:val="00C24970"/>
    <w:rsid w:val="00C24DC0"/>
    <w:rsid w:val="00C250BD"/>
    <w:rsid w:val="00C257A2"/>
    <w:rsid w:val="00C2582C"/>
    <w:rsid w:val="00C25B83"/>
    <w:rsid w:val="00C25BB7"/>
    <w:rsid w:val="00C25E14"/>
    <w:rsid w:val="00C2616E"/>
    <w:rsid w:val="00C26365"/>
    <w:rsid w:val="00C264DC"/>
    <w:rsid w:val="00C2684E"/>
    <w:rsid w:val="00C26B16"/>
    <w:rsid w:val="00C26C39"/>
    <w:rsid w:val="00C26CAD"/>
    <w:rsid w:val="00C27397"/>
    <w:rsid w:val="00C277B1"/>
    <w:rsid w:val="00C27872"/>
    <w:rsid w:val="00C27C0F"/>
    <w:rsid w:val="00C27C39"/>
    <w:rsid w:val="00C27DB2"/>
    <w:rsid w:val="00C27EFD"/>
    <w:rsid w:val="00C31E61"/>
    <w:rsid w:val="00C31FE3"/>
    <w:rsid w:val="00C32459"/>
    <w:rsid w:val="00C326D0"/>
    <w:rsid w:val="00C32827"/>
    <w:rsid w:val="00C32938"/>
    <w:rsid w:val="00C3307F"/>
    <w:rsid w:val="00C33DD6"/>
    <w:rsid w:val="00C33FD1"/>
    <w:rsid w:val="00C342AF"/>
    <w:rsid w:val="00C343CD"/>
    <w:rsid w:val="00C34BCF"/>
    <w:rsid w:val="00C34EAF"/>
    <w:rsid w:val="00C3581A"/>
    <w:rsid w:val="00C3625C"/>
    <w:rsid w:val="00C3676D"/>
    <w:rsid w:val="00C3699C"/>
    <w:rsid w:val="00C36A1A"/>
    <w:rsid w:val="00C36B34"/>
    <w:rsid w:val="00C374D0"/>
    <w:rsid w:val="00C37821"/>
    <w:rsid w:val="00C37833"/>
    <w:rsid w:val="00C37BED"/>
    <w:rsid w:val="00C40025"/>
    <w:rsid w:val="00C401CA"/>
    <w:rsid w:val="00C404F6"/>
    <w:rsid w:val="00C408CE"/>
    <w:rsid w:val="00C408DD"/>
    <w:rsid w:val="00C40AB4"/>
    <w:rsid w:val="00C40BC2"/>
    <w:rsid w:val="00C40BFD"/>
    <w:rsid w:val="00C40D0C"/>
    <w:rsid w:val="00C41254"/>
    <w:rsid w:val="00C41717"/>
    <w:rsid w:val="00C4171D"/>
    <w:rsid w:val="00C41822"/>
    <w:rsid w:val="00C41C52"/>
    <w:rsid w:val="00C41DE6"/>
    <w:rsid w:val="00C42087"/>
    <w:rsid w:val="00C4222D"/>
    <w:rsid w:val="00C424A4"/>
    <w:rsid w:val="00C43699"/>
    <w:rsid w:val="00C43B7B"/>
    <w:rsid w:val="00C43D93"/>
    <w:rsid w:val="00C43E31"/>
    <w:rsid w:val="00C44C86"/>
    <w:rsid w:val="00C4527B"/>
    <w:rsid w:val="00C453FF"/>
    <w:rsid w:val="00C45F48"/>
    <w:rsid w:val="00C45FCB"/>
    <w:rsid w:val="00C46B4F"/>
    <w:rsid w:val="00C46BBA"/>
    <w:rsid w:val="00C46BBE"/>
    <w:rsid w:val="00C46C0E"/>
    <w:rsid w:val="00C46D70"/>
    <w:rsid w:val="00C47181"/>
    <w:rsid w:val="00C4765F"/>
    <w:rsid w:val="00C47B82"/>
    <w:rsid w:val="00C5019B"/>
    <w:rsid w:val="00C505DD"/>
    <w:rsid w:val="00C50A04"/>
    <w:rsid w:val="00C50A45"/>
    <w:rsid w:val="00C50C47"/>
    <w:rsid w:val="00C50F80"/>
    <w:rsid w:val="00C5111A"/>
    <w:rsid w:val="00C51438"/>
    <w:rsid w:val="00C517DD"/>
    <w:rsid w:val="00C51ADB"/>
    <w:rsid w:val="00C51F5D"/>
    <w:rsid w:val="00C520E7"/>
    <w:rsid w:val="00C52387"/>
    <w:rsid w:val="00C52715"/>
    <w:rsid w:val="00C52844"/>
    <w:rsid w:val="00C52B61"/>
    <w:rsid w:val="00C52F06"/>
    <w:rsid w:val="00C52FAA"/>
    <w:rsid w:val="00C52FF5"/>
    <w:rsid w:val="00C5300B"/>
    <w:rsid w:val="00C5336B"/>
    <w:rsid w:val="00C53374"/>
    <w:rsid w:val="00C53CDC"/>
    <w:rsid w:val="00C53E20"/>
    <w:rsid w:val="00C53F45"/>
    <w:rsid w:val="00C543B8"/>
    <w:rsid w:val="00C543DC"/>
    <w:rsid w:val="00C543E0"/>
    <w:rsid w:val="00C54A29"/>
    <w:rsid w:val="00C54E87"/>
    <w:rsid w:val="00C5508E"/>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6CC"/>
    <w:rsid w:val="00C62E22"/>
    <w:rsid w:val="00C62EE1"/>
    <w:rsid w:val="00C63273"/>
    <w:rsid w:val="00C633F8"/>
    <w:rsid w:val="00C6385B"/>
    <w:rsid w:val="00C63A57"/>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09A"/>
    <w:rsid w:val="00C66215"/>
    <w:rsid w:val="00C665EB"/>
    <w:rsid w:val="00C66A75"/>
    <w:rsid w:val="00C66AEB"/>
    <w:rsid w:val="00C66C3D"/>
    <w:rsid w:val="00C66E98"/>
    <w:rsid w:val="00C67311"/>
    <w:rsid w:val="00C674D0"/>
    <w:rsid w:val="00C674E0"/>
    <w:rsid w:val="00C67571"/>
    <w:rsid w:val="00C679C3"/>
    <w:rsid w:val="00C67BEF"/>
    <w:rsid w:val="00C67FD2"/>
    <w:rsid w:val="00C70299"/>
    <w:rsid w:val="00C702A3"/>
    <w:rsid w:val="00C70311"/>
    <w:rsid w:val="00C70436"/>
    <w:rsid w:val="00C7054F"/>
    <w:rsid w:val="00C705E1"/>
    <w:rsid w:val="00C712EE"/>
    <w:rsid w:val="00C718F2"/>
    <w:rsid w:val="00C71A03"/>
    <w:rsid w:val="00C71BD8"/>
    <w:rsid w:val="00C71C2F"/>
    <w:rsid w:val="00C71EB4"/>
    <w:rsid w:val="00C7224A"/>
    <w:rsid w:val="00C729E7"/>
    <w:rsid w:val="00C72B9C"/>
    <w:rsid w:val="00C72DF7"/>
    <w:rsid w:val="00C72F0A"/>
    <w:rsid w:val="00C730EE"/>
    <w:rsid w:val="00C73416"/>
    <w:rsid w:val="00C7350A"/>
    <w:rsid w:val="00C739D6"/>
    <w:rsid w:val="00C7405C"/>
    <w:rsid w:val="00C74128"/>
    <w:rsid w:val="00C74217"/>
    <w:rsid w:val="00C7430F"/>
    <w:rsid w:val="00C74C3E"/>
    <w:rsid w:val="00C75397"/>
    <w:rsid w:val="00C766F4"/>
    <w:rsid w:val="00C769B4"/>
    <w:rsid w:val="00C77F31"/>
    <w:rsid w:val="00C80175"/>
    <w:rsid w:val="00C80AAB"/>
    <w:rsid w:val="00C80C8B"/>
    <w:rsid w:val="00C8131B"/>
    <w:rsid w:val="00C8139C"/>
    <w:rsid w:val="00C815C8"/>
    <w:rsid w:val="00C8199B"/>
    <w:rsid w:val="00C81C20"/>
    <w:rsid w:val="00C81D0B"/>
    <w:rsid w:val="00C82B27"/>
    <w:rsid w:val="00C82CE3"/>
    <w:rsid w:val="00C831D9"/>
    <w:rsid w:val="00C83391"/>
    <w:rsid w:val="00C83744"/>
    <w:rsid w:val="00C838FB"/>
    <w:rsid w:val="00C83EF9"/>
    <w:rsid w:val="00C845F6"/>
    <w:rsid w:val="00C86053"/>
    <w:rsid w:val="00C86146"/>
    <w:rsid w:val="00C86E01"/>
    <w:rsid w:val="00C874D9"/>
    <w:rsid w:val="00C87730"/>
    <w:rsid w:val="00C8773E"/>
    <w:rsid w:val="00C87BC6"/>
    <w:rsid w:val="00C9014C"/>
    <w:rsid w:val="00C9083F"/>
    <w:rsid w:val="00C90A34"/>
    <w:rsid w:val="00C90C50"/>
    <w:rsid w:val="00C90FF5"/>
    <w:rsid w:val="00C91C74"/>
    <w:rsid w:val="00C920E6"/>
    <w:rsid w:val="00C9210C"/>
    <w:rsid w:val="00C92204"/>
    <w:rsid w:val="00C929A6"/>
    <w:rsid w:val="00C92B4A"/>
    <w:rsid w:val="00C92E8E"/>
    <w:rsid w:val="00C92EC0"/>
    <w:rsid w:val="00C92ED6"/>
    <w:rsid w:val="00C93215"/>
    <w:rsid w:val="00C935B1"/>
    <w:rsid w:val="00C936DF"/>
    <w:rsid w:val="00C9376E"/>
    <w:rsid w:val="00C93A1C"/>
    <w:rsid w:val="00C94ADD"/>
    <w:rsid w:val="00C94F09"/>
    <w:rsid w:val="00C94F66"/>
    <w:rsid w:val="00C9552B"/>
    <w:rsid w:val="00C95770"/>
    <w:rsid w:val="00C95B74"/>
    <w:rsid w:val="00C96000"/>
    <w:rsid w:val="00C96035"/>
    <w:rsid w:val="00C96099"/>
    <w:rsid w:val="00C960A5"/>
    <w:rsid w:val="00C962AC"/>
    <w:rsid w:val="00C96D29"/>
    <w:rsid w:val="00C96E85"/>
    <w:rsid w:val="00C97539"/>
    <w:rsid w:val="00C97EEF"/>
    <w:rsid w:val="00CA0114"/>
    <w:rsid w:val="00CA148E"/>
    <w:rsid w:val="00CA1A95"/>
    <w:rsid w:val="00CA1C15"/>
    <w:rsid w:val="00CA2395"/>
    <w:rsid w:val="00CA29CB"/>
    <w:rsid w:val="00CA2B13"/>
    <w:rsid w:val="00CA2CDF"/>
    <w:rsid w:val="00CA3042"/>
    <w:rsid w:val="00CA37CC"/>
    <w:rsid w:val="00CA38DD"/>
    <w:rsid w:val="00CA3AEB"/>
    <w:rsid w:val="00CA3B44"/>
    <w:rsid w:val="00CA4071"/>
    <w:rsid w:val="00CA4079"/>
    <w:rsid w:val="00CA433D"/>
    <w:rsid w:val="00CA4509"/>
    <w:rsid w:val="00CA451B"/>
    <w:rsid w:val="00CA4B44"/>
    <w:rsid w:val="00CA502C"/>
    <w:rsid w:val="00CA5D9B"/>
    <w:rsid w:val="00CA5E7C"/>
    <w:rsid w:val="00CA5E7D"/>
    <w:rsid w:val="00CA6059"/>
    <w:rsid w:val="00CA6B17"/>
    <w:rsid w:val="00CA6D08"/>
    <w:rsid w:val="00CA6D85"/>
    <w:rsid w:val="00CA71DD"/>
    <w:rsid w:val="00CA73DD"/>
    <w:rsid w:val="00CA74CA"/>
    <w:rsid w:val="00CA7E2A"/>
    <w:rsid w:val="00CA7F04"/>
    <w:rsid w:val="00CB07FB"/>
    <w:rsid w:val="00CB0B32"/>
    <w:rsid w:val="00CB0BEB"/>
    <w:rsid w:val="00CB0CD7"/>
    <w:rsid w:val="00CB0D7B"/>
    <w:rsid w:val="00CB1174"/>
    <w:rsid w:val="00CB137F"/>
    <w:rsid w:val="00CB13CC"/>
    <w:rsid w:val="00CB16DD"/>
    <w:rsid w:val="00CB174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5CB"/>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0BE9"/>
    <w:rsid w:val="00CC12AA"/>
    <w:rsid w:val="00CC1F01"/>
    <w:rsid w:val="00CC1F13"/>
    <w:rsid w:val="00CC26E3"/>
    <w:rsid w:val="00CC2DC3"/>
    <w:rsid w:val="00CC2E40"/>
    <w:rsid w:val="00CC3060"/>
    <w:rsid w:val="00CC3063"/>
    <w:rsid w:val="00CC361D"/>
    <w:rsid w:val="00CC3BDD"/>
    <w:rsid w:val="00CC3C32"/>
    <w:rsid w:val="00CC3C5F"/>
    <w:rsid w:val="00CC431A"/>
    <w:rsid w:val="00CC469B"/>
    <w:rsid w:val="00CC48C2"/>
    <w:rsid w:val="00CC51AD"/>
    <w:rsid w:val="00CC5501"/>
    <w:rsid w:val="00CC59D1"/>
    <w:rsid w:val="00CC5F14"/>
    <w:rsid w:val="00CC61AB"/>
    <w:rsid w:val="00CC698C"/>
    <w:rsid w:val="00CC75F3"/>
    <w:rsid w:val="00CC7682"/>
    <w:rsid w:val="00CC7CE8"/>
    <w:rsid w:val="00CD01BD"/>
    <w:rsid w:val="00CD01D7"/>
    <w:rsid w:val="00CD0295"/>
    <w:rsid w:val="00CD03C1"/>
    <w:rsid w:val="00CD0414"/>
    <w:rsid w:val="00CD05AD"/>
    <w:rsid w:val="00CD0682"/>
    <w:rsid w:val="00CD08E8"/>
    <w:rsid w:val="00CD0964"/>
    <w:rsid w:val="00CD10B8"/>
    <w:rsid w:val="00CD129C"/>
    <w:rsid w:val="00CD1461"/>
    <w:rsid w:val="00CD1473"/>
    <w:rsid w:val="00CD1956"/>
    <w:rsid w:val="00CD1A9F"/>
    <w:rsid w:val="00CD1B05"/>
    <w:rsid w:val="00CD2474"/>
    <w:rsid w:val="00CD251F"/>
    <w:rsid w:val="00CD2571"/>
    <w:rsid w:val="00CD26E2"/>
    <w:rsid w:val="00CD2807"/>
    <w:rsid w:val="00CD34E7"/>
    <w:rsid w:val="00CD3687"/>
    <w:rsid w:val="00CD3738"/>
    <w:rsid w:val="00CD37AA"/>
    <w:rsid w:val="00CD3F18"/>
    <w:rsid w:val="00CD40D4"/>
    <w:rsid w:val="00CD490A"/>
    <w:rsid w:val="00CD4C30"/>
    <w:rsid w:val="00CD4C74"/>
    <w:rsid w:val="00CD505A"/>
    <w:rsid w:val="00CD5B5C"/>
    <w:rsid w:val="00CD5BFD"/>
    <w:rsid w:val="00CD5E37"/>
    <w:rsid w:val="00CD5FFF"/>
    <w:rsid w:val="00CD6354"/>
    <w:rsid w:val="00CD63E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1E4F"/>
    <w:rsid w:val="00CE1ED9"/>
    <w:rsid w:val="00CE23B2"/>
    <w:rsid w:val="00CE26CF"/>
    <w:rsid w:val="00CE2754"/>
    <w:rsid w:val="00CE2C2C"/>
    <w:rsid w:val="00CE300F"/>
    <w:rsid w:val="00CE3039"/>
    <w:rsid w:val="00CE35C8"/>
    <w:rsid w:val="00CE40A6"/>
    <w:rsid w:val="00CE4280"/>
    <w:rsid w:val="00CE4322"/>
    <w:rsid w:val="00CE45F8"/>
    <w:rsid w:val="00CE4603"/>
    <w:rsid w:val="00CE47E6"/>
    <w:rsid w:val="00CE4A3B"/>
    <w:rsid w:val="00CE4B91"/>
    <w:rsid w:val="00CE4F59"/>
    <w:rsid w:val="00CE4FC4"/>
    <w:rsid w:val="00CE5841"/>
    <w:rsid w:val="00CE5D6F"/>
    <w:rsid w:val="00CE5FC2"/>
    <w:rsid w:val="00CE642E"/>
    <w:rsid w:val="00CE6902"/>
    <w:rsid w:val="00CE6BA7"/>
    <w:rsid w:val="00CE70E8"/>
    <w:rsid w:val="00CE7343"/>
    <w:rsid w:val="00CE7950"/>
    <w:rsid w:val="00CF0698"/>
    <w:rsid w:val="00CF0780"/>
    <w:rsid w:val="00CF0C07"/>
    <w:rsid w:val="00CF1F07"/>
    <w:rsid w:val="00CF1F61"/>
    <w:rsid w:val="00CF21FD"/>
    <w:rsid w:val="00CF2A1D"/>
    <w:rsid w:val="00CF2C7C"/>
    <w:rsid w:val="00CF2D0B"/>
    <w:rsid w:val="00CF30D1"/>
    <w:rsid w:val="00CF3198"/>
    <w:rsid w:val="00CF31BE"/>
    <w:rsid w:val="00CF31FA"/>
    <w:rsid w:val="00CF342B"/>
    <w:rsid w:val="00CF37B4"/>
    <w:rsid w:val="00CF3BA0"/>
    <w:rsid w:val="00CF3BCB"/>
    <w:rsid w:val="00CF42F7"/>
    <w:rsid w:val="00CF4B83"/>
    <w:rsid w:val="00CF4ED1"/>
    <w:rsid w:val="00CF513F"/>
    <w:rsid w:val="00CF545D"/>
    <w:rsid w:val="00CF567E"/>
    <w:rsid w:val="00CF56B0"/>
    <w:rsid w:val="00CF57F5"/>
    <w:rsid w:val="00CF5CF0"/>
    <w:rsid w:val="00CF6058"/>
    <w:rsid w:val="00CF65EB"/>
    <w:rsid w:val="00CF6ED4"/>
    <w:rsid w:val="00CF71B5"/>
    <w:rsid w:val="00CF7220"/>
    <w:rsid w:val="00CF7585"/>
    <w:rsid w:val="00CF786A"/>
    <w:rsid w:val="00CF78E8"/>
    <w:rsid w:val="00CF7987"/>
    <w:rsid w:val="00CF7B9A"/>
    <w:rsid w:val="00D00070"/>
    <w:rsid w:val="00D00679"/>
    <w:rsid w:val="00D007BF"/>
    <w:rsid w:val="00D009C5"/>
    <w:rsid w:val="00D009E8"/>
    <w:rsid w:val="00D00CC6"/>
    <w:rsid w:val="00D00E4C"/>
    <w:rsid w:val="00D00FCA"/>
    <w:rsid w:val="00D0115A"/>
    <w:rsid w:val="00D014C5"/>
    <w:rsid w:val="00D0154A"/>
    <w:rsid w:val="00D01A12"/>
    <w:rsid w:val="00D01BE3"/>
    <w:rsid w:val="00D01E78"/>
    <w:rsid w:val="00D01FF0"/>
    <w:rsid w:val="00D02193"/>
    <w:rsid w:val="00D021AD"/>
    <w:rsid w:val="00D02DED"/>
    <w:rsid w:val="00D0306D"/>
    <w:rsid w:val="00D0341F"/>
    <w:rsid w:val="00D03440"/>
    <w:rsid w:val="00D03772"/>
    <w:rsid w:val="00D03867"/>
    <w:rsid w:val="00D04130"/>
    <w:rsid w:val="00D0508E"/>
    <w:rsid w:val="00D051E0"/>
    <w:rsid w:val="00D0534E"/>
    <w:rsid w:val="00D056FD"/>
    <w:rsid w:val="00D05CF3"/>
    <w:rsid w:val="00D05D76"/>
    <w:rsid w:val="00D06199"/>
    <w:rsid w:val="00D062C4"/>
    <w:rsid w:val="00D06701"/>
    <w:rsid w:val="00D067D9"/>
    <w:rsid w:val="00D06E21"/>
    <w:rsid w:val="00D071B0"/>
    <w:rsid w:val="00D071C6"/>
    <w:rsid w:val="00D0722F"/>
    <w:rsid w:val="00D07A99"/>
    <w:rsid w:val="00D07C83"/>
    <w:rsid w:val="00D10259"/>
    <w:rsid w:val="00D10306"/>
    <w:rsid w:val="00D1045A"/>
    <w:rsid w:val="00D10670"/>
    <w:rsid w:val="00D108A5"/>
    <w:rsid w:val="00D10F23"/>
    <w:rsid w:val="00D11530"/>
    <w:rsid w:val="00D116A8"/>
    <w:rsid w:val="00D11830"/>
    <w:rsid w:val="00D11D5E"/>
    <w:rsid w:val="00D12343"/>
    <w:rsid w:val="00D1244B"/>
    <w:rsid w:val="00D1247A"/>
    <w:rsid w:val="00D12491"/>
    <w:rsid w:val="00D124C1"/>
    <w:rsid w:val="00D12D15"/>
    <w:rsid w:val="00D12D9D"/>
    <w:rsid w:val="00D12DAF"/>
    <w:rsid w:val="00D12E31"/>
    <w:rsid w:val="00D13239"/>
    <w:rsid w:val="00D1335A"/>
    <w:rsid w:val="00D134E1"/>
    <w:rsid w:val="00D1352E"/>
    <w:rsid w:val="00D13545"/>
    <w:rsid w:val="00D13F08"/>
    <w:rsid w:val="00D14273"/>
    <w:rsid w:val="00D147E8"/>
    <w:rsid w:val="00D14985"/>
    <w:rsid w:val="00D14A2D"/>
    <w:rsid w:val="00D14B5F"/>
    <w:rsid w:val="00D15D13"/>
    <w:rsid w:val="00D15D8E"/>
    <w:rsid w:val="00D16236"/>
    <w:rsid w:val="00D1659D"/>
    <w:rsid w:val="00D16668"/>
    <w:rsid w:val="00D17389"/>
    <w:rsid w:val="00D174AB"/>
    <w:rsid w:val="00D17804"/>
    <w:rsid w:val="00D179C1"/>
    <w:rsid w:val="00D17B1B"/>
    <w:rsid w:val="00D17D6B"/>
    <w:rsid w:val="00D17D7C"/>
    <w:rsid w:val="00D203A5"/>
    <w:rsid w:val="00D204AA"/>
    <w:rsid w:val="00D2075C"/>
    <w:rsid w:val="00D20E51"/>
    <w:rsid w:val="00D20EAD"/>
    <w:rsid w:val="00D21210"/>
    <w:rsid w:val="00D217FF"/>
    <w:rsid w:val="00D21C07"/>
    <w:rsid w:val="00D22295"/>
    <w:rsid w:val="00D2258D"/>
    <w:rsid w:val="00D227E7"/>
    <w:rsid w:val="00D228D9"/>
    <w:rsid w:val="00D22EE1"/>
    <w:rsid w:val="00D22F93"/>
    <w:rsid w:val="00D237AB"/>
    <w:rsid w:val="00D23CFB"/>
    <w:rsid w:val="00D23E84"/>
    <w:rsid w:val="00D2407D"/>
    <w:rsid w:val="00D24853"/>
    <w:rsid w:val="00D24CE5"/>
    <w:rsid w:val="00D24EF7"/>
    <w:rsid w:val="00D25636"/>
    <w:rsid w:val="00D2589A"/>
    <w:rsid w:val="00D25F0D"/>
    <w:rsid w:val="00D26205"/>
    <w:rsid w:val="00D269E9"/>
    <w:rsid w:val="00D26A3C"/>
    <w:rsid w:val="00D26B47"/>
    <w:rsid w:val="00D2703B"/>
    <w:rsid w:val="00D27121"/>
    <w:rsid w:val="00D271AA"/>
    <w:rsid w:val="00D272CD"/>
    <w:rsid w:val="00D27CB6"/>
    <w:rsid w:val="00D27DE4"/>
    <w:rsid w:val="00D30010"/>
    <w:rsid w:val="00D3006E"/>
    <w:rsid w:val="00D30458"/>
    <w:rsid w:val="00D30467"/>
    <w:rsid w:val="00D304D0"/>
    <w:rsid w:val="00D30916"/>
    <w:rsid w:val="00D3106B"/>
    <w:rsid w:val="00D310A2"/>
    <w:rsid w:val="00D31267"/>
    <w:rsid w:val="00D31607"/>
    <w:rsid w:val="00D31DBC"/>
    <w:rsid w:val="00D321CB"/>
    <w:rsid w:val="00D32427"/>
    <w:rsid w:val="00D3290F"/>
    <w:rsid w:val="00D32C98"/>
    <w:rsid w:val="00D32EC5"/>
    <w:rsid w:val="00D33330"/>
    <w:rsid w:val="00D3337C"/>
    <w:rsid w:val="00D339ED"/>
    <w:rsid w:val="00D347BF"/>
    <w:rsid w:val="00D34EE2"/>
    <w:rsid w:val="00D350DC"/>
    <w:rsid w:val="00D365FE"/>
    <w:rsid w:val="00D36961"/>
    <w:rsid w:val="00D36C3D"/>
    <w:rsid w:val="00D36D1F"/>
    <w:rsid w:val="00D37153"/>
    <w:rsid w:val="00D37774"/>
    <w:rsid w:val="00D37830"/>
    <w:rsid w:val="00D378ED"/>
    <w:rsid w:val="00D37A77"/>
    <w:rsid w:val="00D403A3"/>
    <w:rsid w:val="00D40D27"/>
    <w:rsid w:val="00D40DC9"/>
    <w:rsid w:val="00D413C0"/>
    <w:rsid w:val="00D4149C"/>
    <w:rsid w:val="00D4153D"/>
    <w:rsid w:val="00D41708"/>
    <w:rsid w:val="00D4170E"/>
    <w:rsid w:val="00D420B1"/>
    <w:rsid w:val="00D4291B"/>
    <w:rsid w:val="00D42B61"/>
    <w:rsid w:val="00D42C9A"/>
    <w:rsid w:val="00D42D7F"/>
    <w:rsid w:val="00D42F3B"/>
    <w:rsid w:val="00D430A3"/>
    <w:rsid w:val="00D430B1"/>
    <w:rsid w:val="00D430F7"/>
    <w:rsid w:val="00D434A6"/>
    <w:rsid w:val="00D43BF4"/>
    <w:rsid w:val="00D43D67"/>
    <w:rsid w:val="00D43DC3"/>
    <w:rsid w:val="00D44545"/>
    <w:rsid w:val="00D445D3"/>
    <w:rsid w:val="00D44663"/>
    <w:rsid w:val="00D44684"/>
    <w:rsid w:val="00D44C8D"/>
    <w:rsid w:val="00D451CC"/>
    <w:rsid w:val="00D45354"/>
    <w:rsid w:val="00D45931"/>
    <w:rsid w:val="00D45C06"/>
    <w:rsid w:val="00D45D9D"/>
    <w:rsid w:val="00D45F8E"/>
    <w:rsid w:val="00D45FF1"/>
    <w:rsid w:val="00D4614A"/>
    <w:rsid w:val="00D46614"/>
    <w:rsid w:val="00D4674B"/>
    <w:rsid w:val="00D46E40"/>
    <w:rsid w:val="00D46F9C"/>
    <w:rsid w:val="00D47097"/>
    <w:rsid w:val="00D4714A"/>
    <w:rsid w:val="00D504B7"/>
    <w:rsid w:val="00D50A45"/>
    <w:rsid w:val="00D50C12"/>
    <w:rsid w:val="00D5140D"/>
    <w:rsid w:val="00D517B3"/>
    <w:rsid w:val="00D521F2"/>
    <w:rsid w:val="00D5237A"/>
    <w:rsid w:val="00D529A8"/>
    <w:rsid w:val="00D53326"/>
    <w:rsid w:val="00D5335D"/>
    <w:rsid w:val="00D53654"/>
    <w:rsid w:val="00D53C0F"/>
    <w:rsid w:val="00D53F51"/>
    <w:rsid w:val="00D541C5"/>
    <w:rsid w:val="00D54D2C"/>
    <w:rsid w:val="00D54FE2"/>
    <w:rsid w:val="00D5517A"/>
    <w:rsid w:val="00D554E1"/>
    <w:rsid w:val="00D55B1E"/>
    <w:rsid w:val="00D55E64"/>
    <w:rsid w:val="00D56258"/>
    <w:rsid w:val="00D56745"/>
    <w:rsid w:val="00D56A90"/>
    <w:rsid w:val="00D56B39"/>
    <w:rsid w:val="00D572C8"/>
    <w:rsid w:val="00D57F70"/>
    <w:rsid w:val="00D6012E"/>
    <w:rsid w:val="00D6027F"/>
    <w:rsid w:val="00D604FA"/>
    <w:rsid w:val="00D607BF"/>
    <w:rsid w:val="00D60E18"/>
    <w:rsid w:val="00D61159"/>
    <w:rsid w:val="00D612F9"/>
    <w:rsid w:val="00D616A5"/>
    <w:rsid w:val="00D618E6"/>
    <w:rsid w:val="00D61C8E"/>
    <w:rsid w:val="00D6283C"/>
    <w:rsid w:val="00D62B06"/>
    <w:rsid w:val="00D62C7A"/>
    <w:rsid w:val="00D633C0"/>
    <w:rsid w:val="00D63471"/>
    <w:rsid w:val="00D634FF"/>
    <w:rsid w:val="00D6358E"/>
    <w:rsid w:val="00D63D16"/>
    <w:rsid w:val="00D63E8B"/>
    <w:rsid w:val="00D64360"/>
    <w:rsid w:val="00D645FB"/>
    <w:rsid w:val="00D64AE4"/>
    <w:rsid w:val="00D64ECF"/>
    <w:rsid w:val="00D65353"/>
    <w:rsid w:val="00D656BF"/>
    <w:rsid w:val="00D65A59"/>
    <w:rsid w:val="00D65EED"/>
    <w:rsid w:val="00D65F40"/>
    <w:rsid w:val="00D660C9"/>
    <w:rsid w:val="00D6658D"/>
    <w:rsid w:val="00D66626"/>
    <w:rsid w:val="00D66630"/>
    <w:rsid w:val="00D66B42"/>
    <w:rsid w:val="00D66FF4"/>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D74"/>
    <w:rsid w:val="00D73F03"/>
    <w:rsid w:val="00D740BC"/>
    <w:rsid w:val="00D7441C"/>
    <w:rsid w:val="00D7442A"/>
    <w:rsid w:val="00D74B0D"/>
    <w:rsid w:val="00D750DB"/>
    <w:rsid w:val="00D75D0A"/>
    <w:rsid w:val="00D760DA"/>
    <w:rsid w:val="00D76126"/>
    <w:rsid w:val="00D76194"/>
    <w:rsid w:val="00D76767"/>
    <w:rsid w:val="00D7679B"/>
    <w:rsid w:val="00D76FEA"/>
    <w:rsid w:val="00D7726F"/>
    <w:rsid w:val="00D7756C"/>
    <w:rsid w:val="00D776D0"/>
    <w:rsid w:val="00D77A80"/>
    <w:rsid w:val="00D77A87"/>
    <w:rsid w:val="00D80097"/>
    <w:rsid w:val="00D8014C"/>
    <w:rsid w:val="00D80694"/>
    <w:rsid w:val="00D8092B"/>
    <w:rsid w:val="00D80C07"/>
    <w:rsid w:val="00D80D4B"/>
    <w:rsid w:val="00D80E99"/>
    <w:rsid w:val="00D80F0D"/>
    <w:rsid w:val="00D816B1"/>
    <w:rsid w:val="00D816BE"/>
    <w:rsid w:val="00D81A3A"/>
    <w:rsid w:val="00D81BD1"/>
    <w:rsid w:val="00D81BED"/>
    <w:rsid w:val="00D81E7F"/>
    <w:rsid w:val="00D81EC8"/>
    <w:rsid w:val="00D82088"/>
    <w:rsid w:val="00D82355"/>
    <w:rsid w:val="00D82419"/>
    <w:rsid w:val="00D82CC7"/>
    <w:rsid w:val="00D82E54"/>
    <w:rsid w:val="00D8309F"/>
    <w:rsid w:val="00D83C33"/>
    <w:rsid w:val="00D83E8F"/>
    <w:rsid w:val="00D84383"/>
    <w:rsid w:val="00D843AF"/>
    <w:rsid w:val="00D84F4F"/>
    <w:rsid w:val="00D85071"/>
    <w:rsid w:val="00D8518E"/>
    <w:rsid w:val="00D85367"/>
    <w:rsid w:val="00D854D9"/>
    <w:rsid w:val="00D85C11"/>
    <w:rsid w:val="00D85DBC"/>
    <w:rsid w:val="00D85E16"/>
    <w:rsid w:val="00D85F93"/>
    <w:rsid w:val="00D86239"/>
    <w:rsid w:val="00D866F3"/>
    <w:rsid w:val="00D866FA"/>
    <w:rsid w:val="00D8673D"/>
    <w:rsid w:val="00D86A9E"/>
    <w:rsid w:val="00D86B2C"/>
    <w:rsid w:val="00D8721D"/>
    <w:rsid w:val="00D87427"/>
    <w:rsid w:val="00D8746D"/>
    <w:rsid w:val="00D87528"/>
    <w:rsid w:val="00D87661"/>
    <w:rsid w:val="00D87A47"/>
    <w:rsid w:val="00D87CA9"/>
    <w:rsid w:val="00D87F31"/>
    <w:rsid w:val="00D9001F"/>
    <w:rsid w:val="00D90027"/>
    <w:rsid w:val="00D90839"/>
    <w:rsid w:val="00D909DC"/>
    <w:rsid w:val="00D90E6B"/>
    <w:rsid w:val="00D910DF"/>
    <w:rsid w:val="00D91259"/>
    <w:rsid w:val="00D91580"/>
    <w:rsid w:val="00D923E0"/>
    <w:rsid w:val="00D92917"/>
    <w:rsid w:val="00D92AB4"/>
    <w:rsid w:val="00D92D30"/>
    <w:rsid w:val="00D92E30"/>
    <w:rsid w:val="00D93236"/>
    <w:rsid w:val="00D934C5"/>
    <w:rsid w:val="00D93A0F"/>
    <w:rsid w:val="00D93D6D"/>
    <w:rsid w:val="00D93EF0"/>
    <w:rsid w:val="00D946C7"/>
    <w:rsid w:val="00D94D9F"/>
    <w:rsid w:val="00D94E7E"/>
    <w:rsid w:val="00D94EFA"/>
    <w:rsid w:val="00D9521E"/>
    <w:rsid w:val="00D95DD1"/>
    <w:rsid w:val="00D95EF2"/>
    <w:rsid w:val="00D95FBE"/>
    <w:rsid w:val="00D965CE"/>
    <w:rsid w:val="00D969A0"/>
    <w:rsid w:val="00D96F12"/>
    <w:rsid w:val="00D972DF"/>
    <w:rsid w:val="00D973A1"/>
    <w:rsid w:val="00D975A6"/>
    <w:rsid w:val="00D97C16"/>
    <w:rsid w:val="00D97DB8"/>
    <w:rsid w:val="00D97DBE"/>
    <w:rsid w:val="00D97E57"/>
    <w:rsid w:val="00D97F91"/>
    <w:rsid w:val="00D97FC9"/>
    <w:rsid w:val="00DA01B1"/>
    <w:rsid w:val="00DA01FD"/>
    <w:rsid w:val="00DA0DA5"/>
    <w:rsid w:val="00DA0E27"/>
    <w:rsid w:val="00DA0FCF"/>
    <w:rsid w:val="00DA1568"/>
    <w:rsid w:val="00DA15E8"/>
    <w:rsid w:val="00DA2869"/>
    <w:rsid w:val="00DA309A"/>
    <w:rsid w:val="00DA4329"/>
    <w:rsid w:val="00DA4811"/>
    <w:rsid w:val="00DA48AB"/>
    <w:rsid w:val="00DA4986"/>
    <w:rsid w:val="00DA4D60"/>
    <w:rsid w:val="00DA4D6D"/>
    <w:rsid w:val="00DA5269"/>
    <w:rsid w:val="00DA57E6"/>
    <w:rsid w:val="00DA58B8"/>
    <w:rsid w:val="00DA59D7"/>
    <w:rsid w:val="00DA5F1B"/>
    <w:rsid w:val="00DA5F41"/>
    <w:rsid w:val="00DA6454"/>
    <w:rsid w:val="00DA654D"/>
    <w:rsid w:val="00DA6871"/>
    <w:rsid w:val="00DA6985"/>
    <w:rsid w:val="00DA72E1"/>
    <w:rsid w:val="00DA79A0"/>
    <w:rsid w:val="00DA7E1A"/>
    <w:rsid w:val="00DA7E87"/>
    <w:rsid w:val="00DB098B"/>
    <w:rsid w:val="00DB0BC8"/>
    <w:rsid w:val="00DB1127"/>
    <w:rsid w:val="00DB14C3"/>
    <w:rsid w:val="00DB1CE3"/>
    <w:rsid w:val="00DB207F"/>
    <w:rsid w:val="00DB27DB"/>
    <w:rsid w:val="00DB2D8C"/>
    <w:rsid w:val="00DB2ED7"/>
    <w:rsid w:val="00DB34CE"/>
    <w:rsid w:val="00DB3C1C"/>
    <w:rsid w:val="00DB3C34"/>
    <w:rsid w:val="00DB3CC4"/>
    <w:rsid w:val="00DB3F1F"/>
    <w:rsid w:val="00DB4404"/>
    <w:rsid w:val="00DB4AD2"/>
    <w:rsid w:val="00DB5A4F"/>
    <w:rsid w:val="00DB6155"/>
    <w:rsid w:val="00DB6261"/>
    <w:rsid w:val="00DB668C"/>
    <w:rsid w:val="00DB6BE0"/>
    <w:rsid w:val="00DB6F0A"/>
    <w:rsid w:val="00DB702F"/>
    <w:rsid w:val="00DB74EF"/>
    <w:rsid w:val="00DB7A7E"/>
    <w:rsid w:val="00DC00E0"/>
    <w:rsid w:val="00DC03C1"/>
    <w:rsid w:val="00DC0494"/>
    <w:rsid w:val="00DC0865"/>
    <w:rsid w:val="00DC0B02"/>
    <w:rsid w:val="00DC0B41"/>
    <w:rsid w:val="00DC0FF3"/>
    <w:rsid w:val="00DC18A3"/>
    <w:rsid w:val="00DC1A8B"/>
    <w:rsid w:val="00DC1C56"/>
    <w:rsid w:val="00DC2047"/>
    <w:rsid w:val="00DC230A"/>
    <w:rsid w:val="00DC2329"/>
    <w:rsid w:val="00DC295A"/>
    <w:rsid w:val="00DC2A70"/>
    <w:rsid w:val="00DC2C6B"/>
    <w:rsid w:val="00DC2C86"/>
    <w:rsid w:val="00DC2FAA"/>
    <w:rsid w:val="00DC40B9"/>
    <w:rsid w:val="00DC4157"/>
    <w:rsid w:val="00DC4235"/>
    <w:rsid w:val="00DC457B"/>
    <w:rsid w:val="00DC46CE"/>
    <w:rsid w:val="00DC4CE7"/>
    <w:rsid w:val="00DC5157"/>
    <w:rsid w:val="00DC57F6"/>
    <w:rsid w:val="00DC5D83"/>
    <w:rsid w:val="00DC657A"/>
    <w:rsid w:val="00DC66F6"/>
    <w:rsid w:val="00DC6A70"/>
    <w:rsid w:val="00DC6D07"/>
    <w:rsid w:val="00DC6DAF"/>
    <w:rsid w:val="00DC721A"/>
    <w:rsid w:val="00DC75A0"/>
    <w:rsid w:val="00DC78B2"/>
    <w:rsid w:val="00DC7F91"/>
    <w:rsid w:val="00DD0261"/>
    <w:rsid w:val="00DD0A07"/>
    <w:rsid w:val="00DD13F0"/>
    <w:rsid w:val="00DD18B2"/>
    <w:rsid w:val="00DD1916"/>
    <w:rsid w:val="00DD1C06"/>
    <w:rsid w:val="00DD1F0D"/>
    <w:rsid w:val="00DD233B"/>
    <w:rsid w:val="00DD26D2"/>
    <w:rsid w:val="00DD28CD"/>
    <w:rsid w:val="00DD2A83"/>
    <w:rsid w:val="00DD2E77"/>
    <w:rsid w:val="00DD2F06"/>
    <w:rsid w:val="00DD3005"/>
    <w:rsid w:val="00DD3006"/>
    <w:rsid w:val="00DD34A2"/>
    <w:rsid w:val="00DD3944"/>
    <w:rsid w:val="00DD3F1D"/>
    <w:rsid w:val="00DD4095"/>
    <w:rsid w:val="00DD4206"/>
    <w:rsid w:val="00DD42DA"/>
    <w:rsid w:val="00DD5017"/>
    <w:rsid w:val="00DD5187"/>
    <w:rsid w:val="00DD584E"/>
    <w:rsid w:val="00DD5FA4"/>
    <w:rsid w:val="00DD65D8"/>
    <w:rsid w:val="00DD6D82"/>
    <w:rsid w:val="00DD72D5"/>
    <w:rsid w:val="00DD771F"/>
    <w:rsid w:val="00DE0101"/>
    <w:rsid w:val="00DE0375"/>
    <w:rsid w:val="00DE068F"/>
    <w:rsid w:val="00DE10FC"/>
    <w:rsid w:val="00DE14C2"/>
    <w:rsid w:val="00DE1900"/>
    <w:rsid w:val="00DE1B0F"/>
    <w:rsid w:val="00DE2309"/>
    <w:rsid w:val="00DE2B37"/>
    <w:rsid w:val="00DE33DE"/>
    <w:rsid w:val="00DE351C"/>
    <w:rsid w:val="00DE359F"/>
    <w:rsid w:val="00DE47AF"/>
    <w:rsid w:val="00DE4B44"/>
    <w:rsid w:val="00DE4D8C"/>
    <w:rsid w:val="00DE59F6"/>
    <w:rsid w:val="00DE5E6F"/>
    <w:rsid w:val="00DE60BA"/>
    <w:rsid w:val="00DE61CA"/>
    <w:rsid w:val="00DE6732"/>
    <w:rsid w:val="00DE7145"/>
    <w:rsid w:val="00DE782C"/>
    <w:rsid w:val="00DF0006"/>
    <w:rsid w:val="00DF0325"/>
    <w:rsid w:val="00DF04F9"/>
    <w:rsid w:val="00DF071B"/>
    <w:rsid w:val="00DF0F23"/>
    <w:rsid w:val="00DF1AB2"/>
    <w:rsid w:val="00DF1DC6"/>
    <w:rsid w:val="00DF2CF5"/>
    <w:rsid w:val="00DF2F91"/>
    <w:rsid w:val="00DF3288"/>
    <w:rsid w:val="00DF3562"/>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1D9"/>
    <w:rsid w:val="00E0335D"/>
    <w:rsid w:val="00E03489"/>
    <w:rsid w:val="00E037D8"/>
    <w:rsid w:val="00E03C98"/>
    <w:rsid w:val="00E03D33"/>
    <w:rsid w:val="00E0400A"/>
    <w:rsid w:val="00E04501"/>
    <w:rsid w:val="00E048E1"/>
    <w:rsid w:val="00E048E6"/>
    <w:rsid w:val="00E048E7"/>
    <w:rsid w:val="00E0497E"/>
    <w:rsid w:val="00E0527C"/>
    <w:rsid w:val="00E05424"/>
    <w:rsid w:val="00E05472"/>
    <w:rsid w:val="00E05480"/>
    <w:rsid w:val="00E05FBC"/>
    <w:rsid w:val="00E06093"/>
    <w:rsid w:val="00E0622C"/>
    <w:rsid w:val="00E06577"/>
    <w:rsid w:val="00E0676A"/>
    <w:rsid w:val="00E06ED7"/>
    <w:rsid w:val="00E06EDB"/>
    <w:rsid w:val="00E07832"/>
    <w:rsid w:val="00E079B6"/>
    <w:rsid w:val="00E10281"/>
    <w:rsid w:val="00E108AF"/>
    <w:rsid w:val="00E10917"/>
    <w:rsid w:val="00E10B61"/>
    <w:rsid w:val="00E10F4A"/>
    <w:rsid w:val="00E10FA1"/>
    <w:rsid w:val="00E11272"/>
    <w:rsid w:val="00E11374"/>
    <w:rsid w:val="00E113EF"/>
    <w:rsid w:val="00E11471"/>
    <w:rsid w:val="00E11639"/>
    <w:rsid w:val="00E1176F"/>
    <w:rsid w:val="00E117A6"/>
    <w:rsid w:val="00E12051"/>
    <w:rsid w:val="00E12787"/>
    <w:rsid w:val="00E12A19"/>
    <w:rsid w:val="00E12DD7"/>
    <w:rsid w:val="00E132E8"/>
    <w:rsid w:val="00E1378A"/>
    <w:rsid w:val="00E1395F"/>
    <w:rsid w:val="00E13E57"/>
    <w:rsid w:val="00E14551"/>
    <w:rsid w:val="00E145B4"/>
    <w:rsid w:val="00E146DA"/>
    <w:rsid w:val="00E15194"/>
    <w:rsid w:val="00E15366"/>
    <w:rsid w:val="00E15678"/>
    <w:rsid w:val="00E1593C"/>
    <w:rsid w:val="00E15BA4"/>
    <w:rsid w:val="00E15D33"/>
    <w:rsid w:val="00E15FE2"/>
    <w:rsid w:val="00E1658B"/>
    <w:rsid w:val="00E16A8B"/>
    <w:rsid w:val="00E17292"/>
    <w:rsid w:val="00E177B4"/>
    <w:rsid w:val="00E17974"/>
    <w:rsid w:val="00E17B7A"/>
    <w:rsid w:val="00E17EC6"/>
    <w:rsid w:val="00E208E7"/>
    <w:rsid w:val="00E20A16"/>
    <w:rsid w:val="00E20B1A"/>
    <w:rsid w:val="00E20C03"/>
    <w:rsid w:val="00E20CA5"/>
    <w:rsid w:val="00E20E56"/>
    <w:rsid w:val="00E21058"/>
    <w:rsid w:val="00E214B6"/>
    <w:rsid w:val="00E21CAF"/>
    <w:rsid w:val="00E21D25"/>
    <w:rsid w:val="00E21E0B"/>
    <w:rsid w:val="00E21F34"/>
    <w:rsid w:val="00E2259C"/>
    <w:rsid w:val="00E22754"/>
    <w:rsid w:val="00E22E8D"/>
    <w:rsid w:val="00E23630"/>
    <w:rsid w:val="00E24533"/>
    <w:rsid w:val="00E24681"/>
    <w:rsid w:val="00E24DDF"/>
    <w:rsid w:val="00E24F76"/>
    <w:rsid w:val="00E250CA"/>
    <w:rsid w:val="00E250EC"/>
    <w:rsid w:val="00E251C6"/>
    <w:rsid w:val="00E252D9"/>
    <w:rsid w:val="00E253E7"/>
    <w:rsid w:val="00E25646"/>
    <w:rsid w:val="00E25E9C"/>
    <w:rsid w:val="00E2629E"/>
    <w:rsid w:val="00E26465"/>
    <w:rsid w:val="00E26BB9"/>
    <w:rsid w:val="00E26C22"/>
    <w:rsid w:val="00E27407"/>
    <w:rsid w:val="00E279D7"/>
    <w:rsid w:val="00E301BB"/>
    <w:rsid w:val="00E3083B"/>
    <w:rsid w:val="00E30A40"/>
    <w:rsid w:val="00E31501"/>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4C88"/>
    <w:rsid w:val="00E353C6"/>
    <w:rsid w:val="00E35482"/>
    <w:rsid w:val="00E3548E"/>
    <w:rsid w:val="00E3559B"/>
    <w:rsid w:val="00E35661"/>
    <w:rsid w:val="00E35D8E"/>
    <w:rsid w:val="00E35E11"/>
    <w:rsid w:val="00E363FB"/>
    <w:rsid w:val="00E370F7"/>
    <w:rsid w:val="00E3719B"/>
    <w:rsid w:val="00E3734A"/>
    <w:rsid w:val="00E37455"/>
    <w:rsid w:val="00E37A39"/>
    <w:rsid w:val="00E37D40"/>
    <w:rsid w:val="00E40188"/>
    <w:rsid w:val="00E405CB"/>
    <w:rsid w:val="00E40896"/>
    <w:rsid w:val="00E408C2"/>
    <w:rsid w:val="00E40D37"/>
    <w:rsid w:val="00E40D96"/>
    <w:rsid w:val="00E412FF"/>
    <w:rsid w:val="00E416E2"/>
    <w:rsid w:val="00E41808"/>
    <w:rsid w:val="00E424A9"/>
    <w:rsid w:val="00E428F5"/>
    <w:rsid w:val="00E42D64"/>
    <w:rsid w:val="00E42FAE"/>
    <w:rsid w:val="00E431FD"/>
    <w:rsid w:val="00E43263"/>
    <w:rsid w:val="00E433A0"/>
    <w:rsid w:val="00E44060"/>
    <w:rsid w:val="00E44135"/>
    <w:rsid w:val="00E44596"/>
    <w:rsid w:val="00E4466F"/>
    <w:rsid w:val="00E446C2"/>
    <w:rsid w:val="00E455DC"/>
    <w:rsid w:val="00E455EA"/>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0CC5"/>
    <w:rsid w:val="00E512B5"/>
    <w:rsid w:val="00E520B4"/>
    <w:rsid w:val="00E5212F"/>
    <w:rsid w:val="00E523DB"/>
    <w:rsid w:val="00E52A80"/>
    <w:rsid w:val="00E52BCB"/>
    <w:rsid w:val="00E52C47"/>
    <w:rsid w:val="00E52D46"/>
    <w:rsid w:val="00E52E1C"/>
    <w:rsid w:val="00E537F8"/>
    <w:rsid w:val="00E53909"/>
    <w:rsid w:val="00E53DED"/>
    <w:rsid w:val="00E5412D"/>
    <w:rsid w:val="00E544B8"/>
    <w:rsid w:val="00E5454F"/>
    <w:rsid w:val="00E54FD2"/>
    <w:rsid w:val="00E55207"/>
    <w:rsid w:val="00E5577C"/>
    <w:rsid w:val="00E55981"/>
    <w:rsid w:val="00E55C6F"/>
    <w:rsid w:val="00E55F6A"/>
    <w:rsid w:val="00E55F9D"/>
    <w:rsid w:val="00E5610C"/>
    <w:rsid w:val="00E568C2"/>
    <w:rsid w:val="00E56954"/>
    <w:rsid w:val="00E571F1"/>
    <w:rsid w:val="00E57492"/>
    <w:rsid w:val="00E5766A"/>
    <w:rsid w:val="00E57739"/>
    <w:rsid w:val="00E57A9B"/>
    <w:rsid w:val="00E60018"/>
    <w:rsid w:val="00E603A0"/>
    <w:rsid w:val="00E60A35"/>
    <w:rsid w:val="00E61C84"/>
    <w:rsid w:val="00E62040"/>
    <w:rsid w:val="00E6216B"/>
    <w:rsid w:val="00E6299A"/>
    <w:rsid w:val="00E63A39"/>
    <w:rsid w:val="00E63CA8"/>
    <w:rsid w:val="00E63E63"/>
    <w:rsid w:val="00E6414D"/>
    <w:rsid w:val="00E647D5"/>
    <w:rsid w:val="00E64B73"/>
    <w:rsid w:val="00E6511F"/>
    <w:rsid w:val="00E65155"/>
    <w:rsid w:val="00E65289"/>
    <w:rsid w:val="00E658AC"/>
    <w:rsid w:val="00E65AD5"/>
    <w:rsid w:val="00E65F6A"/>
    <w:rsid w:val="00E65FE0"/>
    <w:rsid w:val="00E66048"/>
    <w:rsid w:val="00E66201"/>
    <w:rsid w:val="00E66C66"/>
    <w:rsid w:val="00E66E76"/>
    <w:rsid w:val="00E6700D"/>
    <w:rsid w:val="00E671DC"/>
    <w:rsid w:val="00E67891"/>
    <w:rsid w:val="00E67CD7"/>
    <w:rsid w:val="00E67F81"/>
    <w:rsid w:val="00E700F3"/>
    <w:rsid w:val="00E70395"/>
    <w:rsid w:val="00E7057F"/>
    <w:rsid w:val="00E7062B"/>
    <w:rsid w:val="00E70667"/>
    <w:rsid w:val="00E706BA"/>
    <w:rsid w:val="00E7078F"/>
    <w:rsid w:val="00E70C94"/>
    <w:rsid w:val="00E70C9A"/>
    <w:rsid w:val="00E70EA7"/>
    <w:rsid w:val="00E70F51"/>
    <w:rsid w:val="00E70F70"/>
    <w:rsid w:val="00E71509"/>
    <w:rsid w:val="00E71B95"/>
    <w:rsid w:val="00E71CB0"/>
    <w:rsid w:val="00E7261D"/>
    <w:rsid w:val="00E72995"/>
    <w:rsid w:val="00E72B52"/>
    <w:rsid w:val="00E72CE9"/>
    <w:rsid w:val="00E73B3C"/>
    <w:rsid w:val="00E73C30"/>
    <w:rsid w:val="00E73CBC"/>
    <w:rsid w:val="00E74139"/>
    <w:rsid w:val="00E741EC"/>
    <w:rsid w:val="00E745D8"/>
    <w:rsid w:val="00E74855"/>
    <w:rsid w:val="00E74E1F"/>
    <w:rsid w:val="00E75265"/>
    <w:rsid w:val="00E75888"/>
    <w:rsid w:val="00E75F64"/>
    <w:rsid w:val="00E76546"/>
    <w:rsid w:val="00E76DBA"/>
    <w:rsid w:val="00E76F2D"/>
    <w:rsid w:val="00E7726A"/>
    <w:rsid w:val="00E77511"/>
    <w:rsid w:val="00E77E65"/>
    <w:rsid w:val="00E80A08"/>
    <w:rsid w:val="00E80D27"/>
    <w:rsid w:val="00E80E60"/>
    <w:rsid w:val="00E80EA3"/>
    <w:rsid w:val="00E8124C"/>
    <w:rsid w:val="00E81A4D"/>
    <w:rsid w:val="00E81A88"/>
    <w:rsid w:val="00E81F68"/>
    <w:rsid w:val="00E8273C"/>
    <w:rsid w:val="00E82856"/>
    <w:rsid w:val="00E82CC9"/>
    <w:rsid w:val="00E82ECA"/>
    <w:rsid w:val="00E830EF"/>
    <w:rsid w:val="00E832CD"/>
    <w:rsid w:val="00E8362D"/>
    <w:rsid w:val="00E836B6"/>
    <w:rsid w:val="00E83792"/>
    <w:rsid w:val="00E837BF"/>
    <w:rsid w:val="00E83CB3"/>
    <w:rsid w:val="00E83EAF"/>
    <w:rsid w:val="00E83F51"/>
    <w:rsid w:val="00E83F53"/>
    <w:rsid w:val="00E83F69"/>
    <w:rsid w:val="00E843AE"/>
    <w:rsid w:val="00E843DE"/>
    <w:rsid w:val="00E84906"/>
    <w:rsid w:val="00E84C41"/>
    <w:rsid w:val="00E84F74"/>
    <w:rsid w:val="00E850D1"/>
    <w:rsid w:val="00E850FD"/>
    <w:rsid w:val="00E85AB3"/>
    <w:rsid w:val="00E85B5B"/>
    <w:rsid w:val="00E85D34"/>
    <w:rsid w:val="00E86243"/>
    <w:rsid w:val="00E864FE"/>
    <w:rsid w:val="00E86BE8"/>
    <w:rsid w:val="00E86C57"/>
    <w:rsid w:val="00E86E10"/>
    <w:rsid w:val="00E87059"/>
    <w:rsid w:val="00E87173"/>
    <w:rsid w:val="00E872CC"/>
    <w:rsid w:val="00E87613"/>
    <w:rsid w:val="00E87660"/>
    <w:rsid w:val="00E87686"/>
    <w:rsid w:val="00E8780B"/>
    <w:rsid w:val="00E8786C"/>
    <w:rsid w:val="00E87B89"/>
    <w:rsid w:val="00E9034A"/>
    <w:rsid w:val="00E90EED"/>
    <w:rsid w:val="00E916E1"/>
    <w:rsid w:val="00E9197D"/>
    <w:rsid w:val="00E920D8"/>
    <w:rsid w:val="00E92171"/>
    <w:rsid w:val="00E9269F"/>
    <w:rsid w:val="00E92EBB"/>
    <w:rsid w:val="00E92F92"/>
    <w:rsid w:val="00E9301E"/>
    <w:rsid w:val="00E93215"/>
    <w:rsid w:val="00E93BC6"/>
    <w:rsid w:val="00E93CE7"/>
    <w:rsid w:val="00E93DBE"/>
    <w:rsid w:val="00E9443D"/>
    <w:rsid w:val="00E9449F"/>
    <w:rsid w:val="00E948E7"/>
    <w:rsid w:val="00E94B79"/>
    <w:rsid w:val="00E956CC"/>
    <w:rsid w:val="00E959DF"/>
    <w:rsid w:val="00E96321"/>
    <w:rsid w:val="00E96587"/>
    <w:rsid w:val="00E96758"/>
    <w:rsid w:val="00E96768"/>
    <w:rsid w:val="00E9684F"/>
    <w:rsid w:val="00E96AD8"/>
    <w:rsid w:val="00E96C4F"/>
    <w:rsid w:val="00E973EA"/>
    <w:rsid w:val="00E97458"/>
    <w:rsid w:val="00E97483"/>
    <w:rsid w:val="00E978B7"/>
    <w:rsid w:val="00E978F3"/>
    <w:rsid w:val="00EA042B"/>
    <w:rsid w:val="00EA0C11"/>
    <w:rsid w:val="00EA1B07"/>
    <w:rsid w:val="00EA21A3"/>
    <w:rsid w:val="00EA2514"/>
    <w:rsid w:val="00EA2703"/>
    <w:rsid w:val="00EA27B9"/>
    <w:rsid w:val="00EA2818"/>
    <w:rsid w:val="00EA3095"/>
    <w:rsid w:val="00EA376E"/>
    <w:rsid w:val="00EA393B"/>
    <w:rsid w:val="00EA3A35"/>
    <w:rsid w:val="00EA3E14"/>
    <w:rsid w:val="00EA3E34"/>
    <w:rsid w:val="00EA48EC"/>
    <w:rsid w:val="00EA4A49"/>
    <w:rsid w:val="00EA4B47"/>
    <w:rsid w:val="00EA4C15"/>
    <w:rsid w:val="00EA4C80"/>
    <w:rsid w:val="00EA4E40"/>
    <w:rsid w:val="00EA5362"/>
    <w:rsid w:val="00EA5E4C"/>
    <w:rsid w:val="00EA628B"/>
    <w:rsid w:val="00EA633A"/>
    <w:rsid w:val="00EA6D3A"/>
    <w:rsid w:val="00EA6D9A"/>
    <w:rsid w:val="00EA71DE"/>
    <w:rsid w:val="00EA749C"/>
    <w:rsid w:val="00EA79D9"/>
    <w:rsid w:val="00EA79E3"/>
    <w:rsid w:val="00EA7B65"/>
    <w:rsid w:val="00EA7D48"/>
    <w:rsid w:val="00EA7DB7"/>
    <w:rsid w:val="00EA7FFC"/>
    <w:rsid w:val="00EB003A"/>
    <w:rsid w:val="00EB0099"/>
    <w:rsid w:val="00EB1088"/>
    <w:rsid w:val="00EB1A75"/>
    <w:rsid w:val="00EB1AE8"/>
    <w:rsid w:val="00EB1B45"/>
    <w:rsid w:val="00EB1E36"/>
    <w:rsid w:val="00EB21C6"/>
    <w:rsid w:val="00EB2365"/>
    <w:rsid w:val="00EB27EF"/>
    <w:rsid w:val="00EB29E4"/>
    <w:rsid w:val="00EB2EB4"/>
    <w:rsid w:val="00EB2EE7"/>
    <w:rsid w:val="00EB325F"/>
    <w:rsid w:val="00EB3801"/>
    <w:rsid w:val="00EB3A07"/>
    <w:rsid w:val="00EB4B14"/>
    <w:rsid w:val="00EB52E1"/>
    <w:rsid w:val="00EB5614"/>
    <w:rsid w:val="00EB5AFF"/>
    <w:rsid w:val="00EB5CD8"/>
    <w:rsid w:val="00EB5DC8"/>
    <w:rsid w:val="00EB5FAE"/>
    <w:rsid w:val="00EB624B"/>
    <w:rsid w:val="00EB659D"/>
    <w:rsid w:val="00EB694A"/>
    <w:rsid w:val="00EB6B7F"/>
    <w:rsid w:val="00EB74A4"/>
    <w:rsid w:val="00EB7888"/>
    <w:rsid w:val="00EB7CB9"/>
    <w:rsid w:val="00EB7CC8"/>
    <w:rsid w:val="00EC0198"/>
    <w:rsid w:val="00EC05E2"/>
    <w:rsid w:val="00EC0663"/>
    <w:rsid w:val="00EC09A7"/>
    <w:rsid w:val="00EC09DA"/>
    <w:rsid w:val="00EC1181"/>
    <w:rsid w:val="00EC1584"/>
    <w:rsid w:val="00EC16B6"/>
    <w:rsid w:val="00EC29CB"/>
    <w:rsid w:val="00EC429E"/>
    <w:rsid w:val="00EC4317"/>
    <w:rsid w:val="00EC46D1"/>
    <w:rsid w:val="00EC50E9"/>
    <w:rsid w:val="00EC52AF"/>
    <w:rsid w:val="00EC53C2"/>
    <w:rsid w:val="00EC54C0"/>
    <w:rsid w:val="00EC55AC"/>
    <w:rsid w:val="00EC62CB"/>
    <w:rsid w:val="00EC6854"/>
    <w:rsid w:val="00EC6955"/>
    <w:rsid w:val="00EC722F"/>
    <w:rsid w:val="00ED0351"/>
    <w:rsid w:val="00ED0645"/>
    <w:rsid w:val="00ED0D60"/>
    <w:rsid w:val="00ED0EF7"/>
    <w:rsid w:val="00ED0F86"/>
    <w:rsid w:val="00ED14C1"/>
    <w:rsid w:val="00ED1738"/>
    <w:rsid w:val="00ED1E77"/>
    <w:rsid w:val="00ED2215"/>
    <w:rsid w:val="00ED2244"/>
    <w:rsid w:val="00ED23E5"/>
    <w:rsid w:val="00ED2473"/>
    <w:rsid w:val="00ED2675"/>
    <w:rsid w:val="00ED26A4"/>
    <w:rsid w:val="00ED2A7D"/>
    <w:rsid w:val="00ED316C"/>
    <w:rsid w:val="00ED3326"/>
    <w:rsid w:val="00ED3ACE"/>
    <w:rsid w:val="00ED3B16"/>
    <w:rsid w:val="00ED3CFE"/>
    <w:rsid w:val="00ED4101"/>
    <w:rsid w:val="00ED41A1"/>
    <w:rsid w:val="00ED4491"/>
    <w:rsid w:val="00ED4E1C"/>
    <w:rsid w:val="00ED4F9A"/>
    <w:rsid w:val="00ED509A"/>
    <w:rsid w:val="00ED52B8"/>
    <w:rsid w:val="00ED564D"/>
    <w:rsid w:val="00ED5793"/>
    <w:rsid w:val="00ED5ABA"/>
    <w:rsid w:val="00ED5E4E"/>
    <w:rsid w:val="00ED6ACD"/>
    <w:rsid w:val="00ED708C"/>
    <w:rsid w:val="00ED7689"/>
    <w:rsid w:val="00ED7DDC"/>
    <w:rsid w:val="00EE050E"/>
    <w:rsid w:val="00EE0742"/>
    <w:rsid w:val="00EE0875"/>
    <w:rsid w:val="00EE0B85"/>
    <w:rsid w:val="00EE0C32"/>
    <w:rsid w:val="00EE0D1F"/>
    <w:rsid w:val="00EE0DB9"/>
    <w:rsid w:val="00EE0E96"/>
    <w:rsid w:val="00EE0EF7"/>
    <w:rsid w:val="00EE0FE9"/>
    <w:rsid w:val="00EE117A"/>
    <w:rsid w:val="00EE1360"/>
    <w:rsid w:val="00EE16B1"/>
    <w:rsid w:val="00EE1A6D"/>
    <w:rsid w:val="00EE2287"/>
    <w:rsid w:val="00EE229C"/>
    <w:rsid w:val="00EE22CE"/>
    <w:rsid w:val="00EE23E8"/>
    <w:rsid w:val="00EE2D30"/>
    <w:rsid w:val="00EE2FAD"/>
    <w:rsid w:val="00EE2FFA"/>
    <w:rsid w:val="00EE34AA"/>
    <w:rsid w:val="00EE3A8D"/>
    <w:rsid w:val="00EE3AFB"/>
    <w:rsid w:val="00EE3C74"/>
    <w:rsid w:val="00EE43A7"/>
    <w:rsid w:val="00EE4AAD"/>
    <w:rsid w:val="00EE4DBD"/>
    <w:rsid w:val="00EE52EF"/>
    <w:rsid w:val="00EE5649"/>
    <w:rsid w:val="00EE5A21"/>
    <w:rsid w:val="00EE5FE7"/>
    <w:rsid w:val="00EE6081"/>
    <w:rsid w:val="00EE62C3"/>
    <w:rsid w:val="00EE65B3"/>
    <w:rsid w:val="00EE6825"/>
    <w:rsid w:val="00EE691B"/>
    <w:rsid w:val="00EE6AE5"/>
    <w:rsid w:val="00EE6E57"/>
    <w:rsid w:val="00EE7174"/>
    <w:rsid w:val="00EE733F"/>
    <w:rsid w:val="00EE741A"/>
    <w:rsid w:val="00EE75EC"/>
    <w:rsid w:val="00EE7835"/>
    <w:rsid w:val="00EE7C00"/>
    <w:rsid w:val="00EE7CA1"/>
    <w:rsid w:val="00EF0802"/>
    <w:rsid w:val="00EF0BED"/>
    <w:rsid w:val="00EF0D8B"/>
    <w:rsid w:val="00EF135B"/>
    <w:rsid w:val="00EF165E"/>
    <w:rsid w:val="00EF1773"/>
    <w:rsid w:val="00EF177C"/>
    <w:rsid w:val="00EF1860"/>
    <w:rsid w:val="00EF190E"/>
    <w:rsid w:val="00EF1A01"/>
    <w:rsid w:val="00EF1D06"/>
    <w:rsid w:val="00EF1E03"/>
    <w:rsid w:val="00EF2214"/>
    <w:rsid w:val="00EF251E"/>
    <w:rsid w:val="00EF2C23"/>
    <w:rsid w:val="00EF3596"/>
    <w:rsid w:val="00EF3832"/>
    <w:rsid w:val="00EF3B07"/>
    <w:rsid w:val="00EF3F01"/>
    <w:rsid w:val="00EF409E"/>
    <w:rsid w:val="00EF4196"/>
    <w:rsid w:val="00EF4563"/>
    <w:rsid w:val="00EF4694"/>
    <w:rsid w:val="00EF4A69"/>
    <w:rsid w:val="00EF4C0C"/>
    <w:rsid w:val="00EF4C66"/>
    <w:rsid w:val="00EF4F76"/>
    <w:rsid w:val="00EF535E"/>
    <w:rsid w:val="00EF5863"/>
    <w:rsid w:val="00EF5C00"/>
    <w:rsid w:val="00EF5E3A"/>
    <w:rsid w:val="00EF6365"/>
    <w:rsid w:val="00EF63E0"/>
    <w:rsid w:val="00EF65B8"/>
    <w:rsid w:val="00EF68B7"/>
    <w:rsid w:val="00EF6999"/>
    <w:rsid w:val="00EF6BAC"/>
    <w:rsid w:val="00EF7248"/>
    <w:rsid w:val="00EF74DC"/>
    <w:rsid w:val="00EF74E1"/>
    <w:rsid w:val="00EF7765"/>
    <w:rsid w:val="00F007C8"/>
    <w:rsid w:val="00F00B0D"/>
    <w:rsid w:val="00F00CBF"/>
    <w:rsid w:val="00F00F7A"/>
    <w:rsid w:val="00F0113B"/>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53C"/>
    <w:rsid w:val="00F06BF0"/>
    <w:rsid w:val="00F06FDE"/>
    <w:rsid w:val="00F07813"/>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685"/>
    <w:rsid w:val="00F1282F"/>
    <w:rsid w:val="00F129F9"/>
    <w:rsid w:val="00F12C3B"/>
    <w:rsid w:val="00F133EE"/>
    <w:rsid w:val="00F133F9"/>
    <w:rsid w:val="00F13599"/>
    <w:rsid w:val="00F139D4"/>
    <w:rsid w:val="00F13DAC"/>
    <w:rsid w:val="00F14092"/>
    <w:rsid w:val="00F1493B"/>
    <w:rsid w:val="00F15184"/>
    <w:rsid w:val="00F1519A"/>
    <w:rsid w:val="00F154C5"/>
    <w:rsid w:val="00F155E0"/>
    <w:rsid w:val="00F15A67"/>
    <w:rsid w:val="00F160A8"/>
    <w:rsid w:val="00F16475"/>
    <w:rsid w:val="00F169E1"/>
    <w:rsid w:val="00F169FA"/>
    <w:rsid w:val="00F17770"/>
    <w:rsid w:val="00F177B0"/>
    <w:rsid w:val="00F178B8"/>
    <w:rsid w:val="00F178E8"/>
    <w:rsid w:val="00F17C3C"/>
    <w:rsid w:val="00F17D48"/>
    <w:rsid w:val="00F17F7B"/>
    <w:rsid w:val="00F20016"/>
    <w:rsid w:val="00F2049D"/>
    <w:rsid w:val="00F207C6"/>
    <w:rsid w:val="00F20BDE"/>
    <w:rsid w:val="00F21199"/>
    <w:rsid w:val="00F212A3"/>
    <w:rsid w:val="00F2153F"/>
    <w:rsid w:val="00F21A4C"/>
    <w:rsid w:val="00F21DB5"/>
    <w:rsid w:val="00F21E50"/>
    <w:rsid w:val="00F220B4"/>
    <w:rsid w:val="00F220D4"/>
    <w:rsid w:val="00F224A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9D3"/>
    <w:rsid w:val="00F31B4B"/>
    <w:rsid w:val="00F31DDF"/>
    <w:rsid w:val="00F31F55"/>
    <w:rsid w:val="00F3212F"/>
    <w:rsid w:val="00F32BCE"/>
    <w:rsid w:val="00F33034"/>
    <w:rsid w:val="00F34440"/>
    <w:rsid w:val="00F344E2"/>
    <w:rsid w:val="00F3467F"/>
    <w:rsid w:val="00F34EED"/>
    <w:rsid w:val="00F35944"/>
    <w:rsid w:val="00F35BEC"/>
    <w:rsid w:val="00F35DF6"/>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5CB"/>
    <w:rsid w:val="00F43997"/>
    <w:rsid w:val="00F439C8"/>
    <w:rsid w:val="00F43FA1"/>
    <w:rsid w:val="00F4419C"/>
    <w:rsid w:val="00F4420E"/>
    <w:rsid w:val="00F445BF"/>
    <w:rsid w:val="00F44DAA"/>
    <w:rsid w:val="00F4513C"/>
    <w:rsid w:val="00F45557"/>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9DF"/>
    <w:rsid w:val="00F51A24"/>
    <w:rsid w:val="00F524E5"/>
    <w:rsid w:val="00F52605"/>
    <w:rsid w:val="00F528B9"/>
    <w:rsid w:val="00F52C31"/>
    <w:rsid w:val="00F52C95"/>
    <w:rsid w:val="00F53066"/>
    <w:rsid w:val="00F53623"/>
    <w:rsid w:val="00F537C0"/>
    <w:rsid w:val="00F53D81"/>
    <w:rsid w:val="00F54061"/>
    <w:rsid w:val="00F541D0"/>
    <w:rsid w:val="00F54302"/>
    <w:rsid w:val="00F549CE"/>
    <w:rsid w:val="00F550DC"/>
    <w:rsid w:val="00F5550F"/>
    <w:rsid w:val="00F55D8D"/>
    <w:rsid w:val="00F56A3B"/>
    <w:rsid w:val="00F56EB0"/>
    <w:rsid w:val="00F57284"/>
    <w:rsid w:val="00F5759E"/>
    <w:rsid w:val="00F577DA"/>
    <w:rsid w:val="00F57A29"/>
    <w:rsid w:val="00F57CF1"/>
    <w:rsid w:val="00F57D45"/>
    <w:rsid w:val="00F57EE5"/>
    <w:rsid w:val="00F6008D"/>
    <w:rsid w:val="00F600F5"/>
    <w:rsid w:val="00F60949"/>
    <w:rsid w:val="00F60ADA"/>
    <w:rsid w:val="00F61304"/>
    <w:rsid w:val="00F61314"/>
    <w:rsid w:val="00F6144D"/>
    <w:rsid w:val="00F61572"/>
    <w:rsid w:val="00F6170F"/>
    <w:rsid w:val="00F61D58"/>
    <w:rsid w:val="00F61DFC"/>
    <w:rsid w:val="00F62592"/>
    <w:rsid w:val="00F626DD"/>
    <w:rsid w:val="00F627AD"/>
    <w:rsid w:val="00F6341E"/>
    <w:rsid w:val="00F63877"/>
    <w:rsid w:val="00F63CD2"/>
    <w:rsid w:val="00F643B3"/>
    <w:rsid w:val="00F64BBD"/>
    <w:rsid w:val="00F64E1C"/>
    <w:rsid w:val="00F65226"/>
    <w:rsid w:val="00F66300"/>
    <w:rsid w:val="00F668AA"/>
    <w:rsid w:val="00F6789B"/>
    <w:rsid w:val="00F67D71"/>
    <w:rsid w:val="00F67FCF"/>
    <w:rsid w:val="00F70037"/>
    <w:rsid w:val="00F7046A"/>
    <w:rsid w:val="00F70480"/>
    <w:rsid w:val="00F7061A"/>
    <w:rsid w:val="00F70671"/>
    <w:rsid w:val="00F706C8"/>
    <w:rsid w:val="00F708E9"/>
    <w:rsid w:val="00F70946"/>
    <w:rsid w:val="00F70CCD"/>
    <w:rsid w:val="00F71160"/>
    <w:rsid w:val="00F714F6"/>
    <w:rsid w:val="00F71D9D"/>
    <w:rsid w:val="00F720F5"/>
    <w:rsid w:val="00F72148"/>
    <w:rsid w:val="00F72A23"/>
    <w:rsid w:val="00F72A5F"/>
    <w:rsid w:val="00F72CF9"/>
    <w:rsid w:val="00F731C2"/>
    <w:rsid w:val="00F733D4"/>
    <w:rsid w:val="00F735CE"/>
    <w:rsid w:val="00F7383A"/>
    <w:rsid w:val="00F7398B"/>
    <w:rsid w:val="00F73F72"/>
    <w:rsid w:val="00F7482C"/>
    <w:rsid w:val="00F749D0"/>
    <w:rsid w:val="00F74E1A"/>
    <w:rsid w:val="00F74F9C"/>
    <w:rsid w:val="00F751D2"/>
    <w:rsid w:val="00F75292"/>
    <w:rsid w:val="00F75295"/>
    <w:rsid w:val="00F761BA"/>
    <w:rsid w:val="00F764C9"/>
    <w:rsid w:val="00F767E6"/>
    <w:rsid w:val="00F768F7"/>
    <w:rsid w:val="00F771DB"/>
    <w:rsid w:val="00F772FE"/>
    <w:rsid w:val="00F773C6"/>
    <w:rsid w:val="00F7741D"/>
    <w:rsid w:val="00F77776"/>
    <w:rsid w:val="00F77963"/>
    <w:rsid w:val="00F77997"/>
    <w:rsid w:val="00F77BEA"/>
    <w:rsid w:val="00F8018A"/>
    <w:rsid w:val="00F8072F"/>
    <w:rsid w:val="00F80A89"/>
    <w:rsid w:val="00F80D00"/>
    <w:rsid w:val="00F812B9"/>
    <w:rsid w:val="00F825EB"/>
    <w:rsid w:val="00F8275F"/>
    <w:rsid w:val="00F82BB0"/>
    <w:rsid w:val="00F82D0B"/>
    <w:rsid w:val="00F82F64"/>
    <w:rsid w:val="00F833B5"/>
    <w:rsid w:val="00F83533"/>
    <w:rsid w:val="00F83A48"/>
    <w:rsid w:val="00F83B10"/>
    <w:rsid w:val="00F84439"/>
    <w:rsid w:val="00F84A54"/>
    <w:rsid w:val="00F85604"/>
    <w:rsid w:val="00F856EB"/>
    <w:rsid w:val="00F85951"/>
    <w:rsid w:val="00F85BDC"/>
    <w:rsid w:val="00F85BE5"/>
    <w:rsid w:val="00F85FEB"/>
    <w:rsid w:val="00F86C7E"/>
    <w:rsid w:val="00F86ECB"/>
    <w:rsid w:val="00F8718D"/>
    <w:rsid w:val="00F87396"/>
    <w:rsid w:val="00F87584"/>
    <w:rsid w:val="00F87C94"/>
    <w:rsid w:val="00F90548"/>
    <w:rsid w:val="00F90B16"/>
    <w:rsid w:val="00F90DF7"/>
    <w:rsid w:val="00F91367"/>
    <w:rsid w:val="00F9169C"/>
    <w:rsid w:val="00F91B8A"/>
    <w:rsid w:val="00F91B94"/>
    <w:rsid w:val="00F91D3A"/>
    <w:rsid w:val="00F92709"/>
    <w:rsid w:val="00F92FF4"/>
    <w:rsid w:val="00F931DB"/>
    <w:rsid w:val="00F93475"/>
    <w:rsid w:val="00F93673"/>
    <w:rsid w:val="00F938B9"/>
    <w:rsid w:val="00F93F14"/>
    <w:rsid w:val="00F93F6D"/>
    <w:rsid w:val="00F9400B"/>
    <w:rsid w:val="00F94463"/>
    <w:rsid w:val="00F94799"/>
    <w:rsid w:val="00F94CB5"/>
    <w:rsid w:val="00F95988"/>
    <w:rsid w:val="00F95AA2"/>
    <w:rsid w:val="00F95F89"/>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1167"/>
    <w:rsid w:val="00FA19C9"/>
    <w:rsid w:val="00FA2633"/>
    <w:rsid w:val="00FA2A36"/>
    <w:rsid w:val="00FA2A3B"/>
    <w:rsid w:val="00FA2B94"/>
    <w:rsid w:val="00FA35B2"/>
    <w:rsid w:val="00FA3B2E"/>
    <w:rsid w:val="00FA3DA1"/>
    <w:rsid w:val="00FA401A"/>
    <w:rsid w:val="00FA4203"/>
    <w:rsid w:val="00FA47FC"/>
    <w:rsid w:val="00FA48A4"/>
    <w:rsid w:val="00FA48CA"/>
    <w:rsid w:val="00FA4B00"/>
    <w:rsid w:val="00FA4B6A"/>
    <w:rsid w:val="00FA4C98"/>
    <w:rsid w:val="00FA4D20"/>
    <w:rsid w:val="00FA51E8"/>
    <w:rsid w:val="00FA52AA"/>
    <w:rsid w:val="00FA52CD"/>
    <w:rsid w:val="00FA55B1"/>
    <w:rsid w:val="00FA663C"/>
    <w:rsid w:val="00FA6CEE"/>
    <w:rsid w:val="00FA7321"/>
    <w:rsid w:val="00FA74BE"/>
    <w:rsid w:val="00FA770D"/>
    <w:rsid w:val="00FA777F"/>
    <w:rsid w:val="00FA7D30"/>
    <w:rsid w:val="00FA7D39"/>
    <w:rsid w:val="00FB02EB"/>
    <w:rsid w:val="00FB03E6"/>
    <w:rsid w:val="00FB0D2F"/>
    <w:rsid w:val="00FB0F89"/>
    <w:rsid w:val="00FB106B"/>
    <w:rsid w:val="00FB1216"/>
    <w:rsid w:val="00FB14C8"/>
    <w:rsid w:val="00FB1605"/>
    <w:rsid w:val="00FB18AD"/>
    <w:rsid w:val="00FB1AC9"/>
    <w:rsid w:val="00FB2291"/>
    <w:rsid w:val="00FB22F3"/>
    <w:rsid w:val="00FB2760"/>
    <w:rsid w:val="00FB2774"/>
    <w:rsid w:val="00FB3473"/>
    <w:rsid w:val="00FB3928"/>
    <w:rsid w:val="00FB3936"/>
    <w:rsid w:val="00FB3D37"/>
    <w:rsid w:val="00FB3F54"/>
    <w:rsid w:val="00FB4037"/>
    <w:rsid w:val="00FB42BC"/>
    <w:rsid w:val="00FB441A"/>
    <w:rsid w:val="00FB4753"/>
    <w:rsid w:val="00FB49A4"/>
    <w:rsid w:val="00FB49F5"/>
    <w:rsid w:val="00FB4E02"/>
    <w:rsid w:val="00FB5D63"/>
    <w:rsid w:val="00FB5F64"/>
    <w:rsid w:val="00FB6634"/>
    <w:rsid w:val="00FB6AA1"/>
    <w:rsid w:val="00FB6AF3"/>
    <w:rsid w:val="00FB6C9F"/>
    <w:rsid w:val="00FB6D1E"/>
    <w:rsid w:val="00FB70C2"/>
    <w:rsid w:val="00FB726A"/>
    <w:rsid w:val="00FB73D5"/>
    <w:rsid w:val="00FB759B"/>
    <w:rsid w:val="00FB77A3"/>
    <w:rsid w:val="00FC0490"/>
    <w:rsid w:val="00FC0A12"/>
    <w:rsid w:val="00FC0CAC"/>
    <w:rsid w:val="00FC0D44"/>
    <w:rsid w:val="00FC1026"/>
    <w:rsid w:val="00FC10C4"/>
    <w:rsid w:val="00FC180C"/>
    <w:rsid w:val="00FC18EE"/>
    <w:rsid w:val="00FC1A73"/>
    <w:rsid w:val="00FC251F"/>
    <w:rsid w:val="00FC2798"/>
    <w:rsid w:val="00FC2993"/>
    <w:rsid w:val="00FC2BF8"/>
    <w:rsid w:val="00FC2C3A"/>
    <w:rsid w:val="00FC2EA6"/>
    <w:rsid w:val="00FC321B"/>
    <w:rsid w:val="00FC3238"/>
    <w:rsid w:val="00FC3261"/>
    <w:rsid w:val="00FC3300"/>
    <w:rsid w:val="00FC3A40"/>
    <w:rsid w:val="00FC3DC9"/>
    <w:rsid w:val="00FC3DD9"/>
    <w:rsid w:val="00FC44E9"/>
    <w:rsid w:val="00FC4616"/>
    <w:rsid w:val="00FC462F"/>
    <w:rsid w:val="00FC481E"/>
    <w:rsid w:val="00FC4A27"/>
    <w:rsid w:val="00FC52F8"/>
    <w:rsid w:val="00FC57EE"/>
    <w:rsid w:val="00FC5947"/>
    <w:rsid w:val="00FC5CAC"/>
    <w:rsid w:val="00FC6A2D"/>
    <w:rsid w:val="00FC6A6B"/>
    <w:rsid w:val="00FC6C0E"/>
    <w:rsid w:val="00FC771C"/>
    <w:rsid w:val="00FC7927"/>
    <w:rsid w:val="00FD0160"/>
    <w:rsid w:val="00FD06F6"/>
    <w:rsid w:val="00FD09E0"/>
    <w:rsid w:val="00FD0FBD"/>
    <w:rsid w:val="00FD11FE"/>
    <w:rsid w:val="00FD1ABE"/>
    <w:rsid w:val="00FD1DE5"/>
    <w:rsid w:val="00FD2916"/>
    <w:rsid w:val="00FD296F"/>
    <w:rsid w:val="00FD2BAD"/>
    <w:rsid w:val="00FD2BEE"/>
    <w:rsid w:val="00FD3805"/>
    <w:rsid w:val="00FD3B74"/>
    <w:rsid w:val="00FD42BE"/>
    <w:rsid w:val="00FD47C7"/>
    <w:rsid w:val="00FD4853"/>
    <w:rsid w:val="00FD4BA8"/>
    <w:rsid w:val="00FD4C36"/>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2FF"/>
    <w:rsid w:val="00FE24B9"/>
    <w:rsid w:val="00FE2A80"/>
    <w:rsid w:val="00FE2B0C"/>
    <w:rsid w:val="00FE311B"/>
    <w:rsid w:val="00FE3462"/>
    <w:rsid w:val="00FE381A"/>
    <w:rsid w:val="00FE39B0"/>
    <w:rsid w:val="00FE4288"/>
    <w:rsid w:val="00FE45D1"/>
    <w:rsid w:val="00FE45E0"/>
    <w:rsid w:val="00FE462F"/>
    <w:rsid w:val="00FE4ED2"/>
    <w:rsid w:val="00FE529D"/>
    <w:rsid w:val="00FE55AD"/>
    <w:rsid w:val="00FE55F5"/>
    <w:rsid w:val="00FE5613"/>
    <w:rsid w:val="00FE5704"/>
    <w:rsid w:val="00FE5AE9"/>
    <w:rsid w:val="00FE5EAA"/>
    <w:rsid w:val="00FE649E"/>
    <w:rsid w:val="00FE6737"/>
    <w:rsid w:val="00FE69BB"/>
    <w:rsid w:val="00FE69CE"/>
    <w:rsid w:val="00FE6C29"/>
    <w:rsid w:val="00FE6C7A"/>
    <w:rsid w:val="00FE6CEB"/>
    <w:rsid w:val="00FE7522"/>
    <w:rsid w:val="00FE7B66"/>
    <w:rsid w:val="00FE7C26"/>
    <w:rsid w:val="00FF0681"/>
    <w:rsid w:val="00FF0B8B"/>
    <w:rsid w:val="00FF0E7D"/>
    <w:rsid w:val="00FF11A7"/>
    <w:rsid w:val="00FF15F1"/>
    <w:rsid w:val="00FF168D"/>
    <w:rsid w:val="00FF1730"/>
    <w:rsid w:val="00FF17BE"/>
    <w:rsid w:val="00FF18CF"/>
    <w:rsid w:val="00FF190E"/>
    <w:rsid w:val="00FF191E"/>
    <w:rsid w:val="00FF1FAC"/>
    <w:rsid w:val="00FF3265"/>
    <w:rsid w:val="00FF3389"/>
    <w:rsid w:val="00FF344A"/>
    <w:rsid w:val="00FF3ECF"/>
    <w:rsid w:val="00FF3FA6"/>
    <w:rsid w:val="00FF43B1"/>
    <w:rsid w:val="00FF43B4"/>
    <w:rsid w:val="00FF4E1D"/>
    <w:rsid w:val="00FF4F88"/>
    <w:rsid w:val="00FF52C3"/>
    <w:rsid w:val="00FF5567"/>
    <w:rsid w:val="00FF58E4"/>
    <w:rsid w:val="00FF5AFE"/>
    <w:rsid w:val="00FF5E95"/>
    <w:rsid w:val="00FF625F"/>
    <w:rsid w:val="00FF629D"/>
    <w:rsid w:val="00FF62D5"/>
    <w:rsid w:val="00FF6DD9"/>
    <w:rsid w:val="00FF703C"/>
    <w:rsid w:val="00FF70B0"/>
    <w:rsid w:val="00FF70C5"/>
    <w:rsid w:val="00FF7434"/>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69928"/>
    <w:rsid w:val="01BA4BA3"/>
    <w:rsid w:val="01BF26BF"/>
    <w:rsid w:val="01CAD3E3"/>
    <w:rsid w:val="01E0918C"/>
    <w:rsid w:val="01E9A580"/>
    <w:rsid w:val="01ED6DD5"/>
    <w:rsid w:val="01FC4FA3"/>
    <w:rsid w:val="020A4C6C"/>
    <w:rsid w:val="020E11F6"/>
    <w:rsid w:val="021037A2"/>
    <w:rsid w:val="0212377B"/>
    <w:rsid w:val="0215191A"/>
    <w:rsid w:val="0215AB90"/>
    <w:rsid w:val="021AF3B0"/>
    <w:rsid w:val="021DA64F"/>
    <w:rsid w:val="0225D6E1"/>
    <w:rsid w:val="0228BDD1"/>
    <w:rsid w:val="022B14B8"/>
    <w:rsid w:val="0239F3D0"/>
    <w:rsid w:val="025E8D65"/>
    <w:rsid w:val="025F9E88"/>
    <w:rsid w:val="02698BEB"/>
    <w:rsid w:val="028A70E6"/>
    <w:rsid w:val="029A4E24"/>
    <w:rsid w:val="02AC8DCF"/>
    <w:rsid w:val="02BD7F22"/>
    <w:rsid w:val="02DC4201"/>
    <w:rsid w:val="02F8F4A8"/>
    <w:rsid w:val="0300EE87"/>
    <w:rsid w:val="03022D62"/>
    <w:rsid w:val="03089A09"/>
    <w:rsid w:val="0325A66E"/>
    <w:rsid w:val="032D1EB1"/>
    <w:rsid w:val="032FE551"/>
    <w:rsid w:val="03373661"/>
    <w:rsid w:val="0350DB93"/>
    <w:rsid w:val="03529954"/>
    <w:rsid w:val="0353D723"/>
    <w:rsid w:val="0364CA8F"/>
    <w:rsid w:val="03696536"/>
    <w:rsid w:val="0379C240"/>
    <w:rsid w:val="038C05AA"/>
    <w:rsid w:val="0394C0A3"/>
    <w:rsid w:val="039950AE"/>
    <w:rsid w:val="039C06D9"/>
    <w:rsid w:val="03A5C134"/>
    <w:rsid w:val="03A9F7F3"/>
    <w:rsid w:val="03D6CB76"/>
    <w:rsid w:val="03EE92C1"/>
    <w:rsid w:val="03F0B6D0"/>
    <w:rsid w:val="03F47F48"/>
    <w:rsid w:val="03F9790A"/>
    <w:rsid w:val="03FAA033"/>
    <w:rsid w:val="0402C9E5"/>
    <w:rsid w:val="0403FE8F"/>
    <w:rsid w:val="04053352"/>
    <w:rsid w:val="04264147"/>
    <w:rsid w:val="0434531D"/>
    <w:rsid w:val="04508DCD"/>
    <w:rsid w:val="046BD76A"/>
    <w:rsid w:val="046FAB21"/>
    <w:rsid w:val="04725A2D"/>
    <w:rsid w:val="048FB726"/>
    <w:rsid w:val="0498F7B8"/>
    <w:rsid w:val="049AC7D0"/>
    <w:rsid w:val="04DD33D5"/>
    <w:rsid w:val="04ED13D7"/>
    <w:rsid w:val="04F112B7"/>
    <w:rsid w:val="050BE63A"/>
    <w:rsid w:val="051C94CE"/>
    <w:rsid w:val="05393DCB"/>
    <w:rsid w:val="053A2CB9"/>
    <w:rsid w:val="053C3AAA"/>
    <w:rsid w:val="054185BA"/>
    <w:rsid w:val="05453074"/>
    <w:rsid w:val="054CB9DC"/>
    <w:rsid w:val="054EA55D"/>
    <w:rsid w:val="0553EA0F"/>
    <w:rsid w:val="055A4C23"/>
    <w:rsid w:val="05748C05"/>
    <w:rsid w:val="05789E6C"/>
    <w:rsid w:val="05880E21"/>
    <w:rsid w:val="059BB5AC"/>
    <w:rsid w:val="05ABA872"/>
    <w:rsid w:val="05B82BE4"/>
    <w:rsid w:val="05C5B42E"/>
    <w:rsid w:val="05CFA0DD"/>
    <w:rsid w:val="05D14D44"/>
    <w:rsid w:val="05D9138D"/>
    <w:rsid w:val="05E16BFC"/>
    <w:rsid w:val="05F43A38"/>
    <w:rsid w:val="060065B6"/>
    <w:rsid w:val="060D822A"/>
    <w:rsid w:val="061E22CC"/>
    <w:rsid w:val="06209C24"/>
    <w:rsid w:val="06243150"/>
    <w:rsid w:val="0628F31F"/>
    <w:rsid w:val="062E072C"/>
    <w:rsid w:val="063CC395"/>
    <w:rsid w:val="0640D3F1"/>
    <w:rsid w:val="06431A83"/>
    <w:rsid w:val="0656A153"/>
    <w:rsid w:val="0677972D"/>
    <w:rsid w:val="068283C5"/>
    <w:rsid w:val="06856F6F"/>
    <w:rsid w:val="068D1303"/>
    <w:rsid w:val="068D14B8"/>
    <w:rsid w:val="06933277"/>
    <w:rsid w:val="06994010"/>
    <w:rsid w:val="0699BB7B"/>
    <w:rsid w:val="06A41B9C"/>
    <w:rsid w:val="06B383B1"/>
    <w:rsid w:val="06B8A660"/>
    <w:rsid w:val="06E1B9FF"/>
    <w:rsid w:val="070022E3"/>
    <w:rsid w:val="07046CF0"/>
    <w:rsid w:val="070A9E52"/>
    <w:rsid w:val="0718CC5C"/>
    <w:rsid w:val="072735BA"/>
    <w:rsid w:val="0733F680"/>
    <w:rsid w:val="075412B6"/>
    <w:rsid w:val="0754CA43"/>
    <w:rsid w:val="07563232"/>
    <w:rsid w:val="075A1348"/>
    <w:rsid w:val="075D9102"/>
    <w:rsid w:val="077F0807"/>
    <w:rsid w:val="07801B18"/>
    <w:rsid w:val="078A7BCC"/>
    <w:rsid w:val="07913FFF"/>
    <w:rsid w:val="07A60E67"/>
    <w:rsid w:val="07CFB5FD"/>
    <w:rsid w:val="07DF4B2F"/>
    <w:rsid w:val="07E495B8"/>
    <w:rsid w:val="07E951DA"/>
    <w:rsid w:val="07F170A0"/>
    <w:rsid w:val="07F2E393"/>
    <w:rsid w:val="0800BB83"/>
    <w:rsid w:val="080146CA"/>
    <w:rsid w:val="0802DA2E"/>
    <w:rsid w:val="080CC738"/>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BF048E"/>
    <w:rsid w:val="08D9ECB2"/>
    <w:rsid w:val="08DA04D4"/>
    <w:rsid w:val="08E04BA9"/>
    <w:rsid w:val="08E407C5"/>
    <w:rsid w:val="08E48743"/>
    <w:rsid w:val="08F3C12E"/>
    <w:rsid w:val="08F9B26A"/>
    <w:rsid w:val="08FDD9D7"/>
    <w:rsid w:val="090D5C37"/>
    <w:rsid w:val="0919B0BE"/>
    <w:rsid w:val="09385065"/>
    <w:rsid w:val="093B7870"/>
    <w:rsid w:val="09428912"/>
    <w:rsid w:val="095AE9F9"/>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451BEA"/>
    <w:rsid w:val="0A5CD060"/>
    <w:rsid w:val="0A67A9E7"/>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82199"/>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D2BABE"/>
    <w:rsid w:val="0BE5B9E2"/>
    <w:rsid w:val="0BF18F36"/>
    <w:rsid w:val="0BF7E628"/>
    <w:rsid w:val="0C064B71"/>
    <w:rsid w:val="0C2834CD"/>
    <w:rsid w:val="0C35FDCF"/>
    <w:rsid w:val="0C3CF2B3"/>
    <w:rsid w:val="0C5E8CB5"/>
    <w:rsid w:val="0C6996B5"/>
    <w:rsid w:val="0C6EEAB1"/>
    <w:rsid w:val="0C8350D3"/>
    <w:rsid w:val="0C84DC1A"/>
    <w:rsid w:val="0C91E6AC"/>
    <w:rsid w:val="0C9AE3BE"/>
    <w:rsid w:val="0CB2A485"/>
    <w:rsid w:val="0CB58DC0"/>
    <w:rsid w:val="0CD0A5AC"/>
    <w:rsid w:val="0CD3C26C"/>
    <w:rsid w:val="0CE1F0E2"/>
    <w:rsid w:val="0CE45811"/>
    <w:rsid w:val="0CEA8917"/>
    <w:rsid w:val="0CED58B9"/>
    <w:rsid w:val="0D045ABF"/>
    <w:rsid w:val="0D0A2A17"/>
    <w:rsid w:val="0D0E06F1"/>
    <w:rsid w:val="0D0F32DA"/>
    <w:rsid w:val="0D116F2C"/>
    <w:rsid w:val="0D19F8AE"/>
    <w:rsid w:val="0D229427"/>
    <w:rsid w:val="0D270E3F"/>
    <w:rsid w:val="0D34144C"/>
    <w:rsid w:val="0D36EFD8"/>
    <w:rsid w:val="0D499147"/>
    <w:rsid w:val="0D4C6E53"/>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7D8408"/>
    <w:rsid w:val="0E8E02E3"/>
    <w:rsid w:val="0EBCC694"/>
    <w:rsid w:val="0EC146D9"/>
    <w:rsid w:val="0ED91424"/>
    <w:rsid w:val="0EEEE029"/>
    <w:rsid w:val="0EFD92F9"/>
    <w:rsid w:val="0F02227A"/>
    <w:rsid w:val="0F05B878"/>
    <w:rsid w:val="0F096901"/>
    <w:rsid w:val="0F10A4E3"/>
    <w:rsid w:val="0F1761D8"/>
    <w:rsid w:val="0F1D8297"/>
    <w:rsid w:val="0F264259"/>
    <w:rsid w:val="0F3DD9A3"/>
    <w:rsid w:val="0F453628"/>
    <w:rsid w:val="0F4636DF"/>
    <w:rsid w:val="0F49CA7A"/>
    <w:rsid w:val="0F691861"/>
    <w:rsid w:val="0F6C4B09"/>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28D215"/>
    <w:rsid w:val="113E9D71"/>
    <w:rsid w:val="1141FC6F"/>
    <w:rsid w:val="116D5AE2"/>
    <w:rsid w:val="118D6C33"/>
    <w:rsid w:val="118E4CE6"/>
    <w:rsid w:val="1190D355"/>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9B762"/>
    <w:rsid w:val="125D6C4C"/>
    <w:rsid w:val="125F235E"/>
    <w:rsid w:val="126B3ECC"/>
    <w:rsid w:val="1285CABA"/>
    <w:rsid w:val="12860784"/>
    <w:rsid w:val="1290791C"/>
    <w:rsid w:val="1292C5D5"/>
    <w:rsid w:val="12936BF7"/>
    <w:rsid w:val="1297B41D"/>
    <w:rsid w:val="129D4F5E"/>
    <w:rsid w:val="12A31C67"/>
    <w:rsid w:val="12A40CB8"/>
    <w:rsid w:val="12B807BB"/>
    <w:rsid w:val="12B9D99D"/>
    <w:rsid w:val="12BC859F"/>
    <w:rsid w:val="12C7C29F"/>
    <w:rsid w:val="12D4BE26"/>
    <w:rsid w:val="12D5C545"/>
    <w:rsid w:val="12E14AA0"/>
    <w:rsid w:val="130568B5"/>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3F3BDCC"/>
    <w:rsid w:val="1407C14B"/>
    <w:rsid w:val="1422A512"/>
    <w:rsid w:val="142DED4C"/>
    <w:rsid w:val="143F9CB2"/>
    <w:rsid w:val="144F52FB"/>
    <w:rsid w:val="1459B91F"/>
    <w:rsid w:val="145D3252"/>
    <w:rsid w:val="146726B4"/>
    <w:rsid w:val="1467B45B"/>
    <w:rsid w:val="148A9F25"/>
    <w:rsid w:val="148C7371"/>
    <w:rsid w:val="14A1A7DB"/>
    <w:rsid w:val="14A9770D"/>
    <w:rsid w:val="14AC2E08"/>
    <w:rsid w:val="14BA0DD2"/>
    <w:rsid w:val="14CB4313"/>
    <w:rsid w:val="14D19750"/>
    <w:rsid w:val="14D844F5"/>
    <w:rsid w:val="14DF7C2C"/>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7527B5"/>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3A132C"/>
    <w:rsid w:val="175A45D4"/>
    <w:rsid w:val="17618C35"/>
    <w:rsid w:val="17691419"/>
    <w:rsid w:val="17698BB0"/>
    <w:rsid w:val="177198E8"/>
    <w:rsid w:val="17808FDC"/>
    <w:rsid w:val="1793A004"/>
    <w:rsid w:val="179D6D34"/>
    <w:rsid w:val="179F4976"/>
    <w:rsid w:val="17B47C76"/>
    <w:rsid w:val="17B8FE14"/>
    <w:rsid w:val="17DB3D5A"/>
    <w:rsid w:val="17DDB2BA"/>
    <w:rsid w:val="18005FC3"/>
    <w:rsid w:val="1805B8F2"/>
    <w:rsid w:val="18144746"/>
    <w:rsid w:val="1814EF54"/>
    <w:rsid w:val="181B1308"/>
    <w:rsid w:val="18230636"/>
    <w:rsid w:val="1823DF68"/>
    <w:rsid w:val="18335522"/>
    <w:rsid w:val="1838CF0F"/>
    <w:rsid w:val="18412706"/>
    <w:rsid w:val="184251AA"/>
    <w:rsid w:val="185B3F32"/>
    <w:rsid w:val="1861C1D9"/>
    <w:rsid w:val="18A00C4F"/>
    <w:rsid w:val="18AF9BCF"/>
    <w:rsid w:val="18B82ED7"/>
    <w:rsid w:val="18B88B65"/>
    <w:rsid w:val="18C44822"/>
    <w:rsid w:val="18C45899"/>
    <w:rsid w:val="18DD3893"/>
    <w:rsid w:val="18E9D750"/>
    <w:rsid w:val="18F2A8AF"/>
    <w:rsid w:val="18F4A641"/>
    <w:rsid w:val="18F786BE"/>
    <w:rsid w:val="1901871B"/>
    <w:rsid w:val="1903F3A6"/>
    <w:rsid w:val="191CA6F9"/>
    <w:rsid w:val="191EF1B4"/>
    <w:rsid w:val="1939DE34"/>
    <w:rsid w:val="193B0230"/>
    <w:rsid w:val="1946E347"/>
    <w:rsid w:val="1957769E"/>
    <w:rsid w:val="1957B989"/>
    <w:rsid w:val="1959BFB6"/>
    <w:rsid w:val="1974DA80"/>
    <w:rsid w:val="1983E9D3"/>
    <w:rsid w:val="19916F87"/>
    <w:rsid w:val="19991D17"/>
    <w:rsid w:val="19ABB516"/>
    <w:rsid w:val="19C88F36"/>
    <w:rsid w:val="19CC3C5B"/>
    <w:rsid w:val="19CDC571"/>
    <w:rsid w:val="19CE0845"/>
    <w:rsid w:val="19D75F5C"/>
    <w:rsid w:val="19E58D75"/>
    <w:rsid w:val="19F57B27"/>
    <w:rsid w:val="19F8264A"/>
    <w:rsid w:val="1A04EDB4"/>
    <w:rsid w:val="1A05BB44"/>
    <w:rsid w:val="1A091408"/>
    <w:rsid w:val="1A120CBF"/>
    <w:rsid w:val="1A1E326E"/>
    <w:rsid w:val="1A2B4D07"/>
    <w:rsid w:val="1A3F8A11"/>
    <w:rsid w:val="1A439D3E"/>
    <w:rsid w:val="1A6A1A01"/>
    <w:rsid w:val="1A776582"/>
    <w:rsid w:val="1A787CB6"/>
    <w:rsid w:val="1A7DDC6C"/>
    <w:rsid w:val="1A7DE00F"/>
    <w:rsid w:val="1A80F1BE"/>
    <w:rsid w:val="1A8A7D14"/>
    <w:rsid w:val="1A8F3FA3"/>
    <w:rsid w:val="1A9B811C"/>
    <w:rsid w:val="1AB0DE04"/>
    <w:rsid w:val="1AB66B7D"/>
    <w:rsid w:val="1ABAC0F5"/>
    <w:rsid w:val="1ACFB8CC"/>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9598"/>
    <w:rsid w:val="1B6EAF09"/>
    <w:rsid w:val="1B7A8973"/>
    <w:rsid w:val="1B822831"/>
    <w:rsid w:val="1B933DEA"/>
    <w:rsid w:val="1BA68272"/>
    <w:rsid w:val="1BB20E44"/>
    <w:rsid w:val="1BB30E10"/>
    <w:rsid w:val="1BBCBD2C"/>
    <w:rsid w:val="1BCA0C04"/>
    <w:rsid w:val="1BE3A0C6"/>
    <w:rsid w:val="1BF15D38"/>
    <w:rsid w:val="1BF68FA2"/>
    <w:rsid w:val="1C1B6D8A"/>
    <w:rsid w:val="1C1FDBBB"/>
    <w:rsid w:val="1C250241"/>
    <w:rsid w:val="1C3F1DCB"/>
    <w:rsid w:val="1C469BA2"/>
    <w:rsid w:val="1C7439DF"/>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0C9FD"/>
    <w:rsid w:val="1E3399A9"/>
    <w:rsid w:val="1E4517FB"/>
    <w:rsid w:val="1E4C029F"/>
    <w:rsid w:val="1E6C124A"/>
    <w:rsid w:val="1E743055"/>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B31B19"/>
    <w:rsid w:val="1FC87714"/>
    <w:rsid w:val="1FCA1161"/>
    <w:rsid w:val="1FD2430A"/>
    <w:rsid w:val="1FD76878"/>
    <w:rsid w:val="1FDFF7E9"/>
    <w:rsid w:val="1FE79A00"/>
    <w:rsid w:val="1FF4485D"/>
    <w:rsid w:val="2001E752"/>
    <w:rsid w:val="20049019"/>
    <w:rsid w:val="20304D8C"/>
    <w:rsid w:val="203D864D"/>
    <w:rsid w:val="2041F6D6"/>
    <w:rsid w:val="20526B6D"/>
    <w:rsid w:val="2054B0A2"/>
    <w:rsid w:val="2061CCA0"/>
    <w:rsid w:val="2077FB1E"/>
    <w:rsid w:val="20899E19"/>
    <w:rsid w:val="2091F5D7"/>
    <w:rsid w:val="2097235A"/>
    <w:rsid w:val="2098C704"/>
    <w:rsid w:val="209CE2AB"/>
    <w:rsid w:val="209D2718"/>
    <w:rsid w:val="20AFDDF3"/>
    <w:rsid w:val="20B47286"/>
    <w:rsid w:val="20DD800A"/>
    <w:rsid w:val="20DDF1CE"/>
    <w:rsid w:val="20DE3C24"/>
    <w:rsid w:val="20E0C9F4"/>
    <w:rsid w:val="20E382E2"/>
    <w:rsid w:val="20FF505C"/>
    <w:rsid w:val="21038D69"/>
    <w:rsid w:val="210DE0CE"/>
    <w:rsid w:val="21297AEA"/>
    <w:rsid w:val="2133F4DE"/>
    <w:rsid w:val="2135E234"/>
    <w:rsid w:val="21361D42"/>
    <w:rsid w:val="217D2D64"/>
    <w:rsid w:val="218588B0"/>
    <w:rsid w:val="218EFDE1"/>
    <w:rsid w:val="21932720"/>
    <w:rsid w:val="219F90C6"/>
    <w:rsid w:val="21B02B2D"/>
    <w:rsid w:val="21C974CE"/>
    <w:rsid w:val="21CA2819"/>
    <w:rsid w:val="21CFFB7E"/>
    <w:rsid w:val="21D04710"/>
    <w:rsid w:val="21F47BDF"/>
    <w:rsid w:val="22190674"/>
    <w:rsid w:val="2219800E"/>
    <w:rsid w:val="221D1F42"/>
    <w:rsid w:val="221DB64A"/>
    <w:rsid w:val="22289E60"/>
    <w:rsid w:val="223A64AD"/>
    <w:rsid w:val="223A8E29"/>
    <w:rsid w:val="223B71A3"/>
    <w:rsid w:val="22454A4A"/>
    <w:rsid w:val="2249EBF5"/>
    <w:rsid w:val="224E9720"/>
    <w:rsid w:val="2257CE71"/>
    <w:rsid w:val="225C273A"/>
    <w:rsid w:val="22687B68"/>
    <w:rsid w:val="22806F53"/>
    <w:rsid w:val="228DB426"/>
    <w:rsid w:val="229E7B99"/>
    <w:rsid w:val="22B021B2"/>
    <w:rsid w:val="22B16DF4"/>
    <w:rsid w:val="22BF9609"/>
    <w:rsid w:val="22C3DEBC"/>
    <w:rsid w:val="22C5441E"/>
    <w:rsid w:val="22E986BF"/>
    <w:rsid w:val="22E9C82B"/>
    <w:rsid w:val="22F97F45"/>
    <w:rsid w:val="230B287F"/>
    <w:rsid w:val="23121FD3"/>
    <w:rsid w:val="2312976C"/>
    <w:rsid w:val="231B92AA"/>
    <w:rsid w:val="231FC5B7"/>
    <w:rsid w:val="234AE324"/>
    <w:rsid w:val="235CE1A4"/>
    <w:rsid w:val="23666B68"/>
    <w:rsid w:val="236703AD"/>
    <w:rsid w:val="2373105E"/>
    <w:rsid w:val="237B61E8"/>
    <w:rsid w:val="238B16DD"/>
    <w:rsid w:val="23943A7A"/>
    <w:rsid w:val="23A2F069"/>
    <w:rsid w:val="23C9A673"/>
    <w:rsid w:val="23D5CE16"/>
    <w:rsid w:val="23F2C895"/>
    <w:rsid w:val="23F81AD2"/>
    <w:rsid w:val="24003C76"/>
    <w:rsid w:val="240E0BB2"/>
    <w:rsid w:val="2422E530"/>
    <w:rsid w:val="24256B93"/>
    <w:rsid w:val="244B6386"/>
    <w:rsid w:val="24534E2E"/>
    <w:rsid w:val="2455D55F"/>
    <w:rsid w:val="24669B69"/>
    <w:rsid w:val="248C8237"/>
    <w:rsid w:val="24B2626C"/>
    <w:rsid w:val="24B6C518"/>
    <w:rsid w:val="24C590E0"/>
    <w:rsid w:val="250531FC"/>
    <w:rsid w:val="25065F6B"/>
    <w:rsid w:val="250C8D16"/>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0BED0"/>
    <w:rsid w:val="25FEA261"/>
    <w:rsid w:val="26050919"/>
    <w:rsid w:val="260ED2D3"/>
    <w:rsid w:val="2618D638"/>
    <w:rsid w:val="261B0E5F"/>
    <w:rsid w:val="261D5E29"/>
    <w:rsid w:val="2629E4E7"/>
    <w:rsid w:val="2633903F"/>
    <w:rsid w:val="263C68EE"/>
    <w:rsid w:val="2661F0D1"/>
    <w:rsid w:val="2663ADDA"/>
    <w:rsid w:val="2676B381"/>
    <w:rsid w:val="26851080"/>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023EE"/>
    <w:rsid w:val="272E27FD"/>
    <w:rsid w:val="273192DA"/>
    <w:rsid w:val="273B30A0"/>
    <w:rsid w:val="27468D54"/>
    <w:rsid w:val="274BF8FB"/>
    <w:rsid w:val="275C4010"/>
    <w:rsid w:val="27661EAD"/>
    <w:rsid w:val="2768B1E9"/>
    <w:rsid w:val="276CC9F8"/>
    <w:rsid w:val="276DCE00"/>
    <w:rsid w:val="277F62E1"/>
    <w:rsid w:val="27843BCE"/>
    <w:rsid w:val="2784882F"/>
    <w:rsid w:val="2794DC4A"/>
    <w:rsid w:val="27A775DB"/>
    <w:rsid w:val="27AAF995"/>
    <w:rsid w:val="27AB487E"/>
    <w:rsid w:val="27CBF8DB"/>
    <w:rsid w:val="27D82B2D"/>
    <w:rsid w:val="27DC44E5"/>
    <w:rsid w:val="27E2AE88"/>
    <w:rsid w:val="27E72696"/>
    <w:rsid w:val="28063626"/>
    <w:rsid w:val="28217425"/>
    <w:rsid w:val="2826F4A2"/>
    <w:rsid w:val="282CA49A"/>
    <w:rsid w:val="282CA711"/>
    <w:rsid w:val="2843F021"/>
    <w:rsid w:val="2847EA6C"/>
    <w:rsid w:val="2858E993"/>
    <w:rsid w:val="285ADEF2"/>
    <w:rsid w:val="285EEA45"/>
    <w:rsid w:val="286D16A7"/>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1AA00"/>
    <w:rsid w:val="2A39B367"/>
    <w:rsid w:val="2A4BF6CB"/>
    <w:rsid w:val="2A5FE2F6"/>
    <w:rsid w:val="2A6A6090"/>
    <w:rsid w:val="2A77721A"/>
    <w:rsid w:val="2A848ECC"/>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82DE1"/>
    <w:rsid w:val="2B7DED4B"/>
    <w:rsid w:val="2B811902"/>
    <w:rsid w:val="2B87AF6B"/>
    <w:rsid w:val="2B9C8968"/>
    <w:rsid w:val="2B9D3063"/>
    <w:rsid w:val="2B9F91D1"/>
    <w:rsid w:val="2BA37AE3"/>
    <w:rsid w:val="2BB99EED"/>
    <w:rsid w:val="2BE7A167"/>
    <w:rsid w:val="2BF92D5E"/>
    <w:rsid w:val="2BFF4BA1"/>
    <w:rsid w:val="2C266C5F"/>
    <w:rsid w:val="2C26C56E"/>
    <w:rsid w:val="2C2B41A5"/>
    <w:rsid w:val="2C31284E"/>
    <w:rsid w:val="2C331B2B"/>
    <w:rsid w:val="2C3F1D31"/>
    <w:rsid w:val="2C580790"/>
    <w:rsid w:val="2C60383D"/>
    <w:rsid w:val="2C62900A"/>
    <w:rsid w:val="2C760493"/>
    <w:rsid w:val="2C8A0110"/>
    <w:rsid w:val="2CAE5BE4"/>
    <w:rsid w:val="2CC61577"/>
    <w:rsid w:val="2CC69FDD"/>
    <w:rsid w:val="2CD4388F"/>
    <w:rsid w:val="2CEC2A57"/>
    <w:rsid w:val="2CF1527D"/>
    <w:rsid w:val="2CF835E5"/>
    <w:rsid w:val="2D09FBA9"/>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8CC888"/>
    <w:rsid w:val="2D90248F"/>
    <w:rsid w:val="2DA59F9F"/>
    <w:rsid w:val="2DADE453"/>
    <w:rsid w:val="2DB4EAFD"/>
    <w:rsid w:val="2DBC6E99"/>
    <w:rsid w:val="2DBCC679"/>
    <w:rsid w:val="2DBCEC37"/>
    <w:rsid w:val="2DCAD89E"/>
    <w:rsid w:val="2DE99A45"/>
    <w:rsid w:val="2DF5DA37"/>
    <w:rsid w:val="2E01C275"/>
    <w:rsid w:val="2E02F9ED"/>
    <w:rsid w:val="2E05F76F"/>
    <w:rsid w:val="2E072855"/>
    <w:rsid w:val="2E19B997"/>
    <w:rsid w:val="2E34F680"/>
    <w:rsid w:val="2E4144BB"/>
    <w:rsid w:val="2E4F0C79"/>
    <w:rsid w:val="2E506B3F"/>
    <w:rsid w:val="2E5636EF"/>
    <w:rsid w:val="2E5CD8EF"/>
    <w:rsid w:val="2E5D1256"/>
    <w:rsid w:val="2E5EF096"/>
    <w:rsid w:val="2E6B37E7"/>
    <w:rsid w:val="2E6BB750"/>
    <w:rsid w:val="2E701691"/>
    <w:rsid w:val="2E7825D0"/>
    <w:rsid w:val="2E8393F4"/>
    <w:rsid w:val="2E8752E7"/>
    <w:rsid w:val="2E8957E4"/>
    <w:rsid w:val="2E9A198B"/>
    <w:rsid w:val="2EA4F2B2"/>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279221"/>
    <w:rsid w:val="30312F28"/>
    <w:rsid w:val="3045E03D"/>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8A205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35376D"/>
    <w:rsid w:val="3241993A"/>
    <w:rsid w:val="32450096"/>
    <w:rsid w:val="3245A2FF"/>
    <w:rsid w:val="325595DC"/>
    <w:rsid w:val="3259E28C"/>
    <w:rsid w:val="327266BF"/>
    <w:rsid w:val="327E5E2E"/>
    <w:rsid w:val="3296888E"/>
    <w:rsid w:val="32A07383"/>
    <w:rsid w:val="32A3D0BD"/>
    <w:rsid w:val="32B6C40B"/>
    <w:rsid w:val="32BDFA4D"/>
    <w:rsid w:val="32C609BA"/>
    <w:rsid w:val="32D0309B"/>
    <w:rsid w:val="32EE37D1"/>
    <w:rsid w:val="32F9A672"/>
    <w:rsid w:val="32FC058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6D144A"/>
    <w:rsid w:val="34903701"/>
    <w:rsid w:val="34950953"/>
    <w:rsid w:val="3497D3C5"/>
    <w:rsid w:val="34A6BC9B"/>
    <w:rsid w:val="34B3AB9B"/>
    <w:rsid w:val="34BFE241"/>
    <w:rsid w:val="34C5217A"/>
    <w:rsid w:val="34D5C07F"/>
    <w:rsid w:val="34D5DCF5"/>
    <w:rsid w:val="34D66F6B"/>
    <w:rsid w:val="34DF8575"/>
    <w:rsid w:val="34E84B03"/>
    <w:rsid w:val="34EC4B35"/>
    <w:rsid w:val="34F7EE3F"/>
    <w:rsid w:val="351424F2"/>
    <w:rsid w:val="352342F0"/>
    <w:rsid w:val="352698D3"/>
    <w:rsid w:val="352A4351"/>
    <w:rsid w:val="35363B50"/>
    <w:rsid w:val="353D4E02"/>
    <w:rsid w:val="35414EFD"/>
    <w:rsid w:val="354A5589"/>
    <w:rsid w:val="355EEDE2"/>
    <w:rsid w:val="356816EE"/>
    <w:rsid w:val="3580D8BD"/>
    <w:rsid w:val="35A35175"/>
    <w:rsid w:val="35A44932"/>
    <w:rsid w:val="35A6F04F"/>
    <w:rsid w:val="35C01AA0"/>
    <w:rsid w:val="35C18B91"/>
    <w:rsid w:val="35CC3600"/>
    <w:rsid w:val="35E5FAB9"/>
    <w:rsid w:val="35ECB95F"/>
    <w:rsid w:val="35F211B9"/>
    <w:rsid w:val="35FD84DF"/>
    <w:rsid w:val="35FFECDA"/>
    <w:rsid w:val="36006CBD"/>
    <w:rsid w:val="3603A9A4"/>
    <w:rsid w:val="36043283"/>
    <w:rsid w:val="360953D5"/>
    <w:rsid w:val="360E9288"/>
    <w:rsid w:val="3615AEEF"/>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8CEC"/>
    <w:rsid w:val="3704D537"/>
    <w:rsid w:val="37229897"/>
    <w:rsid w:val="37249B18"/>
    <w:rsid w:val="372CC199"/>
    <w:rsid w:val="37412DE2"/>
    <w:rsid w:val="37480632"/>
    <w:rsid w:val="3761F376"/>
    <w:rsid w:val="3789A37C"/>
    <w:rsid w:val="37993FD2"/>
    <w:rsid w:val="37A56CD0"/>
    <w:rsid w:val="37AA62E9"/>
    <w:rsid w:val="37B1E5E0"/>
    <w:rsid w:val="37C10D95"/>
    <w:rsid w:val="37C5762F"/>
    <w:rsid w:val="37CF2072"/>
    <w:rsid w:val="37E69B1E"/>
    <w:rsid w:val="37F2F0FA"/>
    <w:rsid w:val="3802D6BE"/>
    <w:rsid w:val="3804BBF9"/>
    <w:rsid w:val="382094C2"/>
    <w:rsid w:val="382A8399"/>
    <w:rsid w:val="38384421"/>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1CBBD"/>
    <w:rsid w:val="38E56862"/>
    <w:rsid w:val="38FD1AA3"/>
    <w:rsid w:val="3906E94F"/>
    <w:rsid w:val="39089C35"/>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9F8EBC2"/>
    <w:rsid w:val="3A1DC6AC"/>
    <w:rsid w:val="3A1EB760"/>
    <w:rsid w:val="3A20DD11"/>
    <w:rsid w:val="3A284AE9"/>
    <w:rsid w:val="3A288AFB"/>
    <w:rsid w:val="3A2976BB"/>
    <w:rsid w:val="3A2D3688"/>
    <w:rsid w:val="3A2F2D93"/>
    <w:rsid w:val="3A39D234"/>
    <w:rsid w:val="3A4094BF"/>
    <w:rsid w:val="3A665F06"/>
    <w:rsid w:val="3A8604BC"/>
    <w:rsid w:val="3A90D508"/>
    <w:rsid w:val="3A991BD9"/>
    <w:rsid w:val="3AA4F186"/>
    <w:rsid w:val="3AB4E3EC"/>
    <w:rsid w:val="3AB69B00"/>
    <w:rsid w:val="3ABA2543"/>
    <w:rsid w:val="3AC0932E"/>
    <w:rsid w:val="3ACB5832"/>
    <w:rsid w:val="3AD38EE9"/>
    <w:rsid w:val="3AE39014"/>
    <w:rsid w:val="3AE64D83"/>
    <w:rsid w:val="3AE69A19"/>
    <w:rsid w:val="3AECE3E5"/>
    <w:rsid w:val="3AF19DF1"/>
    <w:rsid w:val="3AF62361"/>
    <w:rsid w:val="3AFFE5A5"/>
    <w:rsid w:val="3B057830"/>
    <w:rsid w:val="3B109D64"/>
    <w:rsid w:val="3B1CC3E7"/>
    <w:rsid w:val="3B43F79E"/>
    <w:rsid w:val="3B4BCC9A"/>
    <w:rsid w:val="3B516669"/>
    <w:rsid w:val="3B63A02B"/>
    <w:rsid w:val="3B662FD6"/>
    <w:rsid w:val="3B7044C3"/>
    <w:rsid w:val="3B8EBC1A"/>
    <w:rsid w:val="3BB69CD1"/>
    <w:rsid w:val="3BBA0E52"/>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CF6743C"/>
    <w:rsid w:val="3D0CF6B5"/>
    <w:rsid w:val="3D0F2E34"/>
    <w:rsid w:val="3D163B7D"/>
    <w:rsid w:val="3D4003A2"/>
    <w:rsid w:val="3D43A785"/>
    <w:rsid w:val="3D4DD950"/>
    <w:rsid w:val="3D4E3B03"/>
    <w:rsid w:val="3D5345D6"/>
    <w:rsid w:val="3D632324"/>
    <w:rsid w:val="3D7561D2"/>
    <w:rsid w:val="3D85DC68"/>
    <w:rsid w:val="3DB78132"/>
    <w:rsid w:val="3DB7D036"/>
    <w:rsid w:val="3DB94A07"/>
    <w:rsid w:val="3DD15A2A"/>
    <w:rsid w:val="3DEB0039"/>
    <w:rsid w:val="3DF442CC"/>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2A60A1"/>
    <w:rsid w:val="3F41A7D3"/>
    <w:rsid w:val="3F446031"/>
    <w:rsid w:val="3F5359F7"/>
    <w:rsid w:val="3F6E5623"/>
    <w:rsid w:val="3F7E2007"/>
    <w:rsid w:val="3F7FCFC9"/>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D75DA"/>
    <w:rsid w:val="409F1C7F"/>
    <w:rsid w:val="40BAE82C"/>
    <w:rsid w:val="40C4F9B7"/>
    <w:rsid w:val="40D7087C"/>
    <w:rsid w:val="40D74182"/>
    <w:rsid w:val="40D8DC8F"/>
    <w:rsid w:val="41069824"/>
    <w:rsid w:val="410A28F9"/>
    <w:rsid w:val="4115E6A5"/>
    <w:rsid w:val="41214282"/>
    <w:rsid w:val="414973F6"/>
    <w:rsid w:val="4155FA85"/>
    <w:rsid w:val="415C5744"/>
    <w:rsid w:val="415DEB2C"/>
    <w:rsid w:val="41704D2A"/>
    <w:rsid w:val="4170F881"/>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8218C2"/>
    <w:rsid w:val="4282CC3A"/>
    <w:rsid w:val="4293181D"/>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A7344B"/>
    <w:rsid w:val="44BA1A79"/>
    <w:rsid w:val="44BD74C6"/>
    <w:rsid w:val="44CABAF2"/>
    <w:rsid w:val="44D46E6D"/>
    <w:rsid w:val="44D9EDA1"/>
    <w:rsid w:val="44E35E65"/>
    <w:rsid w:val="44EE675B"/>
    <w:rsid w:val="44FB2A4D"/>
    <w:rsid w:val="450DA210"/>
    <w:rsid w:val="4522AE7A"/>
    <w:rsid w:val="4526D598"/>
    <w:rsid w:val="45324586"/>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1E2F2"/>
    <w:rsid w:val="4663B4CA"/>
    <w:rsid w:val="46640F5A"/>
    <w:rsid w:val="4669B577"/>
    <w:rsid w:val="46761BE1"/>
    <w:rsid w:val="46799448"/>
    <w:rsid w:val="4679CA01"/>
    <w:rsid w:val="467BA972"/>
    <w:rsid w:val="46895B2C"/>
    <w:rsid w:val="468BDAF0"/>
    <w:rsid w:val="4695DEA0"/>
    <w:rsid w:val="46BD06D3"/>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C15537"/>
    <w:rsid w:val="47CD4F3B"/>
    <w:rsid w:val="47E31AE1"/>
    <w:rsid w:val="47E9A2BF"/>
    <w:rsid w:val="47F8EEF3"/>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0100A"/>
    <w:rsid w:val="49182577"/>
    <w:rsid w:val="492431C9"/>
    <w:rsid w:val="492A2EF8"/>
    <w:rsid w:val="49342A66"/>
    <w:rsid w:val="49419FD9"/>
    <w:rsid w:val="49494F52"/>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9E16BE"/>
    <w:rsid w:val="4AA733DC"/>
    <w:rsid w:val="4AA8B16B"/>
    <w:rsid w:val="4ABFFF0D"/>
    <w:rsid w:val="4AC27DE6"/>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0D51A4"/>
    <w:rsid w:val="4C1AC25B"/>
    <w:rsid w:val="4C3534D9"/>
    <w:rsid w:val="4C39D955"/>
    <w:rsid w:val="4C3ADAC5"/>
    <w:rsid w:val="4C4C19B9"/>
    <w:rsid w:val="4C4C74B6"/>
    <w:rsid w:val="4C56A67A"/>
    <w:rsid w:val="4C5729A8"/>
    <w:rsid w:val="4C5A20CD"/>
    <w:rsid w:val="4C615F8B"/>
    <w:rsid w:val="4C666D42"/>
    <w:rsid w:val="4C8301F7"/>
    <w:rsid w:val="4C8AF06B"/>
    <w:rsid w:val="4C90A445"/>
    <w:rsid w:val="4C9B85B2"/>
    <w:rsid w:val="4CC32619"/>
    <w:rsid w:val="4CC33891"/>
    <w:rsid w:val="4CD212AC"/>
    <w:rsid w:val="4CEECC77"/>
    <w:rsid w:val="4CF0156C"/>
    <w:rsid w:val="4CFEFDD3"/>
    <w:rsid w:val="4D18C12D"/>
    <w:rsid w:val="4D1D7173"/>
    <w:rsid w:val="4D26EA3B"/>
    <w:rsid w:val="4D2FAE15"/>
    <w:rsid w:val="4D3DBDA7"/>
    <w:rsid w:val="4D53AB60"/>
    <w:rsid w:val="4D5A27B7"/>
    <w:rsid w:val="4D5BB19C"/>
    <w:rsid w:val="4D648397"/>
    <w:rsid w:val="4D848163"/>
    <w:rsid w:val="4D92FE76"/>
    <w:rsid w:val="4DAC331B"/>
    <w:rsid w:val="4DAD0CEA"/>
    <w:rsid w:val="4DAE9C7A"/>
    <w:rsid w:val="4DB1C80C"/>
    <w:rsid w:val="4DB529D4"/>
    <w:rsid w:val="4DB578FE"/>
    <w:rsid w:val="4DC6A07F"/>
    <w:rsid w:val="4DC73540"/>
    <w:rsid w:val="4DDA5C1D"/>
    <w:rsid w:val="4DDD33F8"/>
    <w:rsid w:val="4DEDFCEC"/>
    <w:rsid w:val="4E24F5A8"/>
    <w:rsid w:val="4E35DD23"/>
    <w:rsid w:val="4E39FE92"/>
    <w:rsid w:val="4E42FA84"/>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A023B"/>
    <w:rsid w:val="508D9A28"/>
    <w:rsid w:val="509958C7"/>
    <w:rsid w:val="509EA7B8"/>
    <w:rsid w:val="50AC8F68"/>
    <w:rsid w:val="50C1F999"/>
    <w:rsid w:val="50C43EA0"/>
    <w:rsid w:val="50C4DF5B"/>
    <w:rsid w:val="50C91318"/>
    <w:rsid w:val="50CB5F67"/>
    <w:rsid w:val="50CD166D"/>
    <w:rsid w:val="50D3073C"/>
    <w:rsid w:val="50E3F746"/>
    <w:rsid w:val="50EBE4CC"/>
    <w:rsid w:val="50F947CB"/>
    <w:rsid w:val="50F968D7"/>
    <w:rsid w:val="50FBC7E3"/>
    <w:rsid w:val="50FD20D6"/>
    <w:rsid w:val="50FE8310"/>
    <w:rsid w:val="5100955C"/>
    <w:rsid w:val="5104AFEF"/>
    <w:rsid w:val="5105528F"/>
    <w:rsid w:val="5124C4B0"/>
    <w:rsid w:val="513B0B85"/>
    <w:rsid w:val="5149135B"/>
    <w:rsid w:val="5178A917"/>
    <w:rsid w:val="518153FC"/>
    <w:rsid w:val="51827DBE"/>
    <w:rsid w:val="51832A41"/>
    <w:rsid w:val="518DCAC7"/>
    <w:rsid w:val="5199AB04"/>
    <w:rsid w:val="51AE4132"/>
    <w:rsid w:val="51C268B2"/>
    <w:rsid w:val="51C7B7FD"/>
    <w:rsid w:val="51D135A8"/>
    <w:rsid w:val="51DC26B6"/>
    <w:rsid w:val="51EC41AA"/>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CD8052"/>
    <w:rsid w:val="53D11B93"/>
    <w:rsid w:val="53D81AB9"/>
    <w:rsid w:val="53DE8D27"/>
    <w:rsid w:val="53DFBD8F"/>
    <w:rsid w:val="540F456B"/>
    <w:rsid w:val="5427D0B8"/>
    <w:rsid w:val="542AEDD2"/>
    <w:rsid w:val="5437B43C"/>
    <w:rsid w:val="543A0C16"/>
    <w:rsid w:val="54400669"/>
    <w:rsid w:val="5442F4C5"/>
    <w:rsid w:val="5465D8A0"/>
    <w:rsid w:val="546B98B7"/>
    <w:rsid w:val="548AA61A"/>
    <w:rsid w:val="54ACC986"/>
    <w:rsid w:val="54ADBB57"/>
    <w:rsid w:val="54B01FB2"/>
    <w:rsid w:val="54BE9B36"/>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EA68F"/>
    <w:rsid w:val="55FF3D79"/>
    <w:rsid w:val="5601669A"/>
    <w:rsid w:val="5602845F"/>
    <w:rsid w:val="5604323D"/>
    <w:rsid w:val="5609283A"/>
    <w:rsid w:val="5614748C"/>
    <w:rsid w:val="561F8F74"/>
    <w:rsid w:val="562C34AD"/>
    <w:rsid w:val="5636388F"/>
    <w:rsid w:val="5645F23C"/>
    <w:rsid w:val="564952C8"/>
    <w:rsid w:val="564B1821"/>
    <w:rsid w:val="5653337C"/>
    <w:rsid w:val="5687B5CE"/>
    <w:rsid w:val="5693B1C9"/>
    <w:rsid w:val="56964E29"/>
    <w:rsid w:val="569CDE83"/>
    <w:rsid w:val="569D65EE"/>
    <w:rsid w:val="56A681C6"/>
    <w:rsid w:val="56BCFC32"/>
    <w:rsid w:val="56BF6F2E"/>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69889"/>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BF5DD7"/>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02AB6"/>
    <w:rsid w:val="5A031016"/>
    <w:rsid w:val="5A119733"/>
    <w:rsid w:val="5A155E37"/>
    <w:rsid w:val="5A207042"/>
    <w:rsid w:val="5A25C91D"/>
    <w:rsid w:val="5A32AE20"/>
    <w:rsid w:val="5A422499"/>
    <w:rsid w:val="5A447C78"/>
    <w:rsid w:val="5A500C4B"/>
    <w:rsid w:val="5A522E52"/>
    <w:rsid w:val="5A6D6B60"/>
    <w:rsid w:val="5A7F5A29"/>
    <w:rsid w:val="5A81DEF0"/>
    <w:rsid w:val="5A8434CD"/>
    <w:rsid w:val="5A8FC8B7"/>
    <w:rsid w:val="5A97B3C9"/>
    <w:rsid w:val="5ABF55EF"/>
    <w:rsid w:val="5ACA0019"/>
    <w:rsid w:val="5AD68F11"/>
    <w:rsid w:val="5AEF9B41"/>
    <w:rsid w:val="5AF93C60"/>
    <w:rsid w:val="5B00F824"/>
    <w:rsid w:val="5B109F0F"/>
    <w:rsid w:val="5B172DFF"/>
    <w:rsid w:val="5B2915BE"/>
    <w:rsid w:val="5B2B3D27"/>
    <w:rsid w:val="5B3235DC"/>
    <w:rsid w:val="5B377648"/>
    <w:rsid w:val="5B43CE59"/>
    <w:rsid w:val="5B4B6F66"/>
    <w:rsid w:val="5B549AB2"/>
    <w:rsid w:val="5B7D1B42"/>
    <w:rsid w:val="5B896E0C"/>
    <w:rsid w:val="5B8F83EF"/>
    <w:rsid w:val="5BA328E0"/>
    <w:rsid w:val="5BA8D101"/>
    <w:rsid w:val="5BC050E9"/>
    <w:rsid w:val="5BC5081D"/>
    <w:rsid w:val="5BC70A42"/>
    <w:rsid w:val="5BDC0262"/>
    <w:rsid w:val="5BE0647F"/>
    <w:rsid w:val="5BE6CABE"/>
    <w:rsid w:val="5BE807AE"/>
    <w:rsid w:val="5BECCC2B"/>
    <w:rsid w:val="5BED94BA"/>
    <w:rsid w:val="5BF9DC91"/>
    <w:rsid w:val="5BFDCC48"/>
    <w:rsid w:val="5C139A67"/>
    <w:rsid w:val="5C2A0546"/>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A3E8B8"/>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5F1B"/>
    <w:rsid w:val="5E70EAB1"/>
    <w:rsid w:val="5E7A8FE4"/>
    <w:rsid w:val="5E7EAA16"/>
    <w:rsid w:val="5E84D134"/>
    <w:rsid w:val="5EB92851"/>
    <w:rsid w:val="5EBA514C"/>
    <w:rsid w:val="5EBAA40D"/>
    <w:rsid w:val="5EBDA316"/>
    <w:rsid w:val="5EC33E2B"/>
    <w:rsid w:val="5ED917B2"/>
    <w:rsid w:val="5EE6DBD6"/>
    <w:rsid w:val="5EF3A242"/>
    <w:rsid w:val="5EF9BCE2"/>
    <w:rsid w:val="5EFF10FB"/>
    <w:rsid w:val="5F008397"/>
    <w:rsid w:val="5F15E9F3"/>
    <w:rsid w:val="5F259E63"/>
    <w:rsid w:val="5F25AA5A"/>
    <w:rsid w:val="5F42CDC3"/>
    <w:rsid w:val="5F56D436"/>
    <w:rsid w:val="5F71301B"/>
    <w:rsid w:val="5F7946C1"/>
    <w:rsid w:val="5F7AE419"/>
    <w:rsid w:val="5F91C7B6"/>
    <w:rsid w:val="5F97994C"/>
    <w:rsid w:val="5FA9980E"/>
    <w:rsid w:val="5FCAFA15"/>
    <w:rsid w:val="5FD557B4"/>
    <w:rsid w:val="5FD84E5A"/>
    <w:rsid w:val="5FF3349E"/>
    <w:rsid w:val="5FFAE98C"/>
    <w:rsid w:val="5FFAF013"/>
    <w:rsid w:val="601E4696"/>
    <w:rsid w:val="6030F487"/>
    <w:rsid w:val="603D7F63"/>
    <w:rsid w:val="603FB768"/>
    <w:rsid w:val="604484F3"/>
    <w:rsid w:val="6044EBDB"/>
    <w:rsid w:val="6048F38C"/>
    <w:rsid w:val="6057844E"/>
    <w:rsid w:val="605BE626"/>
    <w:rsid w:val="605D644B"/>
    <w:rsid w:val="605ECE71"/>
    <w:rsid w:val="605EF019"/>
    <w:rsid w:val="6079E120"/>
    <w:rsid w:val="60924469"/>
    <w:rsid w:val="60992DBF"/>
    <w:rsid w:val="60B59BD0"/>
    <w:rsid w:val="60BF0D9C"/>
    <w:rsid w:val="60C8262B"/>
    <w:rsid w:val="60CA2440"/>
    <w:rsid w:val="60CCA4A0"/>
    <w:rsid w:val="60DA3146"/>
    <w:rsid w:val="60E93426"/>
    <w:rsid w:val="60F2C528"/>
    <w:rsid w:val="60F2FCEE"/>
    <w:rsid w:val="610513D9"/>
    <w:rsid w:val="610E3D6A"/>
    <w:rsid w:val="611191FA"/>
    <w:rsid w:val="614FF140"/>
    <w:rsid w:val="6159FF43"/>
    <w:rsid w:val="615E4BB7"/>
    <w:rsid w:val="615F2814"/>
    <w:rsid w:val="6163E60C"/>
    <w:rsid w:val="616C0C3A"/>
    <w:rsid w:val="617818FA"/>
    <w:rsid w:val="619A4935"/>
    <w:rsid w:val="619B2E35"/>
    <w:rsid w:val="61AB072F"/>
    <w:rsid w:val="61B6035D"/>
    <w:rsid w:val="61B9D574"/>
    <w:rsid w:val="61BC6BE5"/>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21A4ED"/>
    <w:rsid w:val="633FB453"/>
    <w:rsid w:val="63417996"/>
    <w:rsid w:val="635A6D0A"/>
    <w:rsid w:val="636833A4"/>
    <w:rsid w:val="638462E9"/>
    <w:rsid w:val="6387F629"/>
    <w:rsid w:val="639C273F"/>
    <w:rsid w:val="63A21578"/>
    <w:rsid w:val="63A729A2"/>
    <w:rsid w:val="63AF3C32"/>
    <w:rsid w:val="63B40BC0"/>
    <w:rsid w:val="63D0F185"/>
    <w:rsid w:val="63EDF1B5"/>
    <w:rsid w:val="63F77AA3"/>
    <w:rsid w:val="63FEDB32"/>
    <w:rsid w:val="64216AAA"/>
    <w:rsid w:val="6426BE04"/>
    <w:rsid w:val="643EE2C1"/>
    <w:rsid w:val="64489654"/>
    <w:rsid w:val="64514724"/>
    <w:rsid w:val="646846BD"/>
    <w:rsid w:val="64742744"/>
    <w:rsid w:val="647D5EFC"/>
    <w:rsid w:val="64986229"/>
    <w:rsid w:val="649F2D2B"/>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8895D"/>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0F5BF4"/>
    <w:rsid w:val="6610D8DA"/>
    <w:rsid w:val="661B621D"/>
    <w:rsid w:val="661D7A24"/>
    <w:rsid w:val="661FFF53"/>
    <w:rsid w:val="6631DB8A"/>
    <w:rsid w:val="66364D7C"/>
    <w:rsid w:val="663E37E1"/>
    <w:rsid w:val="664BF608"/>
    <w:rsid w:val="666B8612"/>
    <w:rsid w:val="6670E11E"/>
    <w:rsid w:val="6672B1B7"/>
    <w:rsid w:val="66835E30"/>
    <w:rsid w:val="6687ED59"/>
    <w:rsid w:val="66AA93AF"/>
    <w:rsid w:val="66AF6AB9"/>
    <w:rsid w:val="66B5BD5B"/>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7EEA0C"/>
    <w:rsid w:val="68812538"/>
    <w:rsid w:val="6892057F"/>
    <w:rsid w:val="689B9BE0"/>
    <w:rsid w:val="68AAE901"/>
    <w:rsid w:val="68B2923E"/>
    <w:rsid w:val="68B71E2A"/>
    <w:rsid w:val="68BBA940"/>
    <w:rsid w:val="68C26ED7"/>
    <w:rsid w:val="68C665C4"/>
    <w:rsid w:val="68CAE2AB"/>
    <w:rsid w:val="68D7B268"/>
    <w:rsid w:val="68DE92E7"/>
    <w:rsid w:val="68E6B029"/>
    <w:rsid w:val="68EA62EE"/>
    <w:rsid w:val="68F1DEB5"/>
    <w:rsid w:val="68F21D55"/>
    <w:rsid w:val="68F2F511"/>
    <w:rsid w:val="68FDA21E"/>
    <w:rsid w:val="690503B8"/>
    <w:rsid w:val="6911043D"/>
    <w:rsid w:val="6920D4BF"/>
    <w:rsid w:val="6945C65C"/>
    <w:rsid w:val="69795175"/>
    <w:rsid w:val="697DF1C7"/>
    <w:rsid w:val="69925053"/>
    <w:rsid w:val="69B24B68"/>
    <w:rsid w:val="69B479E8"/>
    <w:rsid w:val="69CB394C"/>
    <w:rsid w:val="69D1B8A1"/>
    <w:rsid w:val="69D201E2"/>
    <w:rsid w:val="69D3FBDC"/>
    <w:rsid w:val="69D664AF"/>
    <w:rsid w:val="69E5ECA2"/>
    <w:rsid w:val="69F1EE96"/>
    <w:rsid w:val="69F94A75"/>
    <w:rsid w:val="6A0160DC"/>
    <w:rsid w:val="6A103FC1"/>
    <w:rsid w:val="6A249917"/>
    <w:rsid w:val="6A269DAE"/>
    <w:rsid w:val="6A30C3F2"/>
    <w:rsid w:val="6A40E8B1"/>
    <w:rsid w:val="6A4846B1"/>
    <w:rsid w:val="6A488EC7"/>
    <w:rsid w:val="6A54F459"/>
    <w:rsid w:val="6A558B16"/>
    <w:rsid w:val="6A5BF138"/>
    <w:rsid w:val="6A5CEAC7"/>
    <w:rsid w:val="6A769193"/>
    <w:rsid w:val="6A79F3F8"/>
    <w:rsid w:val="6A82CA5F"/>
    <w:rsid w:val="6A8D6DF0"/>
    <w:rsid w:val="6AA54AC6"/>
    <w:rsid w:val="6AA8FAE9"/>
    <w:rsid w:val="6AB1EA1A"/>
    <w:rsid w:val="6AB2E5D3"/>
    <w:rsid w:val="6AB46956"/>
    <w:rsid w:val="6AB51935"/>
    <w:rsid w:val="6AB7C63D"/>
    <w:rsid w:val="6ABD53A6"/>
    <w:rsid w:val="6ACD9AF0"/>
    <w:rsid w:val="6ADA8755"/>
    <w:rsid w:val="6AE11A98"/>
    <w:rsid w:val="6AE4069F"/>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A3AB0A"/>
    <w:rsid w:val="6BB073E6"/>
    <w:rsid w:val="6BBB6677"/>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48F01E"/>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6E2F0"/>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48EA8E"/>
    <w:rsid w:val="6F5CC282"/>
    <w:rsid w:val="6F610A54"/>
    <w:rsid w:val="6F627C58"/>
    <w:rsid w:val="6F669A03"/>
    <w:rsid w:val="6F6840A3"/>
    <w:rsid w:val="6F6A1960"/>
    <w:rsid w:val="6F6E0727"/>
    <w:rsid w:val="6F6F8E7B"/>
    <w:rsid w:val="6F728E6A"/>
    <w:rsid w:val="6F8A3EDC"/>
    <w:rsid w:val="6FA2EBD0"/>
    <w:rsid w:val="6FA8E8C1"/>
    <w:rsid w:val="6FADD2ED"/>
    <w:rsid w:val="6FCB0C03"/>
    <w:rsid w:val="6FEDA30E"/>
    <w:rsid w:val="6FF42206"/>
    <w:rsid w:val="6FF4C3C5"/>
    <w:rsid w:val="700AF0BA"/>
    <w:rsid w:val="70132AE4"/>
    <w:rsid w:val="70189413"/>
    <w:rsid w:val="702E47AA"/>
    <w:rsid w:val="7031A689"/>
    <w:rsid w:val="703FCD2E"/>
    <w:rsid w:val="70412F0D"/>
    <w:rsid w:val="704241C1"/>
    <w:rsid w:val="705313C1"/>
    <w:rsid w:val="705C2DF8"/>
    <w:rsid w:val="7066F788"/>
    <w:rsid w:val="706B2543"/>
    <w:rsid w:val="706B98A7"/>
    <w:rsid w:val="7074F23B"/>
    <w:rsid w:val="70846459"/>
    <w:rsid w:val="70935333"/>
    <w:rsid w:val="709A7CB5"/>
    <w:rsid w:val="70BD00D1"/>
    <w:rsid w:val="70BF18CF"/>
    <w:rsid w:val="70CD7C7C"/>
    <w:rsid w:val="70CF7AB2"/>
    <w:rsid w:val="710C37C9"/>
    <w:rsid w:val="7112E2C9"/>
    <w:rsid w:val="71162829"/>
    <w:rsid w:val="7116A1CF"/>
    <w:rsid w:val="711FABC2"/>
    <w:rsid w:val="71268A0F"/>
    <w:rsid w:val="713DB20C"/>
    <w:rsid w:val="71485E4C"/>
    <w:rsid w:val="71509795"/>
    <w:rsid w:val="71737000"/>
    <w:rsid w:val="7179AED6"/>
    <w:rsid w:val="71808A28"/>
    <w:rsid w:val="7191B10B"/>
    <w:rsid w:val="719698E2"/>
    <w:rsid w:val="7197B202"/>
    <w:rsid w:val="71AE4812"/>
    <w:rsid w:val="71B0A7DA"/>
    <w:rsid w:val="71B246B7"/>
    <w:rsid w:val="71C329B5"/>
    <w:rsid w:val="71CF7911"/>
    <w:rsid w:val="71E1CA73"/>
    <w:rsid w:val="71E6D1D1"/>
    <w:rsid w:val="7211576D"/>
    <w:rsid w:val="721E0C92"/>
    <w:rsid w:val="72294DB9"/>
    <w:rsid w:val="7232D8E8"/>
    <w:rsid w:val="723C21C5"/>
    <w:rsid w:val="724687F4"/>
    <w:rsid w:val="7252F6B0"/>
    <w:rsid w:val="72750D0D"/>
    <w:rsid w:val="727619C9"/>
    <w:rsid w:val="72987FD5"/>
    <w:rsid w:val="729931BF"/>
    <w:rsid w:val="729A39F6"/>
    <w:rsid w:val="72A6EA73"/>
    <w:rsid w:val="72ABEE0D"/>
    <w:rsid w:val="72AF93B9"/>
    <w:rsid w:val="72C02B1A"/>
    <w:rsid w:val="72CB169F"/>
    <w:rsid w:val="72D05B34"/>
    <w:rsid w:val="730C1D06"/>
    <w:rsid w:val="73277083"/>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40685"/>
    <w:rsid w:val="73E9D65F"/>
    <w:rsid w:val="73F0E105"/>
    <w:rsid w:val="73FE60A3"/>
    <w:rsid w:val="73FF1F1B"/>
    <w:rsid w:val="74026D1C"/>
    <w:rsid w:val="74161ACE"/>
    <w:rsid w:val="7419C878"/>
    <w:rsid w:val="743136D9"/>
    <w:rsid w:val="7440737F"/>
    <w:rsid w:val="7442182E"/>
    <w:rsid w:val="74489D2F"/>
    <w:rsid w:val="744900B7"/>
    <w:rsid w:val="7455962A"/>
    <w:rsid w:val="747FAEF2"/>
    <w:rsid w:val="747FC5D1"/>
    <w:rsid w:val="7494510C"/>
    <w:rsid w:val="74964397"/>
    <w:rsid w:val="74A1C772"/>
    <w:rsid w:val="74AC8E69"/>
    <w:rsid w:val="74B67744"/>
    <w:rsid w:val="74C43065"/>
    <w:rsid w:val="74C96F9C"/>
    <w:rsid w:val="74CE9443"/>
    <w:rsid w:val="74DAD11F"/>
    <w:rsid w:val="74DFA6C5"/>
    <w:rsid w:val="74E1D134"/>
    <w:rsid w:val="74E7AEF9"/>
    <w:rsid w:val="74E7C98C"/>
    <w:rsid w:val="74F26F74"/>
    <w:rsid w:val="74F47A19"/>
    <w:rsid w:val="74F83405"/>
    <w:rsid w:val="74F99604"/>
    <w:rsid w:val="74FE229E"/>
    <w:rsid w:val="74FF4A8A"/>
    <w:rsid w:val="74FFF3FA"/>
    <w:rsid w:val="750A704D"/>
    <w:rsid w:val="750B083A"/>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63D25"/>
    <w:rsid w:val="761ABADE"/>
    <w:rsid w:val="761B9E33"/>
    <w:rsid w:val="762CBA5F"/>
    <w:rsid w:val="7633CFFD"/>
    <w:rsid w:val="7636E77F"/>
    <w:rsid w:val="765CA8C3"/>
    <w:rsid w:val="76640549"/>
    <w:rsid w:val="76692C08"/>
    <w:rsid w:val="766A34A2"/>
    <w:rsid w:val="766C6954"/>
    <w:rsid w:val="767EE4DF"/>
    <w:rsid w:val="7694970F"/>
    <w:rsid w:val="7697C773"/>
    <w:rsid w:val="769B6DFC"/>
    <w:rsid w:val="76B818ED"/>
    <w:rsid w:val="76BF780A"/>
    <w:rsid w:val="76BF9EF7"/>
    <w:rsid w:val="76C9EC11"/>
    <w:rsid w:val="76CA46A1"/>
    <w:rsid w:val="76D8B9C5"/>
    <w:rsid w:val="76DE52BC"/>
    <w:rsid w:val="76E09CFF"/>
    <w:rsid w:val="76E473F6"/>
    <w:rsid w:val="76EA22AA"/>
    <w:rsid w:val="76EE66C4"/>
    <w:rsid w:val="770B5F4C"/>
    <w:rsid w:val="770F92E8"/>
    <w:rsid w:val="770FB446"/>
    <w:rsid w:val="771E6A2D"/>
    <w:rsid w:val="7734C166"/>
    <w:rsid w:val="7747C06E"/>
    <w:rsid w:val="77651480"/>
    <w:rsid w:val="776B60C9"/>
    <w:rsid w:val="77774F4C"/>
    <w:rsid w:val="777E5DC6"/>
    <w:rsid w:val="7784F305"/>
    <w:rsid w:val="779ED8AA"/>
    <w:rsid w:val="77A7B935"/>
    <w:rsid w:val="77D005F4"/>
    <w:rsid w:val="77D572A0"/>
    <w:rsid w:val="77DDCC90"/>
    <w:rsid w:val="77E9247F"/>
    <w:rsid w:val="77EF0806"/>
    <w:rsid w:val="77F0F35C"/>
    <w:rsid w:val="77FB07C2"/>
    <w:rsid w:val="7802DAE2"/>
    <w:rsid w:val="780516BB"/>
    <w:rsid w:val="7821604F"/>
    <w:rsid w:val="7825575D"/>
    <w:rsid w:val="7825A7DE"/>
    <w:rsid w:val="7825EB70"/>
    <w:rsid w:val="784B2FD8"/>
    <w:rsid w:val="7850BBB1"/>
    <w:rsid w:val="785D2633"/>
    <w:rsid w:val="7860713F"/>
    <w:rsid w:val="787D25E1"/>
    <w:rsid w:val="787FF8C5"/>
    <w:rsid w:val="78860194"/>
    <w:rsid w:val="788EBCF8"/>
    <w:rsid w:val="78ABA914"/>
    <w:rsid w:val="78C8FBC4"/>
    <w:rsid w:val="78CAEE0D"/>
    <w:rsid w:val="78CECEA2"/>
    <w:rsid w:val="78D788AE"/>
    <w:rsid w:val="78DBC58C"/>
    <w:rsid w:val="78DD975D"/>
    <w:rsid w:val="78E84EB0"/>
    <w:rsid w:val="78F2CF3B"/>
    <w:rsid w:val="79090ADF"/>
    <w:rsid w:val="791134CA"/>
    <w:rsid w:val="7912036E"/>
    <w:rsid w:val="79150021"/>
    <w:rsid w:val="791974A1"/>
    <w:rsid w:val="791A5635"/>
    <w:rsid w:val="79314FBF"/>
    <w:rsid w:val="793BC507"/>
    <w:rsid w:val="79471F61"/>
    <w:rsid w:val="7949DB42"/>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0BF4DA"/>
    <w:rsid w:val="7A22256A"/>
    <w:rsid w:val="7A400FE5"/>
    <w:rsid w:val="7A4A74D6"/>
    <w:rsid w:val="7A5085DF"/>
    <w:rsid w:val="7A6AED4E"/>
    <w:rsid w:val="7A786A3D"/>
    <w:rsid w:val="7A7C59D1"/>
    <w:rsid w:val="7A7FE189"/>
    <w:rsid w:val="7A94F8CB"/>
    <w:rsid w:val="7A9D8B19"/>
    <w:rsid w:val="7AA15CED"/>
    <w:rsid w:val="7AA45B4E"/>
    <w:rsid w:val="7AA49102"/>
    <w:rsid w:val="7AA53E43"/>
    <w:rsid w:val="7AB3AAAD"/>
    <w:rsid w:val="7AB622EE"/>
    <w:rsid w:val="7ACE6C6C"/>
    <w:rsid w:val="7ADE1605"/>
    <w:rsid w:val="7AE483EB"/>
    <w:rsid w:val="7AE91132"/>
    <w:rsid w:val="7AF53CEF"/>
    <w:rsid w:val="7AF7930C"/>
    <w:rsid w:val="7AFA740C"/>
    <w:rsid w:val="7B141804"/>
    <w:rsid w:val="7B281078"/>
    <w:rsid w:val="7B2D06EB"/>
    <w:rsid w:val="7B2DBD6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3E4E11"/>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21A62"/>
    <w:rsid w:val="7D15B19E"/>
    <w:rsid w:val="7D3A49AE"/>
    <w:rsid w:val="7D418173"/>
    <w:rsid w:val="7D4CF034"/>
    <w:rsid w:val="7D60200D"/>
    <w:rsid w:val="7D7E8928"/>
    <w:rsid w:val="7D8A0864"/>
    <w:rsid w:val="7D92BABD"/>
    <w:rsid w:val="7D99B17A"/>
    <w:rsid w:val="7DB33F44"/>
    <w:rsid w:val="7DB9109F"/>
    <w:rsid w:val="7DC08C04"/>
    <w:rsid w:val="7DC53AE7"/>
    <w:rsid w:val="7DCF48E7"/>
    <w:rsid w:val="7DD20629"/>
    <w:rsid w:val="7DDB2B04"/>
    <w:rsid w:val="7DE57491"/>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EFE1E4F"/>
    <w:rsid w:val="7F140923"/>
    <w:rsid w:val="7F259406"/>
    <w:rsid w:val="7F25DDFD"/>
    <w:rsid w:val="7F29A74F"/>
    <w:rsid w:val="7F458D87"/>
    <w:rsid w:val="7F49E9B2"/>
    <w:rsid w:val="7F5495DE"/>
    <w:rsid w:val="7F5F1C81"/>
    <w:rsid w:val="7F68ACEA"/>
    <w:rsid w:val="7F6BCED6"/>
    <w:rsid w:val="7F733E5C"/>
    <w:rsid w:val="7F7468A4"/>
    <w:rsid w:val="7F8548FB"/>
    <w:rsid w:val="7F8AED79"/>
    <w:rsid w:val="7FA1F751"/>
    <w:rsid w:val="7FAC5822"/>
    <w:rsid w:val="7FACD133"/>
    <w:rsid w:val="7FB9ECAA"/>
    <w:rsid w:val="7FC2D479"/>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0CC4F8D5-05F9-4788-8281-548BE95B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fi"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9C3800"/>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sid w:val="00AD7D86"/>
    <w:rPr>
      <w:color w:val="0000FF"/>
      <w:bdr w:val="none" w:sz="0" w:space="0" w:color="auto"/>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rsid w:val="009C3800"/>
    <w:pPr>
      <w:spacing w:after="0"/>
      <w:ind w:left="5103"/>
    </w:pPr>
    <w:rPr>
      <w:rFonts w:ascii="Times New Roman" w:hAnsi="Times New Roman" w:cs="Times New Roman"/>
      <w:sz w:val="28"/>
    </w:rPr>
  </w:style>
  <w:style w:type="paragraph" w:customStyle="1" w:styleId="DateMarking">
    <w:name w:val="DateMarking"/>
    <w:basedOn w:val="Normal"/>
    <w:rsid w:val="009C3800"/>
    <w:pPr>
      <w:spacing w:after="0"/>
      <w:ind w:left="5103"/>
    </w:pPr>
    <w:rPr>
      <w:rFonts w:ascii="Times New Roman" w:hAnsi="Times New Roman" w:cs="Times New Roman"/>
      <w:i/>
      <w:sz w:val="28"/>
    </w:rPr>
  </w:style>
  <w:style w:type="paragraph" w:customStyle="1" w:styleId="ReleasableTo">
    <w:name w:val="ReleasableTo"/>
    <w:basedOn w:val="Normal"/>
    <w:rsid w:val="009C3800"/>
    <w:pPr>
      <w:spacing w:after="0"/>
      <w:ind w:left="5103"/>
    </w:pPr>
    <w:rPr>
      <w:rFonts w:ascii="Times New Roman" w:hAnsi="Times New Roman" w:cs="Times New Roman"/>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9">
    <w:name w:val="Unresolved Mention9"/>
    <w:basedOn w:val="DefaultParagraphFont"/>
    <w:uiPriority w:val="99"/>
    <w:semiHidden/>
    <w:unhideWhenUsed/>
    <w:rsid w:val="001F52FC"/>
    <w:rPr>
      <w:color w:val="605E5C"/>
      <w:shd w:val="clear" w:color="auto" w:fill="E1DFDD"/>
    </w:rPr>
  </w:style>
  <w:style w:type="paragraph" w:customStyle="1" w:styleId="TechnicalBlock">
    <w:name w:val="Technical Block"/>
    <w:basedOn w:val="Normal"/>
    <w:link w:val="TechnicalBlockChar"/>
    <w:rsid w:val="00337827"/>
    <w:pPr>
      <w:spacing w:after="240" w:line="240" w:lineRule="auto"/>
      <w:jc w:val="center"/>
    </w:pPr>
  </w:style>
  <w:style w:type="character" w:customStyle="1" w:styleId="TechnicalBlockChar">
    <w:name w:val="Technical Block Char"/>
    <w:basedOn w:val="DefaultParagraphFont"/>
    <w:link w:val="TechnicalBlock"/>
    <w:rsid w:val="00337827"/>
  </w:style>
  <w:style w:type="paragraph" w:customStyle="1" w:styleId="EntText">
    <w:name w:val="EntText"/>
    <w:basedOn w:val="Normal"/>
    <w:rsid w:val="00AD7D86"/>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AD7D86"/>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337827"/>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337827"/>
    <w:rPr>
      <w:rFonts w:ascii="Times New Roman" w:hAnsi="Times New Roman" w:cs="Times New Roman"/>
      <w:sz w:val="24"/>
    </w:rPr>
  </w:style>
  <w:style w:type="paragraph" w:customStyle="1" w:styleId="nbbordered">
    <w:name w:val="nb bordered"/>
    <w:basedOn w:val="Normal"/>
    <w:link w:val="nbborderedChar"/>
    <w:rsid w:val="00337827"/>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337827"/>
    <w:rPr>
      <w:rFonts w:ascii="Times New Roman" w:hAnsi="Times New Roman" w:cs="Times New Roman"/>
      <w:b/>
      <w:sz w:val="24"/>
    </w:rPr>
  </w:style>
  <w:style w:type="paragraph" w:customStyle="1" w:styleId="HeaderCouncil">
    <w:name w:val="Header Council"/>
    <w:basedOn w:val="Normal"/>
    <w:link w:val="HeaderCouncilChar"/>
    <w:rsid w:val="00337827"/>
    <w:pPr>
      <w:spacing w:after="0"/>
    </w:pPr>
    <w:rPr>
      <w:sz w:val="2"/>
    </w:rPr>
  </w:style>
  <w:style w:type="character" w:customStyle="1" w:styleId="HeaderCouncilChar">
    <w:name w:val="Header Council Char"/>
    <w:basedOn w:val="DefaultParagraphFont"/>
    <w:link w:val="HeaderCouncil"/>
    <w:rsid w:val="00337827"/>
    <w:rPr>
      <w:sz w:val="2"/>
    </w:rPr>
  </w:style>
  <w:style w:type="paragraph" w:customStyle="1" w:styleId="HeaderCouncilLarge">
    <w:name w:val="Header Council Large"/>
    <w:basedOn w:val="Normal"/>
    <w:link w:val="HeaderCouncilLargeChar"/>
    <w:rsid w:val="00337827"/>
    <w:pPr>
      <w:spacing w:after="440"/>
    </w:pPr>
    <w:rPr>
      <w:sz w:val="2"/>
    </w:rPr>
  </w:style>
  <w:style w:type="character" w:customStyle="1" w:styleId="HeaderCouncilLargeChar">
    <w:name w:val="Header Council Large Char"/>
    <w:basedOn w:val="DefaultParagraphFont"/>
    <w:link w:val="HeaderCouncilLarge"/>
    <w:rsid w:val="00337827"/>
    <w:rPr>
      <w:sz w:val="2"/>
    </w:rPr>
  </w:style>
  <w:style w:type="paragraph" w:customStyle="1" w:styleId="FooterCouncil">
    <w:name w:val="Footer Council"/>
    <w:basedOn w:val="Normal"/>
    <w:link w:val="FooterCouncilChar"/>
    <w:rsid w:val="00337827"/>
    <w:pPr>
      <w:spacing w:after="0"/>
    </w:pPr>
    <w:rPr>
      <w:sz w:val="2"/>
    </w:rPr>
  </w:style>
  <w:style w:type="character" w:customStyle="1" w:styleId="FooterCouncilChar">
    <w:name w:val="Footer Council Char"/>
    <w:basedOn w:val="DefaultParagraphFont"/>
    <w:link w:val="FooterCouncil"/>
    <w:rsid w:val="00337827"/>
    <w:rPr>
      <w:sz w:val="2"/>
    </w:rPr>
  </w:style>
  <w:style w:type="paragraph" w:customStyle="1" w:styleId="FooterText">
    <w:name w:val="Footer Text"/>
    <w:basedOn w:val="Normal"/>
    <w:rsid w:val="00337827"/>
    <w:pPr>
      <w:spacing w:after="0" w:line="240" w:lineRule="auto"/>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337827"/>
    <w:rPr>
      <w:color w:val="808080"/>
    </w:rPr>
  </w:style>
  <w:style w:type="character" w:customStyle="1" w:styleId="Mention">
    <w:name w:val="Mention"/>
    <w:basedOn w:val="DefaultParagraphFont"/>
    <w:uiPriority w:val="99"/>
    <w:unhideWhenUsed/>
    <w:rsid w:val="000B7EBD"/>
    <w:rPr>
      <w:color w:val="2B579A"/>
      <w:shd w:val="clear" w:color="auto" w:fill="E1DFDD"/>
    </w:rPr>
  </w:style>
  <w:style w:type="character" w:customStyle="1" w:styleId="UnresolvedMention">
    <w:name w:val="Unresolved Mention"/>
    <w:basedOn w:val="DefaultParagraphFont"/>
    <w:uiPriority w:val="99"/>
    <w:semiHidden/>
    <w:unhideWhenUsed/>
    <w:rsid w:val="002A302D"/>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sz w:val="24"/>
      <w:u w:val="single"/>
    </w:rPr>
  </w:style>
  <w:style w:type="paragraph" w:customStyle="1" w:styleId="P68B1DB1-ListParagraph6">
    <w:name w:val="P68B1DB1-ListParagraph6"/>
    <w:basedOn w:val="ListParagraph"/>
    <w:rPr>
      <w:rFonts w:ascii="Times New Roman" w:hAnsi="Times New Roman"/>
      <w:sz w:val="24"/>
    </w:rPr>
  </w:style>
  <w:style w:type="paragraph" w:customStyle="1" w:styleId="P68B1DB1-Normal7">
    <w:name w:val="P68B1DB1-Normal7"/>
    <w:basedOn w:val="Normal"/>
    <w:rPr>
      <w:rFonts w:ascii="Times New Roman" w:hAnsi="Times New Roman"/>
    </w:rPr>
  </w:style>
  <w:style w:type="paragraph" w:customStyle="1" w:styleId="P68B1DB1-Normal8">
    <w:name w:val="P68B1DB1-Normal8"/>
    <w:basedOn w:val="Normal"/>
    <w:rPr>
      <w:rFonts w:ascii="Times New Roman" w:hAnsi="Times New Roman"/>
      <w:b/>
      <w:sz w:val="18"/>
    </w:rPr>
  </w:style>
  <w:style w:type="paragraph" w:customStyle="1" w:styleId="P68B1DB1-Normal12">
    <w:name w:val="P68B1DB1-Normal12"/>
    <w:basedOn w:val="Normal"/>
    <w:rPr>
      <w:rFonts w:ascii="Times New Roman" w:hAnsi="Times New Roman"/>
      <w:sz w:val="18"/>
    </w:rPr>
  </w:style>
  <w:style w:type="paragraph" w:customStyle="1" w:styleId="P68B1DB1-ListParagraph13">
    <w:name w:val="P68B1DB1-ListParagraph13"/>
    <w:basedOn w:val="ListParagraph"/>
    <w:rPr>
      <w:rFonts w:ascii="Times New Roman" w:hAnsi="Times New Roman"/>
      <w:sz w:val="18"/>
    </w:rPr>
  </w:style>
  <w:style w:type="paragraph" w:customStyle="1" w:styleId="P68B1DB1-xmsonormal14">
    <w:name w:val="P68B1DB1-xmsonormal14"/>
    <w:basedOn w:val="xmsonormal"/>
    <w:rPr>
      <w:rFonts w:ascii="Times New Roman" w:hAnsi="Times New Roman"/>
      <w:sz w:val="24"/>
    </w:rPr>
  </w:style>
  <w:style w:type="paragraph" w:customStyle="1" w:styleId="P68B1DB1-Normal15">
    <w:name w:val="P68B1DB1-Normal15"/>
    <w:basedOn w:val="Normal"/>
    <w:rPr>
      <w:rFonts w:ascii="Times New Roman" w:hAnsi="Times New Roman"/>
      <w:b/>
      <w:sz w:val="24"/>
      <w:u w:val="single"/>
    </w:rPr>
  </w:style>
  <w:style w:type="paragraph" w:customStyle="1" w:styleId="P68B1DB1-LegalNumPar316">
    <w:name w:val="P68B1DB1-LegalNumPar316"/>
    <w:basedOn w:val="LegalNumPar3"/>
    <w:rPr>
      <w:rFonts w:ascii="Times New Roman" w:hAnsi="Times New Roman"/>
      <w:sz w:val="24"/>
    </w:rPr>
  </w:style>
  <w:style w:type="paragraph" w:customStyle="1" w:styleId="P68B1DB1-Normal17">
    <w:name w:val="P68B1DB1-Normal17"/>
    <w:basedOn w:val="Normal"/>
    <w:rPr>
      <w:rFonts w:ascii="Times New Roman" w:hAnsi="Times New Roman"/>
      <w:i/>
      <w:sz w:val="24"/>
    </w:rPr>
  </w:style>
  <w:style w:type="paragraph" w:customStyle="1" w:styleId="P68B1DB1-Text118">
    <w:name w:val="P68B1DB1-Text118"/>
    <w:basedOn w:val="Text1"/>
    <w:rPr>
      <w:rFonts w:ascii="Times New Roman" w:hAnsi="Times New Roman"/>
    </w:rPr>
  </w:style>
  <w:style w:type="paragraph" w:customStyle="1" w:styleId="P68B1DB1-Text119">
    <w:name w:val="P68B1DB1-Text119"/>
    <w:basedOn w:val="Text1"/>
    <w:rPr>
      <w:rFonts w:ascii="Times New Roman" w:hAnsi="Times New Roman"/>
      <w:u w:val="single"/>
    </w:rPr>
  </w:style>
  <w:style w:type="paragraph" w:customStyle="1" w:styleId="P68B1DB1-Normal20">
    <w:name w:val="P68B1DB1-Normal20"/>
    <w:basedOn w:val="Normal"/>
    <w:rPr>
      <w:rFonts w:ascii="Times New Roman" w:hAnsi="Times New Roman"/>
      <w:i/>
      <w:sz w:val="18"/>
    </w:rPr>
  </w:style>
  <w:style w:type="paragraph" w:customStyle="1" w:styleId="P68B1DB1-Normal21">
    <w:name w:val="P68B1DB1-Normal21"/>
    <w:basedOn w:val="Normal"/>
    <w:rPr>
      <w:rFonts w:ascii="Times New Roman" w:hAnsi="Times New Roman"/>
      <w:sz w:val="24"/>
      <w:shd w:val="clear" w:color="auto" w:fill="FFFFFF"/>
    </w:rPr>
  </w:style>
  <w:style w:type="paragraph" w:customStyle="1" w:styleId="P68B1DB1-Normal22">
    <w:name w:val="P68B1DB1-Normal22"/>
    <w:basedOn w:val="Normal"/>
    <w:rPr>
      <w:rFonts w:ascii="Times New Roman" w:hAnsi="Times New Roman"/>
      <w:sz w:val="24"/>
      <w:u w:val="single"/>
      <w:shd w:val="clear" w:color="auto" w:fill="FFFFFF"/>
    </w:rPr>
  </w:style>
  <w:style w:type="paragraph" w:customStyle="1" w:styleId="P68B1DB1-ListParagraph23">
    <w:name w:val="P68B1DB1-ListParagraph23"/>
    <w:basedOn w:val="ListParagraph"/>
    <w:rPr>
      <w:rFonts w:ascii="Times New Roman" w:hAnsi="Times New Roman"/>
    </w:rPr>
  </w:style>
  <w:style w:type="paragraph" w:customStyle="1" w:styleId="P68B1DB1-paragraph24">
    <w:name w:val="P68B1DB1-paragraph24"/>
    <w:basedOn w:val="paragraph"/>
    <w:rPr>
      <w:rFonts w:ascii="Times New Roman" w:hAnsi="Times New Roman"/>
    </w:rPr>
  </w:style>
  <w:style w:type="paragraph" w:customStyle="1" w:styleId="P68B1DB1-paragraph25">
    <w:name w:val="P68B1DB1-paragraph25"/>
    <w:basedOn w:val="paragraph"/>
    <w:rPr>
      <w:rFonts w:ascii="Times New Roman" w:hAnsi="Times New Roman"/>
      <w:u w:val="single"/>
    </w:rPr>
  </w:style>
  <w:style w:type="paragraph" w:customStyle="1" w:styleId="P68B1DB1-Text126">
    <w:name w:val="P68B1DB1-Text126"/>
    <w:basedOn w:val="Text1"/>
    <w:rPr>
      <w:rFonts w:ascii="Times New Roman" w:hAnsi="Times New Roman"/>
      <w:sz w:val="18"/>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paragraph29">
    <w:name w:val="P68B1DB1-paragraph29"/>
    <w:basedOn w:val="paragraph"/>
    <w:rPr>
      <w:rFonts w:ascii="Times New Roman" w:hAnsi="Times New Roman"/>
      <w:sz w:val="18"/>
    </w:rPr>
  </w:style>
  <w:style w:type="paragraph" w:customStyle="1" w:styleId="P68B1DB1-Normal30">
    <w:name w:val="P68B1DB1-Normal30"/>
    <w:basedOn w:val="Normal"/>
    <w:rPr>
      <w:rFonts w:ascii="Times New Roman" w:hAnsi="Times New Roman"/>
      <w:sz w:val="18"/>
      <w:shd w:val="clear" w:color="auto" w:fill="E6E6E6"/>
    </w:rPr>
  </w:style>
  <w:style w:type="paragraph" w:customStyle="1" w:styleId="P68B1DB1-Heading2blue31">
    <w:name w:val="P68B1DB1-Heading2blue31"/>
    <w:basedOn w:val="Heading2blue"/>
    <w:rPr>
      <w:color w:val="auto"/>
    </w:rPr>
  </w:style>
  <w:style w:type="paragraph" w:customStyle="1" w:styleId="P68B1DB1-Heading3blue32">
    <w:name w:val="P68B1DB1-Heading3blue32"/>
    <w:basedOn w:val="Heading3blue"/>
    <w:rPr>
      <w:color w:val="auto"/>
    </w:rPr>
  </w:style>
  <w:style w:type="paragraph" w:customStyle="1" w:styleId="P68B1DB1-Heading333">
    <w:name w:val="P68B1DB1-Heading333"/>
    <w:basedOn w:val="Heading3"/>
    <w:rPr>
      <w:rFonts w:ascii="Times New Roman" w:hAnsi="Times New Roman"/>
      <w:i w:val="0"/>
      <w:u w:val="single"/>
    </w:rPr>
  </w:style>
  <w:style w:type="paragraph" w:customStyle="1" w:styleId="P68B1DB1-P68B1DB1-Normal334">
    <w:name w:val="P68B1DB1-P68B1DB1-Normal334"/>
    <w:basedOn w:val="P68B1DB1-Normal3"/>
    <w:rPr>
      <w:sz w:val="24"/>
    </w:rPr>
  </w:style>
  <w:style w:type="paragraph" w:customStyle="1" w:styleId="P68B1DB1-Text135">
    <w:name w:val="P68B1DB1-Text135"/>
    <w:basedOn w:val="Text1"/>
    <w:rPr>
      <w:rFonts w:ascii="Times New Roman" w:hAnsi="Times New Roman"/>
      <w:i/>
    </w:rPr>
  </w:style>
  <w:style w:type="paragraph" w:customStyle="1" w:styleId="P68B1DB1-Normal36">
    <w:name w:val="P68B1DB1-Normal36"/>
    <w:basedOn w:val="Normal"/>
    <w:rPr>
      <w:rFonts w:ascii="Times New Roman" w:hAnsi="Times New Roman"/>
      <w:b/>
      <w:sz w:val="24"/>
    </w:rPr>
  </w:style>
  <w:style w:type="paragraph" w:customStyle="1" w:styleId="P68B1DB1-NumPar137">
    <w:name w:val="P68B1DB1-NumPar137"/>
    <w:basedOn w:val="NumPar1"/>
    <w:rPr>
      <w:rFonts w:ascii="Times New Roman" w:hAnsi="Times New Roman"/>
      <w:b/>
    </w:rPr>
  </w:style>
  <w:style w:type="paragraph" w:customStyle="1" w:styleId="P68B1DB1-Normal38">
    <w:name w:val="P68B1DB1-Normal38"/>
    <w:basedOn w:val="Normal"/>
    <w:rPr>
      <w:rFonts w:ascii="Times New Roman" w:hAnsi="Times New Roman"/>
      <w:b/>
      <w:sz w:val="20"/>
    </w:rPr>
  </w:style>
  <w:style w:type="paragraph" w:customStyle="1" w:styleId="P68B1DB1-Normal39">
    <w:name w:val="P68B1DB1-Normal39"/>
    <w:basedOn w:val="Normal"/>
    <w:rPr>
      <w:rFonts w:ascii="Times New Roman" w:hAnsi="Times New Roman"/>
      <w:sz w:val="20"/>
    </w:rPr>
  </w:style>
  <w:style w:type="paragraph" w:customStyle="1" w:styleId="P68B1DB1-Footer40">
    <w:name w:val="P68B1DB1-Footer40"/>
    <w:basedOn w:val="Footer"/>
    <w:rPr>
      <w:rFonts w:ascii="Times New Roman" w:hAnsi="Times New Roman" w:cs="Times New Roman"/>
    </w:rPr>
  </w:style>
  <w:style w:type="paragraph" w:customStyle="1" w:styleId="P68B1DB1-FootnoteText41">
    <w:name w:val="P68B1DB1-FootnoteText41"/>
    <w:basedOn w:val="FootnoteText"/>
    <w:rPr>
      <w:rFonts w:ascii="Times New Roman" w:hAnsi="Times New Roman"/>
    </w:rPr>
  </w:style>
  <w:style w:type="paragraph" w:customStyle="1" w:styleId="P68B1DB1-Text142">
    <w:name w:val="P68B1DB1-Text142"/>
    <w:basedOn w:val="Text1"/>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3224405">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04454644">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671" Type="http://schemas.openxmlformats.org/officeDocument/2006/relationships/header" Target="header330.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59.xml"/><Relationship Id="rId573" Type="http://schemas.openxmlformats.org/officeDocument/2006/relationships/footer" Target="footer280.xml"/><Relationship Id="rId629" Type="http://schemas.openxmlformats.org/officeDocument/2006/relationships/header" Target="header309.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1.xml"/><Relationship Id="rId268" Type="http://schemas.openxmlformats.org/officeDocument/2006/relationships/header" Target="header129.xml"/><Relationship Id="rId475" Type="http://schemas.openxmlformats.org/officeDocument/2006/relationships/header" Target="header232.xml"/><Relationship Id="rId640" Type="http://schemas.openxmlformats.org/officeDocument/2006/relationships/footer" Target="footer314.xml"/><Relationship Id="rId682" Type="http://schemas.openxmlformats.org/officeDocument/2006/relationships/footer" Target="footer335.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header" Target="header245.xml"/><Relationship Id="rId542" Type="http://schemas.openxmlformats.org/officeDocument/2006/relationships/header" Target="header266.xml"/><Relationship Id="rId584" Type="http://schemas.openxmlformats.org/officeDocument/2006/relationships/header" Target="header287.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footer" Target="footer216.xml"/><Relationship Id="rId486" Type="http://schemas.openxmlformats.org/officeDocument/2006/relationships/footer" Target="footer237.xml"/><Relationship Id="rId651" Type="http://schemas.openxmlformats.org/officeDocument/2006/relationships/footer" Target="footer319.xml"/><Relationship Id="rId693" Type="http://schemas.openxmlformats.org/officeDocument/2006/relationships/footer" Target="footer340.xml"/><Relationship Id="rId707" Type="http://schemas.openxmlformats.org/officeDocument/2006/relationships/header" Target="header34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0.xml"/><Relationship Id="rId553" Type="http://schemas.openxmlformats.org/officeDocument/2006/relationships/header" Target="header271.xml"/><Relationship Id="rId609" Type="http://schemas.openxmlformats.org/officeDocument/2006/relationships/footer" Target="footer298.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header" Target="header201.xml"/><Relationship Id="rId595" Type="http://schemas.openxmlformats.org/officeDocument/2006/relationships/header" Target="header292.xml"/><Relationship Id="rId248" Type="http://schemas.openxmlformats.org/officeDocument/2006/relationships/footer" Target="footer118.xml"/><Relationship Id="rId455" Type="http://schemas.openxmlformats.org/officeDocument/2006/relationships/header" Target="header222.xml"/><Relationship Id="rId497" Type="http://schemas.openxmlformats.org/officeDocument/2006/relationships/header" Target="header243.xml"/><Relationship Id="rId620" Type="http://schemas.openxmlformats.org/officeDocument/2006/relationships/header" Target="header305.xml"/><Relationship Id="rId662" Type="http://schemas.openxmlformats.org/officeDocument/2006/relationships/header" Target="header326.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5.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564" Type="http://schemas.openxmlformats.org/officeDocument/2006/relationships/footer" Target="footer276.xml"/><Relationship Id="rId259" Type="http://schemas.openxmlformats.org/officeDocument/2006/relationships/header" Target="header125.xml"/><Relationship Id="rId424" Type="http://schemas.openxmlformats.org/officeDocument/2006/relationships/footer" Target="footer206.xml"/><Relationship Id="rId466" Type="http://schemas.openxmlformats.org/officeDocument/2006/relationships/footer" Target="footer227.xml"/><Relationship Id="rId631" Type="http://schemas.openxmlformats.org/officeDocument/2006/relationships/header" Target="header310.xml"/><Relationship Id="rId673" Type="http://schemas.openxmlformats.org/officeDocument/2006/relationships/header" Target="header331.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header" Target="head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header" Target="header282.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1.xml"/><Relationship Id="rId477" Type="http://schemas.openxmlformats.org/officeDocument/2006/relationships/footer" Target="footer232.xml"/><Relationship Id="rId600" Type="http://schemas.openxmlformats.org/officeDocument/2006/relationships/footer" Target="footer294.xml"/><Relationship Id="rId642" Type="http://schemas.openxmlformats.org/officeDocument/2006/relationships/footer" Target="footer315.xml"/><Relationship Id="rId684" Type="http://schemas.openxmlformats.org/officeDocument/2006/relationships/footer" Target="footer336.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footer" Target="foot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44" Type="http://schemas.openxmlformats.org/officeDocument/2006/relationships/footer" Target="footer266.xml"/><Relationship Id="rId586" Type="http://schemas.openxmlformats.org/officeDocument/2006/relationships/footer" Target="foot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header" Target="header218.xml"/><Relationship Id="rId611" Type="http://schemas.openxmlformats.org/officeDocument/2006/relationships/header" Target="header300.xml"/><Relationship Id="rId653" Type="http://schemas.openxmlformats.org/officeDocument/2006/relationships/header" Target="header321.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header" Target="header239.xml"/><Relationship Id="rId695" Type="http://schemas.openxmlformats.org/officeDocument/2006/relationships/header" Target="header342.xml"/><Relationship Id="rId709" Type="http://schemas.openxmlformats.org/officeDocument/2006/relationships/fontTable" Target="fontTable.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0.xml"/><Relationship Id="rId555" Type="http://schemas.openxmlformats.org/officeDocument/2006/relationships/footer" Target="footer271.xml"/><Relationship Id="rId597" Type="http://schemas.openxmlformats.org/officeDocument/2006/relationships/footer" Target="footer292.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2.xml"/><Relationship Id="rId457" Type="http://schemas.openxmlformats.org/officeDocument/2006/relationships/header" Target="header223.xml"/><Relationship Id="rId622" Type="http://schemas.openxmlformats.org/officeDocument/2006/relationships/footer" Target="footer305.xml"/><Relationship Id="rId261" Type="http://schemas.openxmlformats.org/officeDocument/2006/relationships/footer" Target="footer125.xml"/><Relationship Id="rId499" Type="http://schemas.openxmlformats.org/officeDocument/2006/relationships/header" Target="header244.xml"/><Relationship Id="rId664" Type="http://schemas.openxmlformats.org/officeDocument/2006/relationships/footer" Target="footer326.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header" Target="header257.xml"/><Relationship Id="rId566" Type="http://schemas.openxmlformats.org/officeDocument/2006/relationships/header" Target="header278.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footer" Target="footer207.xml"/><Relationship Id="rId633" Type="http://schemas.openxmlformats.org/officeDocument/2006/relationships/footer" Target="footer310.xml"/><Relationship Id="rId230" Type="http://schemas.openxmlformats.org/officeDocument/2006/relationships/footer" Target="footer109.xml"/><Relationship Id="rId468" Type="http://schemas.openxmlformats.org/officeDocument/2006/relationships/footer" Target="footer228.xml"/><Relationship Id="rId675" Type="http://schemas.openxmlformats.org/officeDocument/2006/relationships/footer" Target="footer331.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2.xml"/><Relationship Id="rId577" Type="http://schemas.openxmlformats.org/officeDocument/2006/relationships/header" Target="header283.xml"/><Relationship Id="rId700" Type="http://schemas.openxmlformats.org/officeDocument/2006/relationships/footer" Target="footer344.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footer" Target="footer185.xml"/><Relationship Id="rId602" Type="http://schemas.openxmlformats.org/officeDocument/2006/relationships/header" Target="header296.xml"/><Relationship Id="rId241" Type="http://schemas.openxmlformats.org/officeDocument/2006/relationships/header" Target="header116.xml"/><Relationship Id="rId437" Type="http://schemas.openxmlformats.org/officeDocument/2006/relationships/header" Target="header213.xml"/><Relationship Id="rId479" Type="http://schemas.openxmlformats.org/officeDocument/2006/relationships/header" Target="header234.xml"/><Relationship Id="rId644" Type="http://schemas.openxmlformats.org/officeDocument/2006/relationships/header" Target="header317.xml"/><Relationship Id="rId686" Type="http://schemas.openxmlformats.org/officeDocument/2006/relationships/header" Target="header338.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footer" Target="footer239.xml"/><Relationship Id="rId504" Type="http://schemas.openxmlformats.org/officeDocument/2006/relationships/footer" Target="footer246.xml"/><Relationship Id="rId546" Type="http://schemas.openxmlformats.org/officeDocument/2006/relationships/footer" Target="footer267.xml"/><Relationship Id="rId711" Type="http://schemas.microsoft.com/office/2019/05/relationships/documenttasks" Target="documenttasks/documenttasks1.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8.xml"/><Relationship Id="rId588" Type="http://schemas.openxmlformats.org/officeDocument/2006/relationships/footer" Target="footer28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48" Type="http://schemas.openxmlformats.org/officeDocument/2006/relationships/footer" Target="footer218.xml"/><Relationship Id="rId613" Type="http://schemas.openxmlformats.org/officeDocument/2006/relationships/header" Target="header301.xml"/><Relationship Id="rId655" Type="http://schemas.openxmlformats.org/officeDocument/2006/relationships/header" Target="header322.xml"/><Relationship Id="rId697" Type="http://schemas.openxmlformats.org/officeDocument/2006/relationships/header" Target="header343.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header" Target="header252.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6.xml"/><Relationship Id="rId557" Type="http://schemas.openxmlformats.org/officeDocument/2006/relationships/header" Target="header273.xml"/><Relationship Id="rId599" Type="http://schemas.openxmlformats.org/officeDocument/2006/relationships/header" Target="header294.xml"/><Relationship Id="rId196" Type="http://schemas.openxmlformats.org/officeDocument/2006/relationships/header" Target="header93.xml"/><Relationship Id="rId417" Type="http://schemas.openxmlformats.org/officeDocument/2006/relationships/footer" Target="footer202.xml"/><Relationship Id="rId459" Type="http://schemas.openxmlformats.org/officeDocument/2006/relationships/footer" Target="footer223.xml"/><Relationship Id="rId624" Type="http://schemas.openxmlformats.org/officeDocument/2006/relationships/footer" Target="footer306.xml"/><Relationship Id="rId666" Type="http://schemas.openxmlformats.org/officeDocument/2006/relationships/footer" Target="footer327.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header" Target="header230.xml"/><Relationship Id="rId526" Type="http://schemas.openxmlformats.org/officeDocument/2006/relationships/footer" Target="footer257.xml"/><Relationship Id="rId58" Type="http://schemas.openxmlformats.org/officeDocument/2006/relationships/header" Target="header24.xml"/><Relationship Id="rId123" Type="http://schemas.openxmlformats.org/officeDocument/2006/relationships/footer" Target="footer56.xml"/><Relationship Id="rId330" Type="http://schemas.openxmlformats.org/officeDocument/2006/relationships/header" Target="header160.xml"/><Relationship Id="rId568" Type="http://schemas.openxmlformats.org/officeDocument/2006/relationships/footer" Target="footer278.xml"/><Relationship Id="rId165" Type="http://schemas.openxmlformats.org/officeDocument/2006/relationships/footer" Target="footer77.xml"/><Relationship Id="rId372" Type="http://schemas.openxmlformats.org/officeDocument/2006/relationships/header" Target="header181.xml"/><Relationship Id="rId428" Type="http://schemas.openxmlformats.org/officeDocument/2006/relationships/header" Target="header209.xml"/><Relationship Id="rId635" Type="http://schemas.openxmlformats.org/officeDocument/2006/relationships/header" Target="header312.xml"/><Relationship Id="rId677" Type="http://schemas.openxmlformats.org/officeDocument/2006/relationships/header" Target="header333.xml"/><Relationship Id="rId232" Type="http://schemas.openxmlformats.org/officeDocument/2006/relationships/header" Target="header111.xml"/><Relationship Id="rId274" Type="http://schemas.openxmlformats.org/officeDocument/2006/relationships/header" Target="header132.xml"/><Relationship Id="rId481" Type="http://schemas.openxmlformats.org/officeDocument/2006/relationships/header" Target="header235.xml"/><Relationship Id="rId702" Type="http://schemas.openxmlformats.org/officeDocument/2006/relationships/footer" Target="footer345.xml"/><Relationship Id="rId27" Type="http://schemas.openxmlformats.org/officeDocument/2006/relationships/footer" Target="footer8.xml"/><Relationship Id="rId69" Type="http://schemas.openxmlformats.org/officeDocument/2006/relationships/footer" Target="footer29.xml"/><Relationship Id="rId134" Type="http://schemas.openxmlformats.org/officeDocument/2006/relationships/footer" Target="footer61.xml"/><Relationship Id="rId537" Type="http://schemas.openxmlformats.org/officeDocument/2006/relationships/footer" Target="footer262.xml"/><Relationship Id="rId579" Type="http://schemas.openxmlformats.org/officeDocument/2006/relationships/footer" Target="footer283.xml"/><Relationship Id="rId80" Type="http://schemas.openxmlformats.org/officeDocument/2006/relationships/footer" Target="footer34.xml"/><Relationship Id="rId176" Type="http://schemas.openxmlformats.org/officeDocument/2006/relationships/footer" Target="footer82.xml"/><Relationship Id="rId341" Type="http://schemas.openxmlformats.org/officeDocument/2006/relationships/footer" Target="footer165.xml"/><Relationship Id="rId383" Type="http://schemas.openxmlformats.org/officeDocument/2006/relationships/footer" Target="footer186.xml"/><Relationship Id="rId439" Type="http://schemas.openxmlformats.org/officeDocument/2006/relationships/header" Target="header214.xml"/><Relationship Id="rId590" Type="http://schemas.openxmlformats.org/officeDocument/2006/relationships/header" Target="header290.xml"/><Relationship Id="rId604" Type="http://schemas.openxmlformats.org/officeDocument/2006/relationships/footer" Target="footer296.xml"/><Relationship Id="rId646" Type="http://schemas.openxmlformats.org/officeDocument/2006/relationships/footer" Target="footer317.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footer" Target="footer219.xml"/><Relationship Id="rId506" Type="http://schemas.openxmlformats.org/officeDocument/2006/relationships/header" Target="header248.xml"/><Relationship Id="rId688" Type="http://schemas.openxmlformats.org/officeDocument/2006/relationships/footer" Target="footer338.xml"/><Relationship Id="rId38" Type="http://schemas.openxmlformats.org/officeDocument/2006/relationships/footer" Target="footer13.xml"/><Relationship Id="rId103" Type="http://schemas.openxmlformats.org/officeDocument/2006/relationships/header" Target="header47.xml"/><Relationship Id="rId310" Type="http://schemas.openxmlformats.org/officeDocument/2006/relationships/header" Target="header150.xml"/><Relationship Id="rId492" Type="http://schemas.openxmlformats.org/officeDocument/2006/relationships/footer" Target="footer240.xml"/><Relationship Id="rId548" Type="http://schemas.openxmlformats.org/officeDocument/2006/relationships/header" Target="header269.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615" Type="http://schemas.openxmlformats.org/officeDocument/2006/relationships/footer" Target="footer301.xml"/><Relationship Id="rId212" Type="http://schemas.openxmlformats.org/officeDocument/2006/relationships/footer" Target="footer100.xml"/><Relationship Id="rId254" Type="http://schemas.openxmlformats.org/officeDocument/2006/relationships/footer" Target="footer121.xml"/><Relationship Id="rId657" Type="http://schemas.openxmlformats.org/officeDocument/2006/relationships/footer" Target="footer322.xml"/><Relationship Id="rId699" Type="http://schemas.openxmlformats.org/officeDocument/2006/relationships/footer" Target="footer343.xml"/><Relationship Id="rId49" Type="http://schemas.openxmlformats.org/officeDocument/2006/relationships/header" Target="header20.xml"/><Relationship Id="rId114" Type="http://schemas.openxmlformats.org/officeDocument/2006/relationships/header" Target="header52.xml"/><Relationship Id="rId296" Type="http://schemas.openxmlformats.org/officeDocument/2006/relationships/footer" Target="footer142.xml"/><Relationship Id="rId461" Type="http://schemas.openxmlformats.org/officeDocument/2006/relationships/header" Target="header225.xml"/><Relationship Id="rId517" Type="http://schemas.openxmlformats.org/officeDocument/2006/relationships/header" Target="header253.xml"/><Relationship Id="rId559" Type="http://schemas.openxmlformats.org/officeDocument/2006/relationships/header" Target="header274.xml"/><Relationship Id="rId60" Type="http://schemas.openxmlformats.org/officeDocument/2006/relationships/header" Target="header25.xml"/><Relationship Id="rId156" Type="http://schemas.openxmlformats.org/officeDocument/2006/relationships/header" Target="header73.xml"/><Relationship Id="rId198" Type="http://schemas.openxmlformats.org/officeDocument/2006/relationships/header" Target="header94.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header" Target="header204.xml"/><Relationship Id="rId570" Type="http://schemas.openxmlformats.org/officeDocument/2006/relationships/footer" Target="footer279.xml"/><Relationship Id="rId626" Type="http://schemas.openxmlformats.org/officeDocument/2006/relationships/header" Target="header308.xml"/><Relationship Id="rId223" Type="http://schemas.openxmlformats.org/officeDocument/2006/relationships/header" Target="header107.xml"/><Relationship Id="rId430" Type="http://schemas.openxmlformats.org/officeDocument/2006/relationships/footer" Target="footer209.xml"/><Relationship Id="rId668" Type="http://schemas.openxmlformats.org/officeDocument/2006/relationships/header" Target="header329.xml"/><Relationship Id="rId18" Type="http://schemas.openxmlformats.org/officeDocument/2006/relationships/header" Target="header4.xml"/><Relationship Id="rId265" Type="http://schemas.openxmlformats.org/officeDocument/2006/relationships/header" Target="header128.xml"/><Relationship Id="rId472" Type="http://schemas.openxmlformats.org/officeDocument/2006/relationships/footer" Target="footer230.xml"/><Relationship Id="rId528" Type="http://schemas.openxmlformats.org/officeDocument/2006/relationships/footer" Target="footer258.xml"/><Relationship Id="rId125" Type="http://schemas.openxmlformats.org/officeDocument/2006/relationships/footer" Target="footer57.xml"/><Relationship Id="rId167" Type="http://schemas.openxmlformats.org/officeDocument/2006/relationships/footer" Target="footer78.xml"/><Relationship Id="rId332" Type="http://schemas.openxmlformats.org/officeDocument/2006/relationships/footer" Target="footer160.xml"/><Relationship Id="rId374" Type="http://schemas.openxmlformats.org/officeDocument/2006/relationships/footer" Target="footer181.xml"/><Relationship Id="rId581" Type="http://schemas.openxmlformats.org/officeDocument/2006/relationships/header" Target="header285.xml"/><Relationship Id="rId71" Type="http://schemas.openxmlformats.org/officeDocument/2006/relationships/footer" Target="footer30.xml"/><Relationship Id="rId234" Type="http://schemas.openxmlformats.org/officeDocument/2006/relationships/header" Target="header112.xml"/><Relationship Id="rId637" Type="http://schemas.openxmlformats.org/officeDocument/2006/relationships/header" Target="header313.xml"/><Relationship Id="rId679" Type="http://schemas.openxmlformats.org/officeDocument/2006/relationships/header" Target="header334.xm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header" Target="header133.xml"/><Relationship Id="rId441" Type="http://schemas.openxmlformats.org/officeDocument/2006/relationships/footer" Target="footer214.xml"/><Relationship Id="rId483" Type="http://schemas.openxmlformats.org/officeDocument/2006/relationships/footer" Target="footer235.xml"/><Relationship Id="rId539" Type="http://schemas.openxmlformats.org/officeDocument/2006/relationships/header" Target="header264.xml"/><Relationship Id="rId690" Type="http://schemas.openxmlformats.org/officeDocument/2006/relationships/footer" Target="footer339.xml"/><Relationship Id="rId704" Type="http://schemas.openxmlformats.org/officeDocument/2006/relationships/header" Target="header347.xml"/><Relationship Id="rId40" Type="http://schemas.openxmlformats.org/officeDocument/2006/relationships/header" Target="header15.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header" Target="header146.xml"/><Relationship Id="rId343" Type="http://schemas.openxmlformats.org/officeDocument/2006/relationships/header" Target="header167.xml"/><Relationship Id="rId550" Type="http://schemas.openxmlformats.org/officeDocument/2006/relationships/footer" Target="footer269.xml"/><Relationship Id="rId82" Type="http://schemas.openxmlformats.org/officeDocument/2006/relationships/header" Target="header36.xml"/><Relationship Id="rId203" Type="http://schemas.openxmlformats.org/officeDocument/2006/relationships/footer" Target="footer96.xml"/><Relationship Id="rId385" Type="http://schemas.openxmlformats.org/officeDocument/2006/relationships/header" Target="header188.xml"/><Relationship Id="rId592" Type="http://schemas.openxmlformats.org/officeDocument/2006/relationships/footer" Target="footer290.xml"/><Relationship Id="rId606" Type="http://schemas.openxmlformats.org/officeDocument/2006/relationships/footer" Target="footer297.xml"/><Relationship Id="rId648" Type="http://schemas.openxmlformats.org/officeDocument/2006/relationships/footer" Target="footer318.xml"/><Relationship Id="rId245" Type="http://schemas.openxmlformats.org/officeDocument/2006/relationships/footer" Target="footer117.xml"/><Relationship Id="rId287" Type="http://schemas.openxmlformats.org/officeDocument/2006/relationships/footer" Target="footer138.xml"/><Relationship Id="rId410" Type="http://schemas.openxmlformats.org/officeDocument/2006/relationships/header" Target="header200.xml"/><Relationship Id="rId452" Type="http://schemas.openxmlformats.org/officeDocument/2006/relationships/header" Target="header221.xml"/><Relationship Id="rId494" Type="http://schemas.openxmlformats.org/officeDocument/2006/relationships/header" Target="header242.xml"/><Relationship Id="rId508" Type="http://schemas.openxmlformats.org/officeDocument/2006/relationships/footer" Target="footer24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4.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561" Type="http://schemas.openxmlformats.org/officeDocument/2006/relationships/footer" Target="footer274.xml"/><Relationship Id="rId582" Type="http://schemas.openxmlformats.org/officeDocument/2006/relationships/footer" Target="footer285.xml"/><Relationship Id="rId617" Type="http://schemas.openxmlformats.org/officeDocument/2006/relationships/header" Target="header303.xml"/><Relationship Id="rId638" Type="http://schemas.openxmlformats.org/officeDocument/2006/relationships/header" Target="header314.xml"/><Relationship Id="rId659" Type="http://schemas.openxmlformats.org/officeDocument/2006/relationships/header" Target="header32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5.xml"/><Relationship Id="rId442" Type="http://schemas.openxmlformats.org/officeDocument/2006/relationships/footer" Target="footer215.xml"/><Relationship Id="rId463" Type="http://schemas.openxmlformats.org/officeDocument/2006/relationships/header" Target="header226.xml"/><Relationship Id="rId484" Type="http://schemas.openxmlformats.org/officeDocument/2006/relationships/footer" Target="footer236.xml"/><Relationship Id="rId519" Type="http://schemas.openxmlformats.org/officeDocument/2006/relationships/footer" Target="footer253.xml"/><Relationship Id="rId670" Type="http://schemas.openxmlformats.org/officeDocument/2006/relationships/footer" Target="footer329.xml"/><Relationship Id="rId705" Type="http://schemas.openxmlformats.org/officeDocument/2006/relationships/footer" Target="footer346.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header" Target="header260.xml"/><Relationship Id="rId691" Type="http://schemas.openxmlformats.org/officeDocument/2006/relationships/header" Target="header340.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551" Type="http://schemas.openxmlformats.org/officeDocument/2006/relationships/header" Target="header270.xml"/><Relationship Id="rId572" Type="http://schemas.openxmlformats.org/officeDocument/2006/relationships/header" Target="header281.xml"/><Relationship Id="rId593" Type="http://schemas.openxmlformats.org/officeDocument/2006/relationships/header" Target="header291.xml"/><Relationship Id="rId607" Type="http://schemas.openxmlformats.org/officeDocument/2006/relationships/header" Target="header298.xml"/><Relationship Id="rId628" Type="http://schemas.openxmlformats.org/officeDocument/2006/relationships/footer" Target="footer308.xml"/><Relationship Id="rId649" Type="http://schemas.openxmlformats.org/officeDocument/2006/relationships/header" Target="header31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199.xml"/><Relationship Id="rId432" Type="http://schemas.openxmlformats.org/officeDocument/2006/relationships/footer" Target="footer210.xml"/><Relationship Id="rId453" Type="http://schemas.openxmlformats.org/officeDocument/2006/relationships/footer" Target="footer220.xml"/><Relationship Id="rId474" Type="http://schemas.openxmlformats.org/officeDocument/2006/relationships/footer" Target="footer231.xml"/><Relationship Id="rId509" Type="http://schemas.openxmlformats.org/officeDocument/2006/relationships/header" Target="header249.xml"/><Relationship Id="rId660" Type="http://schemas.openxmlformats.org/officeDocument/2006/relationships/footer" Target="footer324.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1.xml"/><Relationship Id="rId681" Type="http://schemas.openxmlformats.org/officeDocument/2006/relationships/footer" Target="footer334.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footer" Target="footer254.xml"/><Relationship Id="rId541" Type="http://schemas.openxmlformats.org/officeDocument/2006/relationships/header" Target="header265.xml"/><Relationship Id="rId562" Type="http://schemas.openxmlformats.org/officeDocument/2006/relationships/footer" Target="footer275.xml"/><Relationship Id="rId583" Type="http://schemas.openxmlformats.org/officeDocument/2006/relationships/header" Target="header286.xml"/><Relationship Id="rId618" Type="http://schemas.openxmlformats.org/officeDocument/2006/relationships/footer" Target="footer303.xml"/><Relationship Id="rId639" Type="http://schemas.openxmlformats.org/officeDocument/2006/relationships/footer" Target="footer313.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header" Target="header206.xml"/><Relationship Id="rId443" Type="http://schemas.openxmlformats.org/officeDocument/2006/relationships/header" Target="header216.xml"/><Relationship Id="rId464" Type="http://schemas.openxmlformats.org/officeDocument/2006/relationships/header" Target="header227.xml"/><Relationship Id="rId650" Type="http://schemas.openxmlformats.org/officeDocument/2006/relationships/header" Target="header320.xml"/><Relationship Id="rId303" Type="http://schemas.openxmlformats.org/officeDocument/2006/relationships/footer" Target="footer146.xml"/><Relationship Id="rId485" Type="http://schemas.openxmlformats.org/officeDocument/2006/relationships/header" Target="header237.xml"/><Relationship Id="rId692" Type="http://schemas.openxmlformats.org/officeDocument/2006/relationships/header" Target="header341.xml"/><Relationship Id="rId706" Type="http://schemas.openxmlformats.org/officeDocument/2006/relationships/footer" Target="footer34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footer" Target="foot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header" Target="header299.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footer" Target="foot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footer" Target="footer221.xml"/><Relationship Id="rId496" Type="http://schemas.openxmlformats.org/officeDocument/2006/relationships/footer" Target="footer242.xml"/><Relationship Id="rId661" Type="http://schemas.openxmlformats.org/officeDocument/2006/relationships/header" Target="header325.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header" Target="header255.xml"/><Relationship Id="rId563" Type="http://schemas.openxmlformats.org/officeDocument/2006/relationships/header" Target="header276.xml"/><Relationship Id="rId619" Type="http://schemas.openxmlformats.org/officeDocument/2006/relationships/header" Target="header30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5.xml"/><Relationship Id="rId258" Type="http://schemas.openxmlformats.org/officeDocument/2006/relationships/header" Target="header124.xml"/><Relationship Id="rId465" Type="http://schemas.openxmlformats.org/officeDocument/2006/relationships/footer" Target="footer226.xml"/><Relationship Id="rId630" Type="http://schemas.openxmlformats.org/officeDocument/2006/relationships/footer" Target="footer309.xml"/><Relationship Id="rId672" Type="http://schemas.openxmlformats.org/officeDocument/2006/relationships/footer" Target="footer330.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footer" Target="footer260.xml"/><Relationship Id="rId574" Type="http://schemas.openxmlformats.org/officeDocument/2006/relationships/footer" Target="foot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header" Target="header212.xml"/><Relationship Id="rId476" Type="http://schemas.openxmlformats.org/officeDocument/2006/relationships/header" Target="header233.xml"/><Relationship Id="rId641" Type="http://schemas.openxmlformats.org/officeDocument/2006/relationships/header" Target="header315.xml"/><Relationship Id="rId683" Type="http://schemas.openxmlformats.org/officeDocument/2006/relationships/header" Target="header336.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4.xml"/><Relationship Id="rId543" Type="http://schemas.openxmlformats.org/officeDocument/2006/relationships/footer" Target="foot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585" Type="http://schemas.openxmlformats.org/officeDocument/2006/relationships/footer" Target="foot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7.xml"/><Relationship Id="rId487" Type="http://schemas.openxmlformats.org/officeDocument/2006/relationships/header" Target="header238.xml"/><Relationship Id="rId610" Type="http://schemas.openxmlformats.org/officeDocument/2006/relationships/footer" Target="footer299.xml"/><Relationship Id="rId652" Type="http://schemas.openxmlformats.org/officeDocument/2006/relationships/footer" Target="footer320.xml"/><Relationship Id="rId694" Type="http://schemas.openxmlformats.org/officeDocument/2006/relationships/footer" Target="footer341.xml"/><Relationship Id="rId708" Type="http://schemas.openxmlformats.org/officeDocument/2006/relationships/footer" Target="footer348.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header" Target="header251.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header" Target="header272.xml"/><Relationship Id="rId596" Type="http://schemas.openxmlformats.org/officeDocument/2006/relationships/header" Target="header293.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1.xml"/><Relationship Id="rId456" Type="http://schemas.openxmlformats.org/officeDocument/2006/relationships/footer" Target="footer222.xml"/><Relationship Id="rId498" Type="http://schemas.openxmlformats.org/officeDocument/2006/relationships/footer" Target="footer243.xml"/><Relationship Id="rId621" Type="http://schemas.openxmlformats.org/officeDocument/2006/relationships/footer" Target="footer304.xml"/><Relationship Id="rId663" Type="http://schemas.openxmlformats.org/officeDocument/2006/relationships/footer" Target="footer325.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6.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7.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header" Target="header207.xml"/><Relationship Id="rId467" Type="http://schemas.openxmlformats.org/officeDocument/2006/relationships/header" Target="header228.xml"/><Relationship Id="rId632" Type="http://schemas.openxmlformats.org/officeDocument/2006/relationships/header" Target="header311.xml"/><Relationship Id="rId271" Type="http://schemas.openxmlformats.org/officeDocument/2006/relationships/header" Target="header131.xml"/><Relationship Id="rId674" Type="http://schemas.openxmlformats.org/officeDocument/2006/relationships/header" Target="header332.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oter" Target="footer261.xml"/><Relationship Id="rId576" Type="http://schemas.openxmlformats.org/officeDocument/2006/relationships/footer" Target="footer282.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footer" Target="footer212.xml"/><Relationship Id="rId601" Type="http://schemas.openxmlformats.org/officeDocument/2006/relationships/header" Target="header295.xml"/><Relationship Id="rId643" Type="http://schemas.openxmlformats.org/officeDocument/2006/relationships/header" Target="header316.xml"/><Relationship Id="rId240" Type="http://schemas.openxmlformats.org/officeDocument/2006/relationships/header" Target="header115.xml"/><Relationship Id="rId478" Type="http://schemas.openxmlformats.org/officeDocument/2006/relationships/footer" Target="footer233.xml"/><Relationship Id="rId685" Type="http://schemas.openxmlformats.org/officeDocument/2006/relationships/header" Target="header337.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header" Target="header246.xml"/><Relationship Id="rId545" Type="http://schemas.openxmlformats.org/officeDocument/2006/relationships/header" Target="header267.xml"/><Relationship Id="rId587" Type="http://schemas.openxmlformats.org/officeDocument/2006/relationships/header" Target="header288.xml"/><Relationship Id="rId710" Type="http://schemas.openxmlformats.org/officeDocument/2006/relationships/theme" Target="theme/theme1.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7.xml"/><Relationship Id="rId612" Type="http://schemas.openxmlformats.org/officeDocument/2006/relationships/footer" Target="footer300.xml"/><Relationship Id="rId251" Type="http://schemas.openxmlformats.org/officeDocument/2006/relationships/footer" Target="footer120.xml"/><Relationship Id="rId489" Type="http://schemas.openxmlformats.org/officeDocument/2006/relationships/footer" Target="footer238.xml"/><Relationship Id="rId654" Type="http://schemas.openxmlformats.org/officeDocument/2006/relationships/footer" Target="footer321.xml"/><Relationship Id="rId696" Type="http://schemas.openxmlformats.org/officeDocument/2006/relationships/footer" Target="footer342.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footer" Target="footer251.xml"/><Relationship Id="rId556" Type="http://schemas.openxmlformats.org/officeDocument/2006/relationships/footer" Target="foot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header" Target="header203.xml"/><Relationship Id="rId598" Type="http://schemas.openxmlformats.org/officeDocument/2006/relationships/footer" Target="footer293.xml"/><Relationship Id="rId220" Type="http://schemas.openxmlformats.org/officeDocument/2006/relationships/header" Target="header105.xml"/><Relationship Id="rId458" Type="http://schemas.openxmlformats.org/officeDocument/2006/relationships/header" Target="header224.xml"/><Relationship Id="rId623" Type="http://schemas.openxmlformats.org/officeDocument/2006/relationships/header" Target="header306.xml"/><Relationship Id="rId665" Type="http://schemas.openxmlformats.org/officeDocument/2006/relationships/header" Target="header327.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6.xml"/><Relationship Id="rId567" Type="http://schemas.openxmlformats.org/officeDocument/2006/relationships/footer" Target="foot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8.xml"/><Relationship Id="rId469" Type="http://schemas.openxmlformats.org/officeDocument/2006/relationships/header" Target="header229.xml"/><Relationship Id="rId634" Type="http://schemas.openxmlformats.org/officeDocument/2006/relationships/footer" Target="footer311.xml"/><Relationship Id="rId676" Type="http://schemas.openxmlformats.org/officeDocument/2006/relationships/footer" Target="footer332.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4.xml"/><Relationship Id="rId536" Type="http://schemas.openxmlformats.org/officeDocument/2006/relationships/header" Target="header263.xml"/><Relationship Id="rId701" Type="http://schemas.openxmlformats.org/officeDocument/2006/relationships/header" Target="header345.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header" Target="header284.xml"/><Relationship Id="rId200" Type="http://schemas.openxmlformats.org/officeDocument/2006/relationships/footer" Target="footer94.xml"/><Relationship Id="rId382" Type="http://schemas.openxmlformats.org/officeDocument/2006/relationships/header" Target="header186.xml"/><Relationship Id="rId438" Type="http://schemas.openxmlformats.org/officeDocument/2006/relationships/footer" Target="footer213.xml"/><Relationship Id="rId603" Type="http://schemas.openxmlformats.org/officeDocument/2006/relationships/footer" Target="footer295.xml"/><Relationship Id="rId645" Type="http://schemas.openxmlformats.org/officeDocument/2006/relationships/footer" Target="footer316.xml"/><Relationship Id="rId687" Type="http://schemas.openxmlformats.org/officeDocument/2006/relationships/footer" Target="footer337.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header" Target="header240.xml"/><Relationship Id="rId505" Type="http://schemas.openxmlformats.org/officeDocument/2006/relationships/header" Target="header247.xml"/><Relationship Id="rId37" Type="http://schemas.openxmlformats.org/officeDocument/2006/relationships/header" Target="header14.xml"/><Relationship Id="rId79" Type="http://schemas.openxmlformats.org/officeDocument/2006/relationships/header" Target="header35.xml"/><Relationship Id="rId102" Type="http://schemas.openxmlformats.org/officeDocument/2006/relationships/header" Target="header46.xml"/><Relationship Id="rId144" Type="http://schemas.openxmlformats.org/officeDocument/2006/relationships/header" Target="header67.xml"/><Relationship Id="rId547" Type="http://schemas.openxmlformats.org/officeDocument/2006/relationships/header" Target="header268.xml"/><Relationship Id="rId589" Type="http://schemas.openxmlformats.org/officeDocument/2006/relationships/header" Target="header289.xml"/><Relationship Id="rId90" Type="http://schemas.openxmlformats.org/officeDocument/2006/relationships/header" Target="header40.xml"/><Relationship Id="rId186" Type="http://schemas.openxmlformats.org/officeDocument/2006/relationships/header" Target="header88.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header" Target="header219.xml"/><Relationship Id="rId614" Type="http://schemas.openxmlformats.org/officeDocument/2006/relationships/header" Target="header302.xml"/><Relationship Id="rId656" Type="http://schemas.openxmlformats.org/officeDocument/2006/relationships/header" Target="header323.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footer" Target="footer224.xml"/><Relationship Id="rId516" Type="http://schemas.openxmlformats.org/officeDocument/2006/relationships/footer" Target="footer252.xml"/><Relationship Id="rId698" Type="http://schemas.openxmlformats.org/officeDocument/2006/relationships/header" Target="header344.xml"/><Relationship Id="rId48" Type="http://schemas.openxmlformats.org/officeDocument/2006/relationships/header" Target="header19.xml"/><Relationship Id="rId113" Type="http://schemas.openxmlformats.org/officeDocument/2006/relationships/footer" Target="footer51.xml"/><Relationship Id="rId320" Type="http://schemas.openxmlformats.org/officeDocument/2006/relationships/footer" Target="footer154.xml"/><Relationship Id="rId558" Type="http://schemas.openxmlformats.org/officeDocument/2006/relationships/footer" Target="footer273.xml"/><Relationship Id="rId155" Type="http://schemas.openxmlformats.org/officeDocument/2006/relationships/footer" Target="footer72.xml"/><Relationship Id="rId197" Type="http://schemas.openxmlformats.org/officeDocument/2006/relationships/footer" Target="footer93.xml"/><Relationship Id="rId362" Type="http://schemas.openxmlformats.org/officeDocument/2006/relationships/footer" Target="footer175.xml"/><Relationship Id="rId418" Type="http://schemas.openxmlformats.org/officeDocument/2006/relationships/footer" Target="footer203.xml"/><Relationship Id="rId625" Type="http://schemas.openxmlformats.org/officeDocument/2006/relationships/header" Target="header307.xml"/><Relationship Id="rId222" Type="http://schemas.openxmlformats.org/officeDocument/2006/relationships/header" Target="header106.xml"/><Relationship Id="rId264" Type="http://schemas.openxmlformats.org/officeDocument/2006/relationships/header" Target="header127.xml"/><Relationship Id="rId471" Type="http://schemas.openxmlformats.org/officeDocument/2006/relationships/footer" Target="footer229.xml"/><Relationship Id="rId667" Type="http://schemas.openxmlformats.org/officeDocument/2006/relationships/header" Target="header328.xml"/><Relationship Id="rId17" Type="http://schemas.openxmlformats.org/officeDocument/2006/relationships/footer" Target="footer3.xml"/><Relationship Id="rId59" Type="http://schemas.openxmlformats.org/officeDocument/2006/relationships/footer" Target="footer24.xml"/><Relationship Id="rId124" Type="http://schemas.openxmlformats.org/officeDocument/2006/relationships/header" Target="header57.xml"/><Relationship Id="rId527" Type="http://schemas.openxmlformats.org/officeDocument/2006/relationships/header" Target="header258.xml"/><Relationship Id="rId569" Type="http://schemas.openxmlformats.org/officeDocument/2006/relationships/header" Target="header279.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footer" Target="footer208.xml"/><Relationship Id="rId580" Type="http://schemas.openxmlformats.org/officeDocument/2006/relationships/footer" Target="footer284.xml"/><Relationship Id="rId636" Type="http://schemas.openxmlformats.org/officeDocument/2006/relationships/footer" Target="footer312.xml"/><Relationship Id="rId1" Type="http://schemas.openxmlformats.org/officeDocument/2006/relationships/customXml" Target="../customXml/item1.xml"/><Relationship Id="rId233" Type="http://schemas.openxmlformats.org/officeDocument/2006/relationships/footer" Target="footer111.xml"/><Relationship Id="rId440" Type="http://schemas.openxmlformats.org/officeDocument/2006/relationships/header" Target="header215.xml"/><Relationship Id="rId678" Type="http://schemas.openxmlformats.org/officeDocument/2006/relationships/footer" Target="footer333.xml"/><Relationship Id="rId28" Type="http://schemas.openxmlformats.org/officeDocument/2006/relationships/header" Target="header9.xml"/><Relationship Id="rId275" Type="http://schemas.openxmlformats.org/officeDocument/2006/relationships/footer" Target="footer132.xml"/><Relationship Id="rId300" Type="http://schemas.openxmlformats.org/officeDocument/2006/relationships/header" Target="header145.xml"/><Relationship Id="rId482" Type="http://schemas.openxmlformats.org/officeDocument/2006/relationships/header" Target="header236.xml"/><Relationship Id="rId538" Type="http://schemas.openxmlformats.org/officeDocument/2006/relationships/footer" Target="footer263.xml"/><Relationship Id="rId703" Type="http://schemas.openxmlformats.org/officeDocument/2006/relationships/header" Target="header346.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header" Target="header166.xml"/><Relationship Id="rId384" Type="http://schemas.openxmlformats.org/officeDocument/2006/relationships/header" Target="header187.xml"/><Relationship Id="rId591" Type="http://schemas.openxmlformats.org/officeDocument/2006/relationships/footer" Target="footer289.xml"/><Relationship Id="rId605" Type="http://schemas.openxmlformats.org/officeDocument/2006/relationships/header" Target="header297.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header" Target="header318.xml"/><Relationship Id="rId689" Type="http://schemas.openxmlformats.org/officeDocument/2006/relationships/header" Target="header339.xml"/><Relationship Id="rId39" Type="http://schemas.openxmlformats.org/officeDocument/2006/relationships/footer" Target="footer14.xml"/><Relationship Id="rId286" Type="http://schemas.openxmlformats.org/officeDocument/2006/relationships/header" Target="header138.xml"/><Relationship Id="rId451" Type="http://schemas.openxmlformats.org/officeDocument/2006/relationships/header" Target="header220.xml"/><Relationship Id="rId493" Type="http://schemas.openxmlformats.org/officeDocument/2006/relationships/header" Target="header241.xml"/><Relationship Id="rId507" Type="http://schemas.openxmlformats.org/officeDocument/2006/relationships/footer" Target="footer247.xml"/><Relationship Id="rId549" Type="http://schemas.openxmlformats.org/officeDocument/2006/relationships/footer" Target="footer268.xml"/><Relationship Id="rId50" Type="http://schemas.openxmlformats.org/officeDocument/2006/relationships/footer" Target="footer19.xml"/><Relationship Id="rId104" Type="http://schemas.openxmlformats.org/officeDocument/2006/relationships/footer" Target="footer46.xml"/><Relationship Id="rId146" Type="http://schemas.openxmlformats.org/officeDocument/2006/relationships/footer" Target="footer67.xml"/><Relationship Id="rId188" Type="http://schemas.openxmlformats.org/officeDocument/2006/relationships/footer" Target="footer88.xml"/><Relationship Id="rId311" Type="http://schemas.openxmlformats.org/officeDocument/2006/relationships/footer" Target="footer150.xml"/><Relationship Id="rId353" Type="http://schemas.openxmlformats.org/officeDocument/2006/relationships/footer" Target="footer171.xml"/><Relationship Id="rId395" Type="http://schemas.openxmlformats.org/officeDocument/2006/relationships/footer" Target="footer192.xml"/><Relationship Id="rId409" Type="http://schemas.openxmlformats.org/officeDocument/2006/relationships/header" Target="header199.xml"/><Relationship Id="rId560" Type="http://schemas.openxmlformats.org/officeDocument/2006/relationships/header" Target="header275.xml"/><Relationship Id="rId92" Type="http://schemas.openxmlformats.org/officeDocument/2006/relationships/footer" Target="footer40.xml"/><Relationship Id="rId213" Type="http://schemas.openxmlformats.org/officeDocument/2006/relationships/footer" Target="footer101.xml"/><Relationship Id="rId420" Type="http://schemas.openxmlformats.org/officeDocument/2006/relationships/footer" Target="footer204.xml"/><Relationship Id="rId616" Type="http://schemas.openxmlformats.org/officeDocument/2006/relationships/footer" Target="footer302.xml"/><Relationship Id="rId658" Type="http://schemas.openxmlformats.org/officeDocument/2006/relationships/footer" Target="footer323.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footer" Target="footer225.xml"/><Relationship Id="rId518" Type="http://schemas.openxmlformats.org/officeDocument/2006/relationships/header" Target="header254.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header" Target="header26.xml"/><Relationship Id="rId199" Type="http://schemas.openxmlformats.org/officeDocument/2006/relationships/header" Target="header95.xml"/><Relationship Id="rId571" Type="http://schemas.openxmlformats.org/officeDocument/2006/relationships/header" Target="header280.xml"/><Relationship Id="rId627" Type="http://schemas.openxmlformats.org/officeDocument/2006/relationships/footer" Target="footer307.xml"/><Relationship Id="rId669" Type="http://schemas.openxmlformats.org/officeDocument/2006/relationships/footer" Target="footer328.xml"/><Relationship Id="rId19" Type="http://schemas.openxmlformats.org/officeDocument/2006/relationships/header" Target="header5.xml"/><Relationship Id="rId224" Type="http://schemas.openxmlformats.org/officeDocument/2006/relationships/footer" Target="footer106.xml"/><Relationship Id="rId266" Type="http://schemas.openxmlformats.org/officeDocument/2006/relationships/footer" Target="footer127.xml"/><Relationship Id="rId431" Type="http://schemas.openxmlformats.org/officeDocument/2006/relationships/header" Target="header210.xml"/><Relationship Id="rId473" Type="http://schemas.openxmlformats.org/officeDocument/2006/relationships/header" Target="header231.xml"/><Relationship Id="rId529" Type="http://schemas.openxmlformats.org/officeDocument/2006/relationships/header" Target="header259.xml"/><Relationship Id="rId680" Type="http://schemas.openxmlformats.org/officeDocument/2006/relationships/header" Target="header335.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8" ma:contentTypeDescription="Create a new document." ma:contentTypeScope="" ma:versionID="9ddd79d7123ef0637a88469f9ac0af0b">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f7c4ae76bcd2f4c8f4c4d17c6f2ac6f5"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789236-6f3d-4b09-86d0-e09cffd33a39}"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haredWithUsers xmlns="e6c3bc29-9e11-4027-900b-c73633d7928a">
      <UserInfo>
        <DisplayName>MAGUIRE Michael (ECFIN)</DisplayName>
        <AccountId>562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B58C-E3F1-4035-A52A-827AC183F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3.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4.xml><?xml version="1.0" encoding="utf-8"?>
<ds:datastoreItem xmlns:ds="http://schemas.openxmlformats.org/officeDocument/2006/customXml" ds:itemID="{75B75E55-D8D6-4940-B7C9-A4413F24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163265</Words>
  <Characters>930614</Characters>
  <Application>Microsoft Office Word</Application>
  <DocSecurity>0</DocSecurity>
  <Lines>7755</Lines>
  <Paragraphs>2183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1091696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16</cp:revision>
  <dcterms:created xsi:type="dcterms:W3CDTF">2024-04-24T08:33:00Z</dcterms:created>
  <dcterms:modified xsi:type="dcterms:W3CDTF">2024-04-25T14:30:00Z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9.0, Build 20230317</vt:lpwstr>
  </property>
  <property fmtid="{D5CDD505-2E9C-101B-9397-08002B2CF9AE}" pid="10" name="Last edited using">
    <vt:lpwstr>LW 9.0, Build 20230317</vt:lpwstr>
  </property>
  <property fmtid="{D5CDD505-2E9C-101B-9397-08002B2CF9AE}" pid="11" name="ContentTypeId">
    <vt:lpwstr>0x01010062094E9F29D6C04F85860C631ABC812A</vt:lpwstr>
  </property>
  <property fmtid="{D5CDD505-2E9C-101B-9397-08002B2CF9AE}" pid="12" name="MSIP_Label_6bd9ddd1-4d20-43f6-abfa-fc3c07406f94_Enabled">
    <vt:lpwstr>true</vt:lpwstr>
  </property>
  <property fmtid="{D5CDD505-2E9C-101B-9397-08002B2CF9AE}" pid="13" name="MSIP_Label_6bd9ddd1-4d20-43f6-abfa-fc3c07406f94_SetDate">
    <vt:lpwstr>2023-03-29T10:03:47Z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ce1a9282-c4de-49a6-81b9-75d0f74bd9c8</vt:lpwstr>
  </property>
  <property fmtid="{D5CDD505-2E9C-101B-9397-08002B2CF9AE}" pid="18" name="MSIP_Label_6bd9ddd1-4d20-43f6-abfa-fc3c07406f94_ContentBits">
    <vt:lpwstr>0</vt:lpwstr>
  </property>
  <property fmtid="{D5CDD505-2E9C-101B-9397-08002B2CF9AE}" pid="19" name="DocStatus">
    <vt:lpwstr>Green</vt:lpwstr>
  </property>
  <property fmtid="{D5CDD505-2E9C-101B-9397-08002B2CF9AE}" pid="20" name="MSIP_Label_b1df41d6-74a9-4a97-809c-213cd32520cc_Enabled">
    <vt:lpwstr>true</vt:lpwstr>
  </property>
  <property fmtid="{D5CDD505-2E9C-101B-9397-08002B2CF9AE}" pid="21" name="MSIP_Label_b1df41d6-74a9-4a97-809c-213cd32520cc_SetDate">
    <vt:lpwstr>2023-10-02T15:53:29Z</vt:lpwstr>
  </property>
  <property fmtid="{D5CDD505-2E9C-101B-9397-08002B2CF9AE}" pid="22" name="MSIP_Label_b1df41d6-74a9-4a97-809c-213cd32520cc_Method">
    <vt:lpwstr>Privileged</vt:lpwstr>
  </property>
  <property fmtid="{D5CDD505-2E9C-101B-9397-08002B2CF9AE}" pid="23" name="MSIP_Label_b1df41d6-74a9-4a97-809c-213cd32520cc_Name">
    <vt:lpwstr>GSCEU - NON PUBLIC Label</vt:lpwstr>
  </property>
  <property fmtid="{D5CDD505-2E9C-101B-9397-08002B2CF9AE}" pid="24" name="MSIP_Label_b1df41d6-74a9-4a97-809c-213cd32520cc_SiteId">
    <vt:lpwstr>03ad1c97-0a4d-4e82-8f93-27291a6a0767</vt:lpwstr>
  </property>
  <property fmtid="{D5CDD505-2E9C-101B-9397-08002B2CF9AE}" pid="25" name="MSIP_Label_b1df41d6-74a9-4a97-809c-213cd32520cc_ActionId">
    <vt:lpwstr>e7551f57-c083-4295-bc96-c57cd7ae93cf</vt:lpwstr>
  </property>
  <property fmtid="{D5CDD505-2E9C-101B-9397-08002B2CF9AE}" pid="26" name="MSIP_Label_b1df41d6-74a9-4a97-809c-213cd32520cc_ContentBits">
    <vt:lpwstr>0</vt:lpwstr>
  </property>
  <property fmtid="{D5CDD505-2E9C-101B-9397-08002B2CF9AE}" pid="27" name="MediaServiceImageTags">
    <vt:lpwstr/>
  </property>
</Properties>
</file>